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7.xml" ContentType="application/vnd.openxmlformats-officedocument.wordprocessingml.header+xml"/>
  <Override PartName="/word/footer18.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0.xml" ContentType="application/vnd.openxmlformats-officedocument.wordprocessingml.header+xml"/>
  <Override PartName="/word/footer21.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3.xml" ContentType="application/vnd.openxmlformats-officedocument.wordprocessingml.header+xml"/>
  <Override PartName="/word/footer24.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6.xml" ContentType="application/vnd.openxmlformats-officedocument.wordprocessingml.header+xml"/>
  <Override PartName="/word/footer27.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29.xml" ContentType="application/vnd.openxmlformats-officedocument.wordprocessingml.header+xml"/>
  <Override PartName="/word/footer30.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2.xml" ContentType="application/vnd.openxmlformats-officedocument.wordprocessingml.header+xml"/>
  <Override PartName="/word/footer33.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5.xml" ContentType="application/vnd.openxmlformats-officedocument.wordprocessingml.header+xml"/>
  <Override PartName="/word/footer36.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8.xml" ContentType="application/vnd.openxmlformats-officedocument.wordprocessingml.header+xml"/>
  <Override PartName="/word/footer39.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1.xml" ContentType="application/vnd.openxmlformats-officedocument.wordprocessingml.header+xml"/>
  <Override PartName="/word/footer42.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4.xml" ContentType="application/vnd.openxmlformats-officedocument.wordprocessingml.header+xml"/>
  <Override PartName="/word/footer45.xml" ContentType="application/vnd.openxmlformats-officedocument.wordprocessingml.footer+xml"/>
  <Override PartName="/word/header45.xml" ContentType="application/vnd.openxmlformats-officedocument.wordprocessingml.header+xml"/>
  <Override PartName="/word/header46.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7.xml" ContentType="application/vnd.openxmlformats-officedocument.wordprocessingml.header+xml"/>
  <Override PartName="/word/footer48.xml" ContentType="application/vnd.openxmlformats-officedocument.wordprocessingml.footer+xml"/>
  <Override PartName="/word/header48.xml" ContentType="application/vnd.openxmlformats-officedocument.wordprocessingml.header+xml"/>
  <Override PartName="/word/header49.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0.xml" ContentType="application/vnd.openxmlformats-officedocument.wordprocessingml.header+xml"/>
  <Override PartName="/word/footer51.xml" ContentType="application/vnd.openxmlformats-officedocument.wordprocessingml.footer+xml"/>
  <Override PartName="/word/header51.xml" ContentType="application/vnd.openxmlformats-officedocument.wordprocessingml.header+xml"/>
  <Override PartName="/word/header52.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3.xml" ContentType="application/vnd.openxmlformats-officedocument.wordprocessingml.header+xml"/>
  <Override PartName="/word/footer54.xml" ContentType="application/vnd.openxmlformats-officedocument.wordprocessingml.footer+xml"/>
  <Override PartName="/word/header54.xml" ContentType="application/vnd.openxmlformats-officedocument.wordprocessingml.header+xml"/>
  <Override PartName="/word/header55.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6.xml" ContentType="application/vnd.openxmlformats-officedocument.wordprocessingml.header+xml"/>
  <Override PartName="/word/footer5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5FC49" w14:textId="4125FF52" w:rsidR="00B628FF" w:rsidRPr="00BF5544" w:rsidRDefault="005B2D2F" w:rsidP="00BF5544">
      <w:pPr>
        <w:pStyle w:val="Heading1"/>
      </w:pPr>
      <w:r w:rsidRPr="003C3E34">
        <w:t>Part 1: Receipt Measures</w:t>
      </w:r>
    </w:p>
    <w:p w14:paraId="1B3C5FA7" w14:textId="77777777" w:rsidR="00B628FF" w:rsidRDefault="005B2D2F">
      <w:pPr>
        <w:pStyle w:val="TableHeading"/>
      </w:pPr>
      <w:r>
        <w:t>Table 1: Receipt measures since the 2024–25 MYEFO⁽ª⁾</w:t>
      </w:r>
    </w:p>
    <w:tbl>
      <w:tblPr>
        <w:tblOverlap w:val="never"/>
        <w:tblW w:w="7721" w:type="dxa"/>
        <w:tblBorders>
          <w:top w:val="single" w:sz="4" w:space="0" w:color="000000"/>
          <w:bottom w:val="single" w:sz="4" w:space="0" w:color="000000"/>
        </w:tblBorders>
        <w:tblLayout w:type="fixed"/>
        <w:tblCellMar>
          <w:left w:w="0" w:type="dxa"/>
          <w:right w:w="56" w:type="dxa"/>
        </w:tblCellMar>
        <w:tblLook w:val="04A0" w:firstRow="1" w:lastRow="0" w:firstColumn="1" w:lastColumn="0" w:noHBand="0" w:noVBand="1"/>
      </w:tblPr>
      <w:tblGrid>
        <w:gridCol w:w="3471"/>
        <w:gridCol w:w="850"/>
        <w:gridCol w:w="850"/>
        <w:gridCol w:w="850"/>
        <w:gridCol w:w="850"/>
        <w:gridCol w:w="850"/>
      </w:tblGrid>
      <w:tr w:rsidR="00B628FF" w14:paraId="00C520BC" w14:textId="77777777" w:rsidTr="53C5BB3A">
        <w:tc>
          <w:tcPr>
            <w:tcW w:w="3471" w:type="dxa"/>
            <w:tcBorders>
              <w:top w:val="single" w:sz="4" w:space="0" w:color="000000" w:themeColor="text1"/>
            </w:tcBorders>
          </w:tcPr>
          <w:p w14:paraId="762E490E" w14:textId="77777777" w:rsidR="00B628FF" w:rsidRDefault="00B628FF">
            <w:pPr>
              <w:pStyle w:val="Summarytabletextrightaligned"/>
            </w:pPr>
          </w:p>
        </w:tc>
        <w:tc>
          <w:tcPr>
            <w:tcW w:w="850" w:type="dxa"/>
            <w:tcBorders>
              <w:top w:val="single" w:sz="4" w:space="0" w:color="000000" w:themeColor="text1"/>
            </w:tcBorders>
          </w:tcPr>
          <w:p w14:paraId="68B5918C" w14:textId="6E0C6A62" w:rsidR="00B628FF" w:rsidRDefault="005B2D2F">
            <w:pPr>
              <w:pStyle w:val="Summarytabletextrightaligned"/>
            </w:pPr>
            <w:r>
              <w:t>2024</w:t>
            </w:r>
            <w:r w:rsidR="00B31B37">
              <w:noBreakHyphen/>
            </w:r>
            <w:r>
              <w:t>25</w:t>
            </w:r>
          </w:p>
        </w:tc>
        <w:tc>
          <w:tcPr>
            <w:tcW w:w="850" w:type="dxa"/>
            <w:tcBorders>
              <w:top w:val="single" w:sz="4" w:space="0" w:color="000000" w:themeColor="text1"/>
            </w:tcBorders>
            <w:shd w:val="clear" w:color="auto" w:fill="E6F2FF"/>
          </w:tcPr>
          <w:p w14:paraId="189DA49E" w14:textId="34CBA4E6" w:rsidR="00B628FF" w:rsidRDefault="005B2D2F">
            <w:pPr>
              <w:pStyle w:val="Summarytabletextrightaligned"/>
            </w:pPr>
            <w:r>
              <w:t>2025</w:t>
            </w:r>
            <w:r w:rsidR="00B31B37">
              <w:noBreakHyphen/>
            </w:r>
            <w:r>
              <w:t>26</w:t>
            </w:r>
          </w:p>
        </w:tc>
        <w:tc>
          <w:tcPr>
            <w:tcW w:w="850" w:type="dxa"/>
            <w:tcBorders>
              <w:top w:val="single" w:sz="4" w:space="0" w:color="000000" w:themeColor="text1"/>
            </w:tcBorders>
          </w:tcPr>
          <w:p w14:paraId="72C1056E" w14:textId="284D30BF" w:rsidR="00B628FF" w:rsidRDefault="005B2D2F">
            <w:pPr>
              <w:pStyle w:val="Summarytabletextrightaligned"/>
            </w:pPr>
            <w:r>
              <w:t>2026</w:t>
            </w:r>
            <w:r w:rsidR="00B31B37">
              <w:noBreakHyphen/>
            </w:r>
            <w:r>
              <w:t>27</w:t>
            </w:r>
          </w:p>
        </w:tc>
        <w:tc>
          <w:tcPr>
            <w:tcW w:w="850" w:type="dxa"/>
            <w:tcBorders>
              <w:top w:val="single" w:sz="4" w:space="0" w:color="000000" w:themeColor="text1"/>
            </w:tcBorders>
          </w:tcPr>
          <w:p w14:paraId="71FA4A77" w14:textId="0EF10CBC" w:rsidR="00B628FF" w:rsidRDefault="005B2D2F">
            <w:pPr>
              <w:pStyle w:val="Summarytabletextrightaligned"/>
            </w:pPr>
            <w:r>
              <w:t>2027</w:t>
            </w:r>
            <w:r w:rsidR="00B31B37">
              <w:noBreakHyphen/>
            </w:r>
            <w:r>
              <w:t>28</w:t>
            </w:r>
          </w:p>
        </w:tc>
        <w:tc>
          <w:tcPr>
            <w:tcW w:w="850" w:type="dxa"/>
            <w:tcBorders>
              <w:top w:val="single" w:sz="4" w:space="0" w:color="000000" w:themeColor="text1"/>
            </w:tcBorders>
          </w:tcPr>
          <w:p w14:paraId="2A079AA9" w14:textId="2D927FBE" w:rsidR="00B628FF" w:rsidRDefault="005B2D2F">
            <w:pPr>
              <w:pStyle w:val="Summarytabletextrightaligned"/>
            </w:pPr>
            <w:r>
              <w:t>2028</w:t>
            </w:r>
            <w:r w:rsidR="00B31B37">
              <w:noBreakHyphen/>
            </w:r>
            <w:r>
              <w:t>29</w:t>
            </w:r>
          </w:p>
        </w:tc>
      </w:tr>
      <w:tr w:rsidR="00B628FF" w14:paraId="4F6876FF" w14:textId="77777777" w:rsidTr="53C5BB3A">
        <w:tc>
          <w:tcPr>
            <w:tcW w:w="3471" w:type="dxa"/>
          </w:tcPr>
          <w:p w14:paraId="25858FE2" w14:textId="77777777" w:rsidR="00B628FF" w:rsidRDefault="00B628FF">
            <w:pPr>
              <w:pStyle w:val="Summarytabletextrightaligned"/>
            </w:pPr>
          </w:p>
        </w:tc>
        <w:tc>
          <w:tcPr>
            <w:tcW w:w="850" w:type="dxa"/>
            <w:tcBorders>
              <w:bottom w:val="single" w:sz="4" w:space="0" w:color="000000" w:themeColor="text1"/>
            </w:tcBorders>
          </w:tcPr>
          <w:p w14:paraId="0FEDA4CD" w14:textId="77777777" w:rsidR="00B628FF" w:rsidRDefault="005B2D2F">
            <w:pPr>
              <w:pStyle w:val="Summarytabletextrightaligned"/>
            </w:pPr>
            <w:r>
              <w:t>$m</w:t>
            </w:r>
          </w:p>
        </w:tc>
        <w:tc>
          <w:tcPr>
            <w:tcW w:w="850" w:type="dxa"/>
            <w:tcBorders>
              <w:bottom w:val="single" w:sz="4" w:space="0" w:color="000000" w:themeColor="text1"/>
            </w:tcBorders>
            <w:shd w:val="clear" w:color="auto" w:fill="E6F2FF"/>
          </w:tcPr>
          <w:p w14:paraId="2AD80755" w14:textId="77777777" w:rsidR="00B628FF" w:rsidRDefault="005B2D2F">
            <w:pPr>
              <w:pStyle w:val="Summarytabletextrightaligned"/>
            </w:pPr>
            <w:r>
              <w:t>$m</w:t>
            </w:r>
          </w:p>
        </w:tc>
        <w:tc>
          <w:tcPr>
            <w:tcW w:w="850" w:type="dxa"/>
            <w:tcBorders>
              <w:bottom w:val="single" w:sz="4" w:space="0" w:color="000000" w:themeColor="text1"/>
            </w:tcBorders>
          </w:tcPr>
          <w:p w14:paraId="3C9E0236" w14:textId="77777777" w:rsidR="00B628FF" w:rsidRDefault="005B2D2F">
            <w:pPr>
              <w:pStyle w:val="Summarytabletextrightaligned"/>
            </w:pPr>
            <w:r>
              <w:t>$m</w:t>
            </w:r>
          </w:p>
        </w:tc>
        <w:tc>
          <w:tcPr>
            <w:tcW w:w="850" w:type="dxa"/>
            <w:tcBorders>
              <w:bottom w:val="single" w:sz="4" w:space="0" w:color="000000" w:themeColor="text1"/>
            </w:tcBorders>
          </w:tcPr>
          <w:p w14:paraId="14C7A7E6" w14:textId="77777777" w:rsidR="00B628FF" w:rsidRDefault="005B2D2F">
            <w:pPr>
              <w:pStyle w:val="Summarytabletextrightaligned"/>
            </w:pPr>
            <w:r>
              <w:t>$m</w:t>
            </w:r>
          </w:p>
        </w:tc>
        <w:tc>
          <w:tcPr>
            <w:tcW w:w="850" w:type="dxa"/>
            <w:tcBorders>
              <w:bottom w:val="single" w:sz="4" w:space="0" w:color="000000" w:themeColor="text1"/>
            </w:tcBorders>
          </w:tcPr>
          <w:p w14:paraId="4A80EF48" w14:textId="77777777" w:rsidR="00B628FF" w:rsidRDefault="005B2D2F">
            <w:pPr>
              <w:pStyle w:val="Summarytabletextrightaligned"/>
            </w:pPr>
            <w:r>
              <w:t>$m</w:t>
            </w:r>
          </w:p>
        </w:tc>
      </w:tr>
      <w:tr w:rsidR="00B628FF" w14:paraId="775B78B1" w14:textId="77777777" w:rsidTr="53C5BB3A">
        <w:tc>
          <w:tcPr>
            <w:tcW w:w="3471" w:type="dxa"/>
            <w:vAlign w:val="bottom"/>
          </w:tcPr>
          <w:p w14:paraId="75A9E64E" w14:textId="77777777" w:rsidR="00B628FF" w:rsidRDefault="005B2D2F">
            <w:pPr>
              <w:pStyle w:val="SummaryPortfolioTitle-BP2"/>
            </w:pPr>
            <w:r>
              <w:t>CLIMATE CHANGE, ENERGY, THE ENVIRONMENT AND WATER</w:t>
            </w:r>
          </w:p>
        </w:tc>
        <w:tc>
          <w:tcPr>
            <w:tcW w:w="850" w:type="dxa"/>
          </w:tcPr>
          <w:p w14:paraId="11F53E18" w14:textId="77777777" w:rsidR="00B628FF" w:rsidRDefault="00B628FF">
            <w:pPr>
              <w:pStyle w:val="MeasureTableTextRightAlignedBefore6ptAfter1pt"/>
            </w:pPr>
          </w:p>
        </w:tc>
        <w:tc>
          <w:tcPr>
            <w:tcW w:w="850" w:type="dxa"/>
            <w:shd w:val="clear" w:color="auto" w:fill="E6F2FF"/>
          </w:tcPr>
          <w:p w14:paraId="085BC6A9" w14:textId="77777777" w:rsidR="00B628FF" w:rsidRDefault="00B628FF">
            <w:pPr>
              <w:pStyle w:val="MeasureTableTextRightAlignedBefore6ptAfter1pt"/>
            </w:pPr>
          </w:p>
        </w:tc>
        <w:tc>
          <w:tcPr>
            <w:tcW w:w="850" w:type="dxa"/>
          </w:tcPr>
          <w:p w14:paraId="43E0EDC1" w14:textId="77777777" w:rsidR="00B628FF" w:rsidRDefault="00B628FF">
            <w:pPr>
              <w:pStyle w:val="MeasureTableTextRightAlignedBefore6ptAfter1pt"/>
            </w:pPr>
          </w:p>
        </w:tc>
        <w:tc>
          <w:tcPr>
            <w:tcW w:w="850" w:type="dxa"/>
          </w:tcPr>
          <w:p w14:paraId="270DCCF9" w14:textId="77777777" w:rsidR="00B628FF" w:rsidRDefault="00B628FF">
            <w:pPr>
              <w:pStyle w:val="MeasureTableTextRightAlignedBefore6ptAfter1pt"/>
            </w:pPr>
          </w:p>
        </w:tc>
        <w:tc>
          <w:tcPr>
            <w:tcW w:w="850" w:type="dxa"/>
          </w:tcPr>
          <w:p w14:paraId="577D2759" w14:textId="77777777" w:rsidR="00B628FF" w:rsidRDefault="00B628FF">
            <w:pPr>
              <w:pStyle w:val="MeasureTableTextRightAlignedBefore6ptAfter1pt"/>
            </w:pPr>
          </w:p>
        </w:tc>
      </w:tr>
      <w:tr w:rsidR="00B628FF" w14:paraId="7DB15FB7" w14:textId="77777777" w:rsidTr="53C5BB3A">
        <w:tc>
          <w:tcPr>
            <w:tcW w:w="3471" w:type="dxa"/>
            <w:vAlign w:val="bottom"/>
          </w:tcPr>
          <w:p w14:paraId="0B3205B5" w14:textId="77777777" w:rsidR="00B628FF" w:rsidRDefault="005B2D2F">
            <w:pPr>
              <w:pStyle w:val="SummaryAgencyTitle-BP2"/>
            </w:pPr>
            <w:r>
              <w:t>Clean Energy Finance Corporation</w:t>
            </w:r>
          </w:p>
        </w:tc>
        <w:tc>
          <w:tcPr>
            <w:tcW w:w="850" w:type="dxa"/>
          </w:tcPr>
          <w:p w14:paraId="19119758" w14:textId="77777777" w:rsidR="00B628FF" w:rsidRDefault="00B628FF">
            <w:pPr>
              <w:pStyle w:val="SummaryAgencyTitle-BP2"/>
            </w:pPr>
          </w:p>
        </w:tc>
        <w:tc>
          <w:tcPr>
            <w:tcW w:w="850" w:type="dxa"/>
            <w:shd w:val="clear" w:color="auto" w:fill="E6F2FF"/>
          </w:tcPr>
          <w:p w14:paraId="52E7D359" w14:textId="77777777" w:rsidR="00B628FF" w:rsidRDefault="00B628FF">
            <w:pPr>
              <w:pStyle w:val="SummaryAgencyTitle-BP2"/>
            </w:pPr>
          </w:p>
        </w:tc>
        <w:tc>
          <w:tcPr>
            <w:tcW w:w="850" w:type="dxa"/>
          </w:tcPr>
          <w:p w14:paraId="22A3E902" w14:textId="77777777" w:rsidR="00B628FF" w:rsidRDefault="00B628FF">
            <w:pPr>
              <w:pStyle w:val="SummaryAgencyTitle-BP2"/>
            </w:pPr>
          </w:p>
        </w:tc>
        <w:tc>
          <w:tcPr>
            <w:tcW w:w="850" w:type="dxa"/>
          </w:tcPr>
          <w:p w14:paraId="052EA5E1" w14:textId="77777777" w:rsidR="00B628FF" w:rsidRDefault="00B628FF">
            <w:pPr>
              <w:pStyle w:val="SummaryAgencyTitle-BP2"/>
            </w:pPr>
          </w:p>
        </w:tc>
        <w:tc>
          <w:tcPr>
            <w:tcW w:w="850" w:type="dxa"/>
          </w:tcPr>
          <w:p w14:paraId="699E6C65" w14:textId="77777777" w:rsidR="00B628FF" w:rsidRDefault="00B628FF">
            <w:pPr>
              <w:pStyle w:val="SummaryAgencyTitle-BP2"/>
            </w:pPr>
          </w:p>
        </w:tc>
      </w:tr>
      <w:tr w:rsidR="00B628FF" w14:paraId="759EBC24" w14:textId="77777777" w:rsidTr="53C5BB3A">
        <w:tc>
          <w:tcPr>
            <w:tcW w:w="3471" w:type="dxa"/>
            <w:vAlign w:val="bottom"/>
          </w:tcPr>
          <w:p w14:paraId="18B1E772" w14:textId="77777777" w:rsidR="00B628FF" w:rsidRDefault="005B2D2F">
            <w:pPr>
              <w:pStyle w:val="SummaryMeasureTitlewithTheme"/>
            </w:pPr>
            <w:r>
              <w:t>Strengthening the Clean Energy Finance Corporation(b)</w:t>
            </w:r>
          </w:p>
        </w:tc>
        <w:tc>
          <w:tcPr>
            <w:tcW w:w="850" w:type="dxa"/>
            <w:vAlign w:val="bottom"/>
          </w:tcPr>
          <w:p w14:paraId="7C08AC8B" w14:textId="4B7EB875" w:rsidR="00B628FF" w:rsidRDefault="00B31B37">
            <w:pPr>
              <w:pStyle w:val="Summarytabletextrightaligned"/>
            </w:pPr>
            <w:r>
              <w:noBreakHyphen/>
            </w:r>
          </w:p>
        </w:tc>
        <w:tc>
          <w:tcPr>
            <w:tcW w:w="850" w:type="dxa"/>
            <w:shd w:val="clear" w:color="auto" w:fill="E6F2FF"/>
            <w:vAlign w:val="bottom"/>
          </w:tcPr>
          <w:p w14:paraId="73D0502C" w14:textId="15480529" w:rsidR="00B628FF" w:rsidRDefault="00B31B37">
            <w:pPr>
              <w:pStyle w:val="Summarytabletextrightaligned"/>
            </w:pPr>
            <w:r>
              <w:noBreakHyphen/>
            </w:r>
          </w:p>
        </w:tc>
        <w:tc>
          <w:tcPr>
            <w:tcW w:w="850" w:type="dxa"/>
            <w:vAlign w:val="bottom"/>
          </w:tcPr>
          <w:p w14:paraId="19A0959B" w14:textId="59013607" w:rsidR="00B628FF" w:rsidRDefault="00B31B37">
            <w:pPr>
              <w:pStyle w:val="Summarytabletextrightaligned"/>
            </w:pPr>
            <w:r>
              <w:noBreakHyphen/>
            </w:r>
          </w:p>
        </w:tc>
        <w:tc>
          <w:tcPr>
            <w:tcW w:w="850" w:type="dxa"/>
            <w:vAlign w:val="bottom"/>
          </w:tcPr>
          <w:p w14:paraId="40982B42" w14:textId="1222DDFF" w:rsidR="00B628FF" w:rsidRDefault="00B31B37">
            <w:pPr>
              <w:pStyle w:val="Summarytabletextrightaligned"/>
            </w:pPr>
            <w:r>
              <w:noBreakHyphen/>
            </w:r>
          </w:p>
        </w:tc>
        <w:tc>
          <w:tcPr>
            <w:tcW w:w="850" w:type="dxa"/>
            <w:vAlign w:val="bottom"/>
          </w:tcPr>
          <w:p w14:paraId="28C0558D" w14:textId="6C94C602" w:rsidR="00B628FF" w:rsidRDefault="00B31B37">
            <w:pPr>
              <w:pStyle w:val="Summarytabletextrightaligned"/>
            </w:pPr>
            <w:r>
              <w:noBreakHyphen/>
            </w:r>
          </w:p>
        </w:tc>
      </w:tr>
      <w:tr w:rsidR="00B628FF" w14:paraId="3C6409E2" w14:textId="77777777" w:rsidTr="53C5BB3A">
        <w:tc>
          <w:tcPr>
            <w:tcW w:w="3471" w:type="dxa"/>
            <w:vAlign w:val="bottom"/>
          </w:tcPr>
          <w:p w14:paraId="65A49A93" w14:textId="77777777" w:rsidR="00B628FF" w:rsidRDefault="005B2D2F">
            <w:pPr>
              <w:pStyle w:val="Summarytabletextleftalignedbold"/>
            </w:pPr>
            <w:r>
              <w:t>Portfolio total</w:t>
            </w:r>
          </w:p>
        </w:tc>
        <w:tc>
          <w:tcPr>
            <w:tcW w:w="850" w:type="dxa"/>
            <w:tcBorders>
              <w:top w:val="single" w:sz="4" w:space="0" w:color="000000" w:themeColor="text1"/>
              <w:bottom w:val="single" w:sz="4" w:space="0" w:color="000000" w:themeColor="text1"/>
            </w:tcBorders>
            <w:vAlign w:val="bottom"/>
          </w:tcPr>
          <w:p w14:paraId="76CAF003" w14:textId="39EB86F7" w:rsidR="00B628FF" w:rsidRDefault="00B31B37">
            <w:pPr>
              <w:pStyle w:val="Summarytabletextrightalignedbold"/>
            </w:pPr>
            <w:r>
              <w:noBreakHyphen/>
            </w:r>
          </w:p>
        </w:tc>
        <w:tc>
          <w:tcPr>
            <w:tcW w:w="850" w:type="dxa"/>
            <w:tcBorders>
              <w:top w:val="single" w:sz="4" w:space="0" w:color="000000" w:themeColor="text1"/>
              <w:bottom w:val="single" w:sz="4" w:space="0" w:color="000000" w:themeColor="text1"/>
            </w:tcBorders>
            <w:shd w:val="clear" w:color="auto" w:fill="E6F2FF"/>
            <w:vAlign w:val="bottom"/>
          </w:tcPr>
          <w:p w14:paraId="62669188" w14:textId="39CB477F" w:rsidR="00B628FF" w:rsidRDefault="00B31B37">
            <w:pPr>
              <w:pStyle w:val="Summarytabletextrightalignedbold"/>
            </w:pPr>
            <w:r>
              <w:noBreakHyphen/>
            </w:r>
          </w:p>
        </w:tc>
        <w:tc>
          <w:tcPr>
            <w:tcW w:w="850" w:type="dxa"/>
            <w:tcBorders>
              <w:top w:val="single" w:sz="4" w:space="0" w:color="000000" w:themeColor="text1"/>
              <w:bottom w:val="single" w:sz="4" w:space="0" w:color="000000" w:themeColor="text1"/>
            </w:tcBorders>
            <w:vAlign w:val="bottom"/>
          </w:tcPr>
          <w:p w14:paraId="13EA04B9" w14:textId="1B55C579" w:rsidR="00B628FF" w:rsidRDefault="00B31B37">
            <w:pPr>
              <w:pStyle w:val="Summarytabletextrightalignedbold"/>
            </w:pPr>
            <w:r>
              <w:noBreakHyphen/>
            </w:r>
          </w:p>
        </w:tc>
        <w:tc>
          <w:tcPr>
            <w:tcW w:w="850" w:type="dxa"/>
            <w:tcBorders>
              <w:top w:val="single" w:sz="4" w:space="0" w:color="000000" w:themeColor="text1"/>
              <w:bottom w:val="single" w:sz="4" w:space="0" w:color="000000" w:themeColor="text1"/>
            </w:tcBorders>
            <w:vAlign w:val="bottom"/>
          </w:tcPr>
          <w:p w14:paraId="13C3D96B" w14:textId="4EE808C7" w:rsidR="00B628FF" w:rsidRDefault="00B31B37">
            <w:pPr>
              <w:pStyle w:val="Summarytabletextrightalignedbold"/>
            </w:pPr>
            <w:r>
              <w:noBreakHyphen/>
            </w:r>
          </w:p>
        </w:tc>
        <w:tc>
          <w:tcPr>
            <w:tcW w:w="850" w:type="dxa"/>
            <w:tcBorders>
              <w:top w:val="single" w:sz="4" w:space="0" w:color="000000" w:themeColor="text1"/>
              <w:bottom w:val="single" w:sz="4" w:space="0" w:color="000000" w:themeColor="text1"/>
            </w:tcBorders>
            <w:vAlign w:val="bottom"/>
          </w:tcPr>
          <w:p w14:paraId="5B7897CA" w14:textId="096D0B50" w:rsidR="00B628FF" w:rsidRDefault="00B31B37">
            <w:pPr>
              <w:pStyle w:val="Summarytabletextrightalignedbold"/>
            </w:pPr>
            <w:r>
              <w:noBreakHyphen/>
            </w:r>
          </w:p>
        </w:tc>
      </w:tr>
      <w:tr w:rsidR="00B628FF" w14:paraId="2DA77803" w14:textId="77777777" w:rsidTr="53C5BB3A">
        <w:tc>
          <w:tcPr>
            <w:tcW w:w="3471" w:type="dxa"/>
            <w:vAlign w:val="bottom"/>
          </w:tcPr>
          <w:p w14:paraId="64DBF359" w14:textId="77777777" w:rsidR="00B628FF" w:rsidRDefault="005B2D2F">
            <w:pPr>
              <w:pStyle w:val="SummaryPortfolioTitle-BP2"/>
            </w:pPr>
            <w:r>
              <w:t>EDUCATION</w:t>
            </w:r>
          </w:p>
        </w:tc>
        <w:tc>
          <w:tcPr>
            <w:tcW w:w="850" w:type="dxa"/>
          </w:tcPr>
          <w:p w14:paraId="65138BC6" w14:textId="77777777" w:rsidR="00B628FF" w:rsidRDefault="00B628FF">
            <w:pPr>
              <w:pStyle w:val="MeasureTableTextRightAlignedBefore6ptAfter1pt"/>
            </w:pPr>
          </w:p>
        </w:tc>
        <w:tc>
          <w:tcPr>
            <w:tcW w:w="850" w:type="dxa"/>
            <w:shd w:val="clear" w:color="auto" w:fill="E6F2FF"/>
          </w:tcPr>
          <w:p w14:paraId="39E62118" w14:textId="77777777" w:rsidR="00B628FF" w:rsidRDefault="00B628FF">
            <w:pPr>
              <w:pStyle w:val="MeasureTableTextRightAlignedBefore6ptAfter1pt"/>
            </w:pPr>
          </w:p>
        </w:tc>
        <w:tc>
          <w:tcPr>
            <w:tcW w:w="850" w:type="dxa"/>
          </w:tcPr>
          <w:p w14:paraId="4C905A5A" w14:textId="77777777" w:rsidR="00B628FF" w:rsidRDefault="00B628FF">
            <w:pPr>
              <w:pStyle w:val="MeasureTableTextRightAlignedBefore6ptAfter1pt"/>
            </w:pPr>
          </w:p>
        </w:tc>
        <w:tc>
          <w:tcPr>
            <w:tcW w:w="850" w:type="dxa"/>
          </w:tcPr>
          <w:p w14:paraId="58E71738" w14:textId="77777777" w:rsidR="00B628FF" w:rsidRDefault="00B628FF">
            <w:pPr>
              <w:pStyle w:val="MeasureTableTextRightAlignedBefore6ptAfter1pt"/>
            </w:pPr>
          </w:p>
        </w:tc>
        <w:tc>
          <w:tcPr>
            <w:tcW w:w="850" w:type="dxa"/>
          </w:tcPr>
          <w:p w14:paraId="3472A818" w14:textId="77777777" w:rsidR="00B628FF" w:rsidRDefault="00B628FF">
            <w:pPr>
              <w:pStyle w:val="MeasureTableTextRightAlignedBefore6ptAfter1pt"/>
            </w:pPr>
          </w:p>
        </w:tc>
      </w:tr>
      <w:tr w:rsidR="00B628FF" w14:paraId="7DEA64BF" w14:textId="77777777" w:rsidTr="53C5BB3A">
        <w:tc>
          <w:tcPr>
            <w:tcW w:w="3471" w:type="dxa"/>
            <w:vAlign w:val="bottom"/>
          </w:tcPr>
          <w:p w14:paraId="0CB3D606" w14:textId="77777777" w:rsidR="00B628FF" w:rsidRDefault="005B2D2F">
            <w:pPr>
              <w:pStyle w:val="SummaryAgencyTitle-BP2"/>
            </w:pPr>
            <w:r>
              <w:t>Department of Education</w:t>
            </w:r>
          </w:p>
        </w:tc>
        <w:tc>
          <w:tcPr>
            <w:tcW w:w="850" w:type="dxa"/>
          </w:tcPr>
          <w:p w14:paraId="6A2649DE" w14:textId="77777777" w:rsidR="00B628FF" w:rsidRDefault="00B628FF">
            <w:pPr>
              <w:pStyle w:val="SummaryAgencyTitle-BP2"/>
            </w:pPr>
          </w:p>
        </w:tc>
        <w:tc>
          <w:tcPr>
            <w:tcW w:w="850" w:type="dxa"/>
            <w:shd w:val="clear" w:color="auto" w:fill="E6F2FF"/>
          </w:tcPr>
          <w:p w14:paraId="59ECB17F" w14:textId="77777777" w:rsidR="00B628FF" w:rsidRDefault="00B628FF">
            <w:pPr>
              <w:pStyle w:val="SummaryAgencyTitle-BP2"/>
            </w:pPr>
          </w:p>
        </w:tc>
        <w:tc>
          <w:tcPr>
            <w:tcW w:w="850" w:type="dxa"/>
          </w:tcPr>
          <w:p w14:paraId="68624BE5" w14:textId="77777777" w:rsidR="00B628FF" w:rsidRDefault="00B628FF">
            <w:pPr>
              <w:pStyle w:val="SummaryAgencyTitle-BP2"/>
            </w:pPr>
          </w:p>
        </w:tc>
        <w:tc>
          <w:tcPr>
            <w:tcW w:w="850" w:type="dxa"/>
          </w:tcPr>
          <w:p w14:paraId="1E068C93" w14:textId="77777777" w:rsidR="00B628FF" w:rsidRDefault="00B628FF">
            <w:pPr>
              <w:pStyle w:val="SummaryAgencyTitle-BP2"/>
            </w:pPr>
          </w:p>
        </w:tc>
        <w:tc>
          <w:tcPr>
            <w:tcW w:w="850" w:type="dxa"/>
          </w:tcPr>
          <w:p w14:paraId="7C4BAAF5" w14:textId="77777777" w:rsidR="00B628FF" w:rsidRDefault="00B628FF">
            <w:pPr>
              <w:pStyle w:val="SummaryAgencyTitle-BP2"/>
            </w:pPr>
          </w:p>
        </w:tc>
      </w:tr>
      <w:tr w:rsidR="00B628FF" w14:paraId="53EBD4F6" w14:textId="77777777" w:rsidTr="53C5BB3A">
        <w:tc>
          <w:tcPr>
            <w:tcW w:w="3471" w:type="dxa"/>
            <w:vAlign w:val="bottom"/>
          </w:tcPr>
          <w:p w14:paraId="2427FB62" w14:textId="77777777" w:rsidR="00B628FF" w:rsidRDefault="005B2D2F">
            <w:pPr>
              <w:pStyle w:val="SummaryMeasureTitlewithTheme"/>
            </w:pPr>
            <w:r>
              <w:t>Strengthening Medicare – Health Workforce(b)</w:t>
            </w:r>
          </w:p>
        </w:tc>
        <w:tc>
          <w:tcPr>
            <w:tcW w:w="850" w:type="dxa"/>
            <w:vAlign w:val="bottom"/>
          </w:tcPr>
          <w:p w14:paraId="2CE3AC27" w14:textId="386C4486" w:rsidR="00B628FF" w:rsidRDefault="00B31B37">
            <w:pPr>
              <w:pStyle w:val="Summarytabletextrightaligned"/>
            </w:pPr>
            <w:r>
              <w:noBreakHyphen/>
            </w:r>
          </w:p>
        </w:tc>
        <w:tc>
          <w:tcPr>
            <w:tcW w:w="850" w:type="dxa"/>
            <w:shd w:val="clear" w:color="auto" w:fill="E6F2FF"/>
            <w:vAlign w:val="bottom"/>
          </w:tcPr>
          <w:p w14:paraId="35502DEF" w14:textId="4EEE8D84" w:rsidR="00B628FF" w:rsidRDefault="00B31B37">
            <w:pPr>
              <w:pStyle w:val="Summarytabletextrightaligned"/>
            </w:pPr>
            <w:r>
              <w:noBreakHyphen/>
            </w:r>
          </w:p>
        </w:tc>
        <w:tc>
          <w:tcPr>
            <w:tcW w:w="850" w:type="dxa"/>
            <w:vAlign w:val="bottom"/>
          </w:tcPr>
          <w:p w14:paraId="5FFEF487" w14:textId="77777777" w:rsidR="00B628FF" w:rsidRDefault="005B2D2F">
            <w:pPr>
              <w:pStyle w:val="Summarytabletextrightaligned"/>
            </w:pPr>
            <w:r>
              <w:t>..</w:t>
            </w:r>
          </w:p>
        </w:tc>
        <w:tc>
          <w:tcPr>
            <w:tcW w:w="850" w:type="dxa"/>
            <w:vAlign w:val="bottom"/>
          </w:tcPr>
          <w:p w14:paraId="52F7BC8D" w14:textId="77777777" w:rsidR="00B628FF" w:rsidRDefault="005B2D2F">
            <w:pPr>
              <w:pStyle w:val="Summarytabletextrightaligned"/>
            </w:pPr>
            <w:r>
              <w:t>..</w:t>
            </w:r>
          </w:p>
        </w:tc>
        <w:tc>
          <w:tcPr>
            <w:tcW w:w="850" w:type="dxa"/>
            <w:vAlign w:val="bottom"/>
          </w:tcPr>
          <w:p w14:paraId="05096171" w14:textId="77777777" w:rsidR="00B628FF" w:rsidRDefault="005B2D2F">
            <w:pPr>
              <w:pStyle w:val="Summarytabletextrightaligned"/>
            </w:pPr>
            <w:r>
              <w:t>..</w:t>
            </w:r>
          </w:p>
        </w:tc>
      </w:tr>
      <w:tr w:rsidR="00B628FF" w14:paraId="6DAEC21A" w14:textId="77777777" w:rsidTr="53C5BB3A">
        <w:tc>
          <w:tcPr>
            <w:tcW w:w="3471" w:type="dxa"/>
            <w:vAlign w:val="bottom"/>
          </w:tcPr>
          <w:p w14:paraId="1955C1F4" w14:textId="77777777" w:rsidR="00B628FF" w:rsidRDefault="005B2D2F">
            <w:pPr>
              <w:pStyle w:val="Summarytabletextleftalignedbold"/>
            </w:pPr>
            <w:r>
              <w:t>Portfolio total</w:t>
            </w:r>
          </w:p>
        </w:tc>
        <w:tc>
          <w:tcPr>
            <w:tcW w:w="850" w:type="dxa"/>
            <w:tcBorders>
              <w:top w:val="single" w:sz="4" w:space="0" w:color="000000" w:themeColor="text1"/>
              <w:bottom w:val="single" w:sz="4" w:space="0" w:color="000000" w:themeColor="text1"/>
            </w:tcBorders>
            <w:vAlign w:val="bottom"/>
          </w:tcPr>
          <w:p w14:paraId="09FE664A" w14:textId="19850195" w:rsidR="00B628FF" w:rsidRDefault="00B31B37">
            <w:pPr>
              <w:pStyle w:val="Summarytabletextrightalignedbold"/>
            </w:pPr>
            <w:r>
              <w:noBreakHyphen/>
            </w:r>
          </w:p>
        </w:tc>
        <w:tc>
          <w:tcPr>
            <w:tcW w:w="850" w:type="dxa"/>
            <w:tcBorders>
              <w:top w:val="single" w:sz="4" w:space="0" w:color="000000" w:themeColor="text1"/>
              <w:bottom w:val="single" w:sz="4" w:space="0" w:color="000000" w:themeColor="text1"/>
            </w:tcBorders>
            <w:shd w:val="clear" w:color="auto" w:fill="E6F2FF"/>
            <w:vAlign w:val="bottom"/>
          </w:tcPr>
          <w:p w14:paraId="7FA6E4A5" w14:textId="26E99F43" w:rsidR="00B628FF" w:rsidRDefault="00B31B37">
            <w:pPr>
              <w:pStyle w:val="Summarytabletextrightalignedbold"/>
            </w:pPr>
            <w:r>
              <w:noBreakHyphen/>
            </w:r>
          </w:p>
        </w:tc>
        <w:tc>
          <w:tcPr>
            <w:tcW w:w="850" w:type="dxa"/>
            <w:tcBorders>
              <w:top w:val="single" w:sz="4" w:space="0" w:color="000000" w:themeColor="text1"/>
              <w:bottom w:val="single" w:sz="4" w:space="0" w:color="000000" w:themeColor="text1"/>
            </w:tcBorders>
            <w:vAlign w:val="bottom"/>
          </w:tcPr>
          <w:p w14:paraId="409E7DE2" w14:textId="77777777" w:rsidR="00B628FF" w:rsidRDefault="005B2D2F">
            <w:pPr>
              <w:pStyle w:val="Summarytabletextrightalignedbold"/>
            </w:pPr>
            <w:r>
              <w:t>..</w:t>
            </w:r>
          </w:p>
        </w:tc>
        <w:tc>
          <w:tcPr>
            <w:tcW w:w="850" w:type="dxa"/>
            <w:tcBorders>
              <w:top w:val="single" w:sz="4" w:space="0" w:color="000000" w:themeColor="text1"/>
              <w:bottom w:val="single" w:sz="4" w:space="0" w:color="000000" w:themeColor="text1"/>
            </w:tcBorders>
            <w:vAlign w:val="bottom"/>
          </w:tcPr>
          <w:p w14:paraId="1B502F54" w14:textId="77777777" w:rsidR="00B628FF" w:rsidRDefault="005B2D2F">
            <w:pPr>
              <w:pStyle w:val="Summarytabletextrightalignedbold"/>
            </w:pPr>
            <w:r>
              <w:t>..</w:t>
            </w:r>
          </w:p>
        </w:tc>
        <w:tc>
          <w:tcPr>
            <w:tcW w:w="850" w:type="dxa"/>
            <w:tcBorders>
              <w:top w:val="single" w:sz="4" w:space="0" w:color="000000" w:themeColor="text1"/>
              <w:bottom w:val="single" w:sz="4" w:space="0" w:color="000000" w:themeColor="text1"/>
            </w:tcBorders>
            <w:vAlign w:val="bottom"/>
          </w:tcPr>
          <w:p w14:paraId="6E347664" w14:textId="77777777" w:rsidR="00B628FF" w:rsidRDefault="005B2D2F">
            <w:pPr>
              <w:pStyle w:val="Summarytabletextrightalignedbold"/>
            </w:pPr>
            <w:r>
              <w:t>..</w:t>
            </w:r>
          </w:p>
        </w:tc>
      </w:tr>
      <w:tr w:rsidR="00B628FF" w14:paraId="083CE0B2" w14:textId="77777777" w:rsidTr="53C5BB3A">
        <w:tc>
          <w:tcPr>
            <w:tcW w:w="3471" w:type="dxa"/>
            <w:vAlign w:val="bottom"/>
          </w:tcPr>
          <w:p w14:paraId="64594F50" w14:textId="77777777" w:rsidR="00B628FF" w:rsidRDefault="005B2D2F">
            <w:pPr>
              <w:pStyle w:val="SummaryPortfolioTitle-BP2"/>
            </w:pPr>
            <w:r>
              <w:t>EMPLOYMENT AND WORKPLACE RELATIONS</w:t>
            </w:r>
          </w:p>
        </w:tc>
        <w:tc>
          <w:tcPr>
            <w:tcW w:w="850" w:type="dxa"/>
          </w:tcPr>
          <w:p w14:paraId="5144913E" w14:textId="77777777" w:rsidR="00B628FF" w:rsidRDefault="00B628FF">
            <w:pPr>
              <w:pStyle w:val="MeasureTableTextRightAlignedBefore6ptAfter1pt"/>
            </w:pPr>
          </w:p>
        </w:tc>
        <w:tc>
          <w:tcPr>
            <w:tcW w:w="850" w:type="dxa"/>
            <w:shd w:val="clear" w:color="auto" w:fill="E6F2FF"/>
          </w:tcPr>
          <w:p w14:paraId="4E84E7EA" w14:textId="77777777" w:rsidR="00B628FF" w:rsidRDefault="00B628FF">
            <w:pPr>
              <w:pStyle w:val="MeasureTableTextRightAlignedBefore6ptAfter1pt"/>
            </w:pPr>
          </w:p>
        </w:tc>
        <w:tc>
          <w:tcPr>
            <w:tcW w:w="850" w:type="dxa"/>
          </w:tcPr>
          <w:p w14:paraId="5BC1E787" w14:textId="77777777" w:rsidR="00B628FF" w:rsidRDefault="00B628FF">
            <w:pPr>
              <w:pStyle w:val="MeasureTableTextRightAlignedBefore6ptAfter1pt"/>
            </w:pPr>
          </w:p>
        </w:tc>
        <w:tc>
          <w:tcPr>
            <w:tcW w:w="850" w:type="dxa"/>
          </w:tcPr>
          <w:p w14:paraId="38DC18FC" w14:textId="77777777" w:rsidR="00B628FF" w:rsidRDefault="00B628FF">
            <w:pPr>
              <w:pStyle w:val="MeasureTableTextRightAlignedBefore6ptAfter1pt"/>
            </w:pPr>
          </w:p>
        </w:tc>
        <w:tc>
          <w:tcPr>
            <w:tcW w:w="850" w:type="dxa"/>
          </w:tcPr>
          <w:p w14:paraId="6EB74772" w14:textId="77777777" w:rsidR="00B628FF" w:rsidRDefault="00B628FF">
            <w:pPr>
              <w:pStyle w:val="MeasureTableTextRightAlignedBefore6ptAfter1pt"/>
            </w:pPr>
          </w:p>
        </w:tc>
      </w:tr>
      <w:tr w:rsidR="00B628FF" w14:paraId="384F094A" w14:textId="77777777" w:rsidTr="53C5BB3A">
        <w:tc>
          <w:tcPr>
            <w:tcW w:w="3471" w:type="dxa"/>
            <w:vAlign w:val="bottom"/>
          </w:tcPr>
          <w:p w14:paraId="2284BEF1" w14:textId="77777777" w:rsidR="00B628FF" w:rsidRDefault="005B2D2F">
            <w:pPr>
              <w:pStyle w:val="SummaryAgencyTitle-BP2"/>
            </w:pPr>
            <w:r>
              <w:t>Department of Employment and Workplace Relations</w:t>
            </w:r>
          </w:p>
        </w:tc>
        <w:tc>
          <w:tcPr>
            <w:tcW w:w="850" w:type="dxa"/>
          </w:tcPr>
          <w:p w14:paraId="599DF8D1" w14:textId="77777777" w:rsidR="00B628FF" w:rsidRDefault="00B628FF">
            <w:pPr>
              <w:pStyle w:val="SummaryAgencyTitle-BP2"/>
            </w:pPr>
          </w:p>
        </w:tc>
        <w:tc>
          <w:tcPr>
            <w:tcW w:w="850" w:type="dxa"/>
            <w:shd w:val="clear" w:color="auto" w:fill="E6F2FF"/>
          </w:tcPr>
          <w:p w14:paraId="1C5F5EE4" w14:textId="77777777" w:rsidR="00B628FF" w:rsidRDefault="00B628FF">
            <w:pPr>
              <w:pStyle w:val="SummaryAgencyTitle-BP2"/>
            </w:pPr>
          </w:p>
        </w:tc>
        <w:tc>
          <w:tcPr>
            <w:tcW w:w="850" w:type="dxa"/>
          </w:tcPr>
          <w:p w14:paraId="11C81910" w14:textId="77777777" w:rsidR="00B628FF" w:rsidRDefault="00B628FF">
            <w:pPr>
              <w:pStyle w:val="SummaryAgencyTitle-BP2"/>
            </w:pPr>
          </w:p>
        </w:tc>
        <w:tc>
          <w:tcPr>
            <w:tcW w:w="850" w:type="dxa"/>
          </w:tcPr>
          <w:p w14:paraId="4476322F" w14:textId="77777777" w:rsidR="00B628FF" w:rsidRDefault="00B628FF">
            <w:pPr>
              <w:pStyle w:val="SummaryAgencyTitle-BP2"/>
            </w:pPr>
          </w:p>
        </w:tc>
        <w:tc>
          <w:tcPr>
            <w:tcW w:w="850" w:type="dxa"/>
          </w:tcPr>
          <w:p w14:paraId="057017D5" w14:textId="77777777" w:rsidR="00B628FF" w:rsidRDefault="00B628FF">
            <w:pPr>
              <w:pStyle w:val="SummaryAgencyTitle-BP2"/>
            </w:pPr>
          </w:p>
        </w:tc>
      </w:tr>
      <w:tr w:rsidR="00B628FF" w14:paraId="2CE8D16C" w14:textId="77777777" w:rsidTr="53C5BB3A">
        <w:tc>
          <w:tcPr>
            <w:tcW w:w="3471" w:type="dxa"/>
            <w:vAlign w:val="bottom"/>
          </w:tcPr>
          <w:p w14:paraId="4B243D97" w14:textId="677D6F97" w:rsidR="00B628FF" w:rsidRDefault="005B2D2F">
            <w:pPr>
              <w:pStyle w:val="SummaryMeasureTitlewithTheme"/>
            </w:pPr>
            <w:r>
              <w:t>Building Australia</w:t>
            </w:r>
            <w:r w:rsidR="00B31B37">
              <w:t>’</w:t>
            </w:r>
            <w:r>
              <w:t>s Future – Increased Support for Apprentices(b)</w:t>
            </w:r>
          </w:p>
        </w:tc>
        <w:tc>
          <w:tcPr>
            <w:tcW w:w="850" w:type="dxa"/>
            <w:vAlign w:val="bottom"/>
          </w:tcPr>
          <w:p w14:paraId="485B9E4D" w14:textId="7FF68DEC" w:rsidR="00B628FF" w:rsidRDefault="00B31B37">
            <w:pPr>
              <w:pStyle w:val="Summarytabletextrightaligned"/>
            </w:pPr>
            <w:r>
              <w:noBreakHyphen/>
            </w:r>
          </w:p>
        </w:tc>
        <w:tc>
          <w:tcPr>
            <w:tcW w:w="850" w:type="dxa"/>
            <w:shd w:val="clear" w:color="auto" w:fill="E6F2FF"/>
            <w:vAlign w:val="bottom"/>
          </w:tcPr>
          <w:p w14:paraId="7DD4BEA5" w14:textId="5D99EBC6" w:rsidR="00B628FF" w:rsidRDefault="00B31B37">
            <w:pPr>
              <w:pStyle w:val="Summarytabletextrightaligned"/>
            </w:pPr>
            <w:r>
              <w:noBreakHyphen/>
            </w:r>
          </w:p>
        </w:tc>
        <w:tc>
          <w:tcPr>
            <w:tcW w:w="850" w:type="dxa"/>
            <w:vAlign w:val="bottom"/>
          </w:tcPr>
          <w:p w14:paraId="65A2B580" w14:textId="4236E2C2" w:rsidR="00B628FF" w:rsidRDefault="00B31B37">
            <w:pPr>
              <w:pStyle w:val="Summarytabletextrightaligned"/>
            </w:pPr>
            <w:r>
              <w:noBreakHyphen/>
            </w:r>
          </w:p>
        </w:tc>
        <w:tc>
          <w:tcPr>
            <w:tcW w:w="850" w:type="dxa"/>
            <w:vAlign w:val="bottom"/>
          </w:tcPr>
          <w:p w14:paraId="2E19EF8E" w14:textId="54698AC9" w:rsidR="00B628FF" w:rsidRDefault="00B31B37">
            <w:pPr>
              <w:pStyle w:val="Summarytabletextrightaligned"/>
            </w:pPr>
            <w:r>
              <w:noBreakHyphen/>
            </w:r>
          </w:p>
        </w:tc>
        <w:tc>
          <w:tcPr>
            <w:tcW w:w="850" w:type="dxa"/>
            <w:vAlign w:val="bottom"/>
          </w:tcPr>
          <w:p w14:paraId="3407DE52" w14:textId="0128894E" w:rsidR="00B628FF" w:rsidRDefault="00B31B37">
            <w:pPr>
              <w:pStyle w:val="Summarytabletextrightaligned"/>
            </w:pPr>
            <w:r>
              <w:noBreakHyphen/>
            </w:r>
          </w:p>
        </w:tc>
      </w:tr>
      <w:tr w:rsidR="00B628FF" w14:paraId="7DC07DFB" w14:textId="77777777" w:rsidTr="53C5BB3A">
        <w:tc>
          <w:tcPr>
            <w:tcW w:w="3471" w:type="dxa"/>
            <w:vAlign w:val="bottom"/>
          </w:tcPr>
          <w:p w14:paraId="7AB6E9B5" w14:textId="77777777" w:rsidR="00B628FF" w:rsidRDefault="005B2D2F">
            <w:pPr>
              <w:pStyle w:val="Summarytabletextleftalignedbold"/>
            </w:pPr>
            <w:r>
              <w:t>Portfolio total</w:t>
            </w:r>
          </w:p>
        </w:tc>
        <w:tc>
          <w:tcPr>
            <w:tcW w:w="850" w:type="dxa"/>
            <w:tcBorders>
              <w:top w:val="single" w:sz="4" w:space="0" w:color="000000" w:themeColor="text1"/>
              <w:bottom w:val="single" w:sz="4" w:space="0" w:color="000000" w:themeColor="text1"/>
            </w:tcBorders>
            <w:vAlign w:val="bottom"/>
          </w:tcPr>
          <w:p w14:paraId="5630BDE9" w14:textId="20DA6C68" w:rsidR="00B628FF" w:rsidRDefault="00B31B37">
            <w:pPr>
              <w:pStyle w:val="Summarytabletextrightalignedbold"/>
            </w:pPr>
            <w:r>
              <w:noBreakHyphen/>
            </w:r>
          </w:p>
        </w:tc>
        <w:tc>
          <w:tcPr>
            <w:tcW w:w="850" w:type="dxa"/>
            <w:tcBorders>
              <w:top w:val="single" w:sz="4" w:space="0" w:color="000000" w:themeColor="text1"/>
              <w:bottom w:val="single" w:sz="4" w:space="0" w:color="000000" w:themeColor="text1"/>
            </w:tcBorders>
            <w:shd w:val="clear" w:color="auto" w:fill="E6F2FF"/>
            <w:vAlign w:val="bottom"/>
          </w:tcPr>
          <w:p w14:paraId="26F288E9" w14:textId="4C3DEABE" w:rsidR="00B628FF" w:rsidRDefault="00B31B37">
            <w:pPr>
              <w:pStyle w:val="Summarytabletextrightalignedbold"/>
            </w:pPr>
            <w:r>
              <w:noBreakHyphen/>
            </w:r>
          </w:p>
        </w:tc>
        <w:tc>
          <w:tcPr>
            <w:tcW w:w="850" w:type="dxa"/>
            <w:tcBorders>
              <w:top w:val="single" w:sz="4" w:space="0" w:color="000000" w:themeColor="text1"/>
              <w:bottom w:val="single" w:sz="4" w:space="0" w:color="000000" w:themeColor="text1"/>
            </w:tcBorders>
            <w:vAlign w:val="bottom"/>
          </w:tcPr>
          <w:p w14:paraId="417B1063" w14:textId="43D832AA" w:rsidR="00B628FF" w:rsidRDefault="00B31B37">
            <w:pPr>
              <w:pStyle w:val="Summarytabletextrightalignedbold"/>
            </w:pPr>
            <w:r>
              <w:noBreakHyphen/>
            </w:r>
          </w:p>
        </w:tc>
        <w:tc>
          <w:tcPr>
            <w:tcW w:w="850" w:type="dxa"/>
            <w:tcBorders>
              <w:top w:val="single" w:sz="4" w:space="0" w:color="000000" w:themeColor="text1"/>
              <w:bottom w:val="single" w:sz="4" w:space="0" w:color="000000" w:themeColor="text1"/>
            </w:tcBorders>
            <w:vAlign w:val="bottom"/>
          </w:tcPr>
          <w:p w14:paraId="29307338" w14:textId="578CADF1" w:rsidR="00B628FF" w:rsidRDefault="00B31B37">
            <w:pPr>
              <w:pStyle w:val="Summarytabletextrightalignedbold"/>
            </w:pPr>
            <w:r>
              <w:noBreakHyphen/>
            </w:r>
          </w:p>
        </w:tc>
        <w:tc>
          <w:tcPr>
            <w:tcW w:w="850" w:type="dxa"/>
            <w:tcBorders>
              <w:top w:val="single" w:sz="4" w:space="0" w:color="000000" w:themeColor="text1"/>
              <w:bottom w:val="single" w:sz="4" w:space="0" w:color="000000" w:themeColor="text1"/>
            </w:tcBorders>
            <w:vAlign w:val="bottom"/>
          </w:tcPr>
          <w:p w14:paraId="42C0E93C" w14:textId="70D86EAA" w:rsidR="00B628FF" w:rsidRDefault="00B31B37">
            <w:pPr>
              <w:pStyle w:val="Summarytabletextrightalignedbold"/>
            </w:pPr>
            <w:r>
              <w:noBreakHyphen/>
            </w:r>
          </w:p>
        </w:tc>
      </w:tr>
      <w:tr w:rsidR="00B628FF" w14:paraId="44CADC65" w14:textId="77777777" w:rsidTr="00644A55">
        <w:trPr>
          <w:trHeight w:val="283"/>
        </w:trPr>
        <w:tc>
          <w:tcPr>
            <w:tcW w:w="3471" w:type="dxa"/>
            <w:vAlign w:val="bottom"/>
          </w:tcPr>
          <w:p w14:paraId="5CAE088F" w14:textId="77777777" w:rsidR="00B628FF" w:rsidRDefault="005B2D2F">
            <w:pPr>
              <w:pStyle w:val="SummaryPortfolioTitle-BP2"/>
            </w:pPr>
            <w:r>
              <w:t>HEALTH AND AGED CARE</w:t>
            </w:r>
          </w:p>
        </w:tc>
        <w:tc>
          <w:tcPr>
            <w:tcW w:w="850" w:type="dxa"/>
          </w:tcPr>
          <w:p w14:paraId="1B8B31E4" w14:textId="77777777" w:rsidR="00B628FF" w:rsidRDefault="00B628FF">
            <w:pPr>
              <w:pStyle w:val="MeasureTableTextRightAlignedBefore6ptAfter1pt"/>
            </w:pPr>
          </w:p>
        </w:tc>
        <w:tc>
          <w:tcPr>
            <w:tcW w:w="850" w:type="dxa"/>
            <w:shd w:val="clear" w:color="auto" w:fill="E6F2FF"/>
          </w:tcPr>
          <w:p w14:paraId="4605A66F" w14:textId="77777777" w:rsidR="00B628FF" w:rsidRDefault="00B628FF">
            <w:pPr>
              <w:pStyle w:val="MeasureTableTextRightAlignedBefore6ptAfter1pt"/>
            </w:pPr>
          </w:p>
        </w:tc>
        <w:tc>
          <w:tcPr>
            <w:tcW w:w="850" w:type="dxa"/>
          </w:tcPr>
          <w:p w14:paraId="61CEC96A" w14:textId="77777777" w:rsidR="00B628FF" w:rsidRDefault="00B628FF">
            <w:pPr>
              <w:pStyle w:val="MeasureTableTextRightAlignedBefore6ptAfter1pt"/>
            </w:pPr>
          </w:p>
        </w:tc>
        <w:tc>
          <w:tcPr>
            <w:tcW w:w="850" w:type="dxa"/>
          </w:tcPr>
          <w:p w14:paraId="5511C039" w14:textId="77777777" w:rsidR="00B628FF" w:rsidRDefault="00B628FF">
            <w:pPr>
              <w:pStyle w:val="MeasureTableTextRightAlignedBefore6ptAfter1pt"/>
            </w:pPr>
          </w:p>
        </w:tc>
        <w:tc>
          <w:tcPr>
            <w:tcW w:w="850" w:type="dxa"/>
          </w:tcPr>
          <w:p w14:paraId="250826F2" w14:textId="77777777" w:rsidR="00B628FF" w:rsidRDefault="00B628FF">
            <w:pPr>
              <w:pStyle w:val="MeasureTableTextRightAlignedBefore6ptAfter1pt"/>
            </w:pPr>
          </w:p>
        </w:tc>
      </w:tr>
      <w:tr w:rsidR="00B628FF" w14:paraId="27D56DC9" w14:textId="77777777" w:rsidTr="53C5BB3A">
        <w:tc>
          <w:tcPr>
            <w:tcW w:w="3471" w:type="dxa"/>
            <w:vAlign w:val="bottom"/>
          </w:tcPr>
          <w:p w14:paraId="3575D74C" w14:textId="77777777" w:rsidR="00B628FF" w:rsidRDefault="005B2D2F">
            <w:pPr>
              <w:pStyle w:val="SummaryAgencyTitle-BP2"/>
            </w:pPr>
            <w:r>
              <w:t>Aged Care Quality and Safety Commission</w:t>
            </w:r>
          </w:p>
        </w:tc>
        <w:tc>
          <w:tcPr>
            <w:tcW w:w="850" w:type="dxa"/>
          </w:tcPr>
          <w:p w14:paraId="04D158D4" w14:textId="77777777" w:rsidR="00B628FF" w:rsidRDefault="00B628FF">
            <w:pPr>
              <w:pStyle w:val="SummaryAgencyTitle-BP2"/>
            </w:pPr>
          </w:p>
        </w:tc>
        <w:tc>
          <w:tcPr>
            <w:tcW w:w="850" w:type="dxa"/>
            <w:shd w:val="clear" w:color="auto" w:fill="E6F2FF"/>
          </w:tcPr>
          <w:p w14:paraId="6E4964CD" w14:textId="77777777" w:rsidR="00B628FF" w:rsidRDefault="00B628FF">
            <w:pPr>
              <w:pStyle w:val="SummaryAgencyTitle-BP2"/>
            </w:pPr>
          </w:p>
        </w:tc>
        <w:tc>
          <w:tcPr>
            <w:tcW w:w="850" w:type="dxa"/>
          </w:tcPr>
          <w:p w14:paraId="10ACF7A0" w14:textId="77777777" w:rsidR="00B628FF" w:rsidRDefault="00B628FF">
            <w:pPr>
              <w:pStyle w:val="SummaryAgencyTitle-BP2"/>
            </w:pPr>
          </w:p>
        </w:tc>
        <w:tc>
          <w:tcPr>
            <w:tcW w:w="850" w:type="dxa"/>
          </w:tcPr>
          <w:p w14:paraId="56A45F02" w14:textId="77777777" w:rsidR="00B628FF" w:rsidRDefault="00B628FF">
            <w:pPr>
              <w:pStyle w:val="SummaryAgencyTitle-BP2"/>
            </w:pPr>
          </w:p>
        </w:tc>
        <w:tc>
          <w:tcPr>
            <w:tcW w:w="850" w:type="dxa"/>
          </w:tcPr>
          <w:p w14:paraId="7ADDBE2B" w14:textId="77777777" w:rsidR="00B628FF" w:rsidRDefault="00B628FF">
            <w:pPr>
              <w:pStyle w:val="SummaryAgencyTitle-BP2"/>
            </w:pPr>
          </w:p>
        </w:tc>
      </w:tr>
      <w:tr w:rsidR="00B628FF" w14:paraId="223E579C" w14:textId="77777777" w:rsidTr="53C5BB3A">
        <w:tc>
          <w:tcPr>
            <w:tcW w:w="3471" w:type="dxa"/>
            <w:vAlign w:val="bottom"/>
          </w:tcPr>
          <w:p w14:paraId="41E17CBB" w14:textId="77777777" w:rsidR="00B628FF" w:rsidRDefault="005B2D2F">
            <w:pPr>
              <w:pStyle w:val="SummaryMeasureTitlewithTheme"/>
            </w:pPr>
            <w:r>
              <w:t>Implementation of Aged Care Reforms(b)</w:t>
            </w:r>
          </w:p>
        </w:tc>
        <w:tc>
          <w:tcPr>
            <w:tcW w:w="850" w:type="dxa"/>
            <w:vAlign w:val="bottom"/>
          </w:tcPr>
          <w:p w14:paraId="027ADB11" w14:textId="216317D8" w:rsidR="00B628FF" w:rsidRDefault="00B31B37">
            <w:pPr>
              <w:pStyle w:val="Summarytabletextrightaligned"/>
            </w:pPr>
            <w:r>
              <w:noBreakHyphen/>
            </w:r>
          </w:p>
        </w:tc>
        <w:tc>
          <w:tcPr>
            <w:tcW w:w="850" w:type="dxa"/>
            <w:shd w:val="clear" w:color="auto" w:fill="E6F2FF"/>
            <w:vAlign w:val="bottom"/>
          </w:tcPr>
          <w:p w14:paraId="3E32D971" w14:textId="77777777" w:rsidR="00B628FF" w:rsidRDefault="005B2D2F">
            <w:pPr>
              <w:pStyle w:val="Summarytabletextrightaligned"/>
            </w:pPr>
            <w:r>
              <w:t>27.7</w:t>
            </w:r>
          </w:p>
        </w:tc>
        <w:tc>
          <w:tcPr>
            <w:tcW w:w="850" w:type="dxa"/>
            <w:vAlign w:val="bottom"/>
          </w:tcPr>
          <w:p w14:paraId="3FCC9BB8" w14:textId="341D633B" w:rsidR="00B628FF" w:rsidRDefault="00B31B37">
            <w:pPr>
              <w:pStyle w:val="Summarytabletextrightaligned"/>
            </w:pPr>
            <w:r>
              <w:noBreakHyphen/>
            </w:r>
          </w:p>
        </w:tc>
        <w:tc>
          <w:tcPr>
            <w:tcW w:w="850" w:type="dxa"/>
            <w:vAlign w:val="bottom"/>
          </w:tcPr>
          <w:p w14:paraId="277EC041" w14:textId="24CA12B5" w:rsidR="00B628FF" w:rsidRDefault="00B31B37">
            <w:pPr>
              <w:pStyle w:val="Summarytabletextrightaligned"/>
            </w:pPr>
            <w:r>
              <w:noBreakHyphen/>
            </w:r>
          </w:p>
        </w:tc>
        <w:tc>
          <w:tcPr>
            <w:tcW w:w="850" w:type="dxa"/>
            <w:vAlign w:val="bottom"/>
          </w:tcPr>
          <w:p w14:paraId="44A2525B" w14:textId="63BFDBDC" w:rsidR="00B628FF" w:rsidRDefault="00B31B37">
            <w:pPr>
              <w:pStyle w:val="Summarytabletextrightaligned"/>
            </w:pPr>
            <w:r>
              <w:noBreakHyphen/>
            </w:r>
          </w:p>
        </w:tc>
      </w:tr>
      <w:tr w:rsidR="00B628FF" w14:paraId="0C949A21" w14:textId="77777777" w:rsidTr="53C5BB3A">
        <w:tc>
          <w:tcPr>
            <w:tcW w:w="3471" w:type="dxa"/>
            <w:vAlign w:val="bottom"/>
          </w:tcPr>
          <w:p w14:paraId="4CB3BA63" w14:textId="77777777" w:rsidR="00B628FF" w:rsidRDefault="005B2D2F">
            <w:pPr>
              <w:pStyle w:val="SummaryAgencyTitle-BP2"/>
            </w:pPr>
            <w:r>
              <w:t>Department of Health and Aged Care</w:t>
            </w:r>
          </w:p>
        </w:tc>
        <w:tc>
          <w:tcPr>
            <w:tcW w:w="850" w:type="dxa"/>
          </w:tcPr>
          <w:p w14:paraId="26024314" w14:textId="77777777" w:rsidR="00B628FF" w:rsidRDefault="00B628FF">
            <w:pPr>
              <w:pStyle w:val="SummaryAgencyTitle-BP2"/>
            </w:pPr>
          </w:p>
        </w:tc>
        <w:tc>
          <w:tcPr>
            <w:tcW w:w="850" w:type="dxa"/>
            <w:shd w:val="clear" w:color="auto" w:fill="E6F2FF"/>
          </w:tcPr>
          <w:p w14:paraId="3FD42B4F" w14:textId="77777777" w:rsidR="00B628FF" w:rsidRDefault="00B628FF">
            <w:pPr>
              <w:pStyle w:val="SummaryAgencyTitle-BP2"/>
            </w:pPr>
          </w:p>
        </w:tc>
        <w:tc>
          <w:tcPr>
            <w:tcW w:w="850" w:type="dxa"/>
          </w:tcPr>
          <w:p w14:paraId="498E55C2" w14:textId="77777777" w:rsidR="00B628FF" w:rsidRDefault="00B628FF">
            <w:pPr>
              <w:pStyle w:val="SummaryAgencyTitle-BP2"/>
            </w:pPr>
          </w:p>
        </w:tc>
        <w:tc>
          <w:tcPr>
            <w:tcW w:w="850" w:type="dxa"/>
          </w:tcPr>
          <w:p w14:paraId="747CC811" w14:textId="77777777" w:rsidR="00B628FF" w:rsidRDefault="00B628FF">
            <w:pPr>
              <w:pStyle w:val="SummaryAgencyTitle-BP2"/>
            </w:pPr>
          </w:p>
        </w:tc>
        <w:tc>
          <w:tcPr>
            <w:tcW w:w="850" w:type="dxa"/>
          </w:tcPr>
          <w:p w14:paraId="72143726" w14:textId="77777777" w:rsidR="00B628FF" w:rsidRDefault="00B628FF">
            <w:pPr>
              <w:pStyle w:val="SummaryAgencyTitle-BP2"/>
            </w:pPr>
          </w:p>
        </w:tc>
      </w:tr>
      <w:tr w:rsidR="00B628FF" w14:paraId="2E2C841B" w14:textId="77777777" w:rsidTr="53C5BB3A">
        <w:tc>
          <w:tcPr>
            <w:tcW w:w="3471" w:type="dxa"/>
            <w:vAlign w:val="bottom"/>
          </w:tcPr>
          <w:p w14:paraId="3BE99810" w14:textId="77777777" w:rsidR="00B628FF" w:rsidRDefault="005B2D2F">
            <w:pPr>
              <w:pStyle w:val="SummaryMeasureTitlewithTheme"/>
            </w:pPr>
            <w:r>
              <w:t>Critical Health Infrastructure and Systems(b)</w:t>
            </w:r>
          </w:p>
        </w:tc>
        <w:tc>
          <w:tcPr>
            <w:tcW w:w="850" w:type="dxa"/>
            <w:vAlign w:val="bottom"/>
          </w:tcPr>
          <w:p w14:paraId="0B7B80DF" w14:textId="261DC85F" w:rsidR="00B628FF" w:rsidRDefault="00B31B37">
            <w:pPr>
              <w:pStyle w:val="Summarytabletextrightaligned"/>
            </w:pPr>
            <w:r>
              <w:noBreakHyphen/>
            </w:r>
          </w:p>
        </w:tc>
        <w:tc>
          <w:tcPr>
            <w:tcW w:w="850" w:type="dxa"/>
            <w:shd w:val="clear" w:color="auto" w:fill="E6F2FF"/>
            <w:vAlign w:val="bottom"/>
          </w:tcPr>
          <w:p w14:paraId="1C0BA36F" w14:textId="77777777" w:rsidR="00B628FF" w:rsidRDefault="005B2D2F">
            <w:pPr>
              <w:pStyle w:val="Summarytabletextrightaligned"/>
            </w:pPr>
            <w:r>
              <w:t>0.6</w:t>
            </w:r>
          </w:p>
        </w:tc>
        <w:tc>
          <w:tcPr>
            <w:tcW w:w="850" w:type="dxa"/>
            <w:vAlign w:val="bottom"/>
          </w:tcPr>
          <w:p w14:paraId="0589AA8D" w14:textId="77777777" w:rsidR="00B628FF" w:rsidRDefault="005B2D2F">
            <w:pPr>
              <w:pStyle w:val="Summarytabletextrightaligned"/>
            </w:pPr>
            <w:r>
              <w:t>0.6</w:t>
            </w:r>
          </w:p>
        </w:tc>
        <w:tc>
          <w:tcPr>
            <w:tcW w:w="850" w:type="dxa"/>
            <w:vAlign w:val="bottom"/>
          </w:tcPr>
          <w:p w14:paraId="0D6092CE" w14:textId="77777777" w:rsidR="00B628FF" w:rsidRDefault="005B2D2F">
            <w:pPr>
              <w:pStyle w:val="Summarytabletextrightaligned"/>
            </w:pPr>
            <w:r>
              <w:t>0.6</w:t>
            </w:r>
          </w:p>
        </w:tc>
        <w:tc>
          <w:tcPr>
            <w:tcW w:w="850" w:type="dxa"/>
            <w:vAlign w:val="bottom"/>
          </w:tcPr>
          <w:p w14:paraId="4CECA96C" w14:textId="77777777" w:rsidR="00B628FF" w:rsidRDefault="005B2D2F">
            <w:pPr>
              <w:pStyle w:val="Summarytabletextrightaligned"/>
            </w:pPr>
            <w:r>
              <w:t>0.6</w:t>
            </w:r>
          </w:p>
        </w:tc>
      </w:tr>
      <w:tr w:rsidR="00B628FF" w14:paraId="28AE80BA" w14:textId="77777777" w:rsidTr="53C5BB3A">
        <w:tc>
          <w:tcPr>
            <w:tcW w:w="3471" w:type="dxa"/>
            <w:vAlign w:val="bottom"/>
          </w:tcPr>
          <w:p w14:paraId="7CD4BA8D" w14:textId="77777777" w:rsidR="00B628FF" w:rsidRDefault="005B2D2F">
            <w:pPr>
              <w:pStyle w:val="SummaryMeasureTitlewithTheme"/>
            </w:pPr>
            <w:r>
              <w:t>Even Cheaper Medicines(b)</w:t>
            </w:r>
          </w:p>
        </w:tc>
        <w:tc>
          <w:tcPr>
            <w:tcW w:w="850" w:type="dxa"/>
            <w:vAlign w:val="bottom"/>
          </w:tcPr>
          <w:p w14:paraId="08059CA7" w14:textId="191D2CF1" w:rsidR="00B628FF" w:rsidRDefault="00B31B37">
            <w:pPr>
              <w:pStyle w:val="Summarytabletextrightaligned"/>
            </w:pPr>
            <w:r>
              <w:noBreakHyphen/>
            </w:r>
          </w:p>
        </w:tc>
        <w:tc>
          <w:tcPr>
            <w:tcW w:w="850" w:type="dxa"/>
            <w:shd w:val="clear" w:color="auto" w:fill="E6F2FF"/>
            <w:vAlign w:val="bottom"/>
          </w:tcPr>
          <w:p w14:paraId="5A5755A9" w14:textId="77777777" w:rsidR="00B628FF" w:rsidRDefault="005B2D2F">
            <w:pPr>
              <w:pStyle w:val="Summarytabletextrightaligned"/>
            </w:pPr>
            <w:r>
              <w:t>11.5</w:t>
            </w:r>
          </w:p>
        </w:tc>
        <w:tc>
          <w:tcPr>
            <w:tcW w:w="850" w:type="dxa"/>
            <w:vAlign w:val="bottom"/>
          </w:tcPr>
          <w:p w14:paraId="637E0790" w14:textId="77777777" w:rsidR="00B628FF" w:rsidRDefault="005B2D2F">
            <w:pPr>
              <w:pStyle w:val="Summarytabletextrightaligned"/>
            </w:pPr>
            <w:r>
              <w:t>24.5</w:t>
            </w:r>
          </w:p>
        </w:tc>
        <w:tc>
          <w:tcPr>
            <w:tcW w:w="850" w:type="dxa"/>
            <w:vAlign w:val="bottom"/>
          </w:tcPr>
          <w:p w14:paraId="74F510FA" w14:textId="77777777" w:rsidR="00B628FF" w:rsidRDefault="005B2D2F">
            <w:pPr>
              <w:pStyle w:val="Summarytabletextrightaligned"/>
            </w:pPr>
            <w:r>
              <w:t>27.8</w:t>
            </w:r>
          </w:p>
        </w:tc>
        <w:tc>
          <w:tcPr>
            <w:tcW w:w="850" w:type="dxa"/>
            <w:vAlign w:val="bottom"/>
          </w:tcPr>
          <w:p w14:paraId="789935B6" w14:textId="77777777" w:rsidR="00B628FF" w:rsidRDefault="005B2D2F">
            <w:pPr>
              <w:pStyle w:val="Summarytabletextrightaligned"/>
            </w:pPr>
            <w:r>
              <w:t>31.6</w:t>
            </w:r>
          </w:p>
        </w:tc>
      </w:tr>
      <w:tr w:rsidR="00B628FF" w14:paraId="04B4E40F" w14:textId="77777777" w:rsidTr="53C5BB3A">
        <w:tc>
          <w:tcPr>
            <w:tcW w:w="3471" w:type="dxa"/>
            <w:vAlign w:val="bottom"/>
          </w:tcPr>
          <w:p w14:paraId="498D31EB" w14:textId="77777777" w:rsidR="00B628FF" w:rsidRDefault="005B2D2F">
            <w:pPr>
              <w:pStyle w:val="SummaryMeasureTitlewithTheme"/>
            </w:pPr>
            <w:r>
              <w:t>Improving Access to Medicines and Pharmacy Programs(b)</w:t>
            </w:r>
          </w:p>
        </w:tc>
        <w:tc>
          <w:tcPr>
            <w:tcW w:w="850" w:type="dxa"/>
            <w:vAlign w:val="bottom"/>
          </w:tcPr>
          <w:p w14:paraId="48C0CFC0" w14:textId="527DBCD5" w:rsidR="00B628FF" w:rsidRDefault="00B31B37">
            <w:pPr>
              <w:pStyle w:val="Summarytabletextrightaligned"/>
            </w:pPr>
            <w:r>
              <w:noBreakHyphen/>
            </w:r>
          </w:p>
        </w:tc>
        <w:tc>
          <w:tcPr>
            <w:tcW w:w="850" w:type="dxa"/>
            <w:shd w:val="clear" w:color="auto" w:fill="E6F2FF"/>
            <w:vAlign w:val="bottom"/>
          </w:tcPr>
          <w:p w14:paraId="27EEC840" w14:textId="7C889E19" w:rsidR="00B628FF" w:rsidRDefault="00B31B37">
            <w:pPr>
              <w:pStyle w:val="Summarytabletextrightaligned"/>
            </w:pPr>
            <w:r>
              <w:noBreakHyphen/>
            </w:r>
          </w:p>
        </w:tc>
        <w:tc>
          <w:tcPr>
            <w:tcW w:w="850" w:type="dxa"/>
            <w:vAlign w:val="bottom"/>
          </w:tcPr>
          <w:p w14:paraId="0E850E61" w14:textId="77777777" w:rsidR="00B628FF" w:rsidRDefault="005B2D2F" w:rsidP="53C5BB3A">
            <w:pPr>
              <w:pStyle w:val="Summarytabletextrightaligned"/>
              <w:rPr>
                <w:lang w:val="en-US"/>
              </w:rPr>
            </w:pPr>
            <w:r w:rsidRPr="53C5BB3A">
              <w:rPr>
                <w:lang w:val="en-US"/>
              </w:rPr>
              <w:t>nfp</w:t>
            </w:r>
          </w:p>
        </w:tc>
        <w:tc>
          <w:tcPr>
            <w:tcW w:w="850" w:type="dxa"/>
            <w:vAlign w:val="bottom"/>
          </w:tcPr>
          <w:p w14:paraId="21854B86" w14:textId="77777777" w:rsidR="00B628FF" w:rsidRDefault="005B2D2F" w:rsidP="53C5BB3A">
            <w:pPr>
              <w:pStyle w:val="Summarytabletextrightaligned"/>
              <w:rPr>
                <w:lang w:val="en-US"/>
              </w:rPr>
            </w:pPr>
            <w:r w:rsidRPr="53C5BB3A">
              <w:rPr>
                <w:lang w:val="en-US"/>
              </w:rPr>
              <w:t>nfp</w:t>
            </w:r>
          </w:p>
        </w:tc>
        <w:tc>
          <w:tcPr>
            <w:tcW w:w="850" w:type="dxa"/>
            <w:vAlign w:val="bottom"/>
          </w:tcPr>
          <w:p w14:paraId="11AF1492" w14:textId="77777777" w:rsidR="00B628FF" w:rsidRDefault="005B2D2F" w:rsidP="53C5BB3A">
            <w:pPr>
              <w:pStyle w:val="Summarytabletextrightaligned"/>
              <w:rPr>
                <w:lang w:val="en-US"/>
              </w:rPr>
            </w:pPr>
            <w:r w:rsidRPr="53C5BB3A">
              <w:rPr>
                <w:lang w:val="en-US"/>
              </w:rPr>
              <w:t>nfp</w:t>
            </w:r>
          </w:p>
        </w:tc>
      </w:tr>
      <w:tr w:rsidR="00B628FF" w14:paraId="0119FBAB" w14:textId="77777777" w:rsidTr="53C5BB3A">
        <w:tc>
          <w:tcPr>
            <w:tcW w:w="3471" w:type="dxa"/>
            <w:vAlign w:val="bottom"/>
          </w:tcPr>
          <w:p w14:paraId="2A9DBDB6" w14:textId="77777777" w:rsidR="00B628FF" w:rsidRDefault="005B2D2F">
            <w:pPr>
              <w:pStyle w:val="SummaryMeasureTitlewithTheme"/>
            </w:pPr>
            <w:r>
              <w:t>Pharmaceutical Benefits Scheme (PBS) New and Amended Listings(b)</w:t>
            </w:r>
          </w:p>
        </w:tc>
        <w:tc>
          <w:tcPr>
            <w:tcW w:w="850" w:type="dxa"/>
            <w:vAlign w:val="bottom"/>
          </w:tcPr>
          <w:p w14:paraId="0083B3AE" w14:textId="77777777" w:rsidR="00B628FF" w:rsidRDefault="005B2D2F" w:rsidP="53C5BB3A">
            <w:pPr>
              <w:pStyle w:val="Summarytabletextrightaligned"/>
              <w:rPr>
                <w:lang w:val="en-US"/>
              </w:rPr>
            </w:pPr>
            <w:r w:rsidRPr="53C5BB3A">
              <w:rPr>
                <w:lang w:val="en-US"/>
              </w:rPr>
              <w:t>nfp</w:t>
            </w:r>
          </w:p>
        </w:tc>
        <w:tc>
          <w:tcPr>
            <w:tcW w:w="850" w:type="dxa"/>
            <w:shd w:val="clear" w:color="auto" w:fill="E6F2FF"/>
            <w:vAlign w:val="bottom"/>
          </w:tcPr>
          <w:p w14:paraId="5790D567" w14:textId="77777777" w:rsidR="00B628FF" w:rsidRDefault="005B2D2F">
            <w:pPr>
              <w:pStyle w:val="Summarytabletextrightaligned"/>
            </w:pPr>
            <w:r w:rsidRPr="53C5BB3A">
              <w:rPr>
                <w:lang w:val="en-US"/>
              </w:rPr>
              <w:t>nfp</w:t>
            </w:r>
          </w:p>
        </w:tc>
        <w:tc>
          <w:tcPr>
            <w:tcW w:w="850" w:type="dxa"/>
            <w:vAlign w:val="bottom"/>
          </w:tcPr>
          <w:p w14:paraId="6A57BD4A" w14:textId="77777777" w:rsidR="00B628FF" w:rsidRDefault="005B2D2F">
            <w:pPr>
              <w:pStyle w:val="Summarytabletextrightaligned"/>
            </w:pPr>
            <w:r w:rsidRPr="53C5BB3A">
              <w:rPr>
                <w:lang w:val="en-US"/>
              </w:rPr>
              <w:t>nfp</w:t>
            </w:r>
          </w:p>
        </w:tc>
        <w:tc>
          <w:tcPr>
            <w:tcW w:w="850" w:type="dxa"/>
            <w:vAlign w:val="bottom"/>
          </w:tcPr>
          <w:p w14:paraId="4305A244" w14:textId="77777777" w:rsidR="00B628FF" w:rsidRDefault="005B2D2F">
            <w:pPr>
              <w:pStyle w:val="Summarytabletextrightaligned"/>
            </w:pPr>
            <w:r w:rsidRPr="53C5BB3A">
              <w:rPr>
                <w:lang w:val="en-US"/>
              </w:rPr>
              <w:t>nfp</w:t>
            </w:r>
          </w:p>
        </w:tc>
        <w:tc>
          <w:tcPr>
            <w:tcW w:w="850" w:type="dxa"/>
            <w:vAlign w:val="bottom"/>
          </w:tcPr>
          <w:p w14:paraId="4A2ED123" w14:textId="77777777" w:rsidR="00B628FF" w:rsidRDefault="005B2D2F">
            <w:pPr>
              <w:pStyle w:val="Summarytabletextrightaligned"/>
            </w:pPr>
            <w:r w:rsidRPr="53C5BB3A">
              <w:rPr>
                <w:lang w:val="en-US"/>
              </w:rPr>
              <w:t>nfp</w:t>
            </w:r>
          </w:p>
        </w:tc>
      </w:tr>
      <w:tr w:rsidR="00B628FF" w14:paraId="432151DD" w14:textId="77777777" w:rsidTr="53C5BB3A">
        <w:tc>
          <w:tcPr>
            <w:tcW w:w="3471" w:type="dxa"/>
            <w:vAlign w:val="bottom"/>
          </w:tcPr>
          <w:p w14:paraId="5CD87B54" w14:textId="77777777" w:rsidR="00B628FF" w:rsidRDefault="005B2D2F">
            <w:pPr>
              <w:pStyle w:val="Summarytabletextleftalignedbold"/>
            </w:pPr>
            <w:r>
              <w:t>Portfolio total</w:t>
            </w:r>
          </w:p>
        </w:tc>
        <w:tc>
          <w:tcPr>
            <w:tcW w:w="850" w:type="dxa"/>
            <w:tcBorders>
              <w:top w:val="single" w:sz="4" w:space="0" w:color="000000" w:themeColor="text1"/>
              <w:bottom w:val="single" w:sz="4" w:space="0" w:color="000000" w:themeColor="text1"/>
            </w:tcBorders>
            <w:vAlign w:val="bottom"/>
          </w:tcPr>
          <w:p w14:paraId="780025CC" w14:textId="71E73979" w:rsidR="00B628FF" w:rsidRDefault="00B31B37">
            <w:pPr>
              <w:pStyle w:val="Summarytabletextrightalignedbold"/>
            </w:pPr>
            <w:r>
              <w:noBreakHyphen/>
            </w:r>
          </w:p>
        </w:tc>
        <w:tc>
          <w:tcPr>
            <w:tcW w:w="850" w:type="dxa"/>
            <w:tcBorders>
              <w:top w:val="single" w:sz="4" w:space="0" w:color="000000" w:themeColor="text1"/>
              <w:bottom w:val="single" w:sz="4" w:space="0" w:color="000000" w:themeColor="text1"/>
            </w:tcBorders>
            <w:shd w:val="clear" w:color="auto" w:fill="E6F2FF"/>
            <w:vAlign w:val="bottom"/>
          </w:tcPr>
          <w:p w14:paraId="38B6F813" w14:textId="77777777" w:rsidR="00B628FF" w:rsidRDefault="005B2D2F">
            <w:pPr>
              <w:pStyle w:val="Summarytabletextrightalignedbold"/>
            </w:pPr>
            <w:r>
              <w:t>39.8</w:t>
            </w:r>
          </w:p>
        </w:tc>
        <w:tc>
          <w:tcPr>
            <w:tcW w:w="850" w:type="dxa"/>
            <w:tcBorders>
              <w:top w:val="single" w:sz="4" w:space="0" w:color="000000" w:themeColor="text1"/>
              <w:bottom w:val="single" w:sz="4" w:space="0" w:color="000000" w:themeColor="text1"/>
            </w:tcBorders>
            <w:vAlign w:val="bottom"/>
          </w:tcPr>
          <w:p w14:paraId="5E57B935" w14:textId="77777777" w:rsidR="00B628FF" w:rsidRDefault="005B2D2F">
            <w:pPr>
              <w:pStyle w:val="Summarytabletextrightalignedbold"/>
            </w:pPr>
            <w:r>
              <w:t>25.1</w:t>
            </w:r>
          </w:p>
        </w:tc>
        <w:tc>
          <w:tcPr>
            <w:tcW w:w="850" w:type="dxa"/>
            <w:tcBorders>
              <w:top w:val="single" w:sz="4" w:space="0" w:color="000000" w:themeColor="text1"/>
              <w:bottom w:val="single" w:sz="4" w:space="0" w:color="000000" w:themeColor="text1"/>
            </w:tcBorders>
            <w:vAlign w:val="bottom"/>
          </w:tcPr>
          <w:p w14:paraId="66690AF5" w14:textId="77777777" w:rsidR="00B628FF" w:rsidRDefault="005B2D2F">
            <w:pPr>
              <w:pStyle w:val="Summarytabletextrightalignedbold"/>
            </w:pPr>
            <w:r>
              <w:t>28.5</w:t>
            </w:r>
          </w:p>
        </w:tc>
        <w:tc>
          <w:tcPr>
            <w:tcW w:w="850" w:type="dxa"/>
            <w:tcBorders>
              <w:top w:val="single" w:sz="4" w:space="0" w:color="000000" w:themeColor="text1"/>
              <w:bottom w:val="single" w:sz="4" w:space="0" w:color="000000" w:themeColor="text1"/>
            </w:tcBorders>
            <w:vAlign w:val="bottom"/>
          </w:tcPr>
          <w:p w14:paraId="66D637A3" w14:textId="77777777" w:rsidR="00B628FF" w:rsidRDefault="005B2D2F">
            <w:pPr>
              <w:pStyle w:val="Summarytabletextrightalignedbold"/>
            </w:pPr>
            <w:r>
              <w:t>32.2</w:t>
            </w:r>
          </w:p>
        </w:tc>
      </w:tr>
      <w:tr w:rsidR="00B628FF" w14:paraId="1E85451D" w14:textId="77777777" w:rsidTr="53C5BB3A">
        <w:tc>
          <w:tcPr>
            <w:tcW w:w="3471" w:type="dxa"/>
            <w:vAlign w:val="bottom"/>
          </w:tcPr>
          <w:p w14:paraId="704E6978" w14:textId="77777777" w:rsidR="00B628FF" w:rsidRDefault="005B2D2F">
            <w:pPr>
              <w:pStyle w:val="SummaryPortfolioTitle-BP2"/>
            </w:pPr>
            <w:r>
              <w:t>HOME AFFAIRS</w:t>
            </w:r>
          </w:p>
        </w:tc>
        <w:tc>
          <w:tcPr>
            <w:tcW w:w="850" w:type="dxa"/>
          </w:tcPr>
          <w:p w14:paraId="0B3106CD" w14:textId="77777777" w:rsidR="00B628FF" w:rsidRDefault="00B628FF">
            <w:pPr>
              <w:pStyle w:val="MeasureTableTextRightAlignedBefore6ptAfter1pt"/>
            </w:pPr>
          </w:p>
        </w:tc>
        <w:tc>
          <w:tcPr>
            <w:tcW w:w="850" w:type="dxa"/>
            <w:shd w:val="clear" w:color="auto" w:fill="E6F2FF"/>
          </w:tcPr>
          <w:p w14:paraId="72DE90A8" w14:textId="77777777" w:rsidR="00B628FF" w:rsidRDefault="00B628FF">
            <w:pPr>
              <w:pStyle w:val="MeasureTableTextRightAlignedBefore6ptAfter1pt"/>
            </w:pPr>
          </w:p>
        </w:tc>
        <w:tc>
          <w:tcPr>
            <w:tcW w:w="850" w:type="dxa"/>
          </w:tcPr>
          <w:p w14:paraId="5F6060FC" w14:textId="77777777" w:rsidR="00B628FF" w:rsidRDefault="00B628FF">
            <w:pPr>
              <w:pStyle w:val="MeasureTableTextRightAlignedBefore6ptAfter1pt"/>
            </w:pPr>
          </w:p>
        </w:tc>
        <w:tc>
          <w:tcPr>
            <w:tcW w:w="850" w:type="dxa"/>
          </w:tcPr>
          <w:p w14:paraId="0F758961" w14:textId="77777777" w:rsidR="00B628FF" w:rsidRDefault="00B628FF">
            <w:pPr>
              <w:pStyle w:val="MeasureTableTextRightAlignedBefore6ptAfter1pt"/>
            </w:pPr>
          </w:p>
        </w:tc>
        <w:tc>
          <w:tcPr>
            <w:tcW w:w="850" w:type="dxa"/>
          </w:tcPr>
          <w:p w14:paraId="2B23FBF2" w14:textId="77777777" w:rsidR="00B628FF" w:rsidRDefault="00B628FF">
            <w:pPr>
              <w:pStyle w:val="MeasureTableTextRightAlignedBefore6ptAfter1pt"/>
            </w:pPr>
          </w:p>
        </w:tc>
      </w:tr>
      <w:tr w:rsidR="00B628FF" w14:paraId="6570F973" w14:textId="77777777" w:rsidTr="53C5BB3A">
        <w:tc>
          <w:tcPr>
            <w:tcW w:w="3471" w:type="dxa"/>
            <w:vAlign w:val="bottom"/>
          </w:tcPr>
          <w:p w14:paraId="79B926F9" w14:textId="77777777" w:rsidR="00B628FF" w:rsidRDefault="005B2D2F">
            <w:pPr>
              <w:pStyle w:val="SummaryAgencyTitle-BP2"/>
            </w:pPr>
            <w:r>
              <w:t>Department of Home Affairs</w:t>
            </w:r>
          </w:p>
        </w:tc>
        <w:tc>
          <w:tcPr>
            <w:tcW w:w="850" w:type="dxa"/>
          </w:tcPr>
          <w:p w14:paraId="4F191C90" w14:textId="77777777" w:rsidR="00B628FF" w:rsidRDefault="00B628FF">
            <w:pPr>
              <w:pStyle w:val="SummaryAgencyTitle-BP2"/>
            </w:pPr>
          </w:p>
        </w:tc>
        <w:tc>
          <w:tcPr>
            <w:tcW w:w="850" w:type="dxa"/>
            <w:shd w:val="clear" w:color="auto" w:fill="E6F2FF"/>
          </w:tcPr>
          <w:p w14:paraId="11698EC4" w14:textId="77777777" w:rsidR="00B628FF" w:rsidRDefault="00B628FF">
            <w:pPr>
              <w:pStyle w:val="SummaryAgencyTitle-BP2"/>
            </w:pPr>
          </w:p>
        </w:tc>
        <w:tc>
          <w:tcPr>
            <w:tcW w:w="850" w:type="dxa"/>
          </w:tcPr>
          <w:p w14:paraId="1996AF80" w14:textId="77777777" w:rsidR="00B628FF" w:rsidRDefault="00B628FF">
            <w:pPr>
              <w:pStyle w:val="SummaryAgencyTitle-BP2"/>
            </w:pPr>
          </w:p>
        </w:tc>
        <w:tc>
          <w:tcPr>
            <w:tcW w:w="850" w:type="dxa"/>
          </w:tcPr>
          <w:p w14:paraId="44D7811D" w14:textId="77777777" w:rsidR="00B628FF" w:rsidRDefault="00B628FF">
            <w:pPr>
              <w:pStyle w:val="SummaryAgencyTitle-BP2"/>
            </w:pPr>
          </w:p>
        </w:tc>
        <w:tc>
          <w:tcPr>
            <w:tcW w:w="850" w:type="dxa"/>
          </w:tcPr>
          <w:p w14:paraId="1A81178B" w14:textId="77777777" w:rsidR="00B628FF" w:rsidRDefault="00B628FF">
            <w:pPr>
              <w:pStyle w:val="SummaryAgencyTitle-BP2"/>
            </w:pPr>
          </w:p>
        </w:tc>
      </w:tr>
      <w:tr w:rsidR="00B628FF" w14:paraId="561C47C3" w14:textId="77777777" w:rsidTr="53C5BB3A">
        <w:tc>
          <w:tcPr>
            <w:tcW w:w="3471" w:type="dxa"/>
            <w:vAlign w:val="bottom"/>
          </w:tcPr>
          <w:p w14:paraId="3A1E9555" w14:textId="77777777" w:rsidR="00B628FF" w:rsidRDefault="005B2D2F">
            <w:pPr>
              <w:pStyle w:val="SummaryMeasureTitlewithTheme"/>
            </w:pPr>
            <w:r>
              <w:t>Extending Additional Tariffs on Goods from Russia and Belarus</w:t>
            </w:r>
          </w:p>
        </w:tc>
        <w:tc>
          <w:tcPr>
            <w:tcW w:w="850" w:type="dxa"/>
            <w:vAlign w:val="bottom"/>
          </w:tcPr>
          <w:p w14:paraId="4253AE94" w14:textId="3B2F5E56" w:rsidR="00B628FF" w:rsidRDefault="00B31B37">
            <w:pPr>
              <w:pStyle w:val="Summarytabletextrightaligned"/>
            </w:pPr>
            <w:r>
              <w:noBreakHyphen/>
            </w:r>
          </w:p>
        </w:tc>
        <w:tc>
          <w:tcPr>
            <w:tcW w:w="850" w:type="dxa"/>
            <w:shd w:val="clear" w:color="auto" w:fill="E6F2FF"/>
            <w:vAlign w:val="bottom"/>
          </w:tcPr>
          <w:p w14:paraId="1F5D2F4C" w14:textId="748BAC4B" w:rsidR="00B628FF" w:rsidRDefault="00B43D7F">
            <w:pPr>
              <w:pStyle w:val="Summarytabletextrightaligned"/>
            </w:pPr>
            <w:r>
              <w:t>..</w:t>
            </w:r>
          </w:p>
        </w:tc>
        <w:tc>
          <w:tcPr>
            <w:tcW w:w="850" w:type="dxa"/>
            <w:vAlign w:val="bottom"/>
          </w:tcPr>
          <w:p w14:paraId="54EC2DAE" w14:textId="0074F8F5" w:rsidR="00B628FF" w:rsidRDefault="00B43D7F">
            <w:pPr>
              <w:pStyle w:val="Summarytabletextrightaligned"/>
            </w:pPr>
            <w:r>
              <w:t>..</w:t>
            </w:r>
          </w:p>
        </w:tc>
        <w:tc>
          <w:tcPr>
            <w:tcW w:w="850" w:type="dxa"/>
            <w:vAlign w:val="bottom"/>
          </w:tcPr>
          <w:p w14:paraId="03A15976" w14:textId="12024BBF" w:rsidR="00B628FF" w:rsidRDefault="00B43D7F">
            <w:pPr>
              <w:pStyle w:val="Summarytabletextrightaligned"/>
            </w:pPr>
            <w:r>
              <w:t>..</w:t>
            </w:r>
          </w:p>
        </w:tc>
        <w:tc>
          <w:tcPr>
            <w:tcW w:w="850" w:type="dxa"/>
            <w:vAlign w:val="bottom"/>
          </w:tcPr>
          <w:p w14:paraId="5FF1B0E6" w14:textId="54AD353A" w:rsidR="00B628FF" w:rsidRDefault="00B31B37">
            <w:pPr>
              <w:pStyle w:val="Summarytabletextrightaligned"/>
            </w:pPr>
            <w:r>
              <w:noBreakHyphen/>
            </w:r>
          </w:p>
        </w:tc>
      </w:tr>
      <w:tr w:rsidR="00B628FF" w14:paraId="6E24204D" w14:textId="77777777" w:rsidTr="53C5BB3A">
        <w:tc>
          <w:tcPr>
            <w:tcW w:w="3471" w:type="dxa"/>
            <w:vAlign w:val="bottom"/>
          </w:tcPr>
          <w:p w14:paraId="15F9E660" w14:textId="77777777" w:rsidR="00B628FF" w:rsidRDefault="005B2D2F">
            <w:pPr>
              <w:pStyle w:val="SummaryMeasureTitlewithTheme"/>
            </w:pPr>
            <w:r>
              <w:t>Supporting Border Security(b)</w:t>
            </w:r>
          </w:p>
        </w:tc>
        <w:tc>
          <w:tcPr>
            <w:tcW w:w="850" w:type="dxa"/>
            <w:vAlign w:val="bottom"/>
          </w:tcPr>
          <w:p w14:paraId="2F079EE2" w14:textId="0D78C5FB" w:rsidR="00B628FF" w:rsidRDefault="00B31B37">
            <w:pPr>
              <w:pStyle w:val="Summarytabletextrightaligned"/>
            </w:pPr>
            <w:r>
              <w:noBreakHyphen/>
            </w:r>
          </w:p>
        </w:tc>
        <w:tc>
          <w:tcPr>
            <w:tcW w:w="850" w:type="dxa"/>
            <w:shd w:val="clear" w:color="auto" w:fill="E6F2FF"/>
            <w:vAlign w:val="bottom"/>
          </w:tcPr>
          <w:p w14:paraId="52670BCF" w14:textId="2E14F09C" w:rsidR="00B628FF" w:rsidRDefault="00B31B37">
            <w:pPr>
              <w:pStyle w:val="Summarytabletextrightaligned"/>
            </w:pPr>
            <w:r>
              <w:noBreakHyphen/>
            </w:r>
            <w:r w:rsidR="005B2D2F">
              <w:t>18.9</w:t>
            </w:r>
          </w:p>
        </w:tc>
        <w:tc>
          <w:tcPr>
            <w:tcW w:w="850" w:type="dxa"/>
            <w:vAlign w:val="bottom"/>
          </w:tcPr>
          <w:p w14:paraId="563CD785" w14:textId="0894D726" w:rsidR="00B628FF" w:rsidRDefault="00B31B37">
            <w:pPr>
              <w:pStyle w:val="Summarytabletextrightaligned"/>
            </w:pPr>
            <w:r>
              <w:noBreakHyphen/>
            </w:r>
          </w:p>
        </w:tc>
        <w:tc>
          <w:tcPr>
            <w:tcW w:w="850" w:type="dxa"/>
            <w:vAlign w:val="bottom"/>
          </w:tcPr>
          <w:p w14:paraId="7724E28E" w14:textId="351F9309" w:rsidR="00B628FF" w:rsidRDefault="00B31B37">
            <w:pPr>
              <w:pStyle w:val="Summarytabletextrightaligned"/>
            </w:pPr>
            <w:r>
              <w:noBreakHyphen/>
            </w:r>
          </w:p>
        </w:tc>
        <w:tc>
          <w:tcPr>
            <w:tcW w:w="850" w:type="dxa"/>
            <w:vAlign w:val="bottom"/>
          </w:tcPr>
          <w:p w14:paraId="5D14483C" w14:textId="3B4B4ACC" w:rsidR="00B628FF" w:rsidRDefault="00B31B37">
            <w:pPr>
              <w:pStyle w:val="Summarytabletextrightaligned"/>
            </w:pPr>
            <w:r>
              <w:noBreakHyphen/>
            </w:r>
          </w:p>
        </w:tc>
      </w:tr>
      <w:tr w:rsidR="00B628FF" w14:paraId="5967526E" w14:textId="77777777" w:rsidTr="53C5BB3A">
        <w:tc>
          <w:tcPr>
            <w:tcW w:w="3471" w:type="dxa"/>
            <w:vAlign w:val="bottom"/>
          </w:tcPr>
          <w:p w14:paraId="7AF8297F" w14:textId="77777777" w:rsidR="00B628FF" w:rsidRDefault="005B2D2F">
            <w:pPr>
              <w:pStyle w:val="SummaryMeasureTitlewithTheme"/>
            </w:pPr>
            <w:r>
              <w:t>Supporting the Hospitality Sector and Alcohol Producers(b)</w:t>
            </w:r>
          </w:p>
        </w:tc>
        <w:tc>
          <w:tcPr>
            <w:tcW w:w="850" w:type="dxa"/>
            <w:vAlign w:val="bottom"/>
          </w:tcPr>
          <w:p w14:paraId="1D5CF356" w14:textId="42175D4D" w:rsidR="00B628FF" w:rsidRDefault="00B31B37">
            <w:pPr>
              <w:pStyle w:val="Summarytabletextrightaligned"/>
            </w:pPr>
            <w:r>
              <w:noBreakHyphen/>
            </w:r>
          </w:p>
        </w:tc>
        <w:tc>
          <w:tcPr>
            <w:tcW w:w="850" w:type="dxa"/>
            <w:shd w:val="clear" w:color="auto" w:fill="E6F2FF"/>
            <w:vAlign w:val="bottom"/>
          </w:tcPr>
          <w:p w14:paraId="11EFEA02" w14:textId="66648310" w:rsidR="00B628FF" w:rsidRDefault="00B43D7F">
            <w:pPr>
              <w:pStyle w:val="Summarytabletextrightaligned"/>
            </w:pPr>
            <w:r>
              <w:t>..</w:t>
            </w:r>
          </w:p>
        </w:tc>
        <w:tc>
          <w:tcPr>
            <w:tcW w:w="850" w:type="dxa"/>
            <w:vAlign w:val="bottom"/>
          </w:tcPr>
          <w:p w14:paraId="3BF1184F" w14:textId="0B3E043D" w:rsidR="00B628FF" w:rsidRDefault="00B43D7F">
            <w:pPr>
              <w:pStyle w:val="Summarytabletextrightaligned"/>
            </w:pPr>
            <w:r>
              <w:t>..</w:t>
            </w:r>
          </w:p>
        </w:tc>
        <w:tc>
          <w:tcPr>
            <w:tcW w:w="850" w:type="dxa"/>
            <w:vAlign w:val="bottom"/>
          </w:tcPr>
          <w:p w14:paraId="2B3E506A" w14:textId="4858C140" w:rsidR="00B628FF" w:rsidRDefault="00B43D7F">
            <w:pPr>
              <w:pStyle w:val="Summarytabletextrightaligned"/>
            </w:pPr>
            <w:r>
              <w:t>..</w:t>
            </w:r>
          </w:p>
        </w:tc>
        <w:tc>
          <w:tcPr>
            <w:tcW w:w="850" w:type="dxa"/>
            <w:vAlign w:val="bottom"/>
          </w:tcPr>
          <w:p w14:paraId="109FB173" w14:textId="18E7E884" w:rsidR="00B628FF" w:rsidRDefault="00B43D7F">
            <w:pPr>
              <w:pStyle w:val="Summarytabletextrightaligned"/>
            </w:pPr>
            <w:r>
              <w:t>..</w:t>
            </w:r>
          </w:p>
        </w:tc>
      </w:tr>
      <w:tr w:rsidR="00B628FF" w14:paraId="688D468C" w14:textId="77777777" w:rsidTr="53C5BB3A">
        <w:tc>
          <w:tcPr>
            <w:tcW w:w="3471" w:type="dxa"/>
            <w:vAlign w:val="bottom"/>
          </w:tcPr>
          <w:p w14:paraId="6BD23501" w14:textId="77777777" w:rsidR="00B628FF" w:rsidRDefault="005B2D2F">
            <w:pPr>
              <w:pStyle w:val="Summarytabletextleftalignedbold"/>
            </w:pPr>
            <w:r>
              <w:t>Portfolio total</w:t>
            </w:r>
          </w:p>
        </w:tc>
        <w:tc>
          <w:tcPr>
            <w:tcW w:w="850" w:type="dxa"/>
            <w:tcBorders>
              <w:top w:val="single" w:sz="4" w:space="0" w:color="000000" w:themeColor="text1"/>
              <w:bottom w:val="single" w:sz="4" w:space="0" w:color="000000" w:themeColor="text1"/>
            </w:tcBorders>
            <w:vAlign w:val="bottom"/>
          </w:tcPr>
          <w:p w14:paraId="7A48488B" w14:textId="15E0DA16" w:rsidR="00B628FF" w:rsidRDefault="00B31B37">
            <w:pPr>
              <w:pStyle w:val="Summarytabletextrightalignedbold"/>
            </w:pPr>
            <w:r>
              <w:noBreakHyphen/>
            </w:r>
          </w:p>
        </w:tc>
        <w:tc>
          <w:tcPr>
            <w:tcW w:w="850" w:type="dxa"/>
            <w:tcBorders>
              <w:top w:val="single" w:sz="4" w:space="0" w:color="000000" w:themeColor="text1"/>
              <w:bottom w:val="single" w:sz="4" w:space="0" w:color="000000" w:themeColor="text1"/>
            </w:tcBorders>
            <w:shd w:val="clear" w:color="auto" w:fill="E6F2FF"/>
            <w:vAlign w:val="bottom"/>
          </w:tcPr>
          <w:p w14:paraId="4213ECF7" w14:textId="25D80829" w:rsidR="00B628FF" w:rsidRDefault="00B31B37">
            <w:pPr>
              <w:pStyle w:val="Summarytabletextrightalignedbold"/>
            </w:pPr>
            <w:r>
              <w:noBreakHyphen/>
            </w:r>
            <w:r w:rsidR="005B2D2F">
              <w:t>18.9</w:t>
            </w:r>
          </w:p>
        </w:tc>
        <w:tc>
          <w:tcPr>
            <w:tcW w:w="850" w:type="dxa"/>
            <w:tcBorders>
              <w:top w:val="single" w:sz="4" w:space="0" w:color="000000" w:themeColor="text1"/>
              <w:bottom w:val="single" w:sz="4" w:space="0" w:color="000000" w:themeColor="text1"/>
            </w:tcBorders>
            <w:vAlign w:val="bottom"/>
          </w:tcPr>
          <w:p w14:paraId="11768BF0" w14:textId="24A5E357" w:rsidR="00B628FF" w:rsidRDefault="00B43D7F">
            <w:pPr>
              <w:pStyle w:val="Summarytabletextrightalignedbold"/>
            </w:pPr>
            <w:r>
              <w:t>..</w:t>
            </w:r>
          </w:p>
        </w:tc>
        <w:tc>
          <w:tcPr>
            <w:tcW w:w="850" w:type="dxa"/>
            <w:tcBorders>
              <w:top w:val="single" w:sz="4" w:space="0" w:color="000000" w:themeColor="text1"/>
              <w:bottom w:val="single" w:sz="4" w:space="0" w:color="000000" w:themeColor="text1"/>
            </w:tcBorders>
            <w:vAlign w:val="bottom"/>
          </w:tcPr>
          <w:p w14:paraId="0BE31F40" w14:textId="668F1EC6" w:rsidR="00B628FF" w:rsidRDefault="00B43D7F">
            <w:pPr>
              <w:pStyle w:val="Summarytabletextrightalignedbold"/>
            </w:pPr>
            <w:r>
              <w:t>..</w:t>
            </w:r>
          </w:p>
        </w:tc>
        <w:tc>
          <w:tcPr>
            <w:tcW w:w="850" w:type="dxa"/>
            <w:tcBorders>
              <w:top w:val="single" w:sz="4" w:space="0" w:color="000000" w:themeColor="text1"/>
              <w:bottom w:val="single" w:sz="4" w:space="0" w:color="000000" w:themeColor="text1"/>
            </w:tcBorders>
            <w:vAlign w:val="bottom"/>
          </w:tcPr>
          <w:p w14:paraId="2332A268" w14:textId="5EFB46E7" w:rsidR="00B628FF" w:rsidRDefault="00B43D7F">
            <w:pPr>
              <w:pStyle w:val="Summarytabletextrightalignedbold"/>
            </w:pPr>
            <w:r>
              <w:t>..</w:t>
            </w:r>
          </w:p>
        </w:tc>
      </w:tr>
    </w:tbl>
    <w:p w14:paraId="0ED84FBD" w14:textId="77777777" w:rsidR="00997AF2" w:rsidRDefault="00997AF2" w:rsidP="00997AF2">
      <w:pPr>
        <w:sectPr w:rsidR="00997AF2" w:rsidSect="007D69AD">
          <w:headerReference w:type="even" r:id="rId10"/>
          <w:headerReference w:type="default" r:id="rId11"/>
          <w:footerReference w:type="even" r:id="rId12"/>
          <w:footerReference w:type="default" r:id="rId13"/>
          <w:footerReference w:type="first" r:id="rId14"/>
          <w:endnotePr>
            <w:numFmt w:val="lowerLetter"/>
            <w:numRestart w:val="eachSect"/>
          </w:endnotePr>
          <w:pgSz w:w="11906" w:h="16838" w:code="9"/>
          <w:pgMar w:top="2835" w:right="2098" w:bottom="2466" w:left="2098" w:header="1814" w:footer="1814" w:gutter="0"/>
          <w:cols w:space="720"/>
          <w:noEndnote/>
          <w:titlePg/>
          <w:docGrid w:linePitch="272"/>
        </w:sectPr>
      </w:pPr>
    </w:p>
    <w:p w14:paraId="1B77C833" w14:textId="77777777" w:rsidR="00997AF2" w:rsidRDefault="00997AF2" w:rsidP="00997AF2">
      <w:pPr>
        <w:pStyle w:val="TableHeadingcontinued"/>
      </w:pPr>
      <w:r>
        <w:lastRenderedPageBreak/>
        <w:t>Table 1: Receipt measures since the 2024–25 MYEFO</w:t>
      </w:r>
      <w:r>
        <w:rPr>
          <w:rFonts w:ascii="Cambria Math" w:hAnsi="Cambria Math" w:cs="Cambria Math"/>
        </w:rPr>
        <w:t>⁽</w:t>
      </w:r>
      <w:r>
        <w:rPr>
          <w:rFonts w:cs="Arial"/>
        </w:rPr>
        <w:t>ª</w:t>
      </w:r>
      <w:r>
        <w:rPr>
          <w:rFonts w:ascii="Cambria Math" w:hAnsi="Cambria Math" w:cs="Cambria Math"/>
        </w:rPr>
        <w:t>⁾</w:t>
      </w:r>
      <w:r>
        <w:t xml:space="preserve"> (continued)</w:t>
      </w:r>
    </w:p>
    <w:tbl>
      <w:tblPr>
        <w:tblOverlap w:val="never"/>
        <w:tblW w:w="7721" w:type="dxa"/>
        <w:tblBorders>
          <w:top w:val="single" w:sz="4" w:space="0" w:color="000000"/>
          <w:bottom w:val="single" w:sz="4" w:space="0" w:color="000000"/>
        </w:tblBorders>
        <w:tblLayout w:type="fixed"/>
        <w:tblCellMar>
          <w:left w:w="0" w:type="dxa"/>
          <w:right w:w="56" w:type="dxa"/>
        </w:tblCellMar>
        <w:tblLook w:val="04A0" w:firstRow="1" w:lastRow="0" w:firstColumn="1" w:lastColumn="0" w:noHBand="0" w:noVBand="1"/>
      </w:tblPr>
      <w:tblGrid>
        <w:gridCol w:w="3471"/>
        <w:gridCol w:w="850"/>
        <w:gridCol w:w="850"/>
        <w:gridCol w:w="850"/>
        <w:gridCol w:w="850"/>
        <w:gridCol w:w="850"/>
      </w:tblGrid>
      <w:tr w:rsidR="00997AF2" w14:paraId="28B2EFD3" w14:textId="77777777" w:rsidTr="6BC96CA7">
        <w:tc>
          <w:tcPr>
            <w:tcW w:w="3471" w:type="dxa"/>
            <w:vAlign w:val="bottom"/>
          </w:tcPr>
          <w:p w14:paraId="5D480B64" w14:textId="77777777" w:rsidR="00997AF2" w:rsidRDefault="00997AF2" w:rsidP="00997AF2"/>
        </w:tc>
        <w:tc>
          <w:tcPr>
            <w:tcW w:w="850" w:type="dxa"/>
            <w:tcBorders>
              <w:bottom w:val="nil"/>
            </w:tcBorders>
          </w:tcPr>
          <w:p w14:paraId="2FE9E461" w14:textId="6F048F12" w:rsidR="00997AF2" w:rsidRDefault="00997AF2" w:rsidP="00997AF2">
            <w:pPr>
              <w:pStyle w:val="Summarytabletextrightaligned"/>
            </w:pPr>
            <w:r>
              <w:t>2024</w:t>
            </w:r>
            <w:r w:rsidR="00B31B37">
              <w:noBreakHyphen/>
            </w:r>
            <w:r>
              <w:t>25</w:t>
            </w:r>
          </w:p>
        </w:tc>
        <w:tc>
          <w:tcPr>
            <w:tcW w:w="850" w:type="dxa"/>
            <w:tcBorders>
              <w:bottom w:val="nil"/>
            </w:tcBorders>
            <w:shd w:val="clear" w:color="auto" w:fill="E6F2FF"/>
          </w:tcPr>
          <w:p w14:paraId="3AEB2A0A" w14:textId="7AF7D838" w:rsidR="00997AF2" w:rsidRDefault="00997AF2" w:rsidP="00997AF2">
            <w:pPr>
              <w:pStyle w:val="Summarytabletextrightaligned"/>
            </w:pPr>
            <w:r>
              <w:t>2025</w:t>
            </w:r>
            <w:r w:rsidR="00B31B37">
              <w:noBreakHyphen/>
            </w:r>
            <w:r>
              <w:t>26</w:t>
            </w:r>
          </w:p>
        </w:tc>
        <w:tc>
          <w:tcPr>
            <w:tcW w:w="850" w:type="dxa"/>
            <w:tcBorders>
              <w:bottom w:val="nil"/>
            </w:tcBorders>
          </w:tcPr>
          <w:p w14:paraId="6AB8A270" w14:textId="4CAD65BE" w:rsidR="00997AF2" w:rsidRDefault="00997AF2" w:rsidP="00997AF2">
            <w:pPr>
              <w:pStyle w:val="Summarytabletextrightaligned"/>
            </w:pPr>
            <w:r>
              <w:t>2026</w:t>
            </w:r>
            <w:r w:rsidR="00B31B37">
              <w:noBreakHyphen/>
            </w:r>
            <w:r>
              <w:t>27</w:t>
            </w:r>
          </w:p>
        </w:tc>
        <w:tc>
          <w:tcPr>
            <w:tcW w:w="850" w:type="dxa"/>
            <w:tcBorders>
              <w:bottom w:val="nil"/>
            </w:tcBorders>
          </w:tcPr>
          <w:p w14:paraId="483C969A" w14:textId="2F3A19A3" w:rsidR="00997AF2" w:rsidRDefault="00997AF2" w:rsidP="00997AF2">
            <w:pPr>
              <w:pStyle w:val="Summarytabletextrightaligned"/>
            </w:pPr>
            <w:r>
              <w:t>2027</w:t>
            </w:r>
            <w:r w:rsidR="00B31B37">
              <w:noBreakHyphen/>
            </w:r>
            <w:r>
              <w:t>28</w:t>
            </w:r>
          </w:p>
        </w:tc>
        <w:tc>
          <w:tcPr>
            <w:tcW w:w="850" w:type="dxa"/>
            <w:tcBorders>
              <w:bottom w:val="nil"/>
            </w:tcBorders>
          </w:tcPr>
          <w:p w14:paraId="576A6BB5" w14:textId="1FC63BCE" w:rsidR="00997AF2" w:rsidRDefault="00997AF2" w:rsidP="00997AF2">
            <w:pPr>
              <w:pStyle w:val="Summarytabletextrightaligned"/>
            </w:pPr>
            <w:r>
              <w:t>2028</w:t>
            </w:r>
            <w:r w:rsidR="00B31B37">
              <w:noBreakHyphen/>
            </w:r>
            <w:r>
              <w:t>29</w:t>
            </w:r>
          </w:p>
        </w:tc>
      </w:tr>
      <w:tr w:rsidR="00997AF2" w14:paraId="62A4B15E" w14:textId="77777777" w:rsidTr="6BC96CA7">
        <w:tc>
          <w:tcPr>
            <w:tcW w:w="3471" w:type="dxa"/>
            <w:vAlign w:val="bottom"/>
          </w:tcPr>
          <w:p w14:paraId="73A728CC" w14:textId="77777777" w:rsidR="00997AF2" w:rsidRDefault="00997AF2" w:rsidP="00997AF2"/>
        </w:tc>
        <w:tc>
          <w:tcPr>
            <w:tcW w:w="850" w:type="dxa"/>
            <w:tcBorders>
              <w:top w:val="nil"/>
              <w:bottom w:val="single" w:sz="4" w:space="0" w:color="auto"/>
            </w:tcBorders>
            <w:shd w:val="clear" w:color="auto" w:fill="auto"/>
          </w:tcPr>
          <w:p w14:paraId="6ED50E52" w14:textId="77777777" w:rsidR="00997AF2" w:rsidRDefault="00997AF2" w:rsidP="00997AF2">
            <w:pPr>
              <w:pStyle w:val="Summarytabletextrightaligned"/>
            </w:pPr>
            <w:r>
              <w:t>$m</w:t>
            </w:r>
          </w:p>
        </w:tc>
        <w:tc>
          <w:tcPr>
            <w:tcW w:w="850" w:type="dxa"/>
            <w:tcBorders>
              <w:top w:val="nil"/>
              <w:bottom w:val="single" w:sz="4" w:space="0" w:color="auto"/>
            </w:tcBorders>
            <w:shd w:val="clear" w:color="auto" w:fill="E6F2FF"/>
          </w:tcPr>
          <w:p w14:paraId="7E93557F" w14:textId="77777777" w:rsidR="00997AF2" w:rsidRDefault="00997AF2" w:rsidP="00997AF2">
            <w:pPr>
              <w:pStyle w:val="Summarytabletextrightaligned"/>
            </w:pPr>
            <w:r>
              <w:t>$m</w:t>
            </w:r>
          </w:p>
        </w:tc>
        <w:tc>
          <w:tcPr>
            <w:tcW w:w="850" w:type="dxa"/>
            <w:tcBorders>
              <w:top w:val="nil"/>
              <w:bottom w:val="single" w:sz="4" w:space="0" w:color="auto"/>
            </w:tcBorders>
            <w:shd w:val="clear" w:color="auto" w:fill="auto"/>
          </w:tcPr>
          <w:p w14:paraId="7543F71F" w14:textId="77777777" w:rsidR="00997AF2" w:rsidRDefault="00997AF2" w:rsidP="00997AF2">
            <w:pPr>
              <w:pStyle w:val="Summarytabletextrightaligned"/>
            </w:pPr>
            <w:r>
              <w:t>$m</w:t>
            </w:r>
          </w:p>
        </w:tc>
        <w:tc>
          <w:tcPr>
            <w:tcW w:w="850" w:type="dxa"/>
            <w:tcBorders>
              <w:top w:val="nil"/>
              <w:bottom w:val="single" w:sz="4" w:space="0" w:color="auto"/>
            </w:tcBorders>
            <w:shd w:val="clear" w:color="auto" w:fill="auto"/>
          </w:tcPr>
          <w:p w14:paraId="4B6C688E" w14:textId="77777777" w:rsidR="00997AF2" w:rsidRDefault="00997AF2" w:rsidP="00997AF2">
            <w:pPr>
              <w:pStyle w:val="Summarytabletextrightaligned"/>
            </w:pPr>
            <w:r>
              <w:t>$m</w:t>
            </w:r>
          </w:p>
        </w:tc>
        <w:tc>
          <w:tcPr>
            <w:tcW w:w="850" w:type="dxa"/>
            <w:tcBorders>
              <w:top w:val="nil"/>
              <w:bottom w:val="single" w:sz="4" w:space="0" w:color="auto"/>
            </w:tcBorders>
            <w:shd w:val="clear" w:color="auto" w:fill="auto"/>
          </w:tcPr>
          <w:p w14:paraId="18F3F903" w14:textId="77777777" w:rsidR="00997AF2" w:rsidRDefault="00997AF2" w:rsidP="00997AF2">
            <w:pPr>
              <w:pStyle w:val="Summarytabletextrightaligned"/>
            </w:pPr>
            <w:r>
              <w:t>$m</w:t>
            </w:r>
          </w:p>
        </w:tc>
      </w:tr>
      <w:tr w:rsidR="00B628FF" w14:paraId="11C43FED" w14:textId="77777777" w:rsidTr="6BC96CA7">
        <w:tc>
          <w:tcPr>
            <w:tcW w:w="3471" w:type="dxa"/>
            <w:vAlign w:val="bottom"/>
          </w:tcPr>
          <w:p w14:paraId="633555B6" w14:textId="77777777" w:rsidR="00B628FF" w:rsidRDefault="005B2D2F">
            <w:pPr>
              <w:pStyle w:val="SummaryPortfolioTitle-BP2"/>
            </w:pPr>
            <w:r>
              <w:t>INDUSTRY, SCIENCE AND RESOURCES</w:t>
            </w:r>
          </w:p>
        </w:tc>
        <w:tc>
          <w:tcPr>
            <w:tcW w:w="850" w:type="dxa"/>
            <w:tcBorders>
              <w:top w:val="single" w:sz="4" w:space="0" w:color="auto"/>
            </w:tcBorders>
          </w:tcPr>
          <w:p w14:paraId="10261CE8" w14:textId="77777777" w:rsidR="00B628FF" w:rsidRDefault="00B628FF">
            <w:pPr>
              <w:pStyle w:val="MeasureTableTextRightAlignedBefore6ptAfter1pt"/>
            </w:pPr>
          </w:p>
        </w:tc>
        <w:tc>
          <w:tcPr>
            <w:tcW w:w="850" w:type="dxa"/>
            <w:tcBorders>
              <w:top w:val="single" w:sz="4" w:space="0" w:color="auto"/>
            </w:tcBorders>
            <w:shd w:val="clear" w:color="auto" w:fill="E6F2FF"/>
          </w:tcPr>
          <w:p w14:paraId="212FB870" w14:textId="77777777" w:rsidR="00B628FF" w:rsidRDefault="00B628FF">
            <w:pPr>
              <w:pStyle w:val="MeasureTableTextRightAlignedBefore6ptAfter1pt"/>
            </w:pPr>
          </w:p>
        </w:tc>
        <w:tc>
          <w:tcPr>
            <w:tcW w:w="850" w:type="dxa"/>
            <w:tcBorders>
              <w:top w:val="single" w:sz="4" w:space="0" w:color="auto"/>
            </w:tcBorders>
          </w:tcPr>
          <w:p w14:paraId="3EC37774" w14:textId="77777777" w:rsidR="00B628FF" w:rsidRDefault="00B628FF">
            <w:pPr>
              <w:pStyle w:val="MeasureTableTextRightAlignedBefore6ptAfter1pt"/>
            </w:pPr>
          </w:p>
        </w:tc>
        <w:tc>
          <w:tcPr>
            <w:tcW w:w="850" w:type="dxa"/>
            <w:tcBorders>
              <w:top w:val="single" w:sz="4" w:space="0" w:color="auto"/>
            </w:tcBorders>
          </w:tcPr>
          <w:p w14:paraId="6BCA8404" w14:textId="77777777" w:rsidR="00B628FF" w:rsidRDefault="00B628FF">
            <w:pPr>
              <w:pStyle w:val="MeasureTableTextRightAlignedBefore6ptAfter1pt"/>
            </w:pPr>
          </w:p>
        </w:tc>
        <w:tc>
          <w:tcPr>
            <w:tcW w:w="850" w:type="dxa"/>
            <w:tcBorders>
              <w:top w:val="single" w:sz="4" w:space="0" w:color="auto"/>
            </w:tcBorders>
          </w:tcPr>
          <w:p w14:paraId="5337765A" w14:textId="77777777" w:rsidR="00B628FF" w:rsidRDefault="00B628FF">
            <w:pPr>
              <w:pStyle w:val="MeasureTableTextRightAlignedBefore6ptAfter1pt"/>
            </w:pPr>
          </w:p>
        </w:tc>
      </w:tr>
      <w:tr w:rsidR="00B628FF" w14:paraId="220D6FF5" w14:textId="77777777" w:rsidTr="6BC96CA7">
        <w:tc>
          <w:tcPr>
            <w:tcW w:w="3471" w:type="dxa"/>
            <w:vAlign w:val="bottom"/>
          </w:tcPr>
          <w:p w14:paraId="30D529C9" w14:textId="77777777" w:rsidR="00B628FF" w:rsidRDefault="005B2D2F">
            <w:pPr>
              <w:pStyle w:val="SummaryAgencyTitle-BP2"/>
            </w:pPr>
            <w:r>
              <w:t>Department of Industry, Science and Resources</w:t>
            </w:r>
          </w:p>
        </w:tc>
        <w:tc>
          <w:tcPr>
            <w:tcW w:w="850" w:type="dxa"/>
          </w:tcPr>
          <w:p w14:paraId="7CB0D0D1" w14:textId="77777777" w:rsidR="00B628FF" w:rsidRDefault="00B628FF">
            <w:pPr>
              <w:pStyle w:val="SummaryAgencyTitle-BP2"/>
            </w:pPr>
          </w:p>
        </w:tc>
        <w:tc>
          <w:tcPr>
            <w:tcW w:w="850" w:type="dxa"/>
            <w:shd w:val="clear" w:color="auto" w:fill="E6F2FF"/>
          </w:tcPr>
          <w:p w14:paraId="2647E919" w14:textId="77777777" w:rsidR="00B628FF" w:rsidRDefault="00B628FF">
            <w:pPr>
              <w:pStyle w:val="SummaryAgencyTitle-BP2"/>
            </w:pPr>
          </w:p>
        </w:tc>
        <w:tc>
          <w:tcPr>
            <w:tcW w:w="850" w:type="dxa"/>
          </w:tcPr>
          <w:p w14:paraId="2FC631A2" w14:textId="77777777" w:rsidR="00B628FF" w:rsidRDefault="00B628FF">
            <w:pPr>
              <w:pStyle w:val="SummaryAgencyTitle-BP2"/>
            </w:pPr>
          </w:p>
        </w:tc>
        <w:tc>
          <w:tcPr>
            <w:tcW w:w="850" w:type="dxa"/>
          </w:tcPr>
          <w:p w14:paraId="616AED9D" w14:textId="77777777" w:rsidR="00B628FF" w:rsidRDefault="00B628FF">
            <w:pPr>
              <w:pStyle w:val="SummaryAgencyTitle-BP2"/>
            </w:pPr>
          </w:p>
        </w:tc>
        <w:tc>
          <w:tcPr>
            <w:tcW w:w="850" w:type="dxa"/>
          </w:tcPr>
          <w:p w14:paraId="5E2A911A" w14:textId="77777777" w:rsidR="00B628FF" w:rsidRDefault="00B628FF">
            <w:pPr>
              <w:pStyle w:val="SummaryAgencyTitle-BP2"/>
            </w:pPr>
          </w:p>
        </w:tc>
      </w:tr>
      <w:tr w:rsidR="00B628FF" w14:paraId="0A365E5E" w14:textId="77777777" w:rsidTr="6BC96CA7">
        <w:tc>
          <w:tcPr>
            <w:tcW w:w="3471" w:type="dxa"/>
            <w:vAlign w:val="bottom"/>
          </w:tcPr>
          <w:p w14:paraId="788CD7DA" w14:textId="34AA0D6B" w:rsidR="00B628FF" w:rsidRDefault="005B2D2F">
            <w:pPr>
              <w:pStyle w:val="SummaryMeasureTitlewithTheme"/>
            </w:pPr>
            <w:r>
              <w:t xml:space="preserve">Housing </w:t>
            </w:r>
            <w:r w:rsidR="00E606BB">
              <w:t>S</w:t>
            </w:r>
            <w:r>
              <w:t>upport(b)</w:t>
            </w:r>
          </w:p>
        </w:tc>
        <w:tc>
          <w:tcPr>
            <w:tcW w:w="850" w:type="dxa"/>
            <w:vAlign w:val="bottom"/>
          </w:tcPr>
          <w:p w14:paraId="4E41BBD5" w14:textId="43D1BFF7" w:rsidR="00B628FF" w:rsidRDefault="00B31B37">
            <w:pPr>
              <w:pStyle w:val="Summarytabletextrightaligned"/>
            </w:pPr>
            <w:r>
              <w:noBreakHyphen/>
            </w:r>
          </w:p>
        </w:tc>
        <w:tc>
          <w:tcPr>
            <w:tcW w:w="850" w:type="dxa"/>
            <w:shd w:val="clear" w:color="auto" w:fill="E6F2FF"/>
            <w:vAlign w:val="bottom"/>
          </w:tcPr>
          <w:p w14:paraId="4ACFBB1C" w14:textId="7EF9449C" w:rsidR="00B628FF" w:rsidRDefault="00B31B37">
            <w:pPr>
              <w:pStyle w:val="Summarytabletextrightaligned"/>
            </w:pPr>
            <w:r>
              <w:noBreakHyphen/>
            </w:r>
          </w:p>
        </w:tc>
        <w:tc>
          <w:tcPr>
            <w:tcW w:w="850" w:type="dxa"/>
            <w:vAlign w:val="bottom"/>
          </w:tcPr>
          <w:p w14:paraId="1E4A0E1F" w14:textId="542AB4B4" w:rsidR="00B628FF" w:rsidRDefault="00B31B37">
            <w:pPr>
              <w:pStyle w:val="Summarytabletextrightaligned"/>
            </w:pPr>
            <w:r>
              <w:noBreakHyphen/>
            </w:r>
          </w:p>
        </w:tc>
        <w:tc>
          <w:tcPr>
            <w:tcW w:w="850" w:type="dxa"/>
            <w:vAlign w:val="bottom"/>
          </w:tcPr>
          <w:p w14:paraId="1A0C72C9" w14:textId="4A3C44C0" w:rsidR="00B628FF" w:rsidRDefault="00B31B37">
            <w:pPr>
              <w:pStyle w:val="Summarytabletextrightaligned"/>
            </w:pPr>
            <w:r>
              <w:noBreakHyphen/>
            </w:r>
          </w:p>
        </w:tc>
        <w:tc>
          <w:tcPr>
            <w:tcW w:w="850" w:type="dxa"/>
            <w:vAlign w:val="bottom"/>
          </w:tcPr>
          <w:p w14:paraId="6A9C5359" w14:textId="77777777" w:rsidR="00B628FF" w:rsidRDefault="005B2D2F">
            <w:pPr>
              <w:pStyle w:val="Summarytabletextrightaligned"/>
            </w:pPr>
            <w:r>
              <w:t>1.1</w:t>
            </w:r>
          </w:p>
        </w:tc>
      </w:tr>
      <w:tr w:rsidR="00B628FF" w14:paraId="3D328060" w14:textId="77777777" w:rsidTr="6BC96CA7">
        <w:tc>
          <w:tcPr>
            <w:tcW w:w="3471" w:type="dxa"/>
            <w:vAlign w:val="bottom"/>
          </w:tcPr>
          <w:p w14:paraId="62CEF83D" w14:textId="77777777" w:rsidR="00B628FF" w:rsidRDefault="005B2D2F">
            <w:pPr>
              <w:pStyle w:val="Summarytabletextleftalignedbold"/>
            </w:pPr>
            <w:r>
              <w:t>Portfolio total</w:t>
            </w:r>
          </w:p>
        </w:tc>
        <w:tc>
          <w:tcPr>
            <w:tcW w:w="850" w:type="dxa"/>
            <w:tcBorders>
              <w:top w:val="single" w:sz="4" w:space="0" w:color="000000" w:themeColor="text1"/>
              <w:bottom w:val="single" w:sz="4" w:space="0" w:color="000000" w:themeColor="text1"/>
            </w:tcBorders>
            <w:vAlign w:val="bottom"/>
          </w:tcPr>
          <w:p w14:paraId="39162FED" w14:textId="2D66D6BD" w:rsidR="00B628FF" w:rsidRDefault="00B31B37">
            <w:pPr>
              <w:pStyle w:val="Summarytabletextrightalignedbold"/>
            </w:pPr>
            <w:r>
              <w:noBreakHyphen/>
            </w:r>
          </w:p>
        </w:tc>
        <w:tc>
          <w:tcPr>
            <w:tcW w:w="850" w:type="dxa"/>
            <w:tcBorders>
              <w:top w:val="single" w:sz="4" w:space="0" w:color="000000" w:themeColor="text1"/>
              <w:bottom w:val="single" w:sz="4" w:space="0" w:color="000000" w:themeColor="text1"/>
            </w:tcBorders>
            <w:shd w:val="clear" w:color="auto" w:fill="E6F2FF"/>
            <w:vAlign w:val="bottom"/>
          </w:tcPr>
          <w:p w14:paraId="233962ED" w14:textId="51E01C18" w:rsidR="00B628FF" w:rsidRDefault="00B31B37">
            <w:pPr>
              <w:pStyle w:val="Summarytabletextrightalignedbold"/>
            </w:pPr>
            <w:r>
              <w:noBreakHyphen/>
            </w:r>
          </w:p>
        </w:tc>
        <w:tc>
          <w:tcPr>
            <w:tcW w:w="850" w:type="dxa"/>
            <w:tcBorders>
              <w:top w:val="single" w:sz="4" w:space="0" w:color="000000" w:themeColor="text1"/>
              <w:bottom w:val="single" w:sz="4" w:space="0" w:color="000000" w:themeColor="text1"/>
            </w:tcBorders>
            <w:vAlign w:val="bottom"/>
          </w:tcPr>
          <w:p w14:paraId="6B94F10A" w14:textId="025089A2" w:rsidR="00B628FF" w:rsidRDefault="00B31B37">
            <w:pPr>
              <w:pStyle w:val="Summarytabletextrightalignedbold"/>
            </w:pPr>
            <w:r>
              <w:noBreakHyphen/>
            </w:r>
          </w:p>
        </w:tc>
        <w:tc>
          <w:tcPr>
            <w:tcW w:w="850" w:type="dxa"/>
            <w:tcBorders>
              <w:top w:val="single" w:sz="4" w:space="0" w:color="000000" w:themeColor="text1"/>
              <w:bottom w:val="single" w:sz="4" w:space="0" w:color="000000" w:themeColor="text1"/>
            </w:tcBorders>
            <w:vAlign w:val="bottom"/>
          </w:tcPr>
          <w:p w14:paraId="4BF00FC2" w14:textId="73D9561B" w:rsidR="00B628FF" w:rsidRDefault="00B31B37">
            <w:pPr>
              <w:pStyle w:val="Summarytabletextrightalignedbold"/>
            </w:pPr>
            <w:r>
              <w:noBreakHyphen/>
            </w:r>
          </w:p>
        </w:tc>
        <w:tc>
          <w:tcPr>
            <w:tcW w:w="850" w:type="dxa"/>
            <w:tcBorders>
              <w:top w:val="single" w:sz="4" w:space="0" w:color="000000" w:themeColor="text1"/>
              <w:bottom w:val="single" w:sz="4" w:space="0" w:color="000000" w:themeColor="text1"/>
            </w:tcBorders>
            <w:vAlign w:val="bottom"/>
          </w:tcPr>
          <w:p w14:paraId="53995A85" w14:textId="77777777" w:rsidR="00B628FF" w:rsidRDefault="005B2D2F">
            <w:pPr>
              <w:pStyle w:val="Summarytabletextrightalignedbold"/>
            </w:pPr>
            <w:r>
              <w:t>1.1</w:t>
            </w:r>
          </w:p>
        </w:tc>
      </w:tr>
      <w:tr w:rsidR="00B628FF" w14:paraId="44DB9B4E" w14:textId="77777777" w:rsidTr="6BC96CA7">
        <w:tc>
          <w:tcPr>
            <w:tcW w:w="3471" w:type="dxa"/>
            <w:vAlign w:val="bottom"/>
          </w:tcPr>
          <w:p w14:paraId="5573B778" w14:textId="77777777" w:rsidR="00B628FF" w:rsidRDefault="005B2D2F">
            <w:pPr>
              <w:pStyle w:val="SummaryPortfolioTitle-BP2"/>
            </w:pPr>
            <w:r>
              <w:t>INFRASTRUCTURE, TRANSPORT, REGIONAL DEVELOPMENT, COMMUNICATIONS AND THE ARTS</w:t>
            </w:r>
          </w:p>
        </w:tc>
        <w:tc>
          <w:tcPr>
            <w:tcW w:w="850" w:type="dxa"/>
          </w:tcPr>
          <w:p w14:paraId="53525334" w14:textId="77777777" w:rsidR="00B628FF" w:rsidRDefault="00B628FF">
            <w:pPr>
              <w:pStyle w:val="MeasureTableTextRightAlignedBefore6ptAfter1pt"/>
            </w:pPr>
          </w:p>
        </w:tc>
        <w:tc>
          <w:tcPr>
            <w:tcW w:w="850" w:type="dxa"/>
            <w:shd w:val="clear" w:color="auto" w:fill="E6F2FF"/>
          </w:tcPr>
          <w:p w14:paraId="184EDF37" w14:textId="77777777" w:rsidR="00B628FF" w:rsidRDefault="00B628FF">
            <w:pPr>
              <w:pStyle w:val="MeasureTableTextRightAlignedBefore6ptAfter1pt"/>
            </w:pPr>
          </w:p>
        </w:tc>
        <w:tc>
          <w:tcPr>
            <w:tcW w:w="850" w:type="dxa"/>
          </w:tcPr>
          <w:p w14:paraId="24D5F4FC" w14:textId="77777777" w:rsidR="00B628FF" w:rsidRDefault="00B628FF">
            <w:pPr>
              <w:pStyle w:val="MeasureTableTextRightAlignedBefore6ptAfter1pt"/>
            </w:pPr>
          </w:p>
        </w:tc>
        <w:tc>
          <w:tcPr>
            <w:tcW w:w="850" w:type="dxa"/>
          </w:tcPr>
          <w:p w14:paraId="3F241D45" w14:textId="77777777" w:rsidR="00B628FF" w:rsidRDefault="00B628FF">
            <w:pPr>
              <w:pStyle w:val="MeasureTableTextRightAlignedBefore6ptAfter1pt"/>
            </w:pPr>
          </w:p>
        </w:tc>
        <w:tc>
          <w:tcPr>
            <w:tcW w:w="850" w:type="dxa"/>
          </w:tcPr>
          <w:p w14:paraId="6783C2F8" w14:textId="77777777" w:rsidR="00B628FF" w:rsidRDefault="00B628FF">
            <w:pPr>
              <w:pStyle w:val="MeasureTableTextRightAlignedBefore6ptAfter1pt"/>
            </w:pPr>
          </w:p>
        </w:tc>
      </w:tr>
      <w:tr w:rsidR="00B628FF" w14:paraId="6A54CCAF" w14:textId="77777777" w:rsidTr="6BC96CA7">
        <w:tc>
          <w:tcPr>
            <w:tcW w:w="3471" w:type="dxa"/>
            <w:vAlign w:val="bottom"/>
          </w:tcPr>
          <w:p w14:paraId="37E1D8CD" w14:textId="77777777" w:rsidR="00B628FF" w:rsidRDefault="005B2D2F">
            <w:pPr>
              <w:pStyle w:val="SummaryAgencyTitle-BP2"/>
            </w:pPr>
            <w:r>
              <w:t>Australian Communications and Media Authority</w:t>
            </w:r>
          </w:p>
        </w:tc>
        <w:tc>
          <w:tcPr>
            <w:tcW w:w="850" w:type="dxa"/>
          </w:tcPr>
          <w:p w14:paraId="6E4705AA" w14:textId="77777777" w:rsidR="00B628FF" w:rsidRDefault="00B628FF">
            <w:pPr>
              <w:pStyle w:val="SummaryAgencyTitle-BP2"/>
            </w:pPr>
          </w:p>
        </w:tc>
        <w:tc>
          <w:tcPr>
            <w:tcW w:w="850" w:type="dxa"/>
            <w:shd w:val="clear" w:color="auto" w:fill="E6F2FF"/>
          </w:tcPr>
          <w:p w14:paraId="35B138C1" w14:textId="77777777" w:rsidR="00B628FF" w:rsidRDefault="00B628FF">
            <w:pPr>
              <w:pStyle w:val="SummaryAgencyTitle-BP2"/>
            </w:pPr>
          </w:p>
        </w:tc>
        <w:tc>
          <w:tcPr>
            <w:tcW w:w="850" w:type="dxa"/>
          </w:tcPr>
          <w:p w14:paraId="6ADB1077" w14:textId="77777777" w:rsidR="00B628FF" w:rsidRDefault="00B628FF">
            <w:pPr>
              <w:pStyle w:val="SummaryAgencyTitle-BP2"/>
            </w:pPr>
          </w:p>
        </w:tc>
        <w:tc>
          <w:tcPr>
            <w:tcW w:w="850" w:type="dxa"/>
          </w:tcPr>
          <w:p w14:paraId="71138297" w14:textId="77777777" w:rsidR="00B628FF" w:rsidRDefault="00B628FF">
            <w:pPr>
              <w:pStyle w:val="SummaryAgencyTitle-BP2"/>
            </w:pPr>
          </w:p>
        </w:tc>
        <w:tc>
          <w:tcPr>
            <w:tcW w:w="850" w:type="dxa"/>
          </w:tcPr>
          <w:p w14:paraId="1485C149" w14:textId="77777777" w:rsidR="00B628FF" w:rsidRDefault="00B628FF">
            <w:pPr>
              <w:pStyle w:val="SummaryAgencyTitle-BP2"/>
            </w:pPr>
          </w:p>
        </w:tc>
      </w:tr>
      <w:tr w:rsidR="00B628FF" w14:paraId="4E801354" w14:textId="77777777" w:rsidTr="6BC96CA7">
        <w:tc>
          <w:tcPr>
            <w:tcW w:w="3471" w:type="dxa"/>
            <w:vAlign w:val="bottom"/>
          </w:tcPr>
          <w:p w14:paraId="523D3422" w14:textId="77777777" w:rsidR="00B628FF" w:rsidRDefault="005B2D2F">
            <w:pPr>
              <w:pStyle w:val="SummaryMeasureTitlewithTheme"/>
            </w:pPr>
            <w:r>
              <w:t>Supporting Connectivity(b)</w:t>
            </w:r>
          </w:p>
        </w:tc>
        <w:tc>
          <w:tcPr>
            <w:tcW w:w="850" w:type="dxa"/>
            <w:vAlign w:val="bottom"/>
          </w:tcPr>
          <w:p w14:paraId="1105DF09" w14:textId="0C9C21AB" w:rsidR="00B628FF" w:rsidRDefault="00B31B37">
            <w:pPr>
              <w:pStyle w:val="Summarytabletextrightaligned"/>
            </w:pPr>
            <w:r>
              <w:noBreakHyphen/>
            </w:r>
          </w:p>
        </w:tc>
        <w:tc>
          <w:tcPr>
            <w:tcW w:w="850" w:type="dxa"/>
            <w:shd w:val="clear" w:color="auto" w:fill="E6F2FF"/>
            <w:vAlign w:val="bottom"/>
          </w:tcPr>
          <w:p w14:paraId="294A1837" w14:textId="719CD787" w:rsidR="00B628FF" w:rsidRDefault="00B31B37">
            <w:pPr>
              <w:pStyle w:val="Summarytabletextrightaligned"/>
            </w:pPr>
            <w:r>
              <w:noBreakHyphen/>
            </w:r>
          </w:p>
        </w:tc>
        <w:tc>
          <w:tcPr>
            <w:tcW w:w="850" w:type="dxa"/>
            <w:vAlign w:val="bottom"/>
          </w:tcPr>
          <w:p w14:paraId="1A8FB573" w14:textId="77777777" w:rsidR="00B628FF" w:rsidRDefault="005B2D2F">
            <w:pPr>
              <w:pStyle w:val="Summarytabletextrightaligned"/>
            </w:pPr>
            <w:r>
              <w:t>1.8</w:t>
            </w:r>
          </w:p>
        </w:tc>
        <w:tc>
          <w:tcPr>
            <w:tcW w:w="850" w:type="dxa"/>
            <w:vAlign w:val="bottom"/>
          </w:tcPr>
          <w:p w14:paraId="1630AA7D" w14:textId="4C0149B0" w:rsidR="00B628FF" w:rsidRDefault="00B31B37">
            <w:pPr>
              <w:pStyle w:val="Summarytabletextrightaligned"/>
            </w:pPr>
            <w:r>
              <w:noBreakHyphen/>
            </w:r>
          </w:p>
        </w:tc>
        <w:tc>
          <w:tcPr>
            <w:tcW w:w="850" w:type="dxa"/>
            <w:vAlign w:val="bottom"/>
          </w:tcPr>
          <w:p w14:paraId="6409293E" w14:textId="5FFE9E87" w:rsidR="00B628FF" w:rsidRDefault="00B31B37">
            <w:pPr>
              <w:pStyle w:val="Summarytabletextrightaligned"/>
            </w:pPr>
            <w:r>
              <w:noBreakHyphen/>
            </w:r>
          </w:p>
        </w:tc>
      </w:tr>
      <w:tr w:rsidR="00B628FF" w14:paraId="5FF97BCE" w14:textId="77777777" w:rsidTr="6BC96CA7">
        <w:tc>
          <w:tcPr>
            <w:tcW w:w="3471" w:type="dxa"/>
            <w:vAlign w:val="bottom"/>
          </w:tcPr>
          <w:p w14:paraId="22725542" w14:textId="77777777" w:rsidR="00B628FF" w:rsidRDefault="005B2D2F">
            <w:pPr>
              <w:pStyle w:val="Summarytabletextleftalignedbold"/>
            </w:pPr>
            <w:r>
              <w:t>Portfolio total</w:t>
            </w:r>
          </w:p>
        </w:tc>
        <w:tc>
          <w:tcPr>
            <w:tcW w:w="850" w:type="dxa"/>
            <w:tcBorders>
              <w:top w:val="single" w:sz="4" w:space="0" w:color="000000" w:themeColor="text1"/>
              <w:bottom w:val="single" w:sz="4" w:space="0" w:color="000000" w:themeColor="text1"/>
            </w:tcBorders>
            <w:vAlign w:val="bottom"/>
          </w:tcPr>
          <w:p w14:paraId="173D935B" w14:textId="1B1F9D40" w:rsidR="00B628FF" w:rsidRDefault="00B31B37">
            <w:pPr>
              <w:pStyle w:val="Summarytabletextrightalignedbold"/>
            </w:pPr>
            <w:r>
              <w:noBreakHyphen/>
            </w:r>
          </w:p>
        </w:tc>
        <w:tc>
          <w:tcPr>
            <w:tcW w:w="850" w:type="dxa"/>
            <w:tcBorders>
              <w:top w:val="single" w:sz="4" w:space="0" w:color="000000" w:themeColor="text1"/>
              <w:bottom w:val="single" w:sz="4" w:space="0" w:color="000000" w:themeColor="text1"/>
            </w:tcBorders>
            <w:shd w:val="clear" w:color="auto" w:fill="E6F2FF"/>
            <w:vAlign w:val="bottom"/>
          </w:tcPr>
          <w:p w14:paraId="304ABD63" w14:textId="0849291D" w:rsidR="00B628FF" w:rsidRDefault="00B31B37">
            <w:pPr>
              <w:pStyle w:val="Summarytabletextrightalignedbold"/>
            </w:pPr>
            <w:r>
              <w:noBreakHyphen/>
            </w:r>
          </w:p>
        </w:tc>
        <w:tc>
          <w:tcPr>
            <w:tcW w:w="850" w:type="dxa"/>
            <w:tcBorders>
              <w:top w:val="single" w:sz="4" w:space="0" w:color="000000" w:themeColor="text1"/>
              <w:bottom w:val="single" w:sz="4" w:space="0" w:color="000000" w:themeColor="text1"/>
            </w:tcBorders>
            <w:vAlign w:val="bottom"/>
          </w:tcPr>
          <w:p w14:paraId="3E5042B3" w14:textId="77777777" w:rsidR="00B628FF" w:rsidRDefault="005B2D2F">
            <w:pPr>
              <w:pStyle w:val="Summarytabletextrightalignedbold"/>
            </w:pPr>
            <w:r>
              <w:t>1.8</w:t>
            </w:r>
          </w:p>
        </w:tc>
        <w:tc>
          <w:tcPr>
            <w:tcW w:w="850" w:type="dxa"/>
            <w:tcBorders>
              <w:top w:val="single" w:sz="4" w:space="0" w:color="000000" w:themeColor="text1"/>
              <w:bottom w:val="single" w:sz="4" w:space="0" w:color="000000" w:themeColor="text1"/>
            </w:tcBorders>
            <w:vAlign w:val="bottom"/>
          </w:tcPr>
          <w:p w14:paraId="281BAEA9" w14:textId="1626D5F6" w:rsidR="00B628FF" w:rsidRDefault="00B31B37">
            <w:pPr>
              <w:pStyle w:val="Summarytabletextrightalignedbold"/>
            </w:pPr>
            <w:r>
              <w:noBreakHyphen/>
            </w:r>
          </w:p>
        </w:tc>
        <w:tc>
          <w:tcPr>
            <w:tcW w:w="850" w:type="dxa"/>
            <w:tcBorders>
              <w:top w:val="single" w:sz="4" w:space="0" w:color="000000" w:themeColor="text1"/>
              <w:bottom w:val="single" w:sz="4" w:space="0" w:color="000000" w:themeColor="text1"/>
            </w:tcBorders>
            <w:vAlign w:val="bottom"/>
          </w:tcPr>
          <w:p w14:paraId="490856DF" w14:textId="51B18420" w:rsidR="00B628FF" w:rsidRDefault="00B31B37">
            <w:pPr>
              <w:pStyle w:val="Summarytabletextrightalignedbold"/>
            </w:pPr>
            <w:r>
              <w:noBreakHyphen/>
            </w:r>
          </w:p>
        </w:tc>
      </w:tr>
      <w:tr w:rsidR="00B628FF" w14:paraId="55307352" w14:textId="77777777" w:rsidTr="6BC96CA7">
        <w:tc>
          <w:tcPr>
            <w:tcW w:w="3471" w:type="dxa"/>
            <w:vAlign w:val="bottom"/>
          </w:tcPr>
          <w:p w14:paraId="010F8307" w14:textId="77777777" w:rsidR="00B628FF" w:rsidRDefault="005B2D2F">
            <w:pPr>
              <w:pStyle w:val="SummaryPortfolioTitle-BP2"/>
            </w:pPr>
            <w:r>
              <w:t>PRIME MINISTER AND CABINET</w:t>
            </w:r>
          </w:p>
        </w:tc>
        <w:tc>
          <w:tcPr>
            <w:tcW w:w="850" w:type="dxa"/>
          </w:tcPr>
          <w:p w14:paraId="4B225A51" w14:textId="77777777" w:rsidR="00B628FF" w:rsidRDefault="00B628FF">
            <w:pPr>
              <w:pStyle w:val="MeasureTableTextRightAlignedBefore6ptAfter1pt"/>
            </w:pPr>
          </w:p>
        </w:tc>
        <w:tc>
          <w:tcPr>
            <w:tcW w:w="850" w:type="dxa"/>
            <w:shd w:val="clear" w:color="auto" w:fill="E6F2FF"/>
          </w:tcPr>
          <w:p w14:paraId="7FEFA6CC" w14:textId="77777777" w:rsidR="00B628FF" w:rsidRDefault="00B628FF">
            <w:pPr>
              <w:pStyle w:val="MeasureTableTextRightAlignedBefore6ptAfter1pt"/>
            </w:pPr>
          </w:p>
        </w:tc>
        <w:tc>
          <w:tcPr>
            <w:tcW w:w="850" w:type="dxa"/>
          </w:tcPr>
          <w:p w14:paraId="27DECF74" w14:textId="77777777" w:rsidR="00B628FF" w:rsidRDefault="00B628FF">
            <w:pPr>
              <w:pStyle w:val="MeasureTableTextRightAlignedBefore6ptAfter1pt"/>
            </w:pPr>
          </w:p>
        </w:tc>
        <w:tc>
          <w:tcPr>
            <w:tcW w:w="850" w:type="dxa"/>
          </w:tcPr>
          <w:p w14:paraId="29C96BFC" w14:textId="77777777" w:rsidR="00B628FF" w:rsidRDefault="00B628FF">
            <w:pPr>
              <w:pStyle w:val="MeasureTableTextRightAlignedBefore6ptAfter1pt"/>
            </w:pPr>
          </w:p>
        </w:tc>
        <w:tc>
          <w:tcPr>
            <w:tcW w:w="850" w:type="dxa"/>
          </w:tcPr>
          <w:p w14:paraId="2F406A08" w14:textId="77777777" w:rsidR="00B628FF" w:rsidRDefault="00B628FF">
            <w:pPr>
              <w:pStyle w:val="MeasureTableTextRightAlignedBefore6ptAfter1pt"/>
            </w:pPr>
          </w:p>
        </w:tc>
      </w:tr>
      <w:tr w:rsidR="00B628FF" w14:paraId="790F9A37" w14:textId="77777777" w:rsidTr="6BC96CA7">
        <w:tc>
          <w:tcPr>
            <w:tcW w:w="3471" w:type="dxa"/>
            <w:vAlign w:val="bottom"/>
          </w:tcPr>
          <w:p w14:paraId="3EC4F664" w14:textId="77777777" w:rsidR="00B628FF" w:rsidRDefault="005B2D2F">
            <w:pPr>
              <w:pStyle w:val="SummaryAgencyTitle-BP2"/>
            </w:pPr>
            <w:r>
              <w:t>Indigenous Business Australia</w:t>
            </w:r>
          </w:p>
        </w:tc>
        <w:tc>
          <w:tcPr>
            <w:tcW w:w="850" w:type="dxa"/>
          </w:tcPr>
          <w:p w14:paraId="252D3FDC" w14:textId="77777777" w:rsidR="00B628FF" w:rsidRDefault="00B628FF">
            <w:pPr>
              <w:pStyle w:val="SummaryAgencyTitle-BP2"/>
            </w:pPr>
          </w:p>
        </w:tc>
        <w:tc>
          <w:tcPr>
            <w:tcW w:w="850" w:type="dxa"/>
            <w:shd w:val="clear" w:color="auto" w:fill="E6F2FF"/>
          </w:tcPr>
          <w:p w14:paraId="53F7931E" w14:textId="77777777" w:rsidR="00B628FF" w:rsidRDefault="00B628FF">
            <w:pPr>
              <w:pStyle w:val="SummaryAgencyTitle-BP2"/>
            </w:pPr>
          </w:p>
        </w:tc>
        <w:tc>
          <w:tcPr>
            <w:tcW w:w="850" w:type="dxa"/>
          </w:tcPr>
          <w:p w14:paraId="5BD3C894" w14:textId="77777777" w:rsidR="00B628FF" w:rsidRDefault="00B628FF">
            <w:pPr>
              <w:pStyle w:val="SummaryAgencyTitle-BP2"/>
            </w:pPr>
          </w:p>
        </w:tc>
        <w:tc>
          <w:tcPr>
            <w:tcW w:w="850" w:type="dxa"/>
          </w:tcPr>
          <w:p w14:paraId="66C2B812" w14:textId="77777777" w:rsidR="00B628FF" w:rsidRDefault="00B628FF">
            <w:pPr>
              <w:pStyle w:val="SummaryAgencyTitle-BP2"/>
            </w:pPr>
          </w:p>
        </w:tc>
        <w:tc>
          <w:tcPr>
            <w:tcW w:w="850" w:type="dxa"/>
          </w:tcPr>
          <w:p w14:paraId="571C705E" w14:textId="77777777" w:rsidR="00B628FF" w:rsidRDefault="00B628FF">
            <w:pPr>
              <w:pStyle w:val="SummaryAgencyTitle-BP2"/>
            </w:pPr>
          </w:p>
        </w:tc>
      </w:tr>
      <w:tr w:rsidR="00B628FF" w14:paraId="52C69FFD" w14:textId="77777777" w:rsidTr="6BC96CA7">
        <w:tc>
          <w:tcPr>
            <w:tcW w:w="3471" w:type="dxa"/>
            <w:vAlign w:val="bottom"/>
          </w:tcPr>
          <w:p w14:paraId="669C288A" w14:textId="77777777" w:rsidR="00B628FF" w:rsidRDefault="005B2D2F">
            <w:pPr>
              <w:pStyle w:val="SummaryMeasureTitlewithTheme"/>
            </w:pPr>
            <w:r>
              <w:t>Closing the Gap – further investments(b)</w:t>
            </w:r>
          </w:p>
        </w:tc>
        <w:tc>
          <w:tcPr>
            <w:tcW w:w="850" w:type="dxa"/>
            <w:vAlign w:val="bottom"/>
          </w:tcPr>
          <w:p w14:paraId="0FCC1A04" w14:textId="3CA3C9DF" w:rsidR="00B628FF" w:rsidRDefault="00B31B37">
            <w:pPr>
              <w:pStyle w:val="Summarytabletextrightaligned"/>
            </w:pPr>
            <w:r>
              <w:noBreakHyphen/>
            </w:r>
          </w:p>
        </w:tc>
        <w:tc>
          <w:tcPr>
            <w:tcW w:w="850" w:type="dxa"/>
            <w:shd w:val="clear" w:color="auto" w:fill="E6F2FF"/>
            <w:vAlign w:val="bottom"/>
          </w:tcPr>
          <w:p w14:paraId="240EC3CD" w14:textId="77777777" w:rsidR="00B628FF" w:rsidRDefault="005B2D2F">
            <w:pPr>
              <w:pStyle w:val="Summarytabletextrightaligned"/>
            </w:pPr>
            <w:r>
              <w:t>2.0</w:t>
            </w:r>
          </w:p>
        </w:tc>
        <w:tc>
          <w:tcPr>
            <w:tcW w:w="850" w:type="dxa"/>
            <w:vAlign w:val="bottom"/>
          </w:tcPr>
          <w:p w14:paraId="657A59BA" w14:textId="77777777" w:rsidR="00B628FF" w:rsidRDefault="005B2D2F">
            <w:pPr>
              <w:pStyle w:val="Summarytabletextrightaligned"/>
            </w:pPr>
            <w:r>
              <w:t>2.2</w:t>
            </w:r>
          </w:p>
        </w:tc>
        <w:tc>
          <w:tcPr>
            <w:tcW w:w="850" w:type="dxa"/>
            <w:vAlign w:val="bottom"/>
          </w:tcPr>
          <w:p w14:paraId="21D10EA3" w14:textId="77777777" w:rsidR="00B628FF" w:rsidRDefault="005B2D2F">
            <w:pPr>
              <w:pStyle w:val="Summarytabletextrightaligned"/>
            </w:pPr>
            <w:r>
              <w:t>2.3</w:t>
            </w:r>
          </w:p>
        </w:tc>
        <w:tc>
          <w:tcPr>
            <w:tcW w:w="850" w:type="dxa"/>
            <w:vAlign w:val="bottom"/>
          </w:tcPr>
          <w:p w14:paraId="6C2B436D" w14:textId="77777777" w:rsidR="00B628FF" w:rsidRDefault="005B2D2F">
            <w:pPr>
              <w:pStyle w:val="Summarytabletextrightaligned"/>
            </w:pPr>
            <w:r>
              <w:t>2.5</w:t>
            </w:r>
          </w:p>
        </w:tc>
      </w:tr>
      <w:tr w:rsidR="00B628FF" w14:paraId="0DA523B5" w14:textId="77777777" w:rsidTr="6BC96CA7">
        <w:tc>
          <w:tcPr>
            <w:tcW w:w="3471" w:type="dxa"/>
            <w:vAlign w:val="bottom"/>
          </w:tcPr>
          <w:p w14:paraId="28F47C43" w14:textId="77777777" w:rsidR="00B628FF" w:rsidRDefault="005B2D2F">
            <w:pPr>
              <w:pStyle w:val="Summarytabletextleftalignedbold"/>
            </w:pPr>
            <w:r>
              <w:t>Portfolio total</w:t>
            </w:r>
          </w:p>
        </w:tc>
        <w:tc>
          <w:tcPr>
            <w:tcW w:w="850" w:type="dxa"/>
            <w:tcBorders>
              <w:top w:val="single" w:sz="4" w:space="0" w:color="000000" w:themeColor="text1"/>
              <w:bottom w:val="single" w:sz="4" w:space="0" w:color="000000" w:themeColor="text1"/>
            </w:tcBorders>
            <w:vAlign w:val="bottom"/>
          </w:tcPr>
          <w:p w14:paraId="464FD787" w14:textId="55B65D06" w:rsidR="00B628FF" w:rsidRDefault="00B31B37">
            <w:pPr>
              <w:pStyle w:val="Summarytabletextrightalignedbold"/>
            </w:pPr>
            <w:r>
              <w:noBreakHyphen/>
            </w:r>
          </w:p>
        </w:tc>
        <w:tc>
          <w:tcPr>
            <w:tcW w:w="850" w:type="dxa"/>
            <w:tcBorders>
              <w:top w:val="single" w:sz="4" w:space="0" w:color="000000" w:themeColor="text1"/>
              <w:bottom w:val="single" w:sz="4" w:space="0" w:color="000000" w:themeColor="text1"/>
            </w:tcBorders>
            <w:shd w:val="clear" w:color="auto" w:fill="E6F2FF"/>
            <w:vAlign w:val="bottom"/>
          </w:tcPr>
          <w:p w14:paraId="000C30EF" w14:textId="77777777" w:rsidR="00B628FF" w:rsidRDefault="005B2D2F">
            <w:pPr>
              <w:pStyle w:val="Summarytabletextrightalignedbold"/>
            </w:pPr>
            <w:r>
              <w:t>2.0</w:t>
            </w:r>
          </w:p>
        </w:tc>
        <w:tc>
          <w:tcPr>
            <w:tcW w:w="850" w:type="dxa"/>
            <w:tcBorders>
              <w:top w:val="single" w:sz="4" w:space="0" w:color="000000" w:themeColor="text1"/>
              <w:bottom w:val="single" w:sz="4" w:space="0" w:color="000000" w:themeColor="text1"/>
            </w:tcBorders>
            <w:vAlign w:val="bottom"/>
          </w:tcPr>
          <w:p w14:paraId="6EBE00F6" w14:textId="77777777" w:rsidR="00B628FF" w:rsidRDefault="005B2D2F">
            <w:pPr>
              <w:pStyle w:val="Summarytabletextrightalignedbold"/>
            </w:pPr>
            <w:r>
              <w:t>2.2</w:t>
            </w:r>
          </w:p>
        </w:tc>
        <w:tc>
          <w:tcPr>
            <w:tcW w:w="850" w:type="dxa"/>
            <w:tcBorders>
              <w:top w:val="single" w:sz="4" w:space="0" w:color="000000" w:themeColor="text1"/>
              <w:bottom w:val="single" w:sz="4" w:space="0" w:color="000000" w:themeColor="text1"/>
            </w:tcBorders>
            <w:vAlign w:val="bottom"/>
          </w:tcPr>
          <w:p w14:paraId="0A37C9CB" w14:textId="77777777" w:rsidR="00B628FF" w:rsidRDefault="005B2D2F">
            <w:pPr>
              <w:pStyle w:val="Summarytabletextrightalignedbold"/>
            </w:pPr>
            <w:r>
              <w:t>2.3</w:t>
            </w:r>
          </w:p>
        </w:tc>
        <w:tc>
          <w:tcPr>
            <w:tcW w:w="850" w:type="dxa"/>
            <w:tcBorders>
              <w:top w:val="single" w:sz="4" w:space="0" w:color="000000" w:themeColor="text1"/>
              <w:bottom w:val="single" w:sz="4" w:space="0" w:color="000000" w:themeColor="text1"/>
            </w:tcBorders>
            <w:vAlign w:val="bottom"/>
          </w:tcPr>
          <w:p w14:paraId="19452B91" w14:textId="77777777" w:rsidR="00B628FF" w:rsidRDefault="005B2D2F">
            <w:pPr>
              <w:pStyle w:val="Summarytabletextrightalignedbold"/>
            </w:pPr>
            <w:r>
              <w:t>2.5</w:t>
            </w:r>
          </w:p>
        </w:tc>
      </w:tr>
      <w:tr w:rsidR="00B628FF" w14:paraId="7B779C75" w14:textId="77777777" w:rsidTr="6BC96CA7">
        <w:tc>
          <w:tcPr>
            <w:tcW w:w="3471" w:type="dxa"/>
            <w:vAlign w:val="bottom"/>
          </w:tcPr>
          <w:p w14:paraId="13579BEA" w14:textId="77777777" w:rsidR="00B628FF" w:rsidRDefault="005B2D2F">
            <w:pPr>
              <w:pStyle w:val="SummaryPortfolioTitle-BP2"/>
            </w:pPr>
            <w:r>
              <w:t>TREASURY</w:t>
            </w:r>
          </w:p>
        </w:tc>
        <w:tc>
          <w:tcPr>
            <w:tcW w:w="850" w:type="dxa"/>
          </w:tcPr>
          <w:p w14:paraId="23052C96" w14:textId="77777777" w:rsidR="00B628FF" w:rsidRDefault="00B628FF">
            <w:pPr>
              <w:pStyle w:val="MeasureTableTextRightAlignedBefore6ptAfter1pt"/>
            </w:pPr>
          </w:p>
        </w:tc>
        <w:tc>
          <w:tcPr>
            <w:tcW w:w="850" w:type="dxa"/>
            <w:shd w:val="clear" w:color="auto" w:fill="E6F2FF"/>
          </w:tcPr>
          <w:p w14:paraId="188C4266" w14:textId="77777777" w:rsidR="00B628FF" w:rsidRDefault="00B628FF">
            <w:pPr>
              <w:pStyle w:val="MeasureTableTextRightAlignedBefore6ptAfter1pt"/>
            </w:pPr>
          </w:p>
        </w:tc>
        <w:tc>
          <w:tcPr>
            <w:tcW w:w="850" w:type="dxa"/>
          </w:tcPr>
          <w:p w14:paraId="57DBF69B" w14:textId="77777777" w:rsidR="00B628FF" w:rsidRDefault="00B628FF">
            <w:pPr>
              <w:pStyle w:val="MeasureTableTextRightAlignedBefore6ptAfter1pt"/>
            </w:pPr>
          </w:p>
        </w:tc>
        <w:tc>
          <w:tcPr>
            <w:tcW w:w="850" w:type="dxa"/>
          </w:tcPr>
          <w:p w14:paraId="2C9070F3" w14:textId="77777777" w:rsidR="00B628FF" w:rsidRDefault="00B628FF">
            <w:pPr>
              <w:pStyle w:val="MeasureTableTextRightAlignedBefore6ptAfter1pt"/>
            </w:pPr>
          </w:p>
        </w:tc>
        <w:tc>
          <w:tcPr>
            <w:tcW w:w="850" w:type="dxa"/>
          </w:tcPr>
          <w:p w14:paraId="3C49EF8C" w14:textId="77777777" w:rsidR="00B628FF" w:rsidRDefault="00B628FF">
            <w:pPr>
              <w:pStyle w:val="MeasureTableTextRightAlignedBefore6ptAfter1pt"/>
            </w:pPr>
          </w:p>
        </w:tc>
      </w:tr>
      <w:tr w:rsidR="00B628FF" w14:paraId="70D1D99F" w14:textId="77777777" w:rsidTr="6BC96CA7">
        <w:tc>
          <w:tcPr>
            <w:tcW w:w="3471" w:type="dxa"/>
            <w:vAlign w:val="bottom"/>
          </w:tcPr>
          <w:p w14:paraId="36BA2319" w14:textId="77777777" w:rsidR="00B628FF" w:rsidRDefault="005B2D2F">
            <w:pPr>
              <w:pStyle w:val="SummaryAgencyTitle-BP2"/>
            </w:pPr>
            <w:r>
              <w:t>Australian Taxation Office</w:t>
            </w:r>
          </w:p>
        </w:tc>
        <w:tc>
          <w:tcPr>
            <w:tcW w:w="850" w:type="dxa"/>
          </w:tcPr>
          <w:p w14:paraId="1DE153D2" w14:textId="77777777" w:rsidR="00B628FF" w:rsidRDefault="00B628FF">
            <w:pPr>
              <w:pStyle w:val="SummaryAgencyTitle-BP2"/>
            </w:pPr>
          </w:p>
        </w:tc>
        <w:tc>
          <w:tcPr>
            <w:tcW w:w="850" w:type="dxa"/>
            <w:shd w:val="clear" w:color="auto" w:fill="E6F2FF"/>
          </w:tcPr>
          <w:p w14:paraId="68595BAE" w14:textId="77777777" w:rsidR="00B628FF" w:rsidRDefault="00B628FF">
            <w:pPr>
              <w:pStyle w:val="SummaryAgencyTitle-BP2"/>
            </w:pPr>
          </w:p>
        </w:tc>
        <w:tc>
          <w:tcPr>
            <w:tcW w:w="850" w:type="dxa"/>
          </w:tcPr>
          <w:p w14:paraId="471F0B7C" w14:textId="77777777" w:rsidR="00B628FF" w:rsidRDefault="00B628FF">
            <w:pPr>
              <w:pStyle w:val="SummaryAgencyTitle-BP2"/>
            </w:pPr>
          </w:p>
        </w:tc>
        <w:tc>
          <w:tcPr>
            <w:tcW w:w="850" w:type="dxa"/>
          </w:tcPr>
          <w:p w14:paraId="0D0875C2" w14:textId="77777777" w:rsidR="00B628FF" w:rsidRDefault="00B628FF">
            <w:pPr>
              <w:pStyle w:val="SummaryAgencyTitle-BP2"/>
            </w:pPr>
          </w:p>
        </w:tc>
        <w:tc>
          <w:tcPr>
            <w:tcW w:w="850" w:type="dxa"/>
          </w:tcPr>
          <w:p w14:paraId="189A418F" w14:textId="77777777" w:rsidR="00B628FF" w:rsidRDefault="00B628FF">
            <w:pPr>
              <w:pStyle w:val="SummaryAgencyTitle-BP2"/>
            </w:pPr>
          </w:p>
        </w:tc>
      </w:tr>
      <w:tr w:rsidR="00B628FF" w14:paraId="3808E557" w14:textId="77777777" w:rsidTr="6BC96CA7">
        <w:tc>
          <w:tcPr>
            <w:tcW w:w="3471" w:type="dxa"/>
            <w:vAlign w:val="bottom"/>
          </w:tcPr>
          <w:p w14:paraId="3D969E53" w14:textId="77777777" w:rsidR="00B628FF" w:rsidRDefault="005B2D2F">
            <w:pPr>
              <w:pStyle w:val="SummaryMeasureTitlewithTheme"/>
            </w:pPr>
            <w:r>
              <w:t>Amendments to Existing Measures(b)</w:t>
            </w:r>
          </w:p>
        </w:tc>
        <w:tc>
          <w:tcPr>
            <w:tcW w:w="850" w:type="dxa"/>
            <w:vAlign w:val="bottom"/>
          </w:tcPr>
          <w:p w14:paraId="5644AFD7" w14:textId="4E893247" w:rsidR="00B628FF" w:rsidRDefault="00B31B37">
            <w:pPr>
              <w:pStyle w:val="Summarytabletextrightaligned"/>
            </w:pPr>
            <w:r>
              <w:noBreakHyphen/>
            </w:r>
          </w:p>
        </w:tc>
        <w:tc>
          <w:tcPr>
            <w:tcW w:w="850" w:type="dxa"/>
            <w:shd w:val="clear" w:color="auto" w:fill="E6F2FF"/>
            <w:vAlign w:val="bottom"/>
          </w:tcPr>
          <w:p w14:paraId="241AB535" w14:textId="30598979" w:rsidR="00B628FF" w:rsidRDefault="00B31B37">
            <w:pPr>
              <w:pStyle w:val="Summarytabletextrightaligned"/>
            </w:pPr>
            <w:r>
              <w:noBreakHyphen/>
            </w:r>
            <w:r w:rsidR="005B2D2F">
              <w:t>50.0</w:t>
            </w:r>
          </w:p>
        </w:tc>
        <w:tc>
          <w:tcPr>
            <w:tcW w:w="850" w:type="dxa"/>
            <w:vAlign w:val="bottom"/>
          </w:tcPr>
          <w:p w14:paraId="2FA66D86" w14:textId="55F4A18D" w:rsidR="00B628FF" w:rsidRDefault="00557689">
            <w:pPr>
              <w:pStyle w:val="Summarytabletextrightaligned"/>
            </w:pPr>
            <w:r>
              <w:t>*</w:t>
            </w:r>
          </w:p>
        </w:tc>
        <w:tc>
          <w:tcPr>
            <w:tcW w:w="850" w:type="dxa"/>
            <w:vAlign w:val="bottom"/>
          </w:tcPr>
          <w:p w14:paraId="1EC47B28" w14:textId="24E6816E" w:rsidR="00B628FF" w:rsidRDefault="00557689">
            <w:pPr>
              <w:pStyle w:val="Summarytabletextrightaligned"/>
            </w:pPr>
            <w:r>
              <w:t>*</w:t>
            </w:r>
          </w:p>
        </w:tc>
        <w:tc>
          <w:tcPr>
            <w:tcW w:w="850" w:type="dxa"/>
            <w:vAlign w:val="bottom"/>
          </w:tcPr>
          <w:p w14:paraId="72B58053" w14:textId="3A001F52" w:rsidR="00B628FF" w:rsidRDefault="00557689">
            <w:pPr>
              <w:pStyle w:val="Summarytabletextrightaligned"/>
            </w:pPr>
            <w:r>
              <w:t>*</w:t>
            </w:r>
          </w:p>
        </w:tc>
      </w:tr>
      <w:tr w:rsidR="00B628FF" w14:paraId="5B5A8E0B" w14:textId="77777777" w:rsidTr="6BC96CA7">
        <w:tc>
          <w:tcPr>
            <w:tcW w:w="3471" w:type="dxa"/>
            <w:vAlign w:val="bottom"/>
          </w:tcPr>
          <w:p w14:paraId="485317BE" w14:textId="77777777" w:rsidR="00B628FF" w:rsidRDefault="005B2D2F">
            <w:pPr>
              <w:pStyle w:val="SummaryMeasureTitlewithTheme"/>
            </w:pPr>
            <w:r>
              <w:t>Enhancing Tax Practitioner Regulation and Compliance(b)</w:t>
            </w:r>
          </w:p>
        </w:tc>
        <w:tc>
          <w:tcPr>
            <w:tcW w:w="850" w:type="dxa"/>
            <w:vAlign w:val="bottom"/>
          </w:tcPr>
          <w:p w14:paraId="36C2A565" w14:textId="55B8B6D2" w:rsidR="00B628FF" w:rsidRDefault="00B31B37">
            <w:pPr>
              <w:pStyle w:val="Summarytabletextrightaligned"/>
            </w:pPr>
            <w:r>
              <w:noBreakHyphen/>
            </w:r>
          </w:p>
        </w:tc>
        <w:tc>
          <w:tcPr>
            <w:tcW w:w="850" w:type="dxa"/>
            <w:shd w:val="clear" w:color="auto" w:fill="E6F2FF"/>
            <w:vAlign w:val="bottom"/>
          </w:tcPr>
          <w:p w14:paraId="644FF792" w14:textId="08F5430A" w:rsidR="00B628FF" w:rsidRDefault="00B31B37">
            <w:pPr>
              <w:pStyle w:val="Summarytabletextrightaligned"/>
            </w:pPr>
            <w:r>
              <w:noBreakHyphen/>
            </w:r>
          </w:p>
        </w:tc>
        <w:tc>
          <w:tcPr>
            <w:tcW w:w="850" w:type="dxa"/>
            <w:vAlign w:val="bottom"/>
          </w:tcPr>
          <w:p w14:paraId="6AD97ABF" w14:textId="77777777" w:rsidR="00B628FF" w:rsidRDefault="005B2D2F">
            <w:pPr>
              <w:pStyle w:val="Summarytabletextrightaligned"/>
            </w:pPr>
            <w:r>
              <w:t>2.1</w:t>
            </w:r>
          </w:p>
        </w:tc>
        <w:tc>
          <w:tcPr>
            <w:tcW w:w="850" w:type="dxa"/>
            <w:vAlign w:val="bottom"/>
          </w:tcPr>
          <w:p w14:paraId="3446E201" w14:textId="77777777" w:rsidR="00B628FF" w:rsidRDefault="005B2D2F">
            <w:pPr>
              <w:pStyle w:val="Summarytabletextrightaligned"/>
            </w:pPr>
            <w:r>
              <w:t>16.2</w:t>
            </w:r>
          </w:p>
        </w:tc>
        <w:tc>
          <w:tcPr>
            <w:tcW w:w="850" w:type="dxa"/>
            <w:vAlign w:val="bottom"/>
          </w:tcPr>
          <w:p w14:paraId="1E591A81" w14:textId="77777777" w:rsidR="00B628FF" w:rsidRDefault="005B2D2F">
            <w:pPr>
              <w:pStyle w:val="Summarytabletextrightaligned"/>
            </w:pPr>
            <w:r>
              <w:t>28.7</w:t>
            </w:r>
          </w:p>
        </w:tc>
      </w:tr>
      <w:tr w:rsidR="00B628FF" w14:paraId="3620FB9C" w14:textId="77777777" w:rsidTr="6BC96CA7">
        <w:tc>
          <w:tcPr>
            <w:tcW w:w="3471" w:type="dxa"/>
            <w:vAlign w:val="bottom"/>
          </w:tcPr>
          <w:p w14:paraId="51DA3D95" w14:textId="77777777" w:rsidR="00B628FF" w:rsidRDefault="005B2D2F">
            <w:pPr>
              <w:pStyle w:val="SummaryMeasureTitlewithTheme"/>
            </w:pPr>
            <w:r>
              <w:t>Personal Income Tax – increasing the Medicare levy low‑income thresholds</w:t>
            </w:r>
          </w:p>
        </w:tc>
        <w:tc>
          <w:tcPr>
            <w:tcW w:w="850" w:type="dxa"/>
            <w:vAlign w:val="bottom"/>
          </w:tcPr>
          <w:p w14:paraId="3C795638" w14:textId="2084007D" w:rsidR="00B628FF" w:rsidRDefault="00B31B37">
            <w:pPr>
              <w:pStyle w:val="Summarytabletextrightaligned"/>
            </w:pPr>
            <w:r>
              <w:noBreakHyphen/>
            </w:r>
          </w:p>
        </w:tc>
        <w:tc>
          <w:tcPr>
            <w:tcW w:w="850" w:type="dxa"/>
            <w:shd w:val="clear" w:color="auto" w:fill="E6F2FF"/>
            <w:vAlign w:val="bottom"/>
          </w:tcPr>
          <w:p w14:paraId="15ED7B10" w14:textId="1C3E4461" w:rsidR="00B628FF" w:rsidRDefault="00B31B37">
            <w:pPr>
              <w:pStyle w:val="Summarytabletextrightaligned"/>
            </w:pPr>
            <w:r>
              <w:noBreakHyphen/>
            </w:r>
            <w:r w:rsidR="005B2D2F">
              <w:t>207.0</w:t>
            </w:r>
          </w:p>
        </w:tc>
        <w:tc>
          <w:tcPr>
            <w:tcW w:w="850" w:type="dxa"/>
            <w:vAlign w:val="bottom"/>
          </w:tcPr>
          <w:p w14:paraId="5296CAAF" w14:textId="632BA133" w:rsidR="00B628FF" w:rsidRDefault="00B31B37">
            <w:pPr>
              <w:pStyle w:val="Summarytabletextrightaligned"/>
            </w:pPr>
            <w:r>
              <w:noBreakHyphen/>
            </w:r>
            <w:r w:rsidR="005B2D2F">
              <w:t>152.0</w:t>
            </w:r>
          </w:p>
        </w:tc>
        <w:tc>
          <w:tcPr>
            <w:tcW w:w="850" w:type="dxa"/>
            <w:vAlign w:val="bottom"/>
          </w:tcPr>
          <w:p w14:paraId="7DEA8C6A" w14:textId="337AFBFA" w:rsidR="00B628FF" w:rsidRDefault="00B31B37">
            <w:pPr>
              <w:pStyle w:val="Summarytabletextrightaligned"/>
            </w:pPr>
            <w:r>
              <w:noBreakHyphen/>
            </w:r>
            <w:r w:rsidR="005B2D2F">
              <w:t>145.0</w:t>
            </w:r>
          </w:p>
        </w:tc>
        <w:tc>
          <w:tcPr>
            <w:tcW w:w="850" w:type="dxa"/>
            <w:vAlign w:val="bottom"/>
          </w:tcPr>
          <w:p w14:paraId="2A19AD7A" w14:textId="70CF20B1" w:rsidR="00B628FF" w:rsidRDefault="00B31B37">
            <w:pPr>
              <w:pStyle w:val="Summarytabletextrightaligned"/>
            </w:pPr>
            <w:r>
              <w:noBreakHyphen/>
            </w:r>
            <w:r w:rsidR="005B2D2F">
              <w:t>144.0</w:t>
            </w:r>
          </w:p>
        </w:tc>
      </w:tr>
      <w:tr w:rsidR="00F06751" w14:paraId="588149F8" w14:textId="77777777" w:rsidTr="6BC96CA7">
        <w:tc>
          <w:tcPr>
            <w:tcW w:w="3471" w:type="dxa"/>
            <w:vAlign w:val="bottom"/>
          </w:tcPr>
          <w:p w14:paraId="3FB5D00C" w14:textId="2E84B552" w:rsidR="00F06751" w:rsidRDefault="00F06751" w:rsidP="00F06751">
            <w:pPr>
              <w:pStyle w:val="SummaryMeasureTitlewithTheme"/>
            </w:pPr>
            <w:r w:rsidRPr="00C21E9A">
              <w:t>Personal Income Tax – new tax cuts for every Australian taxpayer</w:t>
            </w:r>
          </w:p>
        </w:tc>
        <w:tc>
          <w:tcPr>
            <w:tcW w:w="850" w:type="dxa"/>
            <w:vAlign w:val="bottom"/>
          </w:tcPr>
          <w:p w14:paraId="3CFB43E9" w14:textId="4D2F9CC1" w:rsidR="00F06751" w:rsidRPr="00F06751" w:rsidRDefault="00B31B37" w:rsidP="00F06751">
            <w:pPr>
              <w:pStyle w:val="Summarytabletextrightaligned"/>
            </w:pPr>
            <w:r>
              <w:noBreakHyphen/>
            </w:r>
          </w:p>
        </w:tc>
        <w:tc>
          <w:tcPr>
            <w:tcW w:w="850" w:type="dxa"/>
            <w:shd w:val="clear" w:color="auto" w:fill="E6F2FF"/>
            <w:vAlign w:val="bottom"/>
          </w:tcPr>
          <w:p w14:paraId="0E691C89" w14:textId="1D6B81A8" w:rsidR="00F06751" w:rsidRPr="00F06751" w:rsidRDefault="00B31B37" w:rsidP="00F06751">
            <w:pPr>
              <w:pStyle w:val="Summarytabletextrightaligned"/>
            </w:pPr>
            <w:r>
              <w:noBreakHyphen/>
            </w:r>
          </w:p>
        </w:tc>
        <w:tc>
          <w:tcPr>
            <w:tcW w:w="850" w:type="dxa"/>
            <w:vAlign w:val="bottom"/>
          </w:tcPr>
          <w:p w14:paraId="717873E8" w14:textId="44E1832B" w:rsidR="00F06751" w:rsidRPr="00F06751" w:rsidRDefault="00B31B37" w:rsidP="00F06751">
            <w:pPr>
              <w:pStyle w:val="Summarytabletextrightaligned"/>
            </w:pPr>
            <w:r>
              <w:noBreakHyphen/>
            </w:r>
            <w:r w:rsidR="00F06751" w:rsidRPr="000C202F">
              <w:t>3,000.0</w:t>
            </w:r>
          </w:p>
        </w:tc>
        <w:tc>
          <w:tcPr>
            <w:tcW w:w="850" w:type="dxa"/>
            <w:vAlign w:val="bottom"/>
          </w:tcPr>
          <w:p w14:paraId="350377B4" w14:textId="47AECFA2" w:rsidR="00F06751" w:rsidRPr="00F06751" w:rsidRDefault="00B31B37" w:rsidP="00F06751">
            <w:pPr>
              <w:pStyle w:val="Summarytabletextrightaligned"/>
            </w:pPr>
            <w:r>
              <w:noBreakHyphen/>
            </w:r>
            <w:r w:rsidR="00F06751" w:rsidRPr="000C202F">
              <w:t>6,700.0</w:t>
            </w:r>
          </w:p>
        </w:tc>
        <w:tc>
          <w:tcPr>
            <w:tcW w:w="850" w:type="dxa"/>
            <w:vAlign w:val="bottom"/>
          </w:tcPr>
          <w:p w14:paraId="611407EF" w14:textId="5B4ADA95" w:rsidR="00F06751" w:rsidRPr="00F06751" w:rsidRDefault="00B31B37" w:rsidP="00F06751">
            <w:pPr>
              <w:pStyle w:val="Summarytabletextrightaligned"/>
            </w:pPr>
            <w:r>
              <w:noBreakHyphen/>
            </w:r>
            <w:r w:rsidR="00F06751" w:rsidRPr="000C202F">
              <w:t>7,400.0</w:t>
            </w:r>
          </w:p>
        </w:tc>
      </w:tr>
      <w:tr w:rsidR="00B628FF" w14:paraId="669D1CB6" w14:textId="77777777" w:rsidTr="6BC96CA7">
        <w:tc>
          <w:tcPr>
            <w:tcW w:w="3471" w:type="dxa"/>
            <w:vAlign w:val="bottom"/>
          </w:tcPr>
          <w:p w14:paraId="2A6164CB" w14:textId="77777777" w:rsidR="00B628FF" w:rsidRDefault="005B2D2F">
            <w:pPr>
              <w:pStyle w:val="SummaryMeasureTitlewithTheme"/>
            </w:pPr>
            <w:r>
              <w:t>Restricting Foreign Ownership of Housing(b)</w:t>
            </w:r>
          </w:p>
        </w:tc>
        <w:tc>
          <w:tcPr>
            <w:tcW w:w="850" w:type="dxa"/>
            <w:vAlign w:val="bottom"/>
          </w:tcPr>
          <w:p w14:paraId="75648068" w14:textId="32D26E1E" w:rsidR="00B628FF" w:rsidRDefault="00B31B37">
            <w:pPr>
              <w:pStyle w:val="Summarytabletextrightaligned"/>
            </w:pPr>
            <w:r>
              <w:noBreakHyphen/>
            </w:r>
            <w:r w:rsidR="005B2D2F">
              <w:t>10.0</w:t>
            </w:r>
          </w:p>
        </w:tc>
        <w:tc>
          <w:tcPr>
            <w:tcW w:w="850" w:type="dxa"/>
            <w:shd w:val="clear" w:color="auto" w:fill="E6F2FF"/>
            <w:vAlign w:val="bottom"/>
          </w:tcPr>
          <w:p w14:paraId="2B9F0C9E" w14:textId="562B6EE5" w:rsidR="00B628FF" w:rsidRDefault="00B31B37">
            <w:pPr>
              <w:pStyle w:val="Summarytabletextrightaligned"/>
            </w:pPr>
            <w:r>
              <w:noBreakHyphen/>
            </w:r>
            <w:r w:rsidR="005B2D2F">
              <w:t>45.0</w:t>
            </w:r>
          </w:p>
        </w:tc>
        <w:tc>
          <w:tcPr>
            <w:tcW w:w="850" w:type="dxa"/>
            <w:vAlign w:val="bottom"/>
          </w:tcPr>
          <w:p w14:paraId="0FB3E68A" w14:textId="46469D0D" w:rsidR="00B628FF" w:rsidRDefault="00B31B37">
            <w:pPr>
              <w:pStyle w:val="Summarytabletextrightaligned"/>
            </w:pPr>
            <w:r>
              <w:noBreakHyphen/>
            </w:r>
            <w:r w:rsidR="005B2D2F">
              <w:t>35.0</w:t>
            </w:r>
          </w:p>
        </w:tc>
        <w:tc>
          <w:tcPr>
            <w:tcW w:w="850" w:type="dxa"/>
            <w:vAlign w:val="bottom"/>
          </w:tcPr>
          <w:p w14:paraId="039FE725" w14:textId="5AE6E8A9" w:rsidR="00B628FF" w:rsidRDefault="00B43D7F">
            <w:pPr>
              <w:pStyle w:val="Summarytabletextrightaligned"/>
            </w:pPr>
            <w:r>
              <w:t>..</w:t>
            </w:r>
          </w:p>
        </w:tc>
        <w:tc>
          <w:tcPr>
            <w:tcW w:w="850" w:type="dxa"/>
            <w:vAlign w:val="bottom"/>
          </w:tcPr>
          <w:p w14:paraId="287333F6" w14:textId="157517DB" w:rsidR="00B628FF" w:rsidRDefault="00B31B37">
            <w:pPr>
              <w:pStyle w:val="Summarytabletextrightaligned"/>
            </w:pPr>
            <w:r>
              <w:noBreakHyphen/>
            </w:r>
          </w:p>
        </w:tc>
      </w:tr>
      <w:tr w:rsidR="00B628FF" w14:paraId="522C91FF" w14:textId="77777777" w:rsidTr="6BC96CA7">
        <w:tc>
          <w:tcPr>
            <w:tcW w:w="3471" w:type="dxa"/>
            <w:vAlign w:val="bottom"/>
          </w:tcPr>
          <w:p w14:paraId="346362BC" w14:textId="77777777" w:rsidR="00B628FF" w:rsidRDefault="005B2D2F">
            <w:pPr>
              <w:pStyle w:val="SummaryMeasureTitlewithTheme"/>
            </w:pPr>
            <w:r>
              <w:t>Strengthening Tax Integrity(b)</w:t>
            </w:r>
          </w:p>
        </w:tc>
        <w:tc>
          <w:tcPr>
            <w:tcW w:w="850" w:type="dxa"/>
            <w:vAlign w:val="bottom"/>
          </w:tcPr>
          <w:p w14:paraId="63CFA05C" w14:textId="32A98F23" w:rsidR="00B628FF" w:rsidRDefault="00B31B37">
            <w:pPr>
              <w:pStyle w:val="Summarytabletextrightaligned"/>
            </w:pPr>
            <w:r>
              <w:noBreakHyphen/>
            </w:r>
          </w:p>
        </w:tc>
        <w:tc>
          <w:tcPr>
            <w:tcW w:w="850" w:type="dxa"/>
            <w:shd w:val="clear" w:color="auto" w:fill="E6F2FF"/>
            <w:vAlign w:val="bottom"/>
          </w:tcPr>
          <w:p w14:paraId="2F47D000" w14:textId="77777777" w:rsidR="00B628FF" w:rsidRDefault="005B2D2F">
            <w:pPr>
              <w:pStyle w:val="Summarytabletextrightaligned"/>
            </w:pPr>
            <w:r>
              <w:t>52.3</w:t>
            </w:r>
          </w:p>
        </w:tc>
        <w:tc>
          <w:tcPr>
            <w:tcW w:w="850" w:type="dxa"/>
            <w:vAlign w:val="bottom"/>
          </w:tcPr>
          <w:p w14:paraId="71035D06" w14:textId="77777777" w:rsidR="00B628FF" w:rsidRDefault="005B2D2F">
            <w:pPr>
              <w:pStyle w:val="Summarytabletextrightaligned"/>
            </w:pPr>
            <w:r>
              <w:t>323.2</w:t>
            </w:r>
          </w:p>
        </w:tc>
        <w:tc>
          <w:tcPr>
            <w:tcW w:w="850" w:type="dxa"/>
            <w:vAlign w:val="bottom"/>
          </w:tcPr>
          <w:p w14:paraId="2914A4E5" w14:textId="77777777" w:rsidR="00B628FF" w:rsidRDefault="005B2D2F">
            <w:pPr>
              <w:pStyle w:val="Summarytabletextrightaligned"/>
            </w:pPr>
            <w:r>
              <w:t>563.6</w:t>
            </w:r>
          </w:p>
        </w:tc>
        <w:tc>
          <w:tcPr>
            <w:tcW w:w="850" w:type="dxa"/>
            <w:vAlign w:val="bottom"/>
          </w:tcPr>
          <w:p w14:paraId="1806A675" w14:textId="77777777" w:rsidR="00B628FF" w:rsidRDefault="005B2D2F">
            <w:pPr>
              <w:pStyle w:val="Summarytabletextrightaligned"/>
            </w:pPr>
            <w:r>
              <w:t>2,275.1</w:t>
            </w:r>
          </w:p>
        </w:tc>
      </w:tr>
      <w:tr w:rsidR="00B628FF" w14:paraId="66393AC4" w14:textId="77777777" w:rsidTr="6BC96CA7">
        <w:tc>
          <w:tcPr>
            <w:tcW w:w="3471" w:type="dxa"/>
            <w:vAlign w:val="bottom"/>
          </w:tcPr>
          <w:p w14:paraId="12E9C605" w14:textId="77777777" w:rsidR="00B628FF" w:rsidRDefault="005B2D2F">
            <w:pPr>
              <w:pStyle w:val="SummaryMeasureTitlewithTheme"/>
            </w:pPr>
            <w:r>
              <w:t>Supporting Philanthropy</w:t>
            </w:r>
          </w:p>
        </w:tc>
        <w:tc>
          <w:tcPr>
            <w:tcW w:w="850" w:type="dxa"/>
            <w:vAlign w:val="bottom"/>
          </w:tcPr>
          <w:p w14:paraId="2D5E7440" w14:textId="465AFF5F" w:rsidR="00B628FF" w:rsidRDefault="00B31B37">
            <w:pPr>
              <w:pStyle w:val="Summarytabletextrightaligned"/>
            </w:pPr>
            <w:r>
              <w:noBreakHyphen/>
            </w:r>
          </w:p>
        </w:tc>
        <w:tc>
          <w:tcPr>
            <w:tcW w:w="850" w:type="dxa"/>
            <w:shd w:val="clear" w:color="auto" w:fill="E6F2FF"/>
            <w:vAlign w:val="bottom"/>
          </w:tcPr>
          <w:p w14:paraId="1B9E8B33" w14:textId="25522A39" w:rsidR="00B628FF" w:rsidRDefault="00B31B37">
            <w:pPr>
              <w:pStyle w:val="Summarytabletextrightaligned"/>
            </w:pPr>
            <w:r>
              <w:noBreakHyphen/>
            </w:r>
          </w:p>
        </w:tc>
        <w:tc>
          <w:tcPr>
            <w:tcW w:w="850" w:type="dxa"/>
            <w:vAlign w:val="bottom"/>
          </w:tcPr>
          <w:p w14:paraId="2C4EF61A" w14:textId="696F8F9C" w:rsidR="00B628FF" w:rsidRDefault="00B31B37">
            <w:pPr>
              <w:pStyle w:val="Summarytabletextrightaligned"/>
            </w:pPr>
            <w:r>
              <w:noBreakHyphen/>
            </w:r>
            <w:r w:rsidR="005B2D2F">
              <w:t>0.9</w:t>
            </w:r>
          </w:p>
        </w:tc>
        <w:tc>
          <w:tcPr>
            <w:tcW w:w="850" w:type="dxa"/>
            <w:vAlign w:val="bottom"/>
          </w:tcPr>
          <w:p w14:paraId="6C43FD5D" w14:textId="30ECCB49" w:rsidR="00B628FF" w:rsidRDefault="00B31B37">
            <w:pPr>
              <w:pStyle w:val="Summarytabletextrightaligned"/>
            </w:pPr>
            <w:r>
              <w:noBreakHyphen/>
            </w:r>
            <w:r w:rsidR="005B2D2F">
              <w:t>1.0</w:t>
            </w:r>
          </w:p>
        </w:tc>
        <w:tc>
          <w:tcPr>
            <w:tcW w:w="850" w:type="dxa"/>
            <w:vAlign w:val="bottom"/>
          </w:tcPr>
          <w:p w14:paraId="075BC24A" w14:textId="29353ABD" w:rsidR="00B628FF" w:rsidRDefault="00B31B37">
            <w:pPr>
              <w:pStyle w:val="Summarytabletextrightaligned"/>
            </w:pPr>
            <w:r>
              <w:noBreakHyphen/>
            </w:r>
            <w:r w:rsidR="005B2D2F">
              <w:t>2.6</w:t>
            </w:r>
          </w:p>
        </w:tc>
      </w:tr>
      <w:tr w:rsidR="00B628FF" w14:paraId="4AE4B6CC" w14:textId="77777777" w:rsidTr="6BC96CA7">
        <w:tc>
          <w:tcPr>
            <w:tcW w:w="3471" w:type="dxa"/>
            <w:vAlign w:val="bottom"/>
          </w:tcPr>
          <w:p w14:paraId="3C905FA6" w14:textId="77777777" w:rsidR="00B628FF" w:rsidRDefault="005B2D2F">
            <w:pPr>
              <w:pStyle w:val="SummaryMeasureTitlewithTheme"/>
            </w:pPr>
            <w:r>
              <w:t>Supporting the Hospitality Sector and Alcohol Producers(b)</w:t>
            </w:r>
          </w:p>
        </w:tc>
        <w:tc>
          <w:tcPr>
            <w:tcW w:w="850" w:type="dxa"/>
            <w:vAlign w:val="bottom"/>
          </w:tcPr>
          <w:p w14:paraId="09B2331B" w14:textId="7D2640A0" w:rsidR="00B628FF" w:rsidRDefault="00B31B37">
            <w:pPr>
              <w:pStyle w:val="Summarytabletextrightaligned"/>
            </w:pPr>
            <w:r>
              <w:noBreakHyphen/>
            </w:r>
          </w:p>
        </w:tc>
        <w:tc>
          <w:tcPr>
            <w:tcW w:w="850" w:type="dxa"/>
            <w:shd w:val="clear" w:color="auto" w:fill="E6F2FF"/>
            <w:vAlign w:val="bottom"/>
          </w:tcPr>
          <w:p w14:paraId="145F5772" w14:textId="32519844" w:rsidR="00B628FF" w:rsidRDefault="00B31B37">
            <w:pPr>
              <w:pStyle w:val="Summarytabletextrightaligned"/>
            </w:pPr>
            <w:r>
              <w:noBreakHyphen/>
            </w:r>
            <w:r w:rsidR="005B2D2F">
              <w:t>10.0</w:t>
            </w:r>
          </w:p>
        </w:tc>
        <w:tc>
          <w:tcPr>
            <w:tcW w:w="850" w:type="dxa"/>
            <w:vAlign w:val="bottom"/>
          </w:tcPr>
          <w:p w14:paraId="28AA7294" w14:textId="05CBBA18" w:rsidR="00B628FF" w:rsidRDefault="00B31B37">
            <w:pPr>
              <w:pStyle w:val="Summarytabletextrightaligned"/>
            </w:pPr>
            <w:r>
              <w:noBreakHyphen/>
            </w:r>
            <w:r w:rsidR="005B2D2F">
              <w:t>45.0</w:t>
            </w:r>
          </w:p>
        </w:tc>
        <w:tc>
          <w:tcPr>
            <w:tcW w:w="850" w:type="dxa"/>
            <w:vAlign w:val="bottom"/>
          </w:tcPr>
          <w:p w14:paraId="2DFA5A27" w14:textId="1638B9B8" w:rsidR="00B628FF" w:rsidRDefault="00B31B37">
            <w:pPr>
              <w:pStyle w:val="Summarytabletextrightaligned"/>
            </w:pPr>
            <w:r>
              <w:noBreakHyphen/>
            </w:r>
            <w:r w:rsidR="005B2D2F">
              <w:t>55.0</w:t>
            </w:r>
          </w:p>
        </w:tc>
        <w:tc>
          <w:tcPr>
            <w:tcW w:w="850" w:type="dxa"/>
            <w:vAlign w:val="bottom"/>
          </w:tcPr>
          <w:p w14:paraId="78616175" w14:textId="4E733C7E" w:rsidR="00B628FF" w:rsidRDefault="00B31B37">
            <w:pPr>
              <w:pStyle w:val="Summarytabletextrightaligned"/>
            </w:pPr>
            <w:r>
              <w:noBreakHyphen/>
            </w:r>
            <w:r w:rsidR="005B2D2F">
              <w:t>55.0</w:t>
            </w:r>
          </w:p>
        </w:tc>
      </w:tr>
      <w:tr w:rsidR="00B628FF" w14:paraId="1607D48F" w14:textId="77777777" w:rsidTr="6BC96CA7">
        <w:tc>
          <w:tcPr>
            <w:tcW w:w="3471" w:type="dxa"/>
            <w:vAlign w:val="bottom"/>
          </w:tcPr>
          <w:p w14:paraId="43457C29" w14:textId="77777777" w:rsidR="00B628FF" w:rsidRDefault="005B2D2F">
            <w:pPr>
              <w:pStyle w:val="SummaryAgencyTitle-BP2"/>
            </w:pPr>
            <w:r>
              <w:t>Department of the Treasury</w:t>
            </w:r>
          </w:p>
        </w:tc>
        <w:tc>
          <w:tcPr>
            <w:tcW w:w="850" w:type="dxa"/>
          </w:tcPr>
          <w:p w14:paraId="5BB918BE" w14:textId="77777777" w:rsidR="00B628FF" w:rsidRDefault="00B628FF">
            <w:pPr>
              <w:pStyle w:val="SummaryAgencyTitle-BP2"/>
            </w:pPr>
          </w:p>
        </w:tc>
        <w:tc>
          <w:tcPr>
            <w:tcW w:w="850" w:type="dxa"/>
            <w:shd w:val="clear" w:color="auto" w:fill="E6F2FF"/>
          </w:tcPr>
          <w:p w14:paraId="66F727C8" w14:textId="77777777" w:rsidR="00B628FF" w:rsidRDefault="00B628FF">
            <w:pPr>
              <w:pStyle w:val="SummaryAgencyTitle-BP2"/>
            </w:pPr>
          </w:p>
        </w:tc>
        <w:tc>
          <w:tcPr>
            <w:tcW w:w="850" w:type="dxa"/>
          </w:tcPr>
          <w:p w14:paraId="32BE200A" w14:textId="77777777" w:rsidR="00B628FF" w:rsidRDefault="00B628FF">
            <w:pPr>
              <w:pStyle w:val="SummaryAgencyTitle-BP2"/>
            </w:pPr>
          </w:p>
        </w:tc>
        <w:tc>
          <w:tcPr>
            <w:tcW w:w="850" w:type="dxa"/>
          </w:tcPr>
          <w:p w14:paraId="42DFE731" w14:textId="77777777" w:rsidR="00B628FF" w:rsidRDefault="00B628FF">
            <w:pPr>
              <w:pStyle w:val="SummaryAgencyTitle-BP2"/>
            </w:pPr>
          </w:p>
        </w:tc>
        <w:tc>
          <w:tcPr>
            <w:tcW w:w="850" w:type="dxa"/>
          </w:tcPr>
          <w:p w14:paraId="22B50830" w14:textId="77777777" w:rsidR="00B628FF" w:rsidRDefault="00B628FF">
            <w:pPr>
              <w:pStyle w:val="SummaryAgencyTitle-BP2"/>
            </w:pPr>
          </w:p>
        </w:tc>
      </w:tr>
      <w:tr w:rsidR="00B628FF" w14:paraId="680F18C1" w14:textId="77777777" w:rsidTr="6BC96CA7">
        <w:tc>
          <w:tcPr>
            <w:tcW w:w="3471" w:type="dxa"/>
            <w:vAlign w:val="bottom"/>
          </w:tcPr>
          <w:p w14:paraId="4572317D" w14:textId="77777777" w:rsidR="00B628FF" w:rsidRDefault="005B2D2F">
            <w:pPr>
              <w:pStyle w:val="SummaryMeasureTitlewithTheme"/>
            </w:pPr>
            <w:r>
              <w:t>International Assistance(b)</w:t>
            </w:r>
          </w:p>
        </w:tc>
        <w:tc>
          <w:tcPr>
            <w:tcW w:w="850" w:type="dxa"/>
            <w:vAlign w:val="bottom"/>
          </w:tcPr>
          <w:p w14:paraId="48E16373" w14:textId="77777777" w:rsidR="00B628FF" w:rsidRDefault="005B2D2F">
            <w:pPr>
              <w:pStyle w:val="Summarytabletextrightaligned"/>
            </w:pPr>
            <w:r w:rsidRPr="6BC96CA7">
              <w:rPr>
                <w:lang w:val="en-US"/>
              </w:rPr>
              <w:t>nfp</w:t>
            </w:r>
          </w:p>
        </w:tc>
        <w:tc>
          <w:tcPr>
            <w:tcW w:w="850" w:type="dxa"/>
            <w:shd w:val="clear" w:color="auto" w:fill="E6F2FF"/>
            <w:vAlign w:val="bottom"/>
          </w:tcPr>
          <w:p w14:paraId="09B100DB" w14:textId="77777777" w:rsidR="00B628FF" w:rsidRDefault="005B2D2F">
            <w:pPr>
              <w:pStyle w:val="Summarytabletextrightaligned"/>
            </w:pPr>
            <w:r w:rsidRPr="6BC96CA7">
              <w:rPr>
                <w:lang w:val="en-US"/>
              </w:rPr>
              <w:t>nfp</w:t>
            </w:r>
          </w:p>
        </w:tc>
        <w:tc>
          <w:tcPr>
            <w:tcW w:w="850" w:type="dxa"/>
            <w:vAlign w:val="bottom"/>
          </w:tcPr>
          <w:p w14:paraId="667A8F5F" w14:textId="77777777" w:rsidR="00B628FF" w:rsidRDefault="005B2D2F">
            <w:pPr>
              <w:pStyle w:val="Summarytabletextrightaligned"/>
            </w:pPr>
            <w:r w:rsidRPr="6BC96CA7">
              <w:rPr>
                <w:lang w:val="en-US"/>
              </w:rPr>
              <w:t>nfp</w:t>
            </w:r>
          </w:p>
        </w:tc>
        <w:tc>
          <w:tcPr>
            <w:tcW w:w="850" w:type="dxa"/>
            <w:vAlign w:val="bottom"/>
          </w:tcPr>
          <w:p w14:paraId="06DB2A19" w14:textId="77777777" w:rsidR="00B628FF" w:rsidRDefault="005B2D2F">
            <w:pPr>
              <w:pStyle w:val="Summarytabletextrightaligned"/>
            </w:pPr>
            <w:r w:rsidRPr="6BC96CA7">
              <w:rPr>
                <w:lang w:val="en-US"/>
              </w:rPr>
              <w:t>nfp</w:t>
            </w:r>
          </w:p>
        </w:tc>
        <w:tc>
          <w:tcPr>
            <w:tcW w:w="850" w:type="dxa"/>
            <w:vAlign w:val="bottom"/>
          </w:tcPr>
          <w:p w14:paraId="20EABADB" w14:textId="77777777" w:rsidR="00B628FF" w:rsidRDefault="005B2D2F">
            <w:pPr>
              <w:pStyle w:val="Summarytabletextrightaligned"/>
            </w:pPr>
            <w:r w:rsidRPr="6BC96CA7">
              <w:rPr>
                <w:lang w:val="en-US"/>
              </w:rPr>
              <w:t>nfp</w:t>
            </w:r>
          </w:p>
        </w:tc>
      </w:tr>
      <w:tr w:rsidR="00E652A9" w14:paraId="42837152" w14:textId="77777777" w:rsidTr="6BC96CA7">
        <w:tc>
          <w:tcPr>
            <w:tcW w:w="3471" w:type="dxa"/>
            <w:vAlign w:val="bottom"/>
          </w:tcPr>
          <w:p w14:paraId="2635A2F8" w14:textId="77777777" w:rsidR="00E652A9" w:rsidRPr="00F408A4" w:rsidRDefault="00E652A9" w:rsidP="00E652A9">
            <w:pPr>
              <w:pStyle w:val="Summarytabletextleftalignedbold"/>
            </w:pPr>
            <w:r w:rsidRPr="00F408A4">
              <w:t>Portfolio total</w:t>
            </w:r>
          </w:p>
        </w:tc>
        <w:tc>
          <w:tcPr>
            <w:tcW w:w="850" w:type="dxa"/>
            <w:tcBorders>
              <w:top w:val="single" w:sz="4" w:space="0" w:color="000000" w:themeColor="text1"/>
              <w:bottom w:val="single" w:sz="4" w:space="0" w:color="000000" w:themeColor="text1"/>
            </w:tcBorders>
            <w:vAlign w:val="bottom"/>
          </w:tcPr>
          <w:p w14:paraId="72B9CB6C" w14:textId="1D6C8A1A" w:rsidR="00E652A9" w:rsidRPr="00F408A4" w:rsidRDefault="00B31B37" w:rsidP="00E652A9">
            <w:pPr>
              <w:pStyle w:val="Summarytabletextrightalignedbold"/>
            </w:pPr>
            <w:r>
              <w:noBreakHyphen/>
            </w:r>
            <w:r w:rsidR="00E652A9">
              <w:t>10.0</w:t>
            </w:r>
          </w:p>
        </w:tc>
        <w:tc>
          <w:tcPr>
            <w:tcW w:w="850" w:type="dxa"/>
            <w:tcBorders>
              <w:top w:val="single" w:sz="4" w:space="0" w:color="000000" w:themeColor="text1"/>
              <w:bottom w:val="single" w:sz="4" w:space="0" w:color="000000" w:themeColor="text1"/>
            </w:tcBorders>
            <w:shd w:val="clear" w:color="auto" w:fill="E6F2FF"/>
            <w:vAlign w:val="bottom"/>
          </w:tcPr>
          <w:p w14:paraId="5CBDEB70" w14:textId="1D0391D1" w:rsidR="00E652A9" w:rsidRPr="00F408A4" w:rsidRDefault="00B31B37" w:rsidP="00E652A9">
            <w:pPr>
              <w:pStyle w:val="Summarytabletextrightalignedbold"/>
            </w:pPr>
            <w:r>
              <w:noBreakHyphen/>
            </w:r>
            <w:r w:rsidR="00E652A9">
              <w:t>259.7</w:t>
            </w:r>
          </w:p>
        </w:tc>
        <w:tc>
          <w:tcPr>
            <w:tcW w:w="850" w:type="dxa"/>
            <w:tcBorders>
              <w:top w:val="single" w:sz="4" w:space="0" w:color="000000" w:themeColor="text1"/>
              <w:bottom w:val="single" w:sz="4" w:space="0" w:color="000000" w:themeColor="text1"/>
            </w:tcBorders>
            <w:vAlign w:val="bottom"/>
          </w:tcPr>
          <w:p w14:paraId="7CFE159B" w14:textId="1E528CD4" w:rsidR="00E652A9" w:rsidRPr="00F408A4" w:rsidRDefault="00B31B37" w:rsidP="00E652A9">
            <w:pPr>
              <w:pStyle w:val="Summarytabletextrightalignedbold"/>
            </w:pPr>
            <w:r>
              <w:noBreakHyphen/>
            </w:r>
            <w:r w:rsidR="00E652A9">
              <w:t>2,907.6</w:t>
            </w:r>
          </w:p>
        </w:tc>
        <w:tc>
          <w:tcPr>
            <w:tcW w:w="850" w:type="dxa"/>
            <w:tcBorders>
              <w:top w:val="single" w:sz="4" w:space="0" w:color="000000" w:themeColor="text1"/>
              <w:bottom w:val="single" w:sz="4" w:space="0" w:color="000000" w:themeColor="text1"/>
            </w:tcBorders>
            <w:vAlign w:val="bottom"/>
          </w:tcPr>
          <w:p w14:paraId="3A8FC70E" w14:textId="4D287F0F" w:rsidR="00E652A9" w:rsidRPr="00F408A4" w:rsidRDefault="00B31B37" w:rsidP="00E652A9">
            <w:pPr>
              <w:pStyle w:val="Summarytabletextrightalignedbold"/>
            </w:pPr>
            <w:r>
              <w:noBreakHyphen/>
            </w:r>
            <w:r w:rsidR="00E652A9">
              <w:t>6,321.2</w:t>
            </w:r>
          </w:p>
        </w:tc>
        <w:tc>
          <w:tcPr>
            <w:tcW w:w="850" w:type="dxa"/>
            <w:tcBorders>
              <w:top w:val="single" w:sz="4" w:space="0" w:color="000000" w:themeColor="text1"/>
              <w:bottom w:val="single" w:sz="4" w:space="0" w:color="000000" w:themeColor="text1"/>
            </w:tcBorders>
            <w:vAlign w:val="bottom"/>
          </w:tcPr>
          <w:p w14:paraId="38D445B8" w14:textId="69B8EA77" w:rsidR="00E652A9" w:rsidRPr="00F408A4" w:rsidRDefault="00B31B37" w:rsidP="00E652A9">
            <w:pPr>
              <w:pStyle w:val="Summarytabletextrightalignedbold"/>
            </w:pPr>
            <w:r>
              <w:noBreakHyphen/>
            </w:r>
            <w:r w:rsidR="00E652A9">
              <w:t>5,297.8</w:t>
            </w:r>
          </w:p>
        </w:tc>
      </w:tr>
      <w:tr w:rsidR="00B628FF" w14:paraId="5FE80973" w14:textId="77777777" w:rsidTr="6BC96CA7">
        <w:tc>
          <w:tcPr>
            <w:tcW w:w="3471" w:type="dxa"/>
            <w:vAlign w:val="bottom"/>
          </w:tcPr>
          <w:p w14:paraId="479F2996" w14:textId="7AD19CE8" w:rsidR="00B628FF" w:rsidRDefault="005B2D2F">
            <w:pPr>
              <w:pStyle w:val="Summarytabletextleftalignedbold"/>
            </w:pPr>
            <w:r>
              <w:t>Decisions taken but not yet announced</w:t>
            </w:r>
            <w:r w:rsidR="004405BC">
              <w:t xml:space="preserve"> and not for publication (nfp)</w:t>
            </w:r>
          </w:p>
        </w:tc>
        <w:tc>
          <w:tcPr>
            <w:tcW w:w="850" w:type="dxa"/>
            <w:tcBorders>
              <w:top w:val="single" w:sz="4" w:space="0" w:color="000000" w:themeColor="text1"/>
              <w:bottom w:val="single" w:sz="4" w:space="0" w:color="000000" w:themeColor="text1"/>
            </w:tcBorders>
            <w:vAlign w:val="bottom"/>
          </w:tcPr>
          <w:p w14:paraId="400B2E51" w14:textId="77777777" w:rsidR="00B628FF" w:rsidRDefault="005B2D2F">
            <w:pPr>
              <w:pStyle w:val="Summarytabletextrightalignedbold"/>
            </w:pPr>
            <w:r>
              <w:t>31.0</w:t>
            </w:r>
          </w:p>
        </w:tc>
        <w:tc>
          <w:tcPr>
            <w:tcW w:w="850" w:type="dxa"/>
            <w:tcBorders>
              <w:top w:val="single" w:sz="4" w:space="0" w:color="000000" w:themeColor="text1"/>
              <w:bottom w:val="single" w:sz="4" w:space="0" w:color="000000" w:themeColor="text1"/>
            </w:tcBorders>
            <w:shd w:val="clear" w:color="auto" w:fill="E6F2FF"/>
            <w:vAlign w:val="bottom"/>
          </w:tcPr>
          <w:p w14:paraId="07FCB691" w14:textId="77777777" w:rsidR="00B628FF" w:rsidRDefault="005B2D2F">
            <w:pPr>
              <w:pStyle w:val="Summarytabletextrightalignedbold"/>
            </w:pPr>
            <w:r>
              <w:t>133.9</w:t>
            </w:r>
          </w:p>
        </w:tc>
        <w:tc>
          <w:tcPr>
            <w:tcW w:w="850" w:type="dxa"/>
            <w:tcBorders>
              <w:top w:val="single" w:sz="4" w:space="0" w:color="000000" w:themeColor="text1"/>
              <w:bottom w:val="single" w:sz="4" w:space="0" w:color="000000" w:themeColor="text1"/>
            </w:tcBorders>
            <w:vAlign w:val="bottom"/>
          </w:tcPr>
          <w:p w14:paraId="04F483B0" w14:textId="23A1A8DD" w:rsidR="00B628FF" w:rsidRDefault="00B31B37">
            <w:pPr>
              <w:pStyle w:val="Summarytabletextrightalignedbold"/>
            </w:pPr>
            <w:r>
              <w:noBreakHyphen/>
            </w:r>
            <w:r w:rsidR="005B2D2F">
              <w:t>546.4</w:t>
            </w:r>
          </w:p>
        </w:tc>
        <w:tc>
          <w:tcPr>
            <w:tcW w:w="850" w:type="dxa"/>
            <w:tcBorders>
              <w:top w:val="single" w:sz="4" w:space="0" w:color="000000" w:themeColor="text1"/>
              <w:bottom w:val="single" w:sz="4" w:space="0" w:color="000000" w:themeColor="text1"/>
            </w:tcBorders>
            <w:vAlign w:val="bottom"/>
          </w:tcPr>
          <w:p w14:paraId="336CB474" w14:textId="77777777" w:rsidR="00B628FF" w:rsidRDefault="005B2D2F">
            <w:pPr>
              <w:pStyle w:val="Summarytabletextrightalignedbold"/>
            </w:pPr>
            <w:r>
              <w:t>161.2</w:t>
            </w:r>
          </w:p>
        </w:tc>
        <w:tc>
          <w:tcPr>
            <w:tcW w:w="850" w:type="dxa"/>
            <w:tcBorders>
              <w:top w:val="single" w:sz="4" w:space="0" w:color="000000" w:themeColor="text1"/>
              <w:bottom w:val="single" w:sz="4" w:space="0" w:color="000000" w:themeColor="text1"/>
            </w:tcBorders>
            <w:vAlign w:val="bottom"/>
          </w:tcPr>
          <w:p w14:paraId="6C53A4D9" w14:textId="77777777" w:rsidR="00B628FF" w:rsidRDefault="005B2D2F">
            <w:pPr>
              <w:pStyle w:val="Summarytabletextrightalignedbold"/>
            </w:pPr>
            <w:r>
              <w:t>720.2</w:t>
            </w:r>
          </w:p>
        </w:tc>
      </w:tr>
      <w:tr w:rsidR="00F567B5" w14:paraId="4B8F222A" w14:textId="77777777" w:rsidTr="6BC96CA7">
        <w:tc>
          <w:tcPr>
            <w:tcW w:w="3471" w:type="dxa"/>
            <w:tcBorders>
              <w:bottom w:val="single" w:sz="4" w:space="0" w:color="000000" w:themeColor="text1"/>
            </w:tcBorders>
            <w:vAlign w:val="bottom"/>
          </w:tcPr>
          <w:p w14:paraId="63BF5AEA" w14:textId="567D64B8" w:rsidR="00F567B5" w:rsidRDefault="00F567B5" w:rsidP="00F567B5">
            <w:pPr>
              <w:pStyle w:val="Summarytabletextleftalignedbold"/>
            </w:pPr>
            <w:r>
              <w:t>Total impact of receipt measures(c)</w:t>
            </w:r>
          </w:p>
        </w:tc>
        <w:tc>
          <w:tcPr>
            <w:tcW w:w="850" w:type="dxa"/>
            <w:tcBorders>
              <w:top w:val="single" w:sz="4" w:space="0" w:color="000000" w:themeColor="text1"/>
              <w:bottom w:val="single" w:sz="4" w:space="0" w:color="000000" w:themeColor="text1"/>
            </w:tcBorders>
            <w:vAlign w:val="bottom"/>
          </w:tcPr>
          <w:p w14:paraId="3F0FB08E" w14:textId="11112A69" w:rsidR="00F567B5" w:rsidRDefault="00F567B5" w:rsidP="00F567B5">
            <w:pPr>
              <w:pStyle w:val="Summarytabletextrightalignedbold"/>
            </w:pPr>
            <w:r>
              <w:t>21.0</w:t>
            </w:r>
          </w:p>
        </w:tc>
        <w:tc>
          <w:tcPr>
            <w:tcW w:w="850" w:type="dxa"/>
            <w:tcBorders>
              <w:top w:val="single" w:sz="4" w:space="0" w:color="000000" w:themeColor="text1"/>
              <w:bottom w:val="single" w:sz="4" w:space="0" w:color="000000" w:themeColor="text1"/>
            </w:tcBorders>
            <w:shd w:val="clear" w:color="auto" w:fill="E6F2FF"/>
            <w:vAlign w:val="bottom"/>
          </w:tcPr>
          <w:p w14:paraId="57F5007D" w14:textId="75873FF4" w:rsidR="00F567B5" w:rsidRDefault="00B31B37" w:rsidP="00F567B5">
            <w:pPr>
              <w:pStyle w:val="Summarytabletextrightalignedbold"/>
            </w:pPr>
            <w:r>
              <w:noBreakHyphen/>
            </w:r>
            <w:r w:rsidR="00F567B5">
              <w:t>103.0</w:t>
            </w:r>
          </w:p>
        </w:tc>
        <w:tc>
          <w:tcPr>
            <w:tcW w:w="850" w:type="dxa"/>
            <w:tcBorders>
              <w:top w:val="single" w:sz="4" w:space="0" w:color="000000" w:themeColor="text1"/>
              <w:bottom w:val="single" w:sz="4" w:space="0" w:color="000000" w:themeColor="text1"/>
            </w:tcBorders>
            <w:vAlign w:val="bottom"/>
          </w:tcPr>
          <w:p w14:paraId="6D20B17F" w14:textId="77FA45F5" w:rsidR="00F567B5" w:rsidRDefault="00B31B37" w:rsidP="00F567B5">
            <w:pPr>
              <w:pStyle w:val="Summarytabletextrightalignedbold"/>
            </w:pPr>
            <w:r>
              <w:noBreakHyphen/>
            </w:r>
            <w:r w:rsidR="00F567B5">
              <w:t>3,424.8</w:t>
            </w:r>
          </w:p>
        </w:tc>
        <w:tc>
          <w:tcPr>
            <w:tcW w:w="850" w:type="dxa"/>
            <w:tcBorders>
              <w:top w:val="single" w:sz="4" w:space="0" w:color="000000" w:themeColor="text1"/>
              <w:bottom w:val="single" w:sz="4" w:space="0" w:color="000000" w:themeColor="text1"/>
            </w:tcBorders>
            <w:vAlign w:val="bottom"/>
          </w:tcPr>
          <w:p w14:paraId="1A46392B" w14:textId="4D63F198" w:rsidR="00F567B5" w:rsidRDefault="00B31B37" w:rsidP="00F567B5">
            <w:pPr>
              <w:pStyle w:val="Summarytabletextrightalignedbold"/>
            </w:pPr>
            <w:r>
              <w:noBreakHyphen/>
            </w:r>
            <w:r w:rsidR="00F567B5">
              <w:t>6,129.2</w:t>
            </w:r>
          </w:p>
        </w:tc>
        <w:tc>
          <w:tcPr>
            <w:tcW w:w="850" w:type="dxa"/>
            <w:tcBorders>
              <w:top w:val="single" w:sz="4" w:space="0" w:color="000000" w:themeColor="text1"/>
              <w:bottom w:val="single" w:sz="4" w:space="0" w:color="000000" w:themeColor="text1"/>
            </w:tcBorders>
            <w:vAlign w:val="bottom"/>
          </w:tcPr>
          <w:p w14:paraId="130BECFB" w14:textId="1CE9E003" w:rsidR="00F567B5" w:rsidRDefault="00B31B37" w:rsidP="00F567B5">
            <w:pPr>
              <w:pStyle w:val="Summarytabletextrightalignedbold"/>
            </w:pPr>
            <w:r>
              <w:noBreakHyphen/>
            </w:r>
            <w:r w:rsidR="00F567B5">
              <w:t>4,541.8</w:t>
            </w:r>
          </w:p>
        </w:tc>
      </w:tr>
    </w:tbl>
    <w:p w14:paraId="08A7E52C" w14:textId="77777777" w:rsidR="009D3775" w:rsidRDefault="009D3775" w:rsidP="003C3E34">
      <w:pPr>
        <w:pStyle w:val="ChartandTableFootnote"/>
      </w:pPr>
      <w:r>
        <w:t>*</w:t>
      </w:r>
      <w:r>
        <w:tab/>
        <w:t>The nature of the measure is such that a reliable estimate cannot be provided.</w:t>
      </w:r>
    </w:p>
    <w:p w14:paraId="2C0F884D" w14:textId="77777777" w:rsidR="009D3775" w:rsidRDefault="009D3775" w:rsidP="003C3E34">
      <w:pPr>
        <w:pStyle w:val="ChartandTableFootnote"/>
      </w:pPr>
      <w:r w:rsidRPr="5FA307DC">
        <w:rPr>
          <w:lang w:val="en-US"/>
        </w:rPr>
        <w:t>..</w:t>
      </w:r>
      <w:r>
        <w:tab/>
      </w:r>
      <w:r w:rsidRPr="5FA307DC">
        <w:rPr>
          <w:lang w:val="en-US"/>
        </w:rPr>
        <w:t xml:space="preserve">Not </w:t>
      </w:r>
      <w:proofErr w:type="gramStart"/>
      <w:r w:rsidRPr="5FA307DC">
        <w:rPr>
          <w:lang w:val="en-US"/>
        </w:rPr>
        <w:t>zero, but</w:t>
      </w:r>
      <w:proofErr w:type="gramEnd"/>
      <w:r w:rsidRPr="5FA307DC">
        <w:rPr>
          <w:lang w:val="en-US"/>
        </w:rPr>
        <w:t xml:space="preserve"> rounded to zero.</w:t>
      </w:r>
    </w:p>
    <w:p w14:paraId="6AECB81A" w14:textId="6104150B" w:rsidR="009D3775" w:rsidRDefault="00B31B37" w:rsidP="003C3E34">
      <w:pPr>
        <w:pStyle w:val="ChartandTableFootnote"/>
      </w:pPr>
      <w:r>
        <w:noBreakHyphen/>
      </w:r>
      <w:r w:rsidR="009D3775">
        <w:tab/>
        <w:t>Nil.</w:t>
      </w:r>
    </w:p>
    <w:p w14:paraId="4D1E7BF3" w14:textId="44CE3F2B" w:rsidR="00B628FF" w:rsidRDefault="009D3775" w:rsidP="003C3E34">
      <w:pPr>
        <w:pStyle w:val="ChartandTableFootnote"/>
      </w:pPr>
      <w:r w:rsidRPr="5FA307DC">
        <w:rPr>
          <w:lang w:val="en-US"/>
        </w:rPr>
        <w:t>nfp</w:t>
      </w:r>
      <w:r>
        <w:tab/>
      </w:r>
      <w:r w:rsidRPr="5FA307DC">
        <w:rPr>
          <w:lang w:val="en-US"/>
        </w:rPr>
        <w:t>not for publication.</w:t>
      </w:r>
    </w:p>
    <w:p w14:paraId="0232F174" w14:textId="43448F74" w:rsidR="00B628FF" w:rsidRDefault="005B2D2F" w:rsidP="00657378">
      <w:pPr>
        <w:pStyle w:val="ChartandTableFootnoteAlpha"/>
      </w:pPr>
      <w:r w:rsidRPr="5FA307DC">
        <w:t xml:space="preserve">A minus sign before an estimate indicates a reduction in receipts, no sign before an estimate indicates a gain in </w:t>
      </w:r>
      <w:r w:rsidRPr="00657378">
        <w:t>receipts</w:t>
      </w:r>
      <w:r w:rsidRPr="5FA307DC">
        <w:t>.</w:t>
      </w:r>
    </w:p>
    <w:p w14:paraId="7765AD7A" w14:textId="38402384" w:rsidR="00B628FF" w:rsidRDefault="005B2D2F" w:rsidP="00657378">
      <w:pPr>
        <w:pStyle w:val="ChartandTableFootnoteAlpha"/>
      </w:pPr>
      <w:r>
        <w:t>These measures can also be found in the payment measures summary table.</w:t>
      </w:r>
    </w:p>
    <w:p w14:paraId="07B8E778" w14:textId="18674F7B" w:rsidR="001733AB" w:rsidRPr="001733AB" w:rsidRDefault="005B2D2F" w:rsidP="00657378">
      <w:pPr>
        <w:pStyle w:val="ChartandTableFootnoteAlpha"/>
      </w:pPr>
      <w:r w:rsidRPr="5FA307DC">
        <w:t>Measures may not add due to rounding.</w:t>
      </w:r>
    </w:p>
    <w:p w14:paraId="20929A01" w14:textId="77777777" w:rsidR="001733AB" w:rsidRPr="001733AB" w:rsidRDefault="001733AB" w:rsidP="003C3E34">
      <w:pPr>
        <w:pStyle w:val="TableLine"/>
        <w:rPr>
          <w:noProof/>
          <w:lang w:val="en-AU"/>
        </w:rPr>
      </w:pPr>
    </w:p>
    <w:p w14:paraId="641ABE62" w14:textId="77777777" w:rsidR="00B628FF" w:rsidRDefault="00B628FF">
      <w:pPr>
        <w:sectPr w:rsidR="00B628FF" w:rsidSect="00A06F82">
          <w:endnotePr>
            <w:numFmt w:val="lowerLetter"/>
            <w:numRestart w:val="eachSect"/>
          </w:endnotePr>
          <w:pgSz w:w="11906" w:h="16838" w:code="9"/>
          <w:pgMar w:top="2835" w:right="2098" w:bottom="2466" w:left="2098" w:header="1814" w:footer="1814" w:gutter="0"/>
          <w:cols w:space="720"/>
          <w:noEndnote/>
          <w:docGrid w:linePitch="272"/>
        </w:sectPr>
      </w:pPr>
    </w:p>
    <w:p w14:paraId="71069CA0" w14:textId="77777777" w:rsidR="00B628FF" w:rsidRDefault="005B2D2F">
      <w:pPr>
        <w:pStyle w:val="PortfolioName"/>
      </w:pPr>
      <w:r>
        <w:lastRenderedPageBreak/>
        <w:t>Home Affairs</w:t>
      </w:r>
    </w:p>
    <w:p w14:paraId="25B39CF7" w14:textId="77777777" w:rsidR="00B628FF" w:rsidRDefault="005B2D2F">
      <w:pPr>
        <w:pStyle w:val="MeasureTitle"/>
      </w:pPr>
      <w:r>
        <w:t>Extending Additional Tariffs on Goods from Russia and Belarus</w:t>
      </w:r>
    </w:p>
    <w:p w14:paraId="76996680" w14:textId="77777777" w:rsidR="00B628FF" w:rsidRDefault="005B2D2F">
      <w:pPr>
        <w:pStyle w:val="MeasureTableHeading"/>
      </w:pPr>
      <w:r>
        <w:t>Receipts ($m)</w:t>
      </w:r>
    </w:p>
    <w:tbl>
      <w:tblPr>
        <w:tblOverlap w:val="never"/>
        <w:tblW w:w="7721" w:type="dxa"/>
        <w:tblBorders>
          <w:top w:val="single" w:sz="4" w:space="0" w:color="000000"/>
          <w:bottom w:val="single" w:sz="4" w:space="0" w:color="000000"/>
        </w:tblBorders>
        <w:tblLayout w:type="fixed"/>
        <w:tblLook w:val="04A0" w:firstRow="1" w:lastRow="0" w:firstColumn="1" w:lastColumn="0" w:noHBand="0" w:noVBand="1"/>
      </w:tblPr>
      <w:tblGrid>
        <w:gridCol w:w="2501"/>
        <w:gridCol w:w="1044"/>
        <w:gridCol w:w="1044"/>
        <w:gridCol w:w="1044"/>
        <w:gridCol w:w="1044"/>
        <w:gridCol w:w="1044"/>
      </w:tblGrid>
      <w:tr w:rsidR="00B628FF" w14:paraId="7FC1C18C" w14:textId="77777777">
        <w:trPr>
          <w:cantSplit/>
        </w:trPr>
        <w:tc>
          <w:tcPr>
            <w:tcW w:w="2500" w:type="dxa"/>
            <w:tcBorders>
              <w:top w:val="single" w:sz="4" w:space="0" w:color="000000"/>
              <w:bottom w:val="single" w:sz="4" w:space="0" w:color="000000"/>
            </w:tcBorders>
          </w:tcPr>
          <w:p w14:paraId="75FE343C" w14:textId="77777777" w:rsidR="00B628FF" w:rsidRDefault="00B628FF">
            <w:pPr>
              <w:pStyle w:val="MeasureTableYearHeadings"/>
              <w:keepNext/>
            </w:pPr>
          </w:p>
        </w:tc>
        <w:tc>
          <w:tcPr>
            <w:tcW w:w="1043" w:type="dxa"/>
            <w:tcBorders>
              <w:top w:val="single" w:sz="4" w:space="0" w:color="000000"/>
              <w:bottom w:val="single" w:sz="4" w:space="0" w:color="000000"/>
            </w:tcBorders>
          </w:tcPr>
          <w:p w14:paraId="3426C5D4" w14:textId="745BFCBE" w:rsidR="00B628FF" w:rsidRDefault="005B2D2F">
            <w:pPr>
              <w:pStyle w:val="MeasureTableYearHeadings"/>
              <w:keepNext/>
            </w:pPr>
            <w:r>
              <w:t>2024</w:t>
            </w:r>
            <w:r w:rsidR="00B31B37">
              <w:noBreakHyphen/>
            </w:r>
            <w:r>
              <w:t>25</w:t>
            </w:r>
          </w:p>
        </w:tc>
        <w:tc>
          <w:tcPr>
            <w:tcW w:w="1043" w:type="dxa"/>
            <w:tcBorders>
              <w:top w:val="single" w:sz="4" w:space="0" w:color="000000"/>
              <w:bottom w:val="single" w:sz="4" w:space="0" w:color="000000"/>
            </w:tcBorders>
          </w:tcPr>
          <w:p w14:paraId="4E801C5F" w14:textId="69A39C5A" w:rsidR="00B628FF" w:rsidRDefault="005B2D2F">
            <w:pPr>
              <w:pStyle w:val="MeasureTableYearHeadings"/>
              <w:keepNext/>
            </w:pPr>
            <w:r>
              <w:t>2025</w:t>
            </w:r>
            <w:r w:rsidR="00B31B37">
              <w:noBreakHyphen/>
            </w:r>
            <w:r>
              <w:t>26</w:t>
            </w:r>
          </w:p>
        </w:tc>
        <w:tc>
          <w:tcPr>
            <w:tcW w:w="1043" w:type="dxa"/>
            <w:tcBorders>
              <w:top w:val="single" w:sz="4" w:space="0" w:color="000000"/>
              <w:bottom w:val="single" w:sz="4" w:space="0" w:color="000000"/>
            </w:tcBorders>
          </w:tcPr>
          <w:p w14:paraId="23CD57DB" w14:textId="7D96623D" w:rsidR="00B628FF" w:rsidRDefault="005B2D2F">
            <w:pPr>
              <w:pStyle w:val="MeasureTableYearHeadings"/>
              <w:keepNext/>
            </w:pPr>
            <w:r>
              <w:t>2026</w:t>
            </w:r>
            <w:r w:rsidR="00B31B37">
              <w:noBreakHyphen/>
            </w:r>
            <w:r>
              <w:t>27</w:t>
            </w:r>
          </w:p>
        </w:tc>
        <w:tc>
          <w:tcPr>
            <w:tcW w:w="1043" w:type="dxa"/>
            <w:tcBorders>
              <w:top w:val="single" w:sz="4" w:space="0" w:color="000000"/>
              <w:bottom w:val="single" w:sz="4" w:space="0" w:color="000000"/>
            </w:tcBorders>
          </w:tcPr>
          <w:p w14:paraId="17B04341" w14:textId="7932FB64" w:rsidR="00B628FF" w:rsidRDefault="005B2D2F">
            <w:pPr>
              <w:pStyle w:val="MeasureTableYearHeadings"/>
              <w:keepNext/>
            </w:pPr>
            <w:r>
              <w:t>2027</w:t>
            </w:r>
            <w:r w:rsidR="00B31B37">
              <w:noBreakHyphen/>
            </w:r>
            <w:r>
              <w:t>28</w:t>
            </w:r>
          </w:p>
        </w:tc>
        <w:tc>
          <w:tcPr>
            <w:tcW w:w="1043" w:type="dxa"/>
            <w:tcBorders>
              <w:top w:val="single" w:sz="4" w:space="0" w:color="000000"/>
              <w:bottom w:val="single" w:sz="4" w:space="0" w:color="000000"/>
            </w:tcBorders>
          </w:tcPr>
          <w:p w14:paraId="6010CE28" w14:textId="2BD08053" w:rsidR="00B628FF" w:rsidRDefault="005B2D2F">
            <w:pPr>
              <w:pStyle w:val="MeasureTableYearHeadings"/>
              <w:keepNext/>
            </w:pPr>
            <w:r>
              <w:t>2028</w:t>
            </w:r>
            <w:r w:rsidR="00B31B37">
              <w:noBreakHyphen/>
            </w:r>
            <w:r>
              <w:t>29</w:t>
            </w:r>
          </w:p>
        </w:tc>
      </w:tr>
      <w:tr w:rsidR="00B628FF" w14:paraId="209C3E67" w14:textId="77777777">
        <w:trPr>
          <w:cantSplit/>
        </w:trPr>
        <w:tc>
          <w:tcPr>
            <w:tcW w:w="2500" w:type="dxa"/>
            <w:tcBorders>
              <w:top w:val="single" w:sz="4" w:space="0" w:color="000000"/>
              <w:bottom w:val="single" w:sz="4" w:space="0" w:color="000000"/>
            </w:tcBorders>
          </w:tcPr>
          <w:p w14:paraId="472B2313" w14:textId="77777777" w:rsidR="00B628FF" w:rsidRDefault="005B2D2F">
            <w:pPr>
              <w:pStyle w:val="MeasureTableHeadingleftalignedwith2ptsspacing"/>
              <w:keepNext/>
            </w:pPr>
            <w:r>
              <w:t>Department of Home Affairs</w:t>
            </w:r>
          </w:p>
        </w:tc>
        <w:tc>
          <w:tcPr>
            <w:tcW w:w="1043" w:type="dxa"/>
            <w:tcBorders>
              <w:top w:val="single" w:sz="4" w:space="0" w:color="000000"/>
              <w:bottom w:val="single" w:sz="4" w:space="0" w:color="000000"/>
            </w:tcBorders>
          </w:tcPr>
          <w:p w14:paraId="5CED7C9F" w14:textId="09C602F1"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1DD2CF1C" w14:textId="4CD3A5E5" w:rsidR="00B628FF" w:rsidRDefault="00866585">
            <w:pPr>
              <w:pStyle w:val="MeasureTableDataRightAlignedwith2ptsspacing"/>
              <w:keepNext/>
            </w:pPr>
            <w:r>
              <w:t>..</w:t>
            </w:r>
          </w:p>
        </w:tc>
        <w:tc>
          <w:tcPr>
            <w:tcW w:w="1043" w:type="dxa"/>
            <w:tcBorders>
              <w:top w:val="single" w:sz="4" w:space="0" w:color="000000"/>
              <w:bottom w:val="single" w:sz="4" w:space="0" w:color="000000"/>
            </w:tcBorders>
          </w:tcPr>
          <w:p w14:paraId="3B601580" w14:textId="2BAC9844" w:rsidR="00B628FF" w:rsidRDefault="00866585">
            <w:pPr>
              <w:pStyle w:val="MeasureTableDataRightAlignedwith2ptsspacing"/>
              <w:keepNext/>
            </w:pPr>
            <w:r>
              <w:t>..</w:t>
            </w:r>
          </w:p>
        </w:tc>
        <w:tc>
          <w:tcPr>
            <w:tcW w:w="1043" w:type="dxa"/>
            <w:tcBorders>
              <w:top w:val="single" w:sz="4" w:space="0" w:color="000000"/>
              <w:bottom w:val="single" w:sz="4" w:space="0" w:color="000000"/>
            </w:tcBorders>
          </w:tcPr>
          <w:p w14:paraId="7025AF68" w14:textId="7B8CAD9D" w:rsidR="00B628FF" w:rsidRDefault="00866585">
            <w:pPr>
              <w:pStyle w:val="MeasureTableDataRightAlignedwith2ptsspacing"/>
              <w:keepNext/>
            </w:pPr>
            <w:r>
              <w:t>..</w:t>
            </w:r>
          </w:p>
        </w:tc>
        <w:tc>
          <w:tcPr>
            <w:tcW w:w="1043" w:type="dxa"/>
            <w:tcBorders>
              <w:top w:val="single" w:sz="4" w:space="0" w:color="000000"/>
              <w:bottom w:val="single" w:sz="4" w:space="0" w:color="000000"/>
            </w:tcBorders>
          </w:tcPr>
          <w:p w14:paraId="70C715CD" w14:textId="12CD33B8" w:rsidR="00B628FF" w:rsidRDefault="00B31B37">
            <w:pPr>
              <w:pStyle w:val="MeasureTableDataRightAlignedwith2ptsspacing"/>
              <w:keepNext/>
            </w:pPr>
            <w:r>
              <w:noBreakHyphen/>
            </w:r>
          </w:p>
        </w:tc>
      </w:tr>
    </w:tbl>
    <w:p w14:paraId="2512C2AC" w14:textId="77777777" w:rsidR="00B628FF" w:rsidRDefault="00B628FF">
      <w:pPr>
        <w:keepNext/>
        <w:spacing w:line="226" w:lineRule="exact"/>
        <w:rPr>
          <w:sz w:val="16"/>
        </w:rPr>
      </w:pPr>
    </w:p>
    <w:p w14:paraId="5BC2FE60" w14:textId="77777777" w:rsidR="00B628FF" w:rsidRDefault="005B2D2F">
      <w:pPr>
        <w:pStyle w:val="Normal2"/>
      </w:pPr>
      <w:r w:rsidRPr="53C5BB3A">
        <w:rPr>
          <w:lang w:val="en-US"/>
        </w:rPr>
        <w:t>The Government will extend by a further two years, to 24 October 2027, a measure imposing additional tariffs on goods that are the produce or manufacture of Russia or Belarus.</w:t>
      </w:r>
    </w:p>
    <w:p w14:paraId="62A58410" w14:textId="77777777" w:rsidR="00B628FF" w:rsidRDefault="005B2D2F">
      <w:pPr>
        <w:pStyle w:val="Normal2"/>
      </w:pPr>
      <w:r w:rsidRPr="53C5BB3A">
        <w:rPr>
          <w:lang w:val="en-US"/>
        </w:rPr>
        <w:t>The measure continues to deny Russia and Belarus access to the most favoured nation status through the application of an additional 35 per cent tariff on goods that are the produce or manufacture of Russia or Belarus and had not left for direct shipment to Australia from a place of manufacture or warehouse before 25 April 2022.</w:t>
      </w:r>
    </w:p>
    <w:p w14:paraId="02C835D4" w14:textId="2F304C3A" w:rsidR="00B628FF" w:rsidRDefault="005B2D2F">
      <w:pPr>
        <w:pStyle w:val="Normal2"/>
      </w:pPr>
      <w:r>
        <w:t>This temporary measure is a response to Russia</w:t>
      </w:r>
      <w:r w:rsidR="00B31B37">
        <w:t>’</w:t>
      </w:r>
      <w:r>
        <w:t>s illegal invasion of Ukraine, supported by Belarus, and is necessary for the protection of Australia</w:t>
      </w:r>
      <w:r w:rsidR="00B31B37">
        <w:t>’</w:t>
      </w:r>
      <w:r>
        <w:t>s essential security interests.</w:t>
      </w:r>
    </w:p>
    <w:p w14:paraId="55C5BB97" w14:textId="76DC9676" w:rsidR="00B628FF" w:rsidRDefault="005B2D2F">
      <w:pPr>
        <w:pStyle w:val="Normal2"/>
      </w:pPr>
      <w:r>
        <w:t>This measure is estimated to result in a negligible increase in receipts over five</w:t>
      </w:r>
      <w:r w:rsidR="00C53A34">
        <w:t> </w:t>
      </w:r>
      <w:r>
        <w:t>years from 2024–‍25.</w:t>
      </w:r>
    </w:p>
    <w:p w14:paraId="1DBA64D4" w14:textId="77777777" w:rsidR="00B628FF" w:rsidRDefault="005B2D2F">
      <w:pPr>
        <w:pStyle w:val="Normal2"/>
      </w:pPr>
      <w:r w:rsidRPr="53C5BB3A">
        <w:rPr>
          <w:lang w:val="en-US"/>
        </w:rPr>
        <w:t xml:space="preserve">See also </w:t>
      </w:r>
      <w:r w:rsidRPr="53C5BB3A">
        <w:rPr>
          <w:i/>
          <w:iCs/>
          <w:lang w:val="en-US"/>
        </w:rPr>
        <w:t>Support for Ukraine – extending additional tariffs on goods from Russia and Belarus</w:t>
      </w:r>
      <w:r w:rsidRPr="53C5BB3A">
        <w:rPr>
          <w:lang w:val="en-US"/>
        </w:rPr>
        <w:t xml:space="preserve"> announced in the 2023–‍24 MYEFO.</w:t>
      </w:r>
    </w:p>
    <w:p w14:paraId="12BAE2C0" w14:textId="77777777" w:rsidR="00B628FF" w:rsidRDefault="00B628FF">
      <w:pPr>
        <w:sectPr w:rsidR="00B628FF" w:rsidSect="00A06F82">
          <w:headerReference w:type="even" r:id="rId15"/>
          <w:headerReference w:type="default" r:id="rId16"/>
          <w:footerReference w:type="even" r:id="rId17"/>
          <w:footerReference w:type="default" r:id="rId18"/>
          <w:headerReference w:type="first" r:id="rId19"/>
          <w:footerReference w:type="first" r:id="rId20"/>
          <w:pgSz w:w="11906" w:h="16838"/>
          <w:pgMar w:top="2835" w:right="2098" w:bottom="2466" w:left="2098" w:header="1814" w:footer="1814" w:gutter="0"/>
          <w:cols w:space="720"/>
          <w:docGrid w:linePitch="272"/>
        </w:sectPr>
      </w:pPr>
    </w:p>
    <w:p w14:paraId="2699890A" w14:textId="77777777" w:rsidR="00B628FF" w:rsidRDefault="005B2D2F">
      <w:pPr>
        <w:pStyle w:val="PortfolioName"/>
      </w:pPr>
      <w:r>
        <w:lastRenderedPageBreak/>
        <w:t>Treasury</w:t>
      </w:r>
    </w:p>
    <w:p w14:paraId="6B2AFB54" w14:textId="77777777" w:rsidR="00B628FF" w:rsidRDefault="005B2D2F">
      <w:pPr>
        <w:pStyle w:val="MeasureTitle"/>
      </w:pPr>
      <w:r>
        <w:t>Amendments to Existing Measures</w:t>
      </w:r>
    </w:p>
    <w:p w14:paraId="6AF8B648" w14:textId="77777777" w:rsidR="00B628FF" w:rsidRDefault="005B2D2F">
      <w:pPr>
        <w:pStyle w:val="MeasureTableHeading"/>
      </w:pPr>
      <w:r>
        <w:t>Receipts ($m)</w:t>
      </w:r>
    </w:p>
    <w:tbl>
      <w:tblPr>
        <w:tblOverlap w:val="never"/>
        <w:tblW w:w="7721" w:type="dxa"/>
        <w:tblBorders>
          <w:top w:val="single" w:sz="4" w:space="0" w:color="000000"/>
          <w:bottom w:val="single" w:sz="4" w:space="0" w:color="000000"/>
        </w:tblBorders>
        <w:tblLayout w:type="fixed"/>
        <w:tblLook w:val="04A0" w:firstRow="1" w:lastRow="0" w:firstColumn="1" w:lastColumn="0" w:noHBand="0" w:noVBand="1"/>
      </w:tblPr>
      <w:tblGrid>
        <w:gridCol w:w="2501"/>
        <w:gridCol w:w="1044"/>
        <w:gridCol w:w="1044"/>
        <w:gridCol w:w="1044"/>
        <w:gridCol w:w="1044"/>
        <w:gridCol w:w="1044"/>
      </w:tblGrid>
      <w:tr w:rsidR="00B628FF" w14:paraId="163FCA38" w14:textId="77777777">
        <w:trPr>
          <w:cantSplit/>
        </w:trPr>
        <w:tc>
          <w:tcPr>
            <w:tcW w:w="2500" w:type="dxa"/>
            <w:tcBorders>
              <w:top w:val="single" w:sz="4" w:space="0" w:color="000000"/>
              <w:bottom w:val="single" w:sz="4" w:space="0" w:color="000000"/>
            </w:tcBorders>
          </w:tcPr>
          <w:p w14:paraId="6275D03B" w14:textId="77777777" w:rsidR="00B628FF" w:rsidRDefault="00B628FF">
            <w:pPr>
              <w:pStyle w:val="MeasureTableYearHeadings"/>
              <w:keepNext/>
            </w:pPr>
          </w:p>
        </w:tc>
        <w:tc>
          <w:tcPr>
            <w:tcW w:w="1043" w:type="dxa"/>
            <w:tcBorders>
              <w:top w:val="single" w:sz="4" w:space="0" w:color="000000"/>
              <w:bottom w:val="single" w:sz="4" w:space="0" w:color="000000"/>
            </w:tcBorders>
          </w:tcPr>
          <w:p w14:paraId="5CC24CCF" w14:textId="45CAE775" w:rsidR="00B628FF" w:rsidRDefault="005B2D2F">
            <w:pPr>
              <w:pStyle w:val="MeasureTableYearHeadings"/>
              <w:keepNext/>
            </w:pPr>
            <w:r>
              <w:t>2024</w:t>
            </w:r>
            <w:r w:rsidR="00B31B37">
              <w:noBreakHyphen/>
            </w:r>
            <w:r>
              <w:t>25</w:t>
            </w:r>
          </w:p>
        </w:tc>
        <w:tc>
          <w:tcPr>
            <w:tcW w:w="1043" w:type="dxa"/>
            <w:tcBorders>
              <w:top w:val="single" w:sz="4" w:space="0" w:color="000000"/>
              <w:bottom w:val="single" w:sz="4" w:space="0" w:color="000000"/>
            </w:tcBorders>
          </w:tcPr>
          <w:p w14:paraId="25099830" w14:textId="674554C3" w:rsidR="00B628FF" w:rsidRDefault="005B2D2F">
            <w:pPr>
              <w:pStyle w:val="MeasureTableYearHeadings"/>
              <w:keepNext/>
            </w:pPr>
            <w:r>
              <w:t>2025</w:t>
            </w:r>
            <w:r w:rsidR="00B31B37">
              <w:noBreakHyphen/>
            </w:r>
            <w:r>
              <w:t>26</w:t>
            </w:r>
          </w:p>
        </w:tc>
        <w:tc>
          <w:tcPr>
            <w:tcW w:w="1043" w:type="dxa"/>
            <w:tcBorders>
              <w:top w:val="single" w:sz="4" w:space="0" w:color="000000"/>
              <w:bottom w:val="single" w:sz="4" w:space="0" w:color="000000"/>
            </w:tcBorders>
          </w:tcPr>
          <w:p w14:paraId="7C202DFE" w14:textId="2C82355D" w:rsidR="00B628FF" w:rsidRDefault="005B2D2F">
            <w:pPr>
              <w:pStyle w:val="MeasureTableYearHeadings"/>
              <w:keepNext/>
            </w:pPr>
            <w:r>
              <w:t>2026</w:t>
            </w:r>
            <w:r w:rsidR="00B31B37">
              <w:noBreakHyphen/>
            </w:r>
            <w:r>
              <w:t>27</w:t>
            </w:r>
          </w:p>
        </w:tc>
        <w:tc>
          <w:tcPr>
            <w:tcW w:w="1043" w:type="dxa"/>
            <w:tcBorders>
              <w:top w:val="single" w:sz="4" w:space="0" w:color="000000"/>
              <w:bottom w:val="single" w:sz="4" w:space="0" w:color="000000"/>
            </w:tcBorders>
          </w:tcPr>
          <w:p w14:paraId="79917131" w14:textId="07556460" w:rsidR="00B628FF" w:rsidRDefault="005B2D2F">
            <w:pPr>
              <w:pStyle w:val="MeasureTableYearHeadings"/>
              <w:keepNext/>
            </w:pPr>
            <w:r>
              <w:t>2027</w:t>
            </w:r>
            <w:r w:rsidR="00B31B37">
              <w:noBreakHyphen/>
            </w:r>
            <w:r>
              <w:t>28</w:t>
            </w:r>
          </w:p>
        </w:tc>
        <w:tc>
          <w:tcPr>
            <w:tcW w:w="1043" w:type="dxa"/>
            <w:tcBorders>
              <w:top w:val="single" w:sz="4" w:space="0" w:color="000000"/>
              <w:bottom w:val="single" w:sz="4" w:space="0" w:color="000000"/>
            </w:tcBorders>
          </w:tcPr>
          <w:p w14:paraId="5BB051D2" w14:textId="63EC3B28" w:rsidR="00B628FF" w:rsidRDefault="005B2D2F">
            <w:pPr>
              <w:pStyle w:val="MeasureTableYearHeadings"/>
              <w:keepNext/>
            </w:pPr>
            <w:r>
              <w:t>2028</w:t>
            </w:r>
            <w:r w:rsidR="00B31B37">
              <w:noBreakHyphen/>
            </w:r>
            <w:r>
              <w:t>29</w:t>
            </w:r>
          </w:p>
        </w:tc>
      </w:tr>
      <w:tr w:rsidR="00B628FF" w14:paraId="17B602CF" w14:textId="77777777">
        <w:trPr>
          <w:cantSplit/>
        </w:trPr>
        <w:tc>
          <w:tcPr>
            <w:tcW w:w="2500" w:type="dxa"/>
            <w:tcBorders>
              <w:top w:val="single" w:sz="4" w:space="0" w:color="000000"/>
              <w:bottom w:val="single" w:sz="4" w:space="0" w:color="000000"/>
            </w:tcBorders>
          </w:tcPr>
          <w:p w14:paraId="283D9386" w14:textId="77777777" w:rsidR="00B628FF" w:rsidRDefault="005B2D2F">
            <w:pPr>
              <w:pStyle w:val="MeasureTableHeadingleftalignedwith2ptsspacing"/>
              <w:keepNext/>
            </w:pPr>
            <w:r>
              <w:t>Australian Taxation Office</w:t>
            </w:r>
          </w:p>
        </w:tc>
        <w:tc>
          <w:tcPr>
            <w:tcW w:w="1043" w:type="dxa"/>
            <w:tcBorders>
              <w:top w:val="single" w:sz="4" w:space="0" w:color="000000"/>
              <w:bottom w:val="single" w:sz="4" w:space="0" w:color="000000"/>
            </w:tcBorders>
          </w:tcPr>
          <w:p w14:paraId="5D51329A" w14:textId="2034C05B"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0F0F1D42" w14:textId="59BDBF20" w:rsidR="00B628FF" w:rsidRDefault="00B31B37">
            <w:pPr>
              <w:pStyle w:val="MeasureTableDataRightAlignedwith2ptsspacing"/>
              <w:keepNext/>
            </w:pPr>
            <w:r>
              <w:noBreakHyphen/>
            </w:r>
            <w:r w:rsidR="005B2D2F">
              <w:t>50.0</w:t>
            </w:r>
          </w:p>
        </w:tc>
        <w:tc>
          <w:tcPr>
            <w:tcW w:w="1043" w:type="dxa"/>
            <w:tcBorders>
              <w:top w:val="single" w:sz="4" w:space="0" w:color="000000"/>
              <w:bottom w:val="single" w:sz="4" w:space="0" w:color="000000"/>
            </w:tcBorders>
          </w:tcPr>
          <w:p w14:paraId="51E22240" w14:textId="2B35FB38" w:rsidR="00B628FF" w:rsidRDefault="00416139">
            <w:pPr>
              <w:pStyle w:val="MeasureTableDataRightAlignedwith2ptsspacing"/>
              <w:keepNext/>
            </w:pPr>
            <w:r>
              <w:t>*</w:t>
            </w:r>
          </w:p>
        </w:tc>
        <w:tc>
          <w:tcPr>
            <w:tcW w:w="1043" w:type="dxa"/>
            <w:tcBorders>
              <w:top w:val="single" w:sz="4" w:space="0" w:color="000000"/>
              <w:bottom w:val="single" w:sz="4" w:space="0" w:color="000000"/>
            </w:tcBorders>
          </w:tcPr>
          <w:p w14:paraId="6B48D0B5" w14:textId="50F34BEA" w:rsidR="00B628FF" w:rsidRDefault="00416139">
            <w:pPr>
              <w:pStyle w:val="MeasureTableDataRightAlignedwith2ptsspacing"/>
              <w:keepNext/>
            </w:pPr>
            <w:r>
              <w:t>*</w:t>
            </w:r>
          </w:p>
        </w:tc>
        <w:tc>
          <w:tcPr>
            <w:tcW w:w="1043" w:type="dxa"/>
            <w:tcBorders>
              <w:top w:val="single" w:sz="4" w:space="0" w:color="000000"/>
              <w:bottom w:val="single" w:sz="4" w:space="0" w:color="000000"/>
            </w:tcBorders>
          </w:tcPr>
          <w:p w14:paraId="637B9953" w14:textId="20B42F2B" w:rsidR="00B628FF" w:rsidRDefault="00416139">
            <w:pPr>
              <w:pStyle w:val="MeasureTableDataRightAlignedwith2ptsspacing"/>
              <w:keepNext/>
            </w:pPr>
            <w:r>
              <w:t>*</w:t>
            </w:r>
          </w:p>
        </w:tc>
      </w:tr>
      <w:tr w:rsidR="00B628FF" w14:paraId="46895BE4" w14:textId="77777777">
        <w:trPr>
          <w:cantSplit/>
        </w:trPr>
        <w:tc>
          <w:tcPr>
            <w:tcW w:w="2500" w:type="dxa"/>
          </w:tcPr>
          <w:p w14:paraId="3C968A21" w14:textId="77777777" w:rsidR="00B628FF" w:rsidRDefault="005B2D2F">
            <w:pPr>
              <w:pStyle w:val="AgencyName"/>
              <w:keepNext/>
            </w:pPr>
            <w:r>
              <w:t>Related payments ($m)</w:t>
            </w:r>
          </w:p>
        </w:tc>
        <w:tc>
          <w:tcPr>
            <w:tcW w:w="1043" w:type="dxa"/>
          </w:tcPr>
          <w:p w14:paraId="763DE00A" w14:textId="77777777" w:rsidR="00B628FF" w:rsidRDefault="00B628FF">
            <w:pPr>
              <w:pStyle w:val="AgencyName"/>
              <w:keepNext/>
            </w:pPr>
          </w:p>
        </w:tc>
        <w:tc>
          <w:tcPr>
            <w:tcW w:w="1043" w:type="dxa"/>
          </w:tcPr>
          <w:p w14:paraId="3EC8C77C" w14:textId="77777777" w:rsidR="00B628FF" w:rsidRDefault="00B628FF">
            <w:pPr>
              <w:pStyle w:val="AgencyName"/>
              <w:keepNext/>
            </w:pPr>
          </w:p>
        </w:tc>
        <w:tc>
          <w:tcPr>
            <w:tcW w:w="1043" w:type="dxa"/>
          </w:tcPr>
          <w:p w14:paraId="3799B098" w14:textId="77777777" w:rsidR="00B628FF" w:rsidRDefault="00B628FF">
            <w:pPr>
              <w:pStyle w:val="AgencyName"/>
              <w:keepNext/>
            </w:pPr>
          </w:p>
        </w:tc>
        <w:tc>
          <w:tcPr>
            <w:tcW w:w="1043" w:type="dxa"/>
          </w:tcPr>
          <w:p w14:paraId="1E189B2D" w14:textId="77777777" w:rsidR="00B628FF" w:rsidRDefault="00B628FF">
            <w:pPr>
              <w:pStyle w:val="AgencyName"/>
              <w:keepNext/>
            </w:pPr>
          </w:p>
        </w:tc>
        <w:tc>
          <w:tcPr>
            <w:tcW w:w="1043" w:type="dxa"/>
          </w:tcPr>
          <w:p w14:paraId="3105CCAA" w14:textId="77777777" w:rsidR="00B628FF" w:rsidRDefault="00B628FF">
            <w:pPr>
              <w:pStyle w:val="AgencyName"/>
              <w:keepNext/>
            </w:pPr>
          </w:p>
        </w:tc>
      </w:tr>
      <w:tr w:rsidR="00B628FF" w14:paraId="3D0BE52E" w14:textId="77777777">
        <w:tc>
          <w:tcPr>
            <w:tcW w:w="2500" w:type="dxa"/>
          </w:tcPr>
          <w:p w14:paraId="1E971445" w14:textId="77777777" w:rsidR="00B628FF" w:rsidRDefault="005B2D2F">
            <w:pPr>
              <w:pStyle w:val="AgencyNamewith2ptsspacing"/>
              <w:keepNext/>
            </w:pPr>
            <w:r>
              <w:t>Australian Taxation Office</w:t>
            </w:r>
          </w:p>
        </w:tc>
        <w:tc>
          <w:tcPr>
            <w:tcW w:w="1043" w:type="dxa"/>
          </w:tcPr>
          <w:p w14:paraId="24F157C3" w14:textId="20929A66" w:rsidR="00B628FF" w:rsidRDefault="00B31B37">
            <w:pPr>
              <w:pStyle w:val="Measuretabledatarightaligneditalics"/>
              <w:keepNext/>
            </w:pPr>
            <w:r>
              <w:noBreakHyphen/>
            </w:r>
          </w:p>
        </w:tc>
        <w:tc>
          <w:tcPr>
            <w:tcW w:w="1043" w:type="dxa"/>
          </w:tcPr>
          <w:p w14:paraId="59C08C42" w14:textId="52A8903F" w:rsidR="00B628FF" w:rsidRDefault="00B31B37">
            <w:pPr>
              <w:pStyle w:val="Measuretabledatarightaligneditalics"/>
              <w:keepNext/>
            </w:pPr>
            <w:r>
              <w:noBreakHyphen/>
            </w:r>
            <w:r w:rsidR="005B2D2F">
              <w:t>0.3</w:t>
            </w:r>
          </w:p>
        </w:tc>
        <w:tc>
          <w:tcPr>
            <w:tcW w:w="1043" w:type="dxa"/>
          </w:tcPr>
          <w:p w14:paraId="4AD1B790" w14:textId="0BFD4B31" w:rsidR="00B628FF" w:rsidRDefault="00B31B37">
            <w:pPr>
              <w:pStyle w:val="Measuretabledatarightaligneditalics"/>
              <w:keepNext/>
            </w:pPr>
            <w:r>
              <w:noBreakHyphen/>
            </w:r>
          </w:p>
        </w:tc>
        <w:tc>
          <w:tcPr>
            <w:tcW w:w="1043" w:type="dxa"/>
          </w:tcPr>
          <w:p w14:paraId="6A7BE541" w14:textId="4A4BD6F2" w:rsidR="00B628FF" w:rsidRDefault="00B31B37">
            <w:pPr>
              <w:pStyle w:val="Measuretabledatarightaligneditalics"/>
              <w:keepNext/>
            </w:pPr>
            <w:r>
              <w:noBreakHyphen/>
            </w:r>
          </w:p>
        </w:tc>
        <w:tc>
          <w:tcPr>
            <w:tcW w:w="1043" w:type="dxa"/>
          </w:tcPr>
          <w:p w14:paraId="2E16D591" w14:textId="460E67CC" w:rsidR="00B628FF" w:rsidRDefault="00B31B37">
            <w:pPr>
              <w:pStyle w:val="Measuretabledatarightaligneditalics"/>
              <w:keepNext/>
            </w:pPr>
            <w:r>
              <w:noBreakHyphen/>
            </w:r>
          </w:p>
        </w:tc>
      </w:tr>
    </w:tbl>
    <w:p w14:paraId="0C63F6D2" w14:textId="77777777" w:rsidR="00B628FF" w:rsidRDefault="00B628FF">
      <w:pPr>
        <w:keepNext/>
        <w:spacing w:line="226" w:lineRule="exact"/>
        <w:rPr>
          <w:sz w:val="16"/>
        </w:rPr>
      </w:pPr>
    </w:p>
    <w:p w14:paraId="72009959" w14:textId="0DF6A547" w:rsidR="00B628FF" w:rsidRDefault="005B2D2F">
      <w:pPr>
        <w:pStyle w:val="Normal2"/>
      </w:pPr>
      <w:r>
        <w:t>The Government will amend the tax laws to clarify arrangements for managed investment trusts, to ensure legitimate investors can continue to access concessional withholding tax rates in Australia complementing the A</w:t>
      </w:r>
      <w:r w:rsidR="00097EFF">
        <w:t xml:space="preserve">ustralian </w:t>
      </w:r>
      <w:r>
        <w:t>T</w:t>
      </w:r>
      <w:r w:rsidR="00097EFF">
        <w:t xml:space="preserve">axation </w:t>
      </w:r>
      <w:r>
        <w:t>O</w:t>
      </w:r>
      <w:r w:rsidR="00097EFF">
        <w:t>ffice</w:t>
      </w:r>
      <w:r w:rsidR="00B31B37">
        <w:t>’</w:t>
      </w:r>
      <w:r>
        <w:t>s strengthened guidelines to prevent misuse. This measure will apply to fund payments from 13 March 2025.</w:t>
      </w:r>
    </w:p>
    <w:p w14:paraId="1C07DAFA" w14:textId="77777777" w:rsidR="00B628FF" w:rsidRDefault="005B2D2F">
      <w:pPr>
        <w:pStyle w:val="Normal2"/>
      </w:pPr>
      <w:r>
        <w:t>The Government will also defer the start dates of the following measures:</w:t>
      </w:r>
    </w:p>
    <w:p w14:paraId="7468752B" w14:textId="3B825253" w:rsidR="00B628FF" w:rsidRDefault="005B2D2F">
      <w:pPr>
        <w:pStyle w:val="Bullet"/>
      </w:pPr>
      <w:r>
        <w:t xml:space="preserve">The 2023–‍24 Budget measure </w:t>
      </w:r>
      <w:r w:rsidRPr="005B2D2F">
        <w:rPr>
          <w:i/>
        </w:rPr>
        <w:t>Extending the clean building managed investment trust withholding tax concession</w:t>
      </w:r>
      <w:r>
        <w:t xml:space="preserve"> from 1 July 2025 to the first 1 January, 1 April, 1 July or 1 October after the Act receives Royal Assent.</w:t>
      </w:r>
    </w:p>
    <w:p w14:paraId="6663F658" w14:textId="119CFB7E" w:rsidR="00B628FF" w:rsidRDefault="005B2D2F">
      <w:pPr>
        <w:pStyle w:val="Bullet"/>
      </w:pPr>
      <w:r>
        <w:t xml:space="preserve">The 2024–‍25 Budget measure </w:t>
      </w:r>
      <w:r w:rsidRPr="005B2D2F">
        <w:rPr>
          <w:i/>
        </w:rPr>
        <w:t xml:space="preserve">Strengthening the foreign resident capital gains tax regime </w:t>
      </w:r>
      <w:r>
        <w:t>from 1 July 2025 to the later of 1 October 2025 or the first 1 January, 1 April, 1 July or 1 October after the Act receives Royal Assent.</w:t>
      </w:r>
    </w:p>
    <w:p w14:paraId="23EE7466" w14:textId="11BC9D42" w:rsidR="00B628FF" w:rsidRDefault="005B2D2F">
      <w:pPr>
        <w:pStyle w:val="Normal2"/>
      </w:pPr>
      <w:r w:rsidRPr="53C5BB3A">
        <w:rPr>
          <w:lang w:val="en-US"/>
        </w:rPr>
        <w:t>Deferring the start date of the amendments to the foreign resident capital gains tax regime is estimated to decrease receipts by $50.0 million and decrease payments by $0.3 million over five years from 2024–‍25. Deferring the start date of the clean building managed investment trust withholding tax concession is estimated to have an unquantifiable impact on receipts over five years from 2024–‍25. The Government has already provisioned for the measure to clarify arrangements for managed investment trusts.</w:t>
      </w:r>
    </w:p>
    <w:p w14:paraId="0DF42C26" w14:textId="77777777" w:rsidR="00B628FF" w:rsidRDefault="005B2D2F">
      <w:pPr>
        <w:pStyle w:val="MeasureTitle"/>
      </w:pPr>
      <w:r>
        <w:t>Enhancing Tax Practitioner Regulation and Compliance</w:t>
      </w:r>
    </w:p>
    <w:p w14:paraId="6B4E5F08" w14:textId="77777777" w:rsidR="00B628FF" w:rsidRDefault="005B2D2F">
      <w:pPr>
        <w:pStyle w:val="MeasureTableHeading"/>
      </w:pPr>
      <w:r>
        <w:t>Receipts ($m)</w:t>
      </w:r>
    </w:p>
    <w:tbl>
      <w:tblPr>
        <w:tblOverlap w:val="never"/>
        <w:tblW w:w="7721" w:type="dxa"/>
        <w:tblBorders>
          <w:top w:val="single" w:sz="4" w:space="0" w:color="000000"/>
          <w:bottom w:val="single" w:sz="4" w:space="0" w:color="000000"/>
        </w:tblBorders>
        <w:tblLayout w:type="fixed"/>
        <w:tblLook w:val="04A0" w:firstRow="1" w:lastRow="0" w:firstColumn="1" w:lastColumn="0" w:noHBand="0" w:noVBand="1"/>
      </w:tblPr>
      <w:tblGrid>
        <w:gridCol w:w="2501"/>
        <w:gridCol w:w="1044"/>
        <w:gridCol w:w="1044"/>
        <w:gridCol w:w="1044"/>
        <w:gridCol w:w="1044"/>
        <w:gridCol w:w="1044"/>
      </w:tblGrid>
      <w:tr w:rsidR="00B628FF" w14:paraId="378D1C9F" w14:textId="77777777">
        <w:trPr>
          <w:cantSplit/>
        </w:trPr>
        <w:tc>
          <w:tcPr>
            <w:tcW w:w="2500" w:type="dxa"/>
            <w:tcBorders>
              <w:top w:val="single" w:sz="4" w:space="0" w:color="000000"/>
              <w:bottom w:val="single" w:sz="4" w:space="0" w:color="000000"/>
            </w:tcBorders>
          </w:tcPr>
          <w:p w14:paraId="38A09CB5" w14:textId="77777777" w:rsidR="00B628FF" w:rsidRDefault="00B628FF">
            <w:pPr>
              <w:pStyle w:val="MeasureTableYearHeadings"/>
              <w:keepNext/>
            </w:pPr>
          </w:p>
        </w:tc>
        <w:tc>
          <w:tcPr>
            <w:tcW w:w="1043" w:type="dxa"/>
            <w:tcBorders>
              <w:top w:val="single" w:sz="4" w:space="0" w:color="000000"/>
              <w:bottom w:val="single" w:sz="4" w:space="0" w:color="000000"/>
            </w:tcBorders>
          </w:tcPr>
          <w:p w14:paraId="04A8ADB0" w14:textId="69B9E85C" w:rsidR="00B628FF" w:rsidRDefault="005B2D2F">
            <w:pPr>
              <w:pStyle w:val="MeasureTableYearHeadings"/>
              <w:keepNext/>
            </w:pPr>
            <w:r>
              <w:t>2024</w:t>
            </w:r>
            <w:r w:rsidR="00B31B37">
              <w:noBreakHyphen/>
            </w:r>
            <w:r>
              <w:t>25</w:t>
            </w:r>
          </w:p>
        </w:tc>
        <w:tc>
          <w:tcPr>
            <w:tcW w:w="1043" w:type="dxa"/>
            <w:tcBorders>
              <w:top w:val="single" w:sz="4" w:space="0" w:color="000000"/>
              <w:bottom w:val="single" w:sz="4" w:space="0" w:color="000000"/>
            </w:tcBorders>
          </w:tcPr>
          <w:p w14:paraId="561BFBEC" w14:textId="4562E1EC" w:rsidR="00B628FF" w:rsidRDefault="005B2D2F">
            <w:pPr>
              <w:pStyle w:val="MeasureTableYearHeadings"/>
              <w:keepNext/>
            </w:pPr>
            <w:r>
              <w:t>2025</w:t>
            </w:r>
            <w:r w:rsidR="00B31B37">
              <w:noBreakHyphen/>
            </w:r>
            <w:r>
              <w:t>26</w:t>
            </w:r>
          </w:p>
        </w:tc>
        <w:tc>
          <w:tcPr>
            <w:tcW w:w="1043" w:type="dxa"/>
            <w:tcBorders>
              <w:top w:val="single" w:sz="4" w:space="0" w:color="000000"/>
              <w:bottom w:val="single" w:sz="4" w:space="0" w:color="000000"/>
            </w:tcBorders>
          </w:tcPr>
          <w:p w14:paraId="0A9C756A" w14:textId="7E6AF33E" w:rsidR="00B628FF" w:rsidRDefault="005B2D2F">
            <w:pPr>
              <w:pStyle w:val="MeasureTableYearHeadings"/>
              <w:keepNext/>
            </w:pPr>
            <w:r>
              <w:t>2026</w:t>
            </w:r>
            <w:r w:rsidR="00B31B37">
              <w:noBreakHyphen/>
            </w:r>
            <w:r>
              <w:t>27</w:t>
            </w:r>
          </w:p>
        </w:tc>
        <w:tc>
          <w:tcPr>
            <w:tcW w:w="1043" w:type="dxa"/>
            <w:tcBorders>
              <w:top w:val="single" w:sz="4" w:space="0" w:color="000000"/>
              <w:bottom w:val="single" w:sz="4" w:space="0" w:color="000000"/>
            </w:tcBorders>
          </w:tcPr>
          <w:p w14:paraId="2F510D78" w14:textId="44A069B3" w:rsidR="00B628FF" w:rsidRDefault="005B2D2F">
            <w:pPr>
              <w:pStyle w:val="MeasureTableYearHeadings"/>
              <w:keepNext/>
            </w:pPr>
            <w:r>
              <w:t>2027</w:t>
            </w:r>
            <w:r w:rsidR="00B31B37">
              <w:noBreakHyphen/>
            </w:r>
            <w:r>
              <w:t>28</w:t>
            </w:r>
          </w:p>
        </w:tc>
        <w:tc>
          <w:tcPr>
            <w:tcW w:w="1043" w:type="dxa"/>
            <w:tcBorders>
              <w:top w:val="single" w:sz="4" w:space="0" w:color="000000"/>
              <w:bottom w:val="single" w:sz="4" w:space="0" w:color="000000"/>
            </w:tcBorders>
          </w:tcPr>
          <w:p w14:paraId="537E83A4" w14:textId="006C3C49" w:rsidR="00B628FF" w:rsidRDefault="005B2D2F">
            <w:pPr>
              <w:pStyle w:val="MeasureTableYearHeadings"/>
              <w:keepNext/>
            </w:pPr>
            <w:r>
              <w:t>2028</w:t>
            </w:r>
            <w:r w:rsidR="00B31B37">
              <w:noBreakHyphen/>
            </w:r>
            <w:r>
              <w:t>29</w:t>
            </w:r>
          </w:p>
        </w:tc>
      </w:tr>
      <w:tr w:rsidR="00B628FF" w14:paraId="7A25BD58" w14:textId="77777777">
        <w:trPr>
          <w:cantSplit/>
        </w:trPr>
        <w:tc>
          <w:tcPr>
            <w:tcW w:w="2500" w:type="dxa"/>
            <w:tcBorders>
              <w:top w:val="single" w:sz="4" w:space="0" w:color="000000"/>
              <w:bottom w:val="single" w:sz="4" w:space="0" w:color="000000"/>
            </w:tcBorders>
          </w:tcPr>
          <w:p w14:paraId="3B8FC4C5" w14:textId="77777777" w:rsidR="00B628FF" w:rsidRDefault="005B2D2F">
            <w:pPr>
              <w:pStyle w:val="MeasureTableHeadingleftalignedwith2ptsspacing"/>
              <w:keepNext/>
            </w:pPr>
            <w:r>
              <w:t>Australian Taxation Office</w:t>
            </w:r>
          </w:p>
        </w:tc>
        <w:tc>
          <w:tcPr>
            <w:tcW w:w="1043" w:type="dxa"/>
            <w:tcBorders>
              <w:top w:val="single" w:sz="4" w:space="0" w:color="000000"/>
              <w:bottom w:val="single" w:sz="4" w:space="0" w:color="000000"/>
            </w:tcBorders>
          </w:tcPr>
          <w:p w14:paraId="157C9E93" w14:textId="74A74DCD"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68DC1B2E" w14:textId="0387A2E1"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5F0BB33D" w14:textId="77777777" w:rsidR="00B628FF" w:rsidRDefault="005B2D2F">
            <w:pPr>
              <w:pStyle w:val="MeasureTableDataRightAlignedwith2ptsspacing"/>
              <w:keepNext/>
            </w:pPr>
            <w:r>
              <w:t>2.1</w:t>
            </w:r>
          </w:p>
        </w:tc>
        <w:tc>
          <w:tcPr>
            <w:tcW w:w="1043" w:type="dxa"/>
            <w:tcBorders>
              <w:top w:val="single" w:sz="4" w:space="0" w:color="000000"/>
              <w:bottom w:val="single" w:sz="4" w:space="0" w:color="000000"/>
            </w:tcBorders>
          </w:tcPr>
          <w:p w14:paraId="5EE80AD8" w14:textId="77777777" w:rsidR="00B628FF" w:rsidRDefault="005B2D2F">
            <w:pPr>
              <w:pStyle w:val="MeasureTableDataRightAlignedwith2ptsspacing"/>
              <w:keepNext/>
            </w:pPr>
            <w:r>
              <w:t>16.2</w:t>
            </w:r>
          </w:p>
        </w:tc>
        <w:tc>
          <w:tcPr>
            <w:tcW w:w="1043" w:type="dxa"/>
            <w:tcBorders>
              <w:top w:val="single" w:sz="4" w:space="0" w:color="000000"/>
              <w:bottom w:val="single" w:sz="4" w:space="0" w:color="000000"/>
            </w:tcBorders>
          </w:tcPr>
          <w:p w14:paraId="06F4D897" w14:textId="77777777" w:rsidR="00B628FF" w:rsidRDefault="005B2D2F">
            <w:pPr>
              <w:pStyle w:val="MeasureTableDataRightAlignedwith2ptsspacing"/>
              <w:keepNext/>
            </w:pPr>
            <w:r>
              <w:t>28.7</w:t>
            </w:r>
          </w:p>
        </w:tc>
      </w:tr>
      <w:tr w:rsidR="00B628FF" w14:paraId="3D259892" w14:textId="77777777">
        <w:trPr>
          <w:cantSplit/>
        </w:trPr>
        <w:tc>
          <w:tcPr>
            <w:tcW w:w="2500" w:type="dxa"/>
          </w:tcPr>
          <w:p w14:paraId="14DDC46B" w14:textId="77777777" w:rsidR="00B628FF" w:rsidRDefault="005B2D2F">
            <w:pPr>
              <w:pStyle w:val="AgencyName"/>
              <w:keepNext/>
            </w:pPr>
            <w:r>
              <w:t>Related payments ($m)</w:t>
            </w:r>
          </w:p>
        </w:tc>
        <w:tc>
          <w:tcPr>
            <w:tcW w:w="1043" w:type="dxa"/>
          </w:tcPr>
          <w:p w14:paraId="1AC502A2" w14:textId="77777777" w:rsidR="00B628FF" w:rsidRDefault="00B628FF">
            <w:pPr>
              <w:pStyle w:val="AgencyName"/>
              <w:keepNext/>
            </w:pPr>
          </w:p>
        </w:tc>
        <w:tc>
          <w:tcPr>
            <w:tcW w:w="1043" w:type="dxa"/>
          </w:tcPr>
          <w:p w14:paraId="1302B874" w14:textId="77777777" w:rsidR="00B628FF" w:rsidRDefault="00B628FF">
            <w:pPr>
              <w:pStyle w:val="AgencyName"/>
              <w:keepNext/>
            </w:pPr>
          </w:p>
        </w:tc>
        <w:tc>
          <w:tcPr>
            <w:tcW w:w="1043" w:type="dxa"/>
          </w:tcPr>
          <w:p w14:paraId="6A6AE513" w14:textId="77777777" w:rsidR="00B628FF" w:rsidRDefault="00B628FF">
            <w:pPr>
              <w:pStyle w:val="AgencyName"/>
              <w:keepNext/>
            </w:pPr>
          </w:p>
        </w:tc>
        <w:tc>
          <w:tcPr>
            <w:tcW w:w="1043" w:type="dxa"/>
          </w:tcPr>
          <w:p w14:paraId="21E2E6D1" w14:textId="77777777" w:rsidR="00B628FF" w:rsidRDefault="00B628FF">
            <w:pPr>
              <w:pStyle w:val="AgencyName"/>
              <w:keepNext/>
            </w:pPr>
          </w:p>
        </w:tc>
        <w:tc>
          <w:tcPr>
            <w:tcW w:w="1043" w:type="dxa"/>
          </w:tcPr>
          <w:p w14:paraId="18BD9C65" w14:textId="77777777" w:rsidR="00B628FF" w:rsidRDefault="00B628FF">
            <w:pPr>
              <w:pStyle w:val="AgencyName"/>
              <w:keepNext/>
            </w:pPr>
          </w:p>
        </w:tc>
      </w:tr>
      <w:tr w:rsidR="00B628FF" w14:paraId="718AEBDF" w14:textId="77777777">
        <w:tc>
          <w:tcPr>
            <w:tcW w:w="2500" w:type="dxa"/>
          </w:tcPr>
          <w:p w14:paraId="665AF69F" w14:textId="77777777" w:rsidR="00B628FF" w:rsidRDefault="005B2D2F">
            <w:pPr>
              <w:pStyle w:val="AgencyNamewith2ptsspacing"/>
              <w:keepNext/>
            </w:pPr>
            <w:r>
              <w:t>Australian Taxation Office</w:t>
            </w:r>
          </w:p>
        </w:tc>
        <w:tc>
          <w:tcPr>
            <w:tcW w:w="1043" w:type="dxa"/>
          </w:tcPr>
          <w:p w14:paraId="4AB42CF2" w14:textId="2214E160" w:rsidR="00B628FF" w:rsidRDefault="00B31B37">
            <w:pPr>
              <w:pStyle w:val="Measuretabledatarightaligneditalics"/>
              <w:keepNext/>
            </w:pPr>
            <w:r>
              <w:noBreakHyphen/>
            </w:r>
          </w:p>
        </w:tc>
        <w:tc>
          <w:tcPr>
            <w:tcW w:w="1043" w:type="dxa"/>
          </w:tcPr>
          <w:p w14:paraId="7D2D0B10" w14:textId="77777777" w:rsidR="00B628FF" w:rsidRDefault="005B2D2F">
            <w:pPr>
              <w:pStyle w:val="Measuretabledatarightaligneditalics"/>
              <w:keepNext/>
            </w:pPr>
            <w:r>
              <w:t>5.6</w:t>
            </w:r>
          </w:p>
        </w:tc>
        <w:tc>
          <w:tcPr>
            <w:tcW w:w="1043" w:type="dxa"/>
          </w:tcPr>
          <w:p w14:paraId="440E6C22" w14:textId="77777777" w:rsidR="00B628FF" w:rsidRDefault="005B2D2F">
            <w:pPr>
              <w:pStyle w:val="Measuretabledatarightaligneditalics"/>
              <w:keepNext/>
            </w:pPr>
            <w:r>
              <w:t>5.7</w:t>
            </w:r>
          </w:p>
        </w:tc>
        <w:tc>
          <w:tcPr>
            <w:tcW w:w="1043" w:type="dxa"/>
          </w:tcPr>
          <w:p w14:paraId="78572FFC" w14:textId="77777777" w:rsidR="00B628FF" w:rsidRDefault="005B2D2F">
            <w:pPr>
              <w:pStyle w:val="Measuretabledatarightaligneditalics"/>
              <w:keepNext/>
            </w:pPr>
            <w:r>
              <w:t>8.0</w:t>
            </w:r>
          </w:p>
        </w:tc>
        <w:tc>
          <w:tcPr>
            <w:tcW w:w="1043" w:type="dxa"/>
          </w:tcPr>
          <w:p w14:paraId="43D8DC5E" w14:textId="77777777" w:rsidR="00B628FF" w:rsidRDefault="005B2D2F">
            <w:pPr>
              <w:pStyle w:val="Measuretabledatarightaligneditalics"/>
              <w:keepNext/>
            </w:pPr>
            <w:r>
              <w:t>8.0</w:t>
            </w:r>
          </w:p>
        </w:tc>
      </w:tr>
    </w:tbl>
    <w:p w14:paraId="7987AF29" w14:textId="77777777" w:rsidR="00B628FF" w:rsidRDefault="00B628FF">
      <w:pPr>
        <w:keepNext/>
        <w:spacing w:line="226" w:lineRule="exact"/>
        <w:rPr>
          <w:sz w:val="16"/>
        </w:rPr>
      </w:pPr>
    </w:p>
    <w:p w14:paraId="6557C07D" w14:textId="05AB4A61" w:rsidR="00B628FF" w:rsidRDefault="005B2D2F">
      <w:pPr>
        <w:pStyle w:val="Normal2"/>
      </w:pPr>
      <w:r w:rsidRPr="53C5BB3A">
        <w:rPr>
          <w:lang w:val="en-US"/>
        </w:rPr>
        <w:t>The Government will strengthen the sanctions available to the Tax Practitioners Board (TPB), modernise the registration framework for tax practitioners and provide funding to the TPB to undertake additional compliance targeting high</w:t>
      </w:r>
      <w:r w:rsidR="00B31B37">
        <w:rPr>
          <w:lang w:val="en-US"/>
        </w:rPr>
        <w:noBreakHyphen/>
      </w:r>
      <w:r w:rsidRPr="53C5BB3A">
        <w:rPr>
          <w:lang w:val="en-US"/>
        </w:rPr>
        <w:t xml:space="preserve">risk tax practitioners </w:t>
      </w:r>
      <w:r w:rsidR="00E16C11">
        <w:rPr>
          <w:lang w:val="en-US"/>
        </w:rPr>
        <w:t>over</w:t>
      </w:r>
      <w:r w:rsidRPr="53C5BB3A">
        <w:rPr>
          <w:lang w:val="en-US"/>
        </w:rPr>
        <w:t xml:space="preserve"> four</w:t>
      </w:r>
      <w:r w:rsidR="00A81306">
        <w:rPr>
          <w:lang w:val="en-US"/>
        </w:rPr>
        <w:t> </w:t>
      </w:r>
      <w:r w:rsidRPr="53C5BB3A">
        <w:rPr>
          <w:lang w:val="en-US"/>
        </w:rPr>
        <w:t>years from 1 July 2025.</w:t>
      </w:r>
    </w:p>
    <w:p w14:paraId="72805A57" w14:textId="2DD9FA42" w:rsidR="00B628FF" w:rsidRDefault="005B2D2F">
      <w:pPr>
        <w:pStyle w:val="Normal2"/>
      </w:pPr>
      <w:r w:rsidRPr="53C5BB3A">
        <w:rPr>
          <w:lang w:val="en-US"/>
        </w:rPr>
        <w:t>This measure will protect taxpayers from tax agent misconduct, including poor and unlawful tax advice</w:t>
      </w:r>
      <w:r w:rsidR="003074BE">
        <w:rPr>
          <w:lang w:val="en-US"/>
        </w:rPr>
        <w:t>,</w:t>
      </w:r>
      <w:r w:rsidRPr="53C5BB3A">
        <w:rPr>
          <w:lang w:val="en-US"/>
        </w:rPr>
        <w:t xml:space="preserve"> and maintain community confidence in the integrity of the tax system. </w:t>
      </w:r>
      <w:r w:rsidRPr="53C5BB3A">
        <w:rPr>
          <w:lang w:val="en-US"/>
        </w:rPr>
        <w:lastRenderedPageBreak/>
        <w:t>It will also support the sustainability of the tax profession by increasing the ease of re‑entry for tax and business activity statement agents who take career breaks.</w:t>
      </w:r>
    </w:p>
    <w:p w14:paraId="4116C121" w14:textId="11CF1DEF" w:rsidR="00B628FF" w:rsidRDefault="005B2D2F">
      <w:pPr>
        <w:pStyle w:val="Normal2"/>
      </w:pPr>
      <w:r>
        <w:t>This measure forms part of the Government</w:t>
      </w:r>
      <w:r w:rsidR="00B31B37">
        <w:t>’</w:t>
      </w:r>
      <w:r>
        <w:t>s response to the PwC matter and implements recommendations from the 2019 Independent Review of the Tax Practitioners Board.</w:t>
      </w:r>
    </w:p>
    <w:p w14:paraId="20FBDCD7" w14:textId="77777777" w:rsidR="00B628FF" w:rsidRDefault="005B2D2F">
      <w:pPr>
        <w:pStyle w:val="Normal2"/>
      </w:pPr>
      <w:r>
        <w:t>The Government will consult on the implementation details of the measure.</w:t>
      </w:r>
    </w:p>
    <w:p w14:paraId="7953F360" w14:textId="17DCE98C" w:rsidR="00B628FF" w:rsidRDefault="005B2D2F">
      <w:pPr>
        <w:pStyle w:val="Normal2"/>
      </w:pPr>
      <w:r>
        <w:t>This measure is estimated to increase receipts by $47.0 million and increase payments by $27.4 million over five years from 2024–‍25.</w:t>
      </w:r>
    </w:p>
    <w:p w14:paraId="102C52EC" w14:textId="77777777" w:rsidR="00B628FF" w:rsidRDefault="005B2D2F">
      <w:pPr>
        <w:pStyle w:val="MeasureTitle"/>
      </w:pPr>
      <w:r>
        <w:t>Personal Income Tax – increasing the Medicare levy low‑income thresholds</w:t>
      </w:r>
    </w:p>
    <w:p w14:paraId="0F75DD03" w14:textId="77777777" w:rsidR="00B628FF" w:rsidRDefault="005B2D2F">
      <w:pPr>
        <w:pStyle w:val="MeasureTableHeading"/>
      </w:pPr>
      <w:r>
        <w:t>Receipts ($m)</w:t>
      </w:r>
    </w:p>
    <w:tbl>
      <w:tblPr>
        <w:tblOverlap w:val="never"/>
        <w:tblW w:w="7721" w:type="dxa"/>
        <w:tblBorders>
          <w:top w:val="single" w:sz="4" w:space="0" w:color="000000"/>
          <w:bottom w:val="single" w:sz="4" w:space="0" w:color="000000"/>
        </w:tblBorders>
        <w:tblLayout w:type="fixed"/>
        <w:tblLook w:val="04A0" w:firstRow="1" w:lastRow="0" w:firstColumn="1" w:lastColumn="0" w:noHBand="0" w:noVBand="1"/>
      </w:tblPr>
      <w:tblGrid>
        <w:gridCol w:w="2501"/>
        <w:gridCol w:w="1044"/>
        <w:gridCol w:w="1044"/>
        <w:gridCol w:w="1044"/>
        <w:gridCol w:w="1044"/>
        <w:gridCol w:w="1044"/>
      </w:tblGrid>
      <w:tr w:rsidR="00B628FF" w14:paraId="47B908FD" w14:textId="77777777">
        <w:trPr>
          <w:cantSplit/>
        </w:trPr>
        <w:tc>
          <w:tcPr>
            <w:tcW w:w="2500" w:type="dxa"/>
            <w:tcBorders>
              <w:top w:val="single" w:sz="4" w:space="0" w:color="000000"/>
              <w:bottom w:val="single" w:sz="4" w:space="0" w:color="000000"/>
            </w:tcBorders>
          </w:tcPr>
          <w:p w14:paraId="37AC7530" w14:textId="77777777" w:rsidR="00B628FF" w:rsidRDefault="00B628FF">
            <w:pPr>
              <w:pStyle w:val="MeasureTableYearHeadings"/>
              <w:keepNext/>
            </w:pPr>
          </w:p>
        </w:tc>
        <w:tc>
          <w:tcPr>
            <w:tcW w:w="1043" w:type="dxa"/>
            <w:tcBorders>
              <w:top w:val="single" w:sz="4" w:space="0" w:color="000000"/>
              <w:bottom w:val="single" w:sz="4" w:space="0" w:color="000000"/>
            </w:tcBorders>
          </w:tcPr>
          <w:p w14:paraId="6E1875A5" w14:textId="1D424D98" w:rsidR="00B628FF" w:rsidRDefault="005B2D2F">
            <w:pPr>
              <w:pStyle w:val="MeasureTableYearHeadings"/>
              <w:keepNext/>
            </w:pPr>
            <w:r>
              <w:t>2024</w:t>
            </w:r>
            <w:r w:rsidR="00B31B37">
              <w:noBreakHyphen/>
            </w:r>
            <w:r>
              <w:t>25</w:t>
            </w:r>
          </w:p>
        </w:tc>
        <w:tc>
          <w:tcPr>
            <w:tcW w:w="1043" w:type="dxa"/>
            <w:tcBorders>
              <w:top w:val="single" w:sz="4" w:space="0" w:color="000000"/>
              <w:bottom w:val="single" w:sz="4" w:space="0" w:color="000000"/>
            </w:tcBorders>
          </w:tcPr>
          <w:p w14:paraId="3B663886" w14:textId="1ED3EE60" w:rsidR="00B628FF" w:rsidRDefault="005B2D2F">
            <w:pPr>
              <w:pStyle w:val="MeasureTableYearHeadings"/>
              <w:keepNext/>
            </w:pPr>
            <w:r>
              <w:t>2025</w:t>
            </w:r>
            <w:r w:rsidR="00B31B37">
              <w:noBreakHyphen/>
            </w:r>
            <w:r>
              <w:t>26</w:t>
            </w:r>
          </w:p>
        </w:tc>
        <w:tc>
          <w:tcPr>
            <w:tcW w:w="1043" w:type="dxa"/>
            <w:tcBorders>
              <w:top w:val="single" w:sz="4" w:space="0" w:color="000000"/>
              <w:bottom w:val="single" w:sz="4" w:space="0" w:color="000000"/>
            </w:tcBorders>
          </w:tcPr>
          <w:p w14:paraId="5B9330A3" w14:textId="383CB441" w:rsidR="00B628FF" w:rsidRDefault="005B2D2F">
            <w:pPr>
              <w:pStyle w:val="MeasureTableYearHeadings"/>
              <w:keepNext/>
            </w:pPr>
            <w:r>
              <w:t>2026</w:t>
            </w:r>
            <w:r w:rsidR="00B31B37">
              <w:noBreakHyphen/>
            </w:r>
            <w:r>
              <w:t>27</w:t>
            </w:r>
          </w:p>
        </w:tc>
        <w:tc>
          <w:tcPr>
            <w:tcW w:w="1043" w:type="dxa"/>
            <w:tcBorders>
              <w:top w:val="single" w:sz="4" w:space="0" w:color="000000"/>
              <w:bottom w:val="single" w:sz="4" w:space="0" w:color="000000"/>
            </w:tcBorders>
          </w:tcPr>
          <w:p w14:paraId="38BDD3C1" w14:textId="0F19DC09" w:rsidR="00B628FF" w:rsidRDefault="005B2D2F">
            <w:pPr>
              <w:pStyle w:val="MeasureTableYearHeadings"/>
              <w:keepNext/>
            </w:pPr>
            <w:r>
              <w:t>2027</w:t>
            </w:r>
            <w:r w:rsidR="00B31B37">
              <w:noBreakHyphen/>
            </w:r>
            <w:r>
              <w:t>28</w:t>
            </w:r>
          </w:p>
        </w:tc>
        <w:tc>
          <w:tcPr>
            <w:tcW w:w="1043" w:type="dxa"/>
            <w:tcBorders>
              <w:top w:val="single" w:sz="4" w:space="0" w:color="000000"/>
              <w:bottom w:val="single" w:sz="4" w:space="0" w:color="000000"/>
            </w:tcBorders>
          </w:tcPr>
          <w:p w14:paraId="65715439" w14:textId="1B66AD54" w:rsidR="00B628FF" w:rsidRDefault="005B2D2F">
            <w:pPr>
              <w:pStyle w:val="MeasureTableYearHeadings"/>
              <w:keepNext/>
            </w:pPr>
            <w:r>
              <w:t>2028</w:t>
            </w:r>
            <w:r w:rsidR="00B31B37">
              <w:noBreakHyphen/>
            </w:r>
            <w:r>
              <w:t>29</w:t>
            </w:r>
          </w:p>
        </w:tc>
      </w:tr>
      <w:tr w:rsidR="00B628FF" w14:paraId="7A20B917" w14:textId="77777777">
        <w:trPr>
          <w:cantSplit/>
        </w:trPr>
        <w:tc>
          <w:tcPr>
            <w:tcW w:w="2500" w:type="dxa"/>
            <w:tcBorders>
              <w:top w:val="single" w:sz="4" w:space="0" w:color="000000"/>
              <w:bottom w:val="single" w:sz="4" w:space="0" w:color="000000"/>
            </w:tcBorders>
          </w:tcPr>
          <w:p w14:paraId="209ABC89" w14:textId="77777777" w:rsidR="00B628FF" w:rsidRDefault="005B2D2F">
            <w:pPr>
              <w:pStyle w:val="MeasureTableHeadingleftalignedwith2ptsspacing"/>
              <w:keepNext/>
            </w:pPr>
            <w:r>
              <w:t>Australian Taxation Office</w:t>
            </w:r>
          </w:p>
        </w:tc>
        <w:tc>
          <w:tcPr>
            <w:tcW w:w="1043" w:type="dxa"/>
            <w:tcBorders>
              <w:top w:val="single" w:sz="4" w:space="0" w:color="000000"/>
              <w:bottom w:val="single" w:sz="4" w:space="0" w:color="000000"/>
            </w:tcBorders>
          </w:tcPr>
          <w:p w14:paraId="6B3F9973" w14:textId="1BA2D883"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01EECE23" w14:textId="59F0321E" w:rsidR="00B628FF" w:rsidRDefault="00B31B37">
            <w:pPr>
              <w:pStyle w:val="MeasureTableDataRightAlignedwith2ptsspacing"/>
              <w:keepNext/>
            </w:pPr>
            <w:r>
              <w:noBreakHyphen/>
            </w:r>
            <w:r w:rsidR="005B2D2F">
              <w:t>207.0</w:t>
            </w:r>
          </w:p>
        </w:tc>
        <w:tc>
          <w:tcPr>
            <w:tcW w:w="1043" w:type="dxa"/>
            <w:tcBorders>
              <w:top w:val="single" w:sz="4" w:space="0" w:color="000000"/>
              <w:bottom w:val="single" w:sz="4" w:space="0" w:color="000000"/>
            </w:tcBorders>
          </w:tcPr>
          <w:p w14:paraId="4166C3D8" w14:textId="46CA7E85" w:rsidR="00B628FF" w:rsidRDefault="00B31B37">
            <w:pPr>
              <w:pStyle w:val="MeasureTableDataRightAlignedwith2ptsspacing"/>
              <w:keepNext/>
            </w:pPr>
            <w:r>
              <w:noBreakHyphen/>
            </w:r>
            <w:r w:rsidR="005B2D2F">
              <w:t>152.0</w:t>
            </w:r>
          </w:p>
        </w:tc>
        <w:tc>
          <w:tcPr>
            <w:tcW w:w="1043" w:type="dxa"/>
            <w:tcBorders>
              <w:top w:val="single" w:sz="4" w:space="0" w:color="000000"/>
              <w:bottom w:val="single" w:sz="4" w:space="0" w:color="000000"/>
            </w:tcBorders>
          </w:tcPr>
          <w:p w14:paraId="1E7418FA" w14:textId="672A832C" w:rsidR="00B628FF" w:rsidRDefault="00B31B37">
            <w:pPr>
              <w:pStyle w:val="MeasureTableDataRightAlignedwith2ptsspacing"/>
              <w:keepNext/>
            </w:pPr>
            <w:r>
              <w:noBreakHyphen/>
            </w:r>
            <w:r w:rsidR="005B2D2F">
              <w:t>145.0</w:t>
            </w:r>
          </w:p>
        </w:tc>
        <w:tc>
          <w:tcPr>
            <w:tcW w:w="1043" w:type="dxa"/>
            <w:tcBorders>
              <w:top w:val="single" w:sz="4" w:space="0" w:color="000000"/>
              <w:bottom w:val="single" w:sz="4" w:space="0" w:color="000000"/>
            </w:tcBorders>
          </w:tcPr>
          <w:p w14:paraId="66EF01B0" w14:textId="746514F5" w:rsidR="00B628FF" w:rsidRDefault="00B31B37">
            <w:pPr>
              <w:pStyle w:val="MeasureTableDataRightAlignedwith2ptsspacing"/>
              <w:keepNext/>
            </w:pPr>
            <w:r>
              <w:noBreakHyphen/>
            </w:r>
            <w:r w:rsidR="005B2D2F">
              <w:t>144.0</w:t>
            </w:r>
          </w:p>
        </w:tc>
      </w:tr>
    </w:tbl>
    <w:p w14:paraId="5469A6BC" w14:textId="77777777" w:rsidR="00B628FF" w:rsidRDefault="00B628FF">
      <w:pPr>
        <w:keepNext/>
        <w:spacing w:line="226" w:lineRule="exact"/>
        <w:rPr>
          <w:sz w:val="16"/>
        </w:rPr>
      </w:pPr>
    </w:p>
    <w:p w14:paraId="742E4C0A" w14:textId="77777777" w:rsidR="00B628FF" w:rsidRDefault="005B2D2F">
      <w:pPr>
        <w:pStyle w:val="Normal2"/>
      </w:pPr>
      <w:r w:rsidRPr="5FA307DC">
        <w:rPr>
          <w:lang w:val="en-US"/>
        </w:rPr>
        <w:t>The Government will increase the Medicare levy low‑income thresholds for singles, families, and seniors and pensioners from 1 July 2024 to provide cost‑of‑living relief. The increase to the thresholds ensures that low‑income individuals continue to be exempt from paying the Medicare levy or pay a reduced levy rate.</w:t>
      </w:r>
    </w:p>
    <w:p w14:paraId="2F28225B" w14:textId="7607BD06" w:rsidR="00B628FF" w:rsidRDefault="005B2D2F">
      <w:pPr>
        <w:pStyle w:val="Normal2"/>
      </w:pPr>
      <w:r>
        <w:t>The increase to the thresholds is estimated to decrease receipts by $648.0 million over five</w:t>
      </w:r>
      <w:r w:rsidR="00A81306">
        <w:t> </w:t>
      </w:r>
      <w:r>
        <w:t>years from 2024–‍25.</w:t>
      </w:r>
    </w:p>
    <w:p w14:paraId="31BAC750" w14:textId="21EB8C63" w:rsidR="00B628FF" w:rsidRDefault="005B2D2F">
      <w:pPr>
        <w:pStyle w:val="Normal2"/>
      </w:pPr>
      <w:r>
        <w:t>The threshold for singles will be increased from $26,000 to $27,222. The family threshold will be increased from $43,846 to $45,907. For single seniors and pensioners, the threshold will be increased from $41,089 to $43,020. The family threshold for seniors and pensioners will be increased from $57,198 to $59,886. The family income thresholds will increase by $4,216 for each dependent child or student, up from</w:t>
      </w:r>
      <w:r w:rsidR="00A81306">
        <w:t> </w:t>
      </w:r>
      <w:r>
        <w:t>$4,027.</w:t>
      </w:r>
    </w:p>
    <w:p w14:paraId="4F27F4A9" w14:textId="25B5E42E" w:rsidR="00135C93" w:rsidRPr="000C202F" w:rsidRDefault="00135C93" w:rsidP="00135C93">
      <w:pPr>
        <w:pStyle w:val="MeasureTitle"/>
      </w:pPr>
      <w:r w:rsidRPr="000C202F">
        <w:rPr>
          <w:color w:val="auto"/>
        </w:rPr>
        <w:t>Personal Income Tax – new tax cuts for every Australian taxpayer</w:t>
      </w:r>
    </w:p>
    <w:p w14:paraId="4AE1E7DD" w14:textId="50B23D26" w:rsidR="00135C93" w:rsidRPr="000C202F" w:rsidRDefault="00135C93" w:rsidP="00135C93">
      <w:pPr>
        <w:pStyle w:val="MeasureTableHeading"/>
      </w:pPr>
      <w:r w:rsidRPr="000C202F">
        <w:t>Receipts ($m)</w:t>
      </w:r>
    </w:p>
    <w:tbl>
      <w:tblPr>
        <w:tblOverlap w:val="never"/>
        <w:tblW w:w="7721" w:type="dxa"/>
        <w:tblBorders>
          <w:top w:val="single" w:sz="4" w:space="0" w:color="000000"/>
          <w:bottom w:val="single" w:sz="4" w:space="0" w:color="000000"/>
        </w:tblBorders>
        <w:tblLayout w:type="fixed"/>
        <w:tblLook w:val="04A0" w:firstRow="1" w:lastRow="0" w:firstColumn="1" w:lastColumn="0" w:noHBand="0" w:noVBand="1"/>
      </w:tblPr>
      <w:tblGrid>
        <w:gridCol w:w="2501"/>
        <w:gridCol w:w="1044"/>
        <w:gridCol w:w="1044"/>
        <w:gridCol w:w="1044"/>
        <w:gridCol w:w="1044"/>
        <w:gridCol w:w="1044"/>
      </w:tblGrid>
      <w:tr w:rsidR="00135C93" w:rsidRPr="00135C93" w14:paraId="7485DA1A" w14:textId="77777777" w:rsidTr="00ED65A7">
        <w:trPr>
          <w:cantSplit/>
        </w:trPr>
        <w:tc>
          <w:tcPr>
            <w:tcW w:w="2500" w:type="dxa"/>
            <w:tcBorders>
              <w:top w:val="single" w:sz="4" w:space="0" w:color="000000"/>
              <w:bottom w:val="single" w:sz="4" w:space="0" w:color="000000"/>
            </w:tcBorders>
          </w:tcPr>
          <w:p w14:paraId="5788D569" w14:textId="77777777" w:rsidR="00135C93" w:rsidRPr="000C202F" w:rsidRDefault="00135C93" w:rsidP="00ED65A7">
            <w:pPr>
              <w:pStyle w:val="MeasureTableYearHeadings"/>
              <w:keepNext/>
            </w:pPr>
          </w:p>
        </w:tc>
        <w:tc>
          <w:tcPr>
            <w:tcW w:w="1043" w:type="dxa"/>
            <w:tcBorders>
              <w:top w:val="single" w:sz="4" w:space="0" w:color="000000"/>
              <w:bottom w:val="single" w:sz="4" w:space="0" w:color="000000"/>
            </w:tcBorders>
          </w:tcPr>
          <w:p w14:paraId="37700BF7" w14:textId="4D8E6511" w:rsidR="00135C93" w:rsidRPr="000C202F" w:rsidRDefault="00135C93" w:rsidP="00ED65A7">
            <w:pPr>
              <w:pStyle w:val="MeasureTableYearHeadings"/>
              <w:keepNext/>
            </w:pPr>
            <w:r w:rsidRPr="000C202F">
              <w:t>2024</w:t>
            </w:r>
            <w:r w:rsidR="00B31B37">
              <w:noBreakHyphen/>
            </w:r>
            <w:r w:rsidRPr="000C202F">
              <w:t>25</w:t>
            </w:r>
          </w:p>
        </w:tc>
        <w:tc>
          <w:tcPr>
            <w:tcW w:w="1043" w:type="dxa"/>
            <w:tcBorders>
              <w:top w:val="single" w:sz="4" w:space="0" w:color="000000"/>
              <w:bottom w:val="single" w:sz="4" w:space="0" w:color="000000"/>
            </w:tcBorders>
          </w:tcPr>
          <w:p w14:paraId="6087CF01" w14:textId="1B9D49CE" w:rsidR="00135C93" w:rsidRPr="000C202F" w:rsidRDefault="00135C93" w:rsidP="00ED65A7">
            <w:pPr>
              <w:pStyle w:val="MeasureTableYearHeadings"/>
              <w:keepNext/>
            </w:pPr>
            <w:r w:rsidRPr="000C202F">
              <w:t>2025</w:t>
            </w:r>
            <w:r w:rsidR="00B31B37">
              <w:noBreakHyphen/>
            </w:r>
            <w:r w:rsidRPr="000C202F">
              <w:t>26</w:t>
            </w:r>
          </w:p>
        </w:tc>
        <w:tc>
          <w:tcPr>
            <w:tcW w:w="1043" w:type="dxa"/>
            <w:tcBorders>
              <w:top w:val="single" w:sz="4" w:space="0" w:color="000000"/>
              <w:bottom w:val="single" w:sz="4" w:space="0" w:color="000000"/>
            </w:tcBorders>
          </w:tcPr>
          <w:p w14:paraId="551D561E" w14:textId="38A84AF5" w:rsidR="00135C93" w:rsidRPr="000C202F" w:rsidRDefault="00135C93" w:rsidP="00ED65A7">
            <w:pPr>
              <w:pStyle w:val="MeasureTableYearHeadings"/>
              <w:keepNext/>
            </w:pPr>
            <w:r w:rsidRPr="000C202F">
              <w:t>2026</w:t>
            </w:r>
            <w:r w:rsidR="00B31B37">
              <w:noBreakHyphen/>
            </w:r>
            <w:r w:rsidRPr="000C202F">
              <w:t>27</w:t>
            </w:r>
          </w:p>
        </w:tc>
        <w:tc>
          <w:tcPr>
            <w:tcW w:w="1043" w:type="dxa"/>
            <w:tcBorders>
              <w:top w:val="single" w:sz="4" w:space="0" w:color="000000"/>
              <w:bottom w:val="single" w:sz="4" w:space="0" w:color="000000"/>
            </w:tcBorders>
          </w:tcPr>
          <w:p w14:paraId="617DA74B" w14:textId="44FFC06C" w:rsidR="00135C93" w:rsidRPr="000C202F" w:rsidRDefault="00135C93" w:rsidP="00ED65A7">
            <w:pPr>
              <w:pStyle w:val="MeasureTableYearHeadings"/>
              <w:keepNext/>
            </w:pPr>
            <w:r w:rsidRPr="000C202F">
              <w:t>2027</w:t>
            </w:r>
            <w:r w:rsidR="00B31B37">
              <w:noBreakHyphen/>
            </w:r>
            <w:r w:rsidRPr="000C202F">
              <w:t>28</w:t>
            </w:r>
          </w:p>
        </w:tc>
        <w:tc>
          <w:tcPr>
            <w:tcW w:w="1043" w:type="dxa"/>
            <w:tcBorders>
              <w:top w:val="single" w:sz="4" w:space="0" w:color="000000"/>
              <w:bottom w:val="single" w:sz="4" w:space="0" w:color="000000"/>
            </w:tcBorders>
          </w:tcPr>
          <w:p w14:paraId="2C87E5C1" w14:textId="00437DCE" w:rsidR="00135C93" w:rsidRPr="000C202F" w:rsidRDefault="00135C93" w:rsidP="00ED65A7">
            <w:pPr>
              <w:pStyle w:val="MeasureTableYearHeadings"/>
              <w:keepNext/>
            </w:pPr>
            <w:r w:rsidRPr="000C202F">
              <w:t>2028</w:t>
            </w:r>
            <w:r w:rsidR="00B31B37">
              <w:noBreakHyphen/>
            </w:r>
            <w:r w:rsidRPr="000C202F">
              <w:t>29</w:t>
            </w:r>
          </w:p>
        </w:tc>
      </w:tr>
      <w:tr w:rsidR="00135C93" w:rsidRPr="00135C93" w14:paraId="33F5EEEF" w14:textId="77777777" w:rsidTr="00ED65A7">
        <w:trPr>
          <w:cantSplit/>
        </w:trPr>
        <w:tc>
          <w:tcPr>
            <w:tcW w:w="2500" w:type="dxa"/>
            <w:tcBorders>
              <w:top w:val="single" w:sz="4" w:space="0" w:color="000000"/>
              <w:bottom w:val="single" w:sz="4" w:space="0" w:color="000000"/>
            </w:tcBorders>
          </w:tcPr>
          <w:p w14:paraId="4E0D121A" w14:textId="77777777" w:rsidR="00135C93" w:rsidRPr="000C202F" w:rsidRDefault="00135C93" w:rsidP="00ED65A7">
            <w:pPr>
              <w:pStyle w:val="MeasureTableHeadingleftalignedwith2ptsspacing"/>
              <w:keepNext/>
            </w:pPr>
            <w:r w:rsidRPr="000C202F">
              <w:t>Australian Taxation Office</w:t>
            </w:r>
          </w:p>
        </w:tc>
        <w:tc>
          <w:tcPr>
            <w:tcW w:w="1043" w:type="dxa"/>
            <w:tcBorders>
              <w:top w:val="single" w:sz="4" w:space="0" w:color="000000"/>
              <w:bottom w:val="single" w:sz="4" w:space="0" w:color="000000"/>
            </w:tcBorders>
          </w:tcPr>
          <w:p w14:paraId="667C569F" w14:textId="3BBF8AAB" w:rsidR="00135C93" w:rsidRPr="000C202F" w:rsidRDefault="00B31B37" w:rsidP="00ED65A7">
            <w:pPr>
              <w:pStyle w:val="MeasureTableDataRightAlignedwith2ptsspacing"/>
              <w:keepNext/>
            </w:pPr>
            <w:r>
              <w:noBreakHyphen/>
            </w:r>
          </w:p>
        </w:tc>
        <w:tc>
          <w:tcPr>
            <w:tcW w:w="1043" w:type="dxa"/>
            <w:tcBorders>
              <w:top w:val="single" w:sz="4" w:space="0" w:color="000000"/>
              <w:bottom w:val="single" w:sz="4" w:space="0" w:color="000000"/>
            </w:tcBorders>
          </w:tcPr>
          <w:p w14:paraId="4B13F02C" w14:textId="7702370D" w:rsidR="00135C93" w:rsidRPr="000C202F" w:rsidRDefault="00B31B37" w:rsidP="00ED65A7">
            <w:pPr>
              <w:pStyle w:val="MeasureTableDataRightAlignedwith2ptsspacing"/>
              <w:keepNext/>
            </w:pPr>
            <w:r>
              <w:noBreakHyphen/>
            </w:r>
          </w:p>
        </w:tc>
        <w:tc>
          <w:tcPr>
            <w:tcW w:w="1043" w:type="dxa"/>
            <w:tcBorders>
              <w:top w:val="single" w:sz="4" w:space="0" w:color="000000"/>
              <w:bottom w:val="single" w:sz="4" w:space="0" w:color="000000"/>
            </w:tcBorders>
          </w:tcPr>
          <w:p w14:paraId="56F19CBA" w14:textId="44F6626E" w:rsidR="00135C93" w:rsidRPr="000C202F" w:rsidRDefault="00B31B37" w:rsidP="00ED65A7">
            <w:pPr>
              <w:pStyle w:val="MeasureTableDataRightAlignedwith2ptsspacing"/>
              <w:keepNext/>
            </w:pPr>
            <w:r>
              <w:noBreakHyphen/>
            </w:r>
            <w:r w:rsidR="00135C93" w:rsidRPr="000C202F">
              <w:t>3,000.0</w:t>
            </w:r>
          </w:p>
        </w:tc>
        <w:tc>
          <w:tcPr>
            <w:tcW w:w="1043" w:type="dxa"/>
            <w:tcBorders>
              <w:top w:val="single" w:sz="4" w:space="0" w:color="000000"/>
              <w:bottom w:val="single" w:sz="4" w:space="0" w:color="000000"/>
            </w:tcBorders>
          </w:tcPr>
          <w:p w14:paraId="0E16761F" w14:textId="786C8695" w:rsidR="00135C93" w:rsidRPr="000C202F" w:rsidRDefault="00B31B37" w:rsidP="00ED65A7">
            <w:pPr>
              <w:pStyle w:val="MeasureTableDataRightAlignedwith2ptsspacing"/>
              <w:keepNext/>
            </w:pPr>
            <w:r>
              <w:noBreakHyphen/>
            </w:r>
            <w:r w:rsidR="00135C93" w:rsidRPr="000C202F">
              <w:t>6,700.0</w:t>
            </w:r>
          </w:p>
        </w:tc>
        <w:tc>
          <w:tcPr>
            <w:tcW w:w="1043" w:type="dxa"/>
            <w:tcBorders>
              <w:top w:val="single" w:sz="4" w:space="0" w:color="000000"/>
              <w:bottom w:val="single" w:sz="4" w:space="0" w:color="000000"/>
            </w:tcBorders>
          </w:tcPr>
          <w:p w14:paraId="0EBE41FB" w14:textId="5A9033CD" w:rsidR="00135C93" w:rsidRPr="000C202F" w:rsidRDefault="00B31B37" w:rsidP="00ED65A7">
            <w:pPr>
              <w:pStyle w:val="MeasureTableDataRightAlignedwith2ptsspacing"/>
              <w:keepNext/>
            </w:pPr>
            <w:r>
              <w:noBreakHyphen/>
            </w:r>
            <w:r w:rsidR="00135C93" w:rsidRPr="000C202F">
              <w:t>7,400.0</w:t>
            </w:r>
          </w:p>
        </w:tc>
      </w:tr>
    </w:tbl>
    <w:p w14:paraId="7CDC1BDD" w14:textId="25412EEF" w:rsidR="00135C93" w:rsidRPr="000C202F" w:rsidRDefault="00135C93" w:rsidP="00135C93">
      <w:pPr>
        <w:keepNext/>
        <w:spacing w:line="226" w:lineRule="exact"/>
        <w:rPr>
          <w:sz w:val="16"/>
        </w:rPr>
      </w:pPr>
    </w:p>
    <w:p w14:paraId="2325F3B5" w14:textId="60D6A33C" w:rsidR="00135C93" w:rsidRPr="000C202F" w:rsidRDefault="00135C93" w:rsidP="00135C93">
      <w:pPr>
        <w:pStyle w:val="Normal2"/>
      </w:pPr>
      <w:r w:rsidRPr="000C202F">
        <w:t>The Government will deliver new tax cuts to every Australian taxpayer from 1</w:t>
      </w:r>
      <w:r w:rsidR="005F3087">
        <w:t> </w:t>
      </w:r>
      <w:r w:rsidRPr="000C202F">
        <w:t>July</w:t>
      </w:r>
      <w:r w:rsidR="005F3087">
        <w:t> </w:t>
      </w:r>
      <w:r w:rsidRPr="000C202F">
        <w:t>2026.</w:t>
      </w:r>
    </w:p>
    <w:p w14:paraId="02033B80" w14:textId="18B2C0F8" w:rsidR="00135C93" w:rsidRPr="000C202F" w:rsidRDefault="00135C93" w:rsidP="00135C93">
      <w:pPr>
        <w:pStyle w:val="Normal2"/>
      </w:pPr>
      <w:r w:rsidRPr="000C202F">
        <w:t>These tax cuts are in addition to the first round of tax cuts for every taxpayer that the Government legislated last year, which have been rolling out since 1</w:t>
      </w:r>
      <w:r w:rsidR="005F3087">
        <w:t> </w:t>
      </w:r>
      <w:r w:rsidRPr="000C202F">
        <w:t>July</w:t>
      </w:r>
      <w:r w:rsidR="005F3087">
        <w:t> </w:t>
      </w:r>
      <w:r w:rsidRPr="000C202F">
        <w:t>2024.</w:t>
      </w:r>
    </w:p>
    <w:p w14:paraId="510E61AF" w14:textId="4BCA1D0A" w:rsidR="00135C93" w:rsidRPr="000C202F" w:rsidRDefault="00135C93" w:rsidP="00135C93">
      <w:pPr>
        <w:pStyle w:val="Normal2"/>
        <w:rPr>
          <w:lang w:val="en-US"/>
        </w:rPr>
      </w:pPr>
      <w:r w:rsidRPr="000C202F">
        <w:rPr>
          <w:lang w:val="en-US"/>
        </w:rPr>
        <w:t>The new tax cuts will provide more cost</w:t>
      </w:r>
      <w:r w:rsidR="00B31B37">
        <w:rPr>
          <w:lang w:val="en-US"/>
        </w:rPr>
        <w:noBreakHyphen/>
      </w:r>
      <w:r w:rsidRPr="000C202F">
        <w:rPr>
          <w:lang w:val="en-US"/>
        </w:rPr>
        <w:t>of</w:t>
      </w:r>
      <w:r w:rsidR="00B31B37">
        <w:rPr>
          <w:lang w:val="en-US"/>
        </w:rPr>
        <w:noBreakHyphen/>
      </w:r>
      <w:r w:rsidRPr="000C202F">
        <w:rPr>
          <w:lang w:val="en-US"/>
        </w:rPr>
        <w:t>living relief and return bracket creep. They will also boost labour supply, particularly for women.</w:t>
      </w:r>
    </w:p>
    <w:p w14:paraId="2FC65BA8" w14:textId="36069844" w:rsidR="00135C93" w:rsidRPr="000C202F" w:rsidRDefault="00135C93" w:rsidP="00135C93">
      <w:pPr>
        <w:pStyle w:val="Normal2"/>
      </w:pPr>
      <w:r w:rsidRPr="000C202F">
        <w:t>Under the Government</w:t>
      </w:r>
      <w:r w:rsidR="00B31B37">
        <w:t>’</w:t>
      </w:r>
      <w:r w:rsidRPr="000C202F">
        <w:t>s new tax cuts:</w:t>
      </w:r>
    </w:p>
    <w:p w14:paraId="67B707C8" w14:textId="37B683AD" w:rsidR="00135C93" w:rsidRPr="000C202F" w:rsidRDefault="00135C93" w:rsidP="00135C93">
      <w:pPr>
        <w:pStyle w:val="Bullet"/>
      </w:pPr>
      <w:r w:rsidRPr="000C202F">
        <w:t>From 1</w:t>
      </w:r>
      <w:r w:rsidR="00842491">
        <w:t> </w:t>
      </w:r>
      <w:r w:rsidRPr="000C202F">
        <w:t>July</w:t>
      </w:r>
      <w:r w:rsidR="00842491">
        <w:t> </w:t>
      </w:r>
      <w:r w:rsidRPr="000C202F">
        <w:t>2026, the 16</w:t>
      </w:r>
      <w:r w:rsidR="00842491">
        <w:t> </w:t>
      </w:r>
      <w:r w:rsidRPr="000C202F">
        <w:t>per</w:t>
      </w:r>
      <w:r w:rsidR="00842491">
        <w:t> </w:t>
      </w:r>
      <w:r w:rsidRPr="000C202F">
        <w:t>cent rate will be reduced to 15</w:t>
      </w:r>
      <w:r w:rsidR="005F3087">
        <w:t> </w:t>
      </w:r>
      <w:r w:rsidRPr="000C202F">
        <w:t>per</w:t>
      </w:r>
      <w:r w:rsidR="005F3087">
        <w:t> </w:t>
      </w:r>
      <w:r w:rsidRPr="000C202F">
        <w:t>cent.</w:t>
      </w:r>
    </w:p>
    <w:p w14:paraId="73B275FE" w14:textId="6A3726C1" w:rsidR="00135C93" w:rsidRPr="000C202F" w:rsidRDefault="00135C93" w:rsidP="00135C93">
      <w:pPr>
        <w:pStyle w:val="Bullet"/>
      </w:pPr>
      <w:r w:rsidRPr="000C202F">
        <w:t>From 1</w:t>
      </w:r>
      <w:r w:rsidR="00842491">
        <w:t> </w:t>
      </w:r>
      <w:r w:rsidRPr="000C202F">
        <w:t>July</w:t>
      </w:r>
      <w:r w:rsidR="00842491">
        <w:t> </w:t>
      </w:r>
      <w:r w:rsidRPr="000C202F">
        <w:t>2027, the 15</w:t>
      </w:r>
      <w:r w:rsidR="00842491">
        <w:t> </w:t>
      </w:r>
      <w:r w:rsidRPr="000C202F">
        <w:t>per</w:t>
      </w:r>
      <w:r w:rsidR="00842491">
        <w:t> </w:t>
      </w:r>
      <w:r w:rsidRPr="000C202F">
        <w:t>cent rate will be reduced further to 14</w:t>
      </w:r>
      <w:r w:rsidR="005F3087">
        <w:t> </w:t>
      </w:r>
      <w:r w:rsidRPr="000C202F">
        <w:t>per</w:t>
      </w:r>
      <w:r w:rsidR="005F3087">
        <w:t> </w:t>
      </w:r>
      <w:r w:rsidRPr="000C202F">
        <w:t>cent.</w:t>
      </w:r>
    </w:p>
    <w:p w14:paraId="20659885" w14:textId="777F5044" w:rsidR="00135C93" w:rsidRPr="00426434" w:rsidRDefault="00135C93" w:rsidP="00135C93">
      <w:pPr>
        <w:pStyle w:val="Normal2"/>
      </w:pPr>
      <w:r w:rsidRPr="000C202F">
        <w:rPr>
          <w:lang w:val="en-US"/>
        </w:rPr>
        <w:t>This measure is estimated to decrease receipts by $17.1</w:t>
      </w:r>
      <w:r w:rsidR="00842491">
        <w:rPr>
          <w:lang w:val="en-US"/>
        </w:rPr>
        <w:t> </w:t>
      </w:r>
      <w:r w:rsidRPr="000C202F">
        <w:rPr>
          <w:lang w:val="en-US"/>
        </w:rPr>
        <w:t>billion over five</w:t>
      </w:r>
      <w:r w:rsidR="00842491">
        <w:rPr>
          <w:lang w:val="en-US"/>
        </w:rPr>
        <w:t> </w:t>
      </w:r>
      <w:r w:rsidRPr="000C202F">
        <w:rPr>
          <w:lang w:val="en-US"/>
        </w:rPr>
        <w:t>years from 2024–</w:t>
      </w:r>
      <w:r w:rsidRPr="000C202F">
        <w:rPr>
          <w:rFonts w:ascii="Times New Roman" w:hAnsi="Times New Roman"/>
          <w:lang w:val="en-US"/>
        </w:rPr>
        <w:t>‍</w:t>
      </w:r>
      <w:r w:rsidRPr="000C202F">
        <w:rPr>
          <w:lang w:val="en-US"/>
        </w:rPr>
        <w:t>25.</w:t>
      </w:r>
    </w:p>
    <w:p w14:paraId="657D2220" w14:textId="77777777" w:rsidR="00B628FF" w:rsidRDefault="005B2D2F">
      <w:pPr>
        <w:pStyle w:val="MeasureTitle"/>
      </w:pPr>
      <w:r>
        <w:t>Restricting Foreign Ownership of Housing</w:t>
      </w:r>
    </w:p>
    <w:p w14:paraId="0C930C35" w14:textId="77777777" w:rsidR="00B628FF" w:rsidRDefault="005B2D2F">
      <w:pPr>
        <w:pStyle w:val="MeasureTableHeading"/>
      </w:pPr>
      <w:r>
        <w:t>Receipts ($m)</w:t>
      </w:r>
    </w:p>
    <w:tbl>
      <w:tblPr>
        <w:tblOverlap w:val="never"/>
        <w:tblW w:w="7721" w:type="dxa"/>
        <w:tblBorders>
          <w:top w:val="single" w:sz="4" w:space="0" w:color="000000"/>
          <w:bottom w:val="single" w:sz="4" w:space="0" w:color="000000"/>
        </w:tblBorders>
        <w:tblLayout w:type="fixed"/>
        <w:tblLook w:val="04A0" w:firstRow="1" w:lastRow="0" w:firstColumn="1" w:lastColumn="0" w:noHBand="0" w:noVBand="1"/>
      </w:tblPr>
      <w:tblGrid>
        <w:gridCol w:w="2501"/>
        <w:gridCol w:w="1044"/>
        <w:gridCol w:w="1044"/>
        <w:gridCol w:w="1044"/>
        <w:gridCol w:w="1044"/>
        <w:gridCol w:w="1044"/>
      </w:tblGrid>
      <w:tr w:rsidR="00B628FF" w14:paraId="5AF9D706" w14:textId="77777777">
        <w:trPr>
          <w:cantSplit/>
        </w:trPr>
        <w:tc>
          <w:tcPr>
            <w:tcW w:w="2500" w:type="dxa"/>
            <w:tcBorders>
              <w:top w:val="single" w:sz="4" w:space="0" w:color="000000"/>
              <w:bottom w:val="single" w:sz="4" w:space="0" w:color="000000"/>
            </w:tcBorders>
          </w:tcPr>
          <w:p w14:paraId="0047F3EC" w14:textId="77777777" w:rsidR="00B628FF" w:rsidRDefault="00B628FF">
            <w:pPr>
              <w:pStyle w:val="MeasureTableYearHeadings"/>
              <w:keepNext/>
            </w:pPr>
          </w:p>
        </w:tc>
        <w:tc>
          <w:tcPr>
            <w:tcW w:w="1043" w:type="dxa"/>
            <w:tcBorders>
              <w:top w:val="single" w:sz="4" w:space="0" w:color="000000"/>
              <w:bottom w:val="single" w:sz="4" w:space="0" w:color="000000"/>
            </w:tcBorders>
          </w:tcPr>
          <w:p w14:paraId="63654DB8" w14:textId="6BBF17F9" w:rsidR="00B628FF" w:rsidRDefault="005B2D2F">
            <w:pPr>
              <w:pStyle w:val="MeasureTableYearHeadings"/>
              <w:keepNext/>
            </w:pPr>
            <w:r>
              <w:t>2024</w:t>
            </w:r>
            <w:r w:rsidR="00B31B37">
              <w:noBreakHyphen/>
            </w:r>
            <w:r>
              <w:t>25</w:t>
            </w:r>
          </w:p>
        </w:tc>
        <w:tc>
          <w:tcPr>
            <w:tcW w:w="1043" w:type="dxa"/>
            <w:tcBorders>
              <w:top w:val="single" w:sz="4" w:space="0" w:color="000000"/>
              <w:bottom w:val="single" w:sz="4" w:space="0" w:color="000000"/>
            </w:tcBorders>
          </w:tcPr>
          <w:p w14:paraId="40637365" w14:textId="47EA1FD1" w:rsidR="00B628FF" w:rsidRDefault="005B2D2F">
            <w:pPr>
              <w:pStyle w:val="MeasureTableYearHeadings"/>
              <w:keepNext/>
            </w:pPr>
            <w:r>
              <w:t>2025</w:t>
            </w:r>
            <w:r w:rsidR="00B31B37">
              <w:noBreakHyphen/>
            </w:r>
            <w:r>
              <w:t>26</w:t>
            </w:r>
          </w:p>
        </w:tc>
        <w:tc>
          <w:tcPr>
            <w:tcW w:w="1043" w:type="dxa"/>
            <w:tcBorders>
              <w:top w:val="single" w:sz="4" w:space="0" w:color="000000"/>
              <w:bottom w:val="single" w:sz="4" w:space="0" w:color="000000"/>
            </w:tcBorders>
          </w:tcPr>
          <w:p w14:paraId="424ED2F7" w14:textId="7A35FC65" w:rsidR="00B628FF" w:rsidRDefault="005B2D2F">
            <w:pPr>
              <w:pStyle w:val="MeasureTableYearHeadings"/>
              <w:keepNext/>
            </w:pPr>
            <w:r>
              <w:t>2026</w:t>
            </w:r>
            <w:r w:rsidR="00B31B37">
              <w:noBreakHyphen/>
            </w:r>
            <w:r>
              <w:t>27</w:t>
            </w:r>
          </w:p>
        </w:tc>
        <w:tc>
          <w:tcPr>
            <w:tcW w:w="1043" w:type="dxa"/>
            <w:tcBorders>
              <w:top w:val="single" w:sz="4" w:space="0" w:color="000000"/>
              <w:bottom w:val="single" w:sz="4" w:space="0" w:color="000000"/>
            </w:tcBorders>
          </w:tcPr>
          <w:p w14:paraId="65002F6F" w14:textId="768BC5CC" w:rsidR="00B628FF" w:rsidRDefault="005B2D2F">
            <w:pPr>
              <w:pStyle w:val="MeasureTableYearHeadings"/>
              <w:keepNext/>
            </w:pPr>
            <w:r>
              <w:t>2027</w:t>
            </w:r>
            <w:r w:rsidR="00B31B37">
              <w:noBreakHyphen/>
            </w:r>
            <w:r>
              <w:t>28</w:t>
            </w:r>
          </w:p>
        </w:tc>
        <w:tc>
          <w:tcPr>
            <w:tcW w:w="1043" w:type="dxa"/>
            <w:tcBorders>
              <w:top w:val="single" w:sz="4" w:space="0" w:color="000000"/>
              <w:bottom w:val="single" w:sz="4" w:space="0" w:color="000000"/>
            </w:tcBorders>
          </w:tcPr>
          <w:p w14:paraId="5328B021" w14:textId="2C975620" w:rsidR="00B628FF" w:rsidRDefault="005B2D2F">
            <w:pPr>
              <w:pStyle w:val="MeasureTableYearHeadings"/>
              <w:keepNext/>
            </w:pPr>
            <w:r>
              <w:t>2028</w:t>
            </w:r>
            <w:r w:rsidR="00B31B37">
              <w:noBreakHyphen/>
            </w:r>
            <w:r>
              <w:t>29</w:t>
            </w:r>
          </w:p>
        </w:tc>
      </w:tr>
      <w:tr w:rsidR="00B628FF" w14:paraId="2E9D34E2" w14:textId="77777777">
        <w:trPr>
          <w:cantSplit/>
        </w:trPr>
        <w:tc>
          <w:tcPr>
            <w:tcW w:w="2500" w:type="dxa"/>
            <w:tcBorders>
              <w:top w:val="single" w:sz="4" w:space="0" w:color="000000"/>
              <w:bottom w:val="single" w:sz="4" w:space="0" w:color="000000"/>
            </w:tcBorders>
          </w:tcPr>
          <w:p w14:paraId="3DBAF6BE" w14:textId="77777777" w:rsidR="00B628FF" w:rsidRDefault="005B2D2F">
            <w:pPr>
              <w:pStyle w:val="MeasureTableHeadingleftalignedwith2ptsspacing"/>
              <w:keepNext/>
            </w:pPr>
            <w:r>
              <w:t>Australian Taxation Office</w:t>
            </w:r>
          </w:p>
        </w:tc>
        <w:tc>
          <w:tcPr>
            <w:tcW w:w="1043" w:type="dxa"/>
            <w:tcBorders>
              <w:top w:val="single" w:sz="4" w:space="0" w:color="000000"/>
              <w:bottom w:val="single" w:sz="4" w:space="0" w:color="000000"/>
            </w:tcBorders>
          </w:tcPr>
          <w:p w14:paraId="4898B0A3" w14:textId="7303442E" w:rsidR="00B628FF" w:rsidRDefault="00B31B37">
            <w:pPr>
              <w:pStyle w:val="MeasureTableDataRightAlignedwith2ptsspacing"/>
              <w:keepNext/>
            </w:pPr>
            <w:r>
              <w:noBreakHyphen/>
            </w:r>
            <w:r w:rsidR="005B2D2F">
              <w:t>10.0</w:t>
            </w:r>
          </w:p>
        </w:tc>
        <w:tc>
          <w:tcPr>
            <w:tcW w:w="1043" w:type="dxa"/>
            <w:tcBorders>
              <w:top w:val="single" w:sz="4" w:space="0" w:color="000000"/>
              <w:bottom w:val="single" w:sz="4" w:space="0" w:color="000000"/>
            </w:tcBorders>
          </w:tcPr>
          <w:p w14:paraId="24BD4059" w14:textId="56C9E8FB" w:rsidR="00B628FF" w:rsidRDefault="00B31B37">
            <w:pPr>
              <w:pStyle w:val="MeasureTableDataRightAlignedwith2ptsspacing"/>
              <w:keepNext/>
            </w:pPr>
            <w:r>
              <w:noBreakHyphen/>
            </w:r>
            <w:r w:rsidR="005B2D2F">
              <w:t>45.0</w:t>
            </w:r>
          </w:p>
        </w:tc>
        <w:tc>
          <w:tcPr>
            <w:tcW w:w="1043" w:type="dxa"/>
            <w:tcBorders>
              <w:top w:val="single" w:sz="4" w:space="0" w:color="000000"/>
              <w:bottom w:val="single" w:sz="4" w:space="0" w:color="000000"/>
            </w:tcBorders>
          </w:tcPr>
          <w:p w14:paraId="0B5A55BA" w14:textId="46C7FBC2" w:rsidR="00B628FF" w:rsidRDefault="00B31B37">
            <w:pPr>
              <w:pStyle w:val="MeasureTableDataRightAlignedwith2ptsspacing"/>
              <w:keepNext/>
            </w:pPr>
            <w:r>
              <w:noBreakHyphen/>
            </w:r>
            <w:r w:rsidR="005B2D2F">
              <w:t>35.0</w:t>
            </w:r>
          </w:p>
        </w:tc>
        <w:tc>
          <w:tcPr>
            <w:tcW w:w="1043" w:type="dxa"/>
            <w:tcBorders>
              <w:top w:val="single" w:sz="4" w:space="0" w:color="000000"/>
              <w:bottom w:val="single" w:sz="4" w:space="0" w:color="000000"/>
            </w:tcBorders>
          </w:tcPr>
          <w:p w14:paraId="2397674F" w14:textId="534419CD" w:rsidR="00B628FF" w:rsidRDefault="00E35F50">
            <w:pPr>
              <w:pStyle w:val="MeasureTableDataRightAlignedwith2ptsspacing"/>
              <w:keepNext/>
            </w:pPr>
            <w:r>
              <w:t>..</w:t>
            </w:r>
          </w:p>
        </w:tc>
        <w:tc>
          <w:tcPr>
            <w:tcW w:w="1043" w:type="dxa"/>
            <w:tcBorders>
              <w:top w:val="single" w:sz="4" w:space="0" w:color="000000"/>
              <w:bottom w:val="single" w:sz="4" w:space="0" w:color="000000"/>
            </w:tcBorders>
          </w:tcPr>
          <w:p w14:paraId="02631805" w14:textId="2D30754D" w:rsidR="00B628FF" w:rsidRDefault="00B31B37">
            <w:pPr>
              <w:pStyle w:val="MeasureTableDataRightAlignedwith2ptsspacing"/>
              <w:keepNext/>
            </w:pPr>
            <w:r>
              <w:noBreakHyphen/>
            </w:r>
          </w:p>
        </w:tc>
      </w:tr>
      <w:tr w:rsidR="00B628FF" w14:paraId="302991FE" w14:textId="77777777">
        <w:trPr>
          <w:cantSplit/>
        </w:trPr>
        <w:tc>
          <w:tcPr>
            <w:tcW w:w="2500" w:type="dxa"/>
          </w:tcPr>
          <w:p w14:paraId="60029D5D" w14:textId="77777777" w:rsidR="00B628FF" w:rsidRDefault="005B2D2F">
            <w:pPr>
              <w:pStyle w:val="AgencyName"/>
              <w:keepNext/>
            </w:pPr>
            <w:r>
              <w:t>Related payments ($m)</w:t>
            </w:r>
          </w:p>
        </w:tc>
        <w:tc>
          <w:tcPr>
            <w:tcW w:w="1043" w:type="dxa"/>
          </w:tcPr>
          <w:p w14:paraId="5F5BF2C4" w14:textId="77777777" w:rsidR="00B628FF" w:rsidRDefault="00B628FF">
            <w:pPr>
              <w:pStyle w:val="AgencyName"/>
              <w:keepNext/>
            </w:pPr>
          </w:p>
        </w:tc>
        <w:tc>
          <w:tcPr>
            <w:tcW w:w="1043" w:type="dxa"/>
          </w:tcPr>
          <w:p w14:paraId="657D3E50" w14:textId="77777777" w:rsidR="00B628FF" w:rsidRDefault="00B628FF">
            <w:pPr>
              <w:pStyle w:val="AgencyName"/>
              <w:keepNext/>
            </w:pPr>
          </w:p>
        </w:tc>
        <w:tc>
          <w:tcPr>
            <w:tcW w:w="1043" w:type="dxa"/>
          </w:tcPr>
          <w:p w14:paraId="10CC7F99" w14:textId="77777777" w:rsidR="00B628FF" w:rsidRDefault="00B628FF">
            <w:pPr>
              <w:pStyle w:val="AgencyName"/>
              <w:keepNext/>
            </w:pPr>
          </w:p>
        </w:tc>
        <w:tc>
          <w:tcPr>
            <w:tcW w:w="1043" w:type="dxa"/>
          </w:tcPr>
          <w:p w14:paraId="1047BFB7" w14:textId="77777777" w:rsidR="00B628FF" w:rsidRDefault="00B628FF">
            <w:pPr>
              <w:pStyle w:val="AgencyName"/>
              <w:keepNext/>
            </w:pPr>
          </w:p>
        </w:tc>
        <w:tc>
          <w:tcPr>
            <w:tcW w:w="1043" w:type="dxa"/>
          </w:tcPr>
          <w:p w14:paraId="2B928CA0" w14:textId="77777777" w:rsidR="00B628FF" w:rsidRDefault="00B628FF">
            <w:pPr>
              <w:pStyle w:val="AgencyName"/>
              <w:keepNext/>
            </w:pPr>
          </w:p>
        </w:tc>
      </w:tr>
      <w:tr w:rsidR="00B628FF" w14:paraId="6CB0642A" w14:textId="77777777">
        <w:tc>
          <w:tcPr>
            <w:tcW w:w="2500" w:type="dxa"/>
          </w:tcPr>
          <w:p w14:paraId="45D29C22" w14:textId="77777777" w:rsidR="00B628FF" w:rsidRDefault="005B2D2F">
            <w:pPr>
              <w:pStyle w:val="AgencyNamewith2ptsspacing"/>
              <w:keepNext/>
            </w:pPr>
            <w:r>
              <w:t>Australian Taxation Office</w:t>
            </w:r>
          </w:p>
        </w:tc>
        <w:tc>
          <w:tcPr>
            <w:tcW w:w="1043" w:type="dxa"/>
          </w:tcPr>
          <w:p w14:paraId="3BBC9C8B" w14:textId="19FC6CB8" w:rsidR="00B628FF" w:rsidRDefault="00B31B37">
            <w:pPr>
              <w:pStyle w:val="Measuretabledatarightaligneditalics"/>
              <w:keepNext/>
            </w:pPr>
            <w:r>
              <w:noBreakHyphen/>
            </w:r>
          </w:p>
        </w:tc>
        <w:tc>
          <w:tcPr>
            <w:tcW w:w="1043" w:type="dxa"/>
          </w:tcPr>
          <w:p w14:paraId="4DCE5251" w14:textId="77777777" w:rsidR="00B628FF" w:rsidRDefault="005B2D2F">
            <w:pPr>
              <w:pStyle w:val="Measuretabledatarightaligneditalics"/>
              <w:keepNext/>
            </w:pPr>
            <w:r>
              <w:t>3.0</w:t>
            </w:r>
          </w:p>
        </w:tc>
        <w:tc>
          <w:tcPr>
            <w:tcW w:w="1043" w:type="dxa"/>
          </w:tcPr>
          <w:p w14:paraId="7F38D4C0" w14:textId="77777777" w:rsidR="00B628FF" w:rsidRDefault="005B2D2F">
            <w:pPr>
              <w:pStyle w:val="Measuretabledatarightaligneditalics"/>
              <w:keepNext/>
            </w:pPr>
            <w:r>
              <w:t>2.9</w:t>
            </w:r>
          </w:p>
        </w:tc>
        <w:tc>
          <w:tcPr>
            <w:tcW w:w="1043" w:type="dxa"/>
          </w:tcPr>
          <w:p w14:paraId="4246B619" w14:textId="77777777" w:rsidR="00B628FF" w:rsidRDefault="005B2D2F">
            <w:pPr>
              <w:pStyle w:val="Measuretabledatarightaligneditalics"/>
              <w:keepNext/>
            </w:pPr>
            <w:r>
              <w:t>3.0</w:t>
            </w:r>
          </w:p>
        </w:tc>
        <w:tc>
          <w:tcPr>
            <w:tcW w:w="1043" w:type="dxa"/>
          </w:tcPr>
          <w:p w14:paraId="2DC4A9BC" w14:textId="77777777" w:rsidR="00B628FF" w:rsidRDefault="005B2D2F">
            <w:pPr>
              <w:pStyle w:val="Measuretabledatarightaligneditalics"/>
              <w:keepNext/>
            </w:pPr>
            <w:r>
              <w:t>2.8</w:t>
            </w:r>
          </w:p>
        </w:tc>
      </w:tr>
      <w:tr w:rsidR="00B628FF" w14:paraId="65AD3568" w14:textId="77777777">
        <w:trPr>
          <w:cantSplit/>
        </w:trPr>
        <w:tc>
          <w:tcPr>
            <w:tcW w:w="2500" w:type="dxa"/>
            <w:tcBorders>
              <w:top w:val="single" w:sz="4" w:space="0" w:color="000000"/>
              <w:bottom w:val="single" w:sz="4" w:space="0" w:color="000000"/>
            </w:tcBorders>
          </w:tcPr>
          <w:p w14:paraId="45FF9B6A" w14:textId="77777777" w:rsidR="00B628FF" w:rsidRDefault="005B2D2F">
            <w:pPr>
              <w:pStyle w:val="AgencyNamewith2ptsspacing"/>
              <w:keepNext/>
            </w:pPr>
            <w:r>
              <w:t>Department of the Treasury</w:t>
            </w:r>
          </w:p>
        </w:tc>
        <w:tc>
          <w:tcPr>
            <w:tcW w:w="1043" w:type="dxa"/>
            <w:tcBorders>
              <w:top w:val="single" w:sz="4" w:space="0" w:color="000000"/>
              <w:bottom w:val="single" w:sz="4" w:space="0" w:color="000000"/>
            </w:tcBorders>
          </w:tcPr>
          <w:p w14:paraId="79FA0A98" w14:textId="4B55E697" w:rsidR="00B628FF" w:rsidRDefault="00B31B37">
            <w:pPr>
              <w:pStyle w:val="Measuretabledatarightaligneditalics"/>
              <w:keepNext/>
            </w:pPr>
            <w:r>
              <w:noBreakHyphen/>
            </w:r>
          </w:p>
        </w:tc>
        <w:tc>
          <w:tcPr>
            <w:tcW w:w="1043" w:type="dxa"/>
            <w:tcBorders>
              <w:top w:val="single" w:sz="4" w:space="0" w:color="000000"/>
              <w:bottom w:val="single" w:sz="4" w:space="0" w:color="000000"/>
            </w:tcBorders>
          </w:tcPr>
          <w:p w14:paraId="0875684D" w14:textId="77777777" w:rsidR="00B628FF" w:rsidRDefault="005B2D2F">
            <w:pPr>
              <w:pStyle w:val="Measuretabledatarightaligneditalics"/>
              <w:keepNext/>
            </w:pPr>
            <w:r>
              <w:t>0.7</w:t>
            </w:r>
          </w:p>
        </w:tc>
        <w:tc>
          <w:tcPr>
            <w:tcW w:w="1043" w:type="dxa"/>
            <w:tcBorders>
              <w:top w:val="single" w:sz="4" w:space="0" w:color="000000"/>
              <w:bottom w:val="single" w:sz="4" w:space="0" w:color="000000"/>
            </w:tcBorders>
          </w:tcPr>
          <w:p w14:paraId="1B2F07D9" w14:textId="77777777" w:rsidR="00B628FF" w:rsidRDefault="005B2D2F">
            <w:pPr>
              <w:pStyle w:val="Measuretabledatarightaligneditalics"/>
              <w:keepNext/>
            </w:pPr>
            <w:r>
              <w:t>0.8</w:t>
            </w:r>
          </w:p>
        </w:tc>
        <w:tc>
          <w:tcPr>
            <w:tcW w:w="1043" w:type="dxa"/>
            <w:tcBorders>
              <w:top w:val="single" w:sz="4" w:space="0" w:color="000000"/>
              <w:bottom w:val="single" w:sz="4" w:space="0" w:color="000000"/>
            </w:tcBorders>
          </w:tcPr>
          <w:p w14:paraId="764CDA4F" w14:textId="77777777" w:rsidR="00B628FF" w:rsidRDefault="005B2D2F">
            <w:pPr>
              <w:pStyle w:val="Measuretabledatarightaligneditalics"/>
              <w:keepNext/>
            </w:pPr>
            <w:r>
              <w:t>0.8</w:t>
            </w:r>
          </w:p>
        </w:tc>
        <w:tc>
          <w:tcPr>
            <w:tcW w:w="1043" w:type="dxa"/>
            <w:tcBorders>
              <w:top w:val="single" w:sz="4" w:space="0" w:color="000000"/>
              <w:bottom w:val="single" w:sz="4" w:space="0" w:color="000000"/>
            </w:tcBorders>
          </w:tcPr>
          <w:p w14:paraId="7D5FF7AA" w14:textId="77777777" w:rsidR="00B628FF" w:rsidRDefault="005B2D2F">
            <w:pPr>
              <w:pStyle w:val="Measuretabledatarightaligneditalics"/>
              <w:keepNext/>
            </w:pPr>
            <w:r>
              <w:t>0.5</w:t>
            </w:r>
          </w:p>
        </w:tc>
      </w:tr>
      <w:tr w:rsidR="00B628FF" w14:paraId="463C8D7B" w14:textId="77777777">
        <w:trPr>
          <w:cantSplit/>
        </w:trPr>
        <w:tc>
          <w:tcPr>
            <w:tcW w:w="2500" w:type="dxa"/>
            <w:tcBorders>
              <w:top w:val="single" w:sz="4" w:space="0" w:color="000000"/>
              <w:bottom w:val="single" w:sz="4" w:space="0" w:color="000000"/>
            </w:tcBorders>
          </w:tcPr>
          <w:p w14:paraId="40E6D257" w14:textId="77777777" w:rsidR="00B628FF" w:rsidRDefault="005B2D2F">
            <w:pPr>
              <w:pStyle w:val="Totalrowitalicsleftaligned"/>
              <w:keepNext/>
            </w:pPr>
            <w:r>
              <w:t>Total – Payments</w:t>
            </w:r>
          </w:p>
        </w:tc>
        <w:tc>
          <w:tcPr>
            <w:tcW w:w="1043" w:type="dxa"/>
            <w:tcBorders>
              <w:top w:val="single" w:sz="4" w:space="0" w:color="000000"/>
              <w:bottom w:val="single" w:sz="4" w:space="0" w:color="000000"/>
            </w:tcBorders>
          </w:tcPr>
          <w:p w14:paraId="72201B3C" w14:textId="644CDE85" w:rsidR="00B628FF" w:rsidRDefault="00B31B37">
            <w:pPr>
              <w:pStyle w:val="Measuretabledatarightaligneditalics"/>
              <w:keepNext/>
            </w:pPr>
            <w:r>
              <w:noBreakHyphen/>
            </w:r>
          </w:p>
        </w:tc>
        <w:tc>
          <w:tcPr>
            <w:tcW w:w="1043" w:type="dxa"/>
            <w:tcBorders>
              <w:top w:val="single" w:sz="4" w:space="0" w:color="000000"/>
              <w:bottom w:val="single" w:sz="4" w:space="0" w:color="000000"/>
            </w:tcBorders>
          </w:tcPr>
          <w:p w14:paraId="54C1BF83" w14:textId="77777777" w:rsidR="00B628FF" w:rsidRDefault="005B2D2F">
            <w:pPr>
              <w:pStyle w:val="Measuretabledatarightaligneditalics"/>
              <w:keepNext/>
            </w:pPr>
            <w:r>
              <w:t>3.7</w:t>
            </w:r>
          </w:p>
        </w:tc>
        <w:tc>
          <w:tcPr>
            <w:tcW w:w="1043" w:type="dxa"/>
            <w:tcBorders>
              <w:top w:val="single" w:sz="4" w:space="0" w:color="000000"/>
              <w:bottom w:val="single" w:sz="4" w:space="0" w:color="000000"/>
            </w:tcBorders>
          </w:tcPr>
          <w:p w14:paraId="27DCE207" w14:textId="77777777" w:rsidR="00B628FF" w:rsidRDefault="005B2D2F">
            <w:pPr>
              <w:pStyle w:val="Measuretabledatarightaligneditalics"/>
              <w:keepNext/>
            </w:pPr>
            <w:r>
              <w:t>3.8</w:t>
            </w:r>
          </w:p>
        </w:tc>
        <w:tc>
          <w:tcPr>
            <w:tcW w:w="1043" w:type="dxa"/>
            <w:tcBorders>
              <w:top w:val="single" w:sz="4" w:space="0" w:color="000000"/>
              <w:bottom w:val="single" w:sz="4" w:space="0" w:color="000000"/>
            </w:tcBorders>
          </w:tcPr>
          <w:p w14:paraId="5FD7ED6C" w14:textId="77777777" w:rsidR="00B628FF" w:rsidRDefault="005B2D2F">
            <w:pPr>
              <w:pStyle w:val="Measuretabledatarightaligneditalics"/>
              <w:keepNext/>
            </w:pPr>
            <w:r>
              <w:t>3.9</w:t>
            </w:r>
          </w:p>
        </w:tc>
        <w:tc>
          <w:tcPr>
            <w:tcW w:w="1043" w:type="dxa"/>
            <w:tcBorders>
              <w:top w:val="single" w:sz="4" w:space="0" w:color="000000"/>
              <w:bottom w:val="single" w:sz="4" w:space="0" w:color="000000"/>
            </w:tcBorders>
          </w:tcPr>
          <w:p w14:paraId="79BC41FD" w14:textId="77777777" w:rsidR="00B628FF" w:rsidRDefault="005B2D2F">
            <w:pPr>
              <w:pStyle w:val="Measuretabledatarightaligneditalics"/>
              <w:keepNext/>
            </w:pPr>
            <w:r>
              <w:t>3.3</w:t>
            </w:r>
          </w:p>
        </w:tc>
      </w:tr>
    </w:tbl>
    <w:p w14:paraId="1C0C8A38" w14:textId="77777777" w:rsidR="00B628FF" w:rsidRDefault="00B628FF">
      <w:pPr>
        <w:keepNext/>
        <w:spacing w:line="226" w:lineRule="exact"/>
        <w:rPr>
          <w:sz w:val="16"/>
        </w:rPr>
      </w:pPr>
    </w:p>
    <w:p w14:paraId="281F345A" w14:textId="4E5F7FE9" w:rsidR="00B628FF" w:rsidRDefault="005B2D2F">
      <w:pPr>
        <w:pStyle w:val="Normal2"/>
      </w:pPr>
      <w:r w:rsidRPr="77B708AE">
        <w:rPr>
          <w:lang w:val="en-US"/>
        </w:rPr>
        <w:t>The Government will take action to ensure foreign investment in housing supports the Government</w:t>
      </w:r>
      <w:r w:rsidR="00B31B37">
        <w:rPr>
          <w:lang w:val="en-US"/>
        </w:rPr>
        <w:t>’</w:t>
      </w:r>
      <w:r w:rsidRPr="77B708AE">
        <w:rPr>
          <w:lang w:val="en-US"/>
        </w:rPr>
        <w:t>s broader agenda to boost Australia</w:t>
      </w:r>
      <w:r w:rsidR="00B31B37">
        <w:rPr>
          <w:lang w:val="en-US"/>
        </w:rPr>
        <w:t>’</w:t>
      </w:r>
      <w:r w:rsidRPr="77B708AE">
        <w:rPr>
          <w:lang w:val="en-US"/>
        </w:rPr>
        <w:t>s housing supply by:</w:t>
      </w:r>
    </w:p>
    <w:p w14:paraId="50282867" w14:textId="77777777" w:rsidR="00B628FF" w:rsidRDefault="005B2D2F">
      <w:pPr>
        <w:pStyle w:val="Bullet"/>
      </w:pPr>
      <w:r>
        <w:t>Banning foreign persons (including temporary residents and foreign‑owned companies) from purchasing established dwellings for two years from 1 April 2025, unless an exception applies. Exceptions to the ban will include investments that significantly increase housing supply or support the availability of housing on a commercial scale, and purchases by foreign‑owned companies to provide housing for workers in certain circumstances.</w:t>
      </w:r>
    </w:p>
    <w:p w14:paraId="2FA2CABD" w14:textId="5104A99C" w:rsidR="00B628FF" w:rsidRDefault="005B2D2F">
      <w:pPr>
        <w:pStyle w:val="Bullet"/>
      </w:pPr>
      <w:r>
        <w:t>Providing the Australian Taxation Office</w:t>
      </w:r>
      <w:r w:rsidR="005C230D">
        <w:t xml:space="preserve"> (ATO)</w:t>
      </w:r>
      <w:r>
        <w:t xml:space="preserve"> $5.7 million over four</w:t>
      </w:r>
      <w:r w:rsidR="00A81306">
        <w:t> </w:t>
      </w:r>
      <w:r>
        <w:t>years from 2025–‍26 to enforce the ban.</w:t>
      </w:r>
    </w:p>
    <w:p w14:paraId="13488DE7" w14:textId="47AB7C3E" w:rsidR="00B628FF" w:rsidRDefault="005B2D2F">
      <w:pPr>
        <w:pStyle w:val="Bullet"/>
      </w:pPr>
      <w:r>
        <w:t xml:space="preserve">Providing the </w:t>
      </w:r>
      <w:r w:rsidR="005C230D">
        <w:t>ATO</w:t>
      </w:r>
      <w:r>
        <w:t xml:space="preserve"> and Treasury $8.9 million over four years from 2025–‍26 and $1.9 million per year ongoing from 2029–‍30 to implement an audit program and enhance the</w:t>
      </w:r>
      <w:r w:rsidR="009B59C6">
        <w:t>ir</w:t>
      </w:r>
      <w:r>
        <w:t xml:space="preserve"> compliance approach to target land banking by foreign investors.</w:t>
      </w:r>
    </w:p>
    <w:p w14:paraId="61789734" w14:textId="5C411DE0" w:rsidR="00B628FF" w:rsidRDefault="005B2D2F">
      <w:pPr>
        <w:pStyle w:val="Normal2"/>
      </w:pPr>
      <w:r>
        <w:t>The ban will mean Australians will be able to buy homes that would have otherwise been bought by foreign persons</w:t>
      </w:r>
      <w:r w:rsidR="00857D2C">
        <w:t>,</w:t>
      </w:r>
      <w:r>
        <w:t xml:space="preserve"> while encouraging foreign persons to boost Australia</w:t>
      </w:r>
      <w:r w:rsidR="00B31B37">
        <w:t>’</w:t>
      </w:r>
      <w:r>
        <w:t>s housing supply.</w:t>
      </w:r>
    </w:p>
    <w:p w14:paraId="6A4DA03F" w14:textId="2657B83E" w:rsidR="00B628FF" w:rsidRDefault="005B2D2F">
      <w:pPr>
        <w:pStyle w:val="Normal2"/>
      </w:pPr>
      <w:r w:rsidRPr="77B708AE">
        <w:rPr>
          <w:lang w:val="en-US"/>
        </w:rPr>
        <w:t xml:space="preserve">The enhanced compliance approach by the </w:t>
      </w:r>
      <w:r w:rsidR="00C22E74">
        <w:rPr>
          <w:lang w:val="en-US"/>
        </w:rPr>
        <w:t>ATO</w:t>
      </w:r>
      <w:r w:rsidRPr="77B708AE">
        <w:rPr>
          <w:lang w:val="en-US"/>
        </w:rPr>
        <w:t xml:space="preserve"> and Treasury to target land banking will ensure foreign investors comply with requirements to put vacant land to use for residential and commercial developments within reasonable timeframes.</w:t>
      </w:r>
    </w:p>
    <w:p w14:paraId="3F09827A" w14:textId="66F31825" w:rsidR="00B628FF" w:rsidRDefault="005B2D2F">
      <w:pPr>
        <w:pStyle w:val="Normal2"/>
      </w:pPr>
      <w:r w:rsidRPr="77B708AE">
        <w:rPr>
          <w:lang w:val="en-US"/>
        </w:rPr>
        <w:t>Th</w:t>
      </w:r>
      <w:r w:rsidR="004F02B2">
        <w:rPr>
          <w:lang w:val="en-US"/>
        </w:rPr>
        <w:t>is</w:t>
      </w:r>
      <w:r w:rsidRPr="77B708AE">
        <w:rPr>
          <w:lang w:val="en-US"/>
        </w:rPr>
        <w:t xml:space="preserve"> measure </w:t>
      </w:r>
      <w:r w:rsidR="004F02B2">
        <w:rPr>
          <w:lang w:val="en-US"/>
        </w:rPr>
        <w:t>is</w:t>
      </w:r>
      <w:r w:rsidRPr="77B708AE">
        <w:rPr>
          <w:lang w:val="en-US"/>
        </w:rPr>
        <w:t xml:space="preserve"> estimated to decrease receipts by $90.0 million</w:t>
      </w:r>
      <w:r w:rsidR="00C56949">
        <w:rPr>
          <w:lang w:val="en-US"/>
        </w:rPr>
        <w:t xml:space="preserve"> </w:t>
      </w:r>
      <w:r w:rsidRPr="77B708AE">
        <w:rPr>
          <w:lang w:val="en-US"/>
        </w:rPr>
        <w:t>and increase payments by $14.6 million over five years from 2024–‍25.</w:t>
      </w:r>
    </w:p>
    <w:p w14:paraId="6ADF6A3E" w14:textId="77777777" w:rsidR="00B628FF" w:rsidRDefault="005B2D2F">
      <w:pPr>
        <w:pStyle w:val="MeasureTitle"/>
      </w:pPr>
      <w:r>
        <w:t>Strengthening Tax Integrity</w:t>
      </w:r>
    </w:p>
    <w:p w14:paraId="17FBCA42" w14:textId="77777777" w:rsidR="00B628FF" w:rsidRDefault="005B2D2F">
      <w:pPr>
        <w:pStyle w:val="MeasureTableHeading"/>
      </w:pPr>
      <w:r>
        <w:t>Receipts ($m)</w:t>
      </w:r>
    </w:p>
    <w:tbl>
      <w:tblPr>
        <w:tblOverlap w:val="never"/>
        <w:tblW w:w="7721" w:type="dxa"/>
        <w:tblBorders>
          <w:top w:val="single" w:sz="4" w:space="0" w:color="000000"/>
          <w:bottom w:val="single" w:sz="4" w:space="0" w:color="000000"/>
        </w:tblBorders>
        <w:tblLayout w:type="fixed"/>
        <w:tblLook w:val="04A0" w:firstRow="1" w:lastRow="0" w:firstColumn="1" w:lastColumn="0" w:noHBand="0" w:noVBand="1"/>
      </w:tblPr>
      <w:tblGrid>
        <w:gridCol w:w="2501"/>
        <w:gridCol w:w="1044"/>
        <w:gridCol w:w="1044"/>
        <w:gridCol w:w="1044"/>
        <w:gridCol w:w="1044"/>
        <w:gridCol w:w="1044"/>
      </w:tblGrid>
      <w:tr w:rsidR="00B628FF" w14:paraId="75E99482" w14:textId="77777777">
        <w:trPr>
          <w:cantSplit/>
        </w:trPr>
        <w:tc>
          <w:tcPr>
            <w:tcW w:w="2500" w:type="dxa"/>
            <w:tcBorders>
              <w:top w:val="single" w:sz="4" w:space="0" w:color="000000"/>
              <w:bottom w:val="single" w:sz="4" w:space="0" w:color="000000"/>
            </w:tcBorders>
          </w:tcPr>
          <w:p w14:paraId="318AF1A9" w14:textId="77777777" w:rsidR="00B628FF" w:rsidRDefault="00B628FF">
            <w:pPr>
              <w:pStyle w:val="MeasureTableYearHeadings"/>
              <w:keepNext/>
            </w:pPr>
          </w:p>
        </w:tc>
        <w:tc>
          <w:tcPr>
            <w:tcW w:w="1043" w:type="dxa"/>
            <w:tcBorders>
              <w:top w:val="single" w:sz="4" w:space="0" w:color="000000"/>
              <w:bottom w:val="single" w:sz="4" w:space="0" w:color="000000"/>
            </w:tcBorders>
          </w:tcPr>
          <w:p w14:paraId="3A65B643" w14:textId="765BE128" w:rsidR="00B628FF" w:rsidRDefault="005B2D2F">
            <w:pPr>
              <w:pStyle w:val="MeasureTableYearHeadings"/>
              <w:keepNext/>
            </w:pPr>
            <w:r>
              <w:t>2024</w:t>
            </w:r>
            <w:r w:rsidR="00B31B37">
              <w:noBreakHyphen/>
            </w:r>
            <w:r>
              <w:t>25</w:t>
            </w:r>
          </w:p>
        </w:tc>
        <w:tc>
          <w:tcPr>
            <w:tcW w:w="1043" w:type="dxa"/>
            <w:tcBorders>
              <w:top w:val="single" w:sz="4" w:space="0" w:color="000000"/>
              <w:bottom w:val="single" w:sz="4" w:space="0" w:color="000000"/>
            </w:tcBorders>
          </w:tcPr>
          <w:p w14:paraId="6B0E0852" w14:textId="63DEBA3C" w:rsidR="00B628FF" w:rsidRDefault="005B2D2F">
            <w:pPr>
              <w:pStyle w:val="MeasureTableYearHeadings"/>
              <w:keepNext/>
            </w:pPr>
            <w:r>
              <w:t>2025</w:t>
            </w:r>
            <w:r w:rsidR="00B31B37">
              <w:noBreakHyphen/>
            </w:r>
            <w:r>
              <w:t>26</w:t>
            </w:r>
          </w:p>
        </w:tc>
        <w:tc>
          <w:tcPr>
            <w:tcW w:w="1043" w:type="dxa"/>
            <w:tcBorders>
              <w:top w:val="single" w:sz="4" w:space="0" w:color="000000"/>
              <w:bottom w:val="single" w:sz="4" w:space="0" w:color="000000"/>
            </w:tcBorders>
          </w:tcPr>
          <w:p w14:paraId="146225C8" w14:textId="4FEB3B7B" w:rsidR="00B628FF" w:rsidRDefault="005B2D2F">
            <w:pPr>
              <w:pStyle w:val="MeasureTableYearHeadings"/>
              <w:keepNext/>
            </w:pPr>
            <w:r>
              <w:t>2026</w:t>
            </w:r>
            <w:r w:rsidR="00B31B37">
              <w:noBreakHyphen/>
            </w:r>
            <w:r>
              <w:t>27</w:t>
            </w:r>
          </w:p>
        </w:tc>
        <w:tc>
          <w:tcPr>
            <w:tcW w:w="1043" w:type="dxa"/>
            <w:tcBorders>
              <w:top w:val="single" w:sz="4" w:space="0" w:color="000000"/>
              <w:bottom w:val="single" w:sz="4" w:space="0" w:color="000000"/>
            </w:tcBorders>
          </w:tcPr>
          <w:p w14:paraId="14502407" w14:textId="0979E0D6" w:rsidR="00B628FF" w:rsidRDefault="005B2D2F">
            <w:pPr>
              <w:pStyle w:val="MeasureTableYearHeadings"/>
              <w:keepNext/>
            </w:pPr>
            <w:r>
              <w:t>2027</w:t>
            </w:r>
            <w:r w:rsidR="00B31B37">
              <w:noBreakHyphen/>
            </w:r>
            <w:r>
              <w:t>28</w:t>
            </w:r>
          </w:p>
        </w:tc>
        <w:tc>
          <w:tcPr>
            <w:tcW w:w="1043" w:type="dxa"/>
            <w:tcBorders>
              <w:top w:val="single" w:sz="4" w:space="0" w:color="000000"/>
              <w:bottom w:val="single" w:sz="4" w:space="0" w:color="000000"/>
            </w:tcBorders>
          </w:tcPr>
          <w:p w14:paraId="6182E720" w14:textId="2DDDC208" w:rsidR="00B628FF" w:rsidRDefault="005B2D2F">
            <w:pPr>
              <w:pStyle w:val="MeasureTableYearHeadings"/>
              <w:keepNext/>
            </w:pPr>
            <w:r>
              <w:t>2028</w:t>
            </w:r>
            <w:r w:rsidR="00B31B37">
              <w:noBreakHyphen/>
            </w:r>
            <w:r>
              <w:t>29</w:t>
            </w:r>
          </w:p>
        </w:tc>
      </w:tr>
      <w:tr w:rsidR="00B628FF" w14:paraId="27C2A3E8" w14:textId="77777777">
        <w:trPr>
          <w:cantSplit/>
        </w:trPr>
        <w:tc>
          <w:tcPr>
            <w:tcW w:w="2500" w:type="dxa"/>
            <w:tcBorders>
              <w:top w:val="single" w:sz="4" w:space="0" w:color="000000"/>
              <w:bottom w:val="single" w:sz="4" w:space="0" w:color="000000"/>
            </w:tcBorders>
          </w:tcPr>
          <w:p w14:paraId="1CF32FEC" w14:textId="77777777" w:rsidR="00B628FF" w:rsidRDefault="005B2D2F">
            <w:pPr>
              <w:pStyle w:val="MeasureTableHeadingleftalignedwith2ptsspacing"/>
              <w:keepNext/>
            </w:pPr>
            <w:r>
              <w:t>Australian Taxation Office</w:t>
            </w:r>
          </w:p>
        </w:tc>
        <w:tc>
          <w:tcPr>
            <w:tcW w:w="1043" w:type="dxa"/>
            <w:tcBorders>
              <w:top w:val="single" w:sz="4" w:space="0" w:color="000000"/>
              <w:bottom w:val="single" w:sz="4" w:space="0" w:color="000000"/>
            </w:tcBorders>
          </w:tcPr>
          <w:p w14:paraId="38822B67" w14:textId="7A2A4FAF"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74C7F0DF" w14:textId="77777777" w:rsidR="00B628FF" w:rsidRDefault="005B2D2F">
            <w:pPr>
              <w:pStyle w:val="MeasureTableDataRightAlignedwith2ptsspacing"/>
              <w:keepNext/>
            </w:pPr>
            <w:r>
              <w:t>52.3</w:t>
            </w:r>
          </w:p>
        </w:tc>
        <w:tc>
          <w:tcPr>
            <w:tcW w:w="1043" w:type="dxa"/>
            <w:tcBorders>
              <w:top w:val="single" w:sz="4" w:space="0" w:color="000000"/>
              <w:bottom w:val="single" w:sz="4" w:space="0" w:color="000000"/>
            </w:tcBorders>
          </w:tcPr>
          <w:p w14:paraId="35708EC7" w14:textId="77777777" w:rsidR="00B628FF" w:rsidRDefault="005B2D2F">
            <w:pPr>
              <w:pStyle w:val="MeasureTableDataRightAlignedwith2ptsspacing"/>
              <w:keepNext/>
            </w:pPr>
            <w:r>
              <w:t>323.2</w:t>
            </w:r>
          </w:p>
        </w:tc>
        <w:tc>
          <w:tcPr>
            <w:tcW w:w="1043" w:type="dxa"/>
            <w:tcBorders>
              <w:top w:val="single" w:sz="4" w:space="0" w:color="000000"/>
              <w:bottom w:val="single" w:sz="4" w:space="0" w:color="000000"/>
            </w:tcBorders>
          </w:tcPr>
          <w:p w14:paraId="3A223432" w14:textId="77777777" w:rsidR="00B628FF" w:rsidRDefault="005B2D2F">
            <w:pPr>
              <w:pStyle w:val="MeasureTableDataRightAlignedwith2ptsspacing"/>
              <w:keepNext/>
            </w:pPr>
            <w:r>
              <w:t>563.6</w:t>
            </w:r>
          </w:p>
        </w:tc>
        <w:tc>
          <w:tcPr>
            <w:tcW w:w="1043" w:type="dxa"/>
            <w:tcBorders>
              <w:top w:val="single" w:sz="4" w:space="0" w:color="000000"/>
              <w:bottom w:val="single" w:sz="4" w:space="0" w:color="000000"/>
            </w:tcBorders>
          </w:tcPr>
          <w:p w14:paraId="4D393C14" w14:textId="77777777" w:rsidR="00B628FF" w:rsidRDefault="005B2D2F">
            <w:pPr>
              <w:pStyle w:val="MeasureTableDataRightAlignedwith2ptsspacing"/>
              <w:keepNext/>
            </w:pPr>
            <w:r>
              <w:t>2,275.1</w:t>
            </w:r>
          </w:p>
        </w:tc>
      </w:tr>
      <w:tr w:rsidR="00B628FF" w14:paraId="64011638" w14:textId="77777777">
        <w:trPr>
          <w:cantSplit/>
        </w:trPr>
        <w:tc>
          <w:tcPr>
            <w:tcW w:w="2500" w:type="dxa"/>
          </w:tcPr>
          <w:p w14:paraId="7116D08C" w14:textId="77777777" w:rsidR="00B628FF" w:rsidRDefault="005B2D2F">
            <w:pPr>
              <w:pStyle w:val="AgencyName"/>
              <w:keepNext/>
            </w:pPr>
            <w:r>
              <w:t>Related payments ($m)</w:t>
            </w:r>
          </w:p>
        </w:tc>
        <w:tc>
          <w:tcPr>
            <w:tcW w:w="1043" w:type="dxa"/>
          </w:tcPr>
          <w:p w14:paraId="134B7FD3" w14:textId="77777777" w:rsidR="00B628FF" w:rsidRDefault="00B628FF">
            <w:pPr>
              <w:pStyle w:val="AgencyName"/>
              <w:keepNext/>
            </w:pPr>
          </w:p>
        </w:tc>
        <w:tc>
          <w:tcPr>
            <w:tcW w:w="1043" w:type="dxa"/>
          </w:tcPr>
          <w:p w14:paraId="527389F5" w14:textId="77777777" w:rsidR="00B628FF" w:rsidRDefault="00B628FF">
            <w:pPr>
              <w:pStyle w:val="AgencyName"/>
              <w:keepNext/>
            </w:pPr>
          </w:p>
        </w:tc>
        <w:tc>
          <w:tcPr>
            <w:tcW w:w="1043" w:type="dxa"/>
          </w:tcPr>
          <w:p w14:paraId="358060B5" w14:textId="77777777" w:rsidR="00B628FF" w:rsidRDefault="00B628FF">
            <w:pPr>
              <w:pStyle w:val="AgencyName"/>
              <w:keepNext/>
            </w:pPr>
          </w:p>
        </w:tc>
        <w:tc>
          <w:tcPr>
            <w:tcW w:w="1043" w:type="dxa"/>
          </w:tcPr>
          <w:p w14:paraId="190ADE64" w14:textId="77777777" w:rsidR="00B628FF" w:rsidRDefault="00B628FF">
            <w:pPr>
              <w:pStyle w:val="AgencyName"/>
              <w:keepNext/>
            </w:pPr>
          </w:p>
        </w:tc>
        <w:tc>
          <w:tcPr>
            <w:tcW w:w="1043" w:type="dxa"/>
          </w:tcPr>
          <w:p w14:paraId="5102659D" w14:textId="77777777" w:rsidR="00B628FF" w:rsidRDefault="00B628FF">
            <w:pPr>
              <w:pStyle w:val="AgencyName"/>
              <w:keepNext/>
            </w:pPr>
          </w:p>
        </w:tc>
      </w:tr>
      <w:tr w:rsidR="00B628FF" w14:paraId="3417F252" w14:textId="77777777">
        <w:tc>
          <w:tcPr>
            <w:tcW w:w="2500" w:type="dxa"/>
          </w:tcPr>
          <w:p w14:paraId="18BE488C" w14:textId="77777777" w:rsidR="00B628FF" w:rsidRDefault="005B2D2F">
            <w:pPr>
              <w:pStyle w:val="AgencyNamewith2ptsspacing"/>
              <w:keepNext/>
            </w:pPr>
            <w:r>
              <w:t>Australian Taxation Office</w:t>
            </w:r>
          </w:p>
        </w:tc>
        <w:tc>
          <w:tcPr>
            <w:tcW w:w="1043" w:type="dxa"/>
          </w:tcPr>
          <w:p w14:paraId="56F1F368" w14:textId="5FD9492A" w:rsidR="00B628FF" w:rsidRDefault="00B31B37">
            <w:pPr>
              <w:pStyle w:val="Measuretabledatarightaligneditalics"/>
              <w:keepNext/>
            </w:pPr>
            <w:r>
              <w:noBreakHyphen/>
            </w:r>
          </w:p>
        </w:tc>
        <w:tc>
          <w:tcPr>
            <w:tcW w:w="1043" w:type="dxa"/>
          </w:tcPr>
          <w:p w14:paraId="1B13C0BD" w14:textId="77777777" w:rsidR="00B628FF" w:rsidRDefault="005B2D2F">
            <w:pPr>
              <w:pStyle w:val="Measuretabledatarightaligneditalics"/>
              <w:keepNext/>
            </w:pPr>
            <w:r>
              <w:t>69.6</w:t>
            </w:r>
          </w:p>
        </w:tc>
        <w:tc>
          <w:tcPr>
            <w:tcW w:w="1043" w:type="dxa"/>
          </w:tcPr>
          <w:p w14:paraId="5FD5D1F9" w14:textId="77777777" w:rsidR="00B628FF" w:rsidRDefault="005B2D2F">
            <w:pPr>
              <w:pStyle w:val="Measuretabledatarightaligneditalics"/>
              <w:keepNext/>
            </w:pPr>
            <w:r>
              <w:t>96.9</w:t>
            </w:r>
          </w:p>
        </w:tc>
        <w:tc>
          <w:tcPr>
            <w:tcW w:w="1043" w:type="dxa"/>
          </w:tcPr>
          <w:p w14:paraId="28E529F4" w14:textId="77777777" w:rsidR="00B628FF" w:rsidRDefault="005B2D2F">
            <w:pPr>
              <w:pStyle w:val="Measuretabledatarightaligneditalics"/>
              <w:keepNext/>
            </w:pPr>
            <w:r>
              <w:t>57.8</w:t>
            </w:r>
          </w:p>
        </w:tc>
        <w:tc>
          <w:tcPr>
            <w:tcW w:w="1043" w:type="dxa"/>
          </w:tcPr>
          <w:p w14:paraId="7A875013" w14:textId="77777777" w:rsidR="00B628FF" w:rsidRDefault="005B2D2F">
            <w:pPr>
              <w:pStyle w:val="Measuretabledatarightaligneditalics"/>
              <w:keepNext/>
            </w:pPr>
            <w:r>
              <w:t>805.6</w:t>
            </w:r>
          </w:p>
        </w:tc>
      </w:tr>
      <w:tr w:rsidR="00B628FF" w14:paraId="68073778" w14:textId="77777777">
        <w:trPr>
          <w:cantSplit/>
        </w:trPr>
        <w:tc>
          <w:tcPr>
            <w:tcW w:w="2500" w:type="dxa"/>
            <w:tcBorders>
              <w:top w:val="single" w:sz="4" w:space="0" w:color="000000"/>
              <w:bottom w:val="single" w:sz="4" w:space="0" w:color="000000"/>
            </w:tcBorders>
          </w:tcPr>
          <w:p w14:paraId="15B812BA" w14:textId="77777777" w:rsidR="00B628FF" w:rsidRDefault="005B2D2F">
            <w:pPr>
              <w:pStyle w:val="AgencyNamewith2ptsspacing"/>
              <w:keepNext/>
            </w:pPr>
            <w:r>
              <w:t>Department of the Treasury</w:t>
            </w:r>
          </w:p>
        </w:tc>
        <w:tc>
          <w:tcPr>
            <w:tcW w:w="1043" w:type="dxa"/>
            <w:tcBorders>
              <w:top w:val="single" w:sz="4" w:space="0" w:color="000000"/>
              <w:bottom w:val="single" w:sz="4" w:space="0" w:color="000000"/>
            </w:tcBorders>
          </w:tcPr>
          <w:p w14:paraId="51B3225D" w14:textId="6DE81CE5" w:rsidR="00B628FF" w:rsidRDefault="00B31B37">
            <w:pPr>
              <w:pStyle w:val="Measuretabledatarightaligneditalics"/>
              <w:keepNext/>
            </w:pPr>
            <w:r>
              <w:noBreakHyphen/>
            </w:r>
          </w:p>
        </w:tc>
        <w:tc>
          <w:tcPr>
            <w:tcW w:w="1043" w:type="dxa"/>
            <w:tcBorders>
              <w:top w:val="single" w:sz="4" w:space="0" w:color="000000"/>
              <w:bottom w:val="single" w:sz="4" w:space="0" w:color="000000"/>
            </w:tcBorders>
          </w:tcPr>
          <w:p w14:paraId="603A3DD9" w14:textId="77777777" w:rsidR="00B628FF" w:rsidRDefault="005B2D2F">
            <w:pPr>
              <w:pStyle w:val="Measuretabledatarightaligneditalics"/>
              <w:keepNext/>
            </w:pPr>
            <w:r>
              <w:t>6.1</w:t>
            </w:r>
          </w:p>
        </w:tc>
        <w:tc>
          <w:tcPr>
            <w:tcW w:w="1043" w:type="dxa"/>
            <w:tcBorders>
              <w:top w:val="single" w:sz="4" w:space="0" w:color="000000"/>
              <w:bottom w:val="single" w:sz="4" w:space="0" w:color="000000"/>
            </w:tcBorders>
          </w:tcPr>
          <w:p w14:paraId="35639589" w14:textId="77777777" w:rsidR="00B628FF" w:rsidRDefault="005B2D2F">
            <w:pPr>
              <w:pStyle w:val="Measuretabledatarightaligneditalics"/>
              <w:keepNext/>
            </w:pPr>
            <w:r>
              <w:t>47.5</w:t>
            </w:r>
          </w:p>
        </w:tc>
        <w:tc>
          <w:tcPr>
            <w:tcW w:w="1043" w:type="dxa"/>
            <w:tcBorders>
              <w:top w:val="single" w:sz="4" w:space="0" w:color="000000"/>
              <w:bottom w:val="single" w:sz="4" w:space="0" w:color="000000"/>
            </w:tcBorders>
          </w:tcPr>
          <w:p w14:paraId="486C6B3B" w14:textId="77777777" w:rsidR="00B628FF" w:rsidRDefault="005B2D2F">
            <w:pPr>
              <w:pStyle w:val="Measuretabledatarightaligneditalics"/>
              <w:keepNext/>
            </w:pPr>
            <w:r>
              <w:t>91.0</w:t>
            </w:r>
          </w:p>
        </w:tc>
        <w:tc>
          <w:tcPr>
            <w:tcW w:w="1043" w:type="dxa"/>
            <w:tcBorders>
              <w:top w:val="single" w:sz="4" w:space="0" w:color="000000"/>
              <w:bottom w:val="single" w:sz="4" w:space="0" w:color="000000"/>
            </w:tcBorders>
          </w:tcPr>
          <w:p w14:paraId="025A94B3" w14:textId="77777777" w:rsidR="00B628FF" w:rsidRDefault="005B2D2F">
            <w:pPr>
              <w:pStyle w:val="Measuretabledatarightaligneditalics"/>
              <w:keepNext/>
            </w:pPr>
            <w:r>
              <w:t>258.0</w:t>
            </w:r>
          </w:p>
        </w:tc>
      </w:tr>
      <w:tr w:rsidR="00B628FF" w14:paraId="725D7188" w14:textId="77777777">
        <w:trPr>
          <w:cantSplit/>
        </w:trPr>
        <w:tc>
          <w:tcPr>
            <w:tcW w:w="2500" w:type="dxa"/>
            <w:tcBorders>
              <w:top w:val="single" w:sz="4" w:space="0" w:color="000000"/>
              <w:bottom w:val="single" w:sz="4" w:space="0" w:color="000000"/>
            </w:tcBorders>
          </w:tcPr>
          <w:p w14:paraId="77E7E962" w14:textId="77777777" w:rsidR="00B628FF" w:rsidRDefault="005B2D2F">
            <w:pPr>
              <w:pStyle w:val="Totalrowitalicsleftaligned"/>
              <w:keepNext/>
            </w:pPr>
            <w:r>
              <w:t>Total – Payments</w:t>
            </w:r>
          </w:p>
        </w:tc>
        <w:tc>
          <w:tcPr>
            <w:tcW w:w="1043" w:type="dxa"/>
            <w:tcBorders>
              <w:top w:val="single" w:sz="4" w:space="0" w:color="000000"/>
              <w:bottom w:val="single" w:sz="4" w:space="0" w:color="000000"/>
            </w:tcBorders>
          </w:tcPr>
          <w:p w14:paraId="16F14FF0" w14:textId="0C480882" w:rsidR="00B628FF" w:rsidRDefault="00B31B37">
            <w:pPr>
              <w:pStyle w:val="Measuretabledatarightaligneditalics"/>
              <w:keepNext/>
            </w:pPr>
            <w:r>
              <w:noBreakHyphen/>
            </w:r>
          </w:p>
        </w:tc>
        <w:tc>
          <w:tcPr>
            <w:tcW w:w="1043" w:type="dxa"/>
            <w:tcBorders>
              <w:top w:val="single" w:sz="4" w:space="0" w:color="000000"/>
              <w:bottom w:val="single" w:sz="4" w:space="0" w:color="000000"/>
            </w:tcBorders>
          </w:tcPr>
          <w:p w14:paraId="42945D10" w14:textId="77777777" w:rsidR="00B628FF" w:rsidRDefault="005B2D2F">
            <w:pPr>
              <w:pStyle w:val="Measuretabledatarightaligneditalics"/>
              <w:keepNext/>
            </w:pPr>
            <w:r>
              <w:t>75.7</w:t>
            </w:r>
          </w:p>
        </w:tc>
        <w:tc>
          <w:tcPr>
            <w:tcW w:w="1043" w:type="dxa"/>
            <w:tcBorders>
              <w:top w:val="single" w:sz="4" w:space="0" w:color="000000"/>
              <w:bottom w:val="single" w:sz="4" w:space="0" w:color="000000"/>
            </w:tcBorders>
          </w:tcPr>
          <w:p w14:paraId="50C31577" w14:textId="77777777" w:rsidR="00B628FF" w:rsidRDefault="005B2D2F">
            <w:pPr>
              <w:pStyle w:val="Measuretabledatarightaligneditalics"/>
              <w:keepNext/>
            </w:pPr>
            <w:r>
              <w:t>144.4</w:t>
            </w:r>
          </w:p>
        </w:tc>
        <w:tc>
          <w:tcPr>
            <w:tcW w:w="1043" w:type="dxa"/>
            <w:tcBorders>
              <w:top w:val="single" w:sz="4" w:space="0" w:color="000000"/>
              <w:bottom w:val="single" w:sz="4" w:space="0" w:color="000000"/>
            </w:tcBorders>
          </w:tcPr>
          <w:p w14:paraId="671B4A39" w14:textId="77777777" w:rsidR="00B628FF" w:rsidRDefault="005B2D2F">
            <w:pPr>
              <w:pStyle w:val="Measuretabledatarightaligneditalics"/>
              <w:keepNext/>
            </w:pPr>
            <w:r>
              <w:t>148.8</w:t>
            </w:r>
          </w:p>
        </w:tc>
        <w:tc>
          <w:tcPr>
            <w:tcW w:w="1043" w:type="dxa"/>
            <w:tcBorders>
              <w:top w:val="single" w:sz="4" w:space="0" w:color="000000"/>
              <w:bottom w:val="single" w:sz="4" w:space="0" w:color="000000"/>
            </w:tcBorders>
          </w:tcPr>
          <w:p w14:paraId="1CFB5E4D" w14:textId="77777777" w:rsidR="00B628FF" w:rsidRDefault="005B2D2F">
            <w:pPr>
              <w:pStyle w:val="Measuretabledatarightaligneditalics"/>
              <w:keepNext/>
            </w:pPr>
            <w:r>
              <w:t>1,063.6</w:t>
            </w:r>
          </w:p>
        </w:tc>
      </w:tr>
    </w:tbl>
    <w:p w14:paraId="05D96C24" w14:textId="77777777" w:rsidR="00B628FF" w:rsidRDefault="00B628FF">
      <w:pPr>
        <w:keepNext/>
        <w:spacing w:line="226" w:lineRule="exact"/>
        <w:rPr>
          <w:sz w:val="16"/>
        </w:rPr>
      </w:pPr>
    </w:p>
    <w:p w14:paraId="01164CC4" w14:textId="03DB2DF7" w:rsidR="00B628FF" w:rsidRDefault="005B2D2F">
      <w:pPr>
        <w:pStyle w:val="Normal2"/>
      </w:pPr>
      <w:r>
        <w:t>The Government will strengthen the fairness and sustainability of Australia</w:t>
      </w:r>
      <w:r w:rsidR="00B31B37">
        <w:t>’</w:t>
      </w:r>
      <w:r>
        <w:t>s tax system by providing $999.0 million over four years to the Australian Taxation Office (ATO) to extend and expand tax compliance activities.</w:t>
      </w:r>
    </w:p>
    <w:p w14:paraId="4F8BAAB5" w14:textId="77777777" w:rsidR="00B628FF" w:rsidRDefault="005B2D2F">
      <w:pPr>
        <w:pStyle w:val="Normal2"/>
      </w:pPr>
      <w:r w:rsidRPr="77B708AE">
        <w:rPr>
          <w:lang w:val="en-US"/>
        </w:rPr>
        <w:t>Additional funding includes:</w:t>
      </w:r>
    </w:p>
    <w:p w14:paraId="3C20C1BD" w14:textId="491EC199" w:rsidR="00B628FF" w:rsidRDefault="005B2D2F">
      <w:pPr>
        <w:pStyle w:val="Bullet"/>
      </w:pPr>
      <w:r>
        <w:t>$717.8 million over four years from 1 July 2025 for a two</w:t>
      </w:r>
      <w:r w:rsidR="00B31B37">
        <w:noBreakHyphen/>
      </w:r>
      <w:r>
        <w:t>year expansion and a one</w:t>
      </w:r>
      <w:r w:rsidR="00B31B37">
        <w:noBreakHyphen/>
      </w:r>
      <w:r>
        <w:t xml:space="preserve">year extension of the </w:t>
      </w:r>
      <w:r w:rsidRPr="005B2D2F">
        <w:rPr>
          <w:i/>
        </w:rPr>
        <w:t>Tax Avoidance Taskforce</w:t>
      </w:r>
      <w:r>
        <w:t>. This supports the ATO</w:t>
      </w:r>
      <w:r w:rsidR="00B31B37">
        <w:t>’</w:t>
      </w:r>
      <w:r>
        <w:t>s continued tax compliance scrutiny on multinationals and other large taxpayers.</w:t>
      </w:r>
    </w:p>
    <w:p w14:paraId="4FB548C0" w14:textId="5DC6D34C" w:rsidR="00B628FF" w:rsidRDefault="005B2D2F">
      <w:pPr>
        <w:pStyle w:val="Bullet"/>
      </w:pPr>
      <w:r>
        <w:t xml:space="preserve">$155.5 million over four years from 1 July 2025 to extend and expand the </w:t>
      </w:r>
      <w:r w:rsidRPr="005B2D2F">
        <w:rPr>
          <w:i/>
        </w:rPr>
        <w:t>Shadow</w:t>
      </w:r>
      <w:r w:rsidR="00735F4B">
        <w:rPr>
          <w:i/>
        </w:rPr>
        <w:t> </w:t>
      </w:r>
      <w:r w:rsidRPr="005B2D2F">
        <w:rPr>
          <w:i/>
        </w:rPr>
        <w:t>Economy Compliance Program</w:t>
      </w:r>
      <w:r>
        <w:t xml:space="preserve"> to reduce shadow economy behaviour such as worker exploitation, under‑reporting of taxable income, illicit tobacco and other shadow economy activity that enables non‑compliant businesses to undercut competition.</w:t>
      </w:r>
    </w:p>
    <w:p w14:paraId="78B4C676" w14:textId="1364FA72" w:rsidR="00B628FF" w:rsidRDefault="005B2D2F">
      <w:pPr>
        <w:pStyle w:val="Bullet"/>
      </w:pPr>
      <w:r>
        <w:t xml:space="preserve">$75.7 million over four years from 1 July 2025 to extend and expand the </w:t>
      </w:r>
      <w:r w:rsidRPr="005B2D2F">
        <w:rPr>
          <w:i/>
        </w:rPr>
        <w:t>Personal Income Tax Compliance Program</w:t>
      </w:r>
      <w:r>
        <w:t>. This will enable the ATO to continue to deliver a combination of proactive, preventative and corrective activities in key areas of non</w:t>
      </w:r>
      <w:r w:rsidR="00B31B37">
        <w:noBreakHyphen/>
      </w:r>
      <w:r>
        <w:t>compliance.</w:t>
      </w:r>
    </w:p>
    <w:p w14:paraId="4A2E9F78" w14:textId="77777777" w:rsidR="00B628FF" w:rsidRDefault="005B2D2F">
      <w:pPr>
        <w:pStyle w:val="Bullet"/>
      </w:pPr>
      <w:r>
        <w:t xml:space="preserve">$50.0 million over three years from 1 July 2026 to extend the </w:t>
      </w:r>
      <w:r w:rsidRPr="005B2D2F">
        <w:rPr>
          <w:i/>
        </w:rPr>
        <w:t>Tax Integrity Program</w:t>
      </w:r>
      <w:r>
        <w:t>. This will enable the ATO to continue its engagement program to ensure timely payment of tax and superannuation liabilities by medium and large businesses and wealthy groups.</w:t>
      </w:r>
    </w:p>
    <w:p w14:paraId="79A88925" w14:textId="798A6691" w:rsidR="00B628FF" w:rsidRDefault="005B2D2F">
      <w:pPr>
        <w:pStyle w:val="Normal2"/>
      </w:pPr>
      <w:r w:rsidRPr="53C5BB3A">
        <w:rPr>
          <w:lang w:val="en-US"/>
        </w:rPr>
        <w:t xml:space="preserve">This </w:t>
      </w:r>
      <w:r w:rsidR="006B1C9C">
        <w:rPr>
          <w:lang w:val="en-US"/>
        </w:rPr>
        <w:t xml:space="preserve">measure </w:t>
      </w:r>
      <w:r w:rsidRPr="53C5BB3A">
        <w:rPr>
          <w:lang w:val="en-US"/>
        </w:rPr>
        <w:t>is estimated to increase receipts by $3.2</w:t>
      </w:r>
      <w:r w:rsidR="001E306D">
        <w:rPr>
          <w:lang w:val="en-US"/>
        </w:rPr>
        <w:t> </w:t>
      </w:r>
      <w:r w:rsidRPr="53C5BB3A">
        <w:rPr>
          <w:lang w:val="en-US"/>
        </w:rPr>
        <w:t xml:space="preserve">billion over five years from 2024–‍25, and </w:t>
      </w:r>
      <w:r w:rsidR="00551697">
        <w:rPr>
          <w:lang w:val="en-US"/>
        </w:rPr>
        <w:t xml:space="preserve">increase </w:t>
      </w:r>
      <w:r w:rsidRPr="53C5BB3A">
        <w:rPr>
          <w:lang w:val="en-US"/>
        </w:rPr>
        <w:t>payments by $1.4</w:t>
      </w:r>
      <w:r w:rsidR="007B6189">
        <w:rPr>
          <w:lang w:val="en-US"/>
        </w:rPr>
        <w:t> </w:t>
      </w:r>
      <w:r w:rsidRPr="53C5BB3A">
        <w:rPr>
          <w:lang w:val="en-US"/>
        </w:rPr>
        <w:t>billion, including an increase in GST payments to the states and territories of $402.6 million and $31.0 million in unpaid superannuation to be disbursed to employees.</w:t>
      </w:r>
    </w:p>
    <w:p w14:paraId="51A24661" w14:textId="77777777" w:rsidR="00B628FF" w:rsidRDefault="005B2D2F">
      <w:pPr>
        <w:pStyle w:val="MeasureTitle"/>
      </w:pPr>
      <w:r>
        <w:t>Supporting Philanthropy</w:t>
      </w:r>
    </w:p>
    <w:p w14:paraId="5972CD7B" w14:textId="77777777" w:rsidR="00B628FF" w:rsidRDefault="005B2D2F">
      <w:pPr>
        <w:pStyle w:val="MeasureTableHeading"/>
      </w:pPr>
      <w:r>
        <w:t>Receipts ($m)</w:t>
      </w:r>
    </w:p>
    <w:tbl>
      <w:tblPr>
        <w:tblOverlap w:val="never"/>
        <w:tblW w:w="7721" w:type="dxa"/>
        <w:tblBorders>
          <w:top w:val="single" w:sz="4" w:space="0" w:color="000000"/>
          <w:bottom w:val="single" w:sz="4" w:space="0" w:color="000000"/>
        </w:tblBorders>
        <w:tblLayout w:type="fixed"/>
        <w:tblLook w:val="04A0" w:firstRow="1" w:lastRow="0" w:firstColumn="1" w:lastColumn="0" w:noHBand="0" w:noVBand="1"/>
      </w:tblPr>
      <w:tblGrid>
        <w:gridCol w:w="2501"/>
        <w:gridCol w:w="1044"/>
        <w:gridCol w:w="1044"/>
        <w:gridCol w:w="1044"/>
        <w:gridCol w:w="1044"/>
        <w:gridCol w:w="1044"/>
      </w:tblGrid>
      <w:tr w:rsidR="00B628FF" w14:paraId="38367DA1" w14:textId="77777777">
        <w:trPr>
          <w:cantSplit/>
        </w:trPr>
        <w:tc>
          <w:tcPr>
            <w:tcW w:w="2500" w:type="dxa"/>
            <w:tcBorders>
              <w:top w:val="single" w:sz="4" w:space="0" w:color="000000"/>
              <w:bottom w:val="single" w:sz="4" w:space="0" w:color="000000"/>
            </w:tcBorders>
          </w:tcPr>
          <w:p w14:paraId="2441C426" w14:textId="77777777" w:rsidR="00B628FF" w:rsidRDefault="00B628FF">
            <w:pPr>
              <w:pStyle w:val="MeasureTableYearHeadings"/>
              <w:keepNext/>
            </w:pPr>
          </w:p>
        </w:tc>
        <w:tc>
          <w:tcPr>
            <w:tcW w:w="1043" w:type="dxa"/>
            <w:tcBorders>
              <w:top w:val="single" w:sz="4" w:space="0" w:color="000000"/>
              <w:bottom w:val="single" w:sz="4" w:space="0" w:color="000000"/>
            </w:tcBorders>
          </w:tcPr>
          <w:p w14:paraId="0A0E9ED4" w14:textId="2F3A1B1A" w:rsidR="00B628FF" w:rsidRDefault="005B2D2F">
            <w:pPr>
              <w:pStyle w:val="MeasureTableYearHeadings"/>
              <w:keepNext/>
            </w:pPr>
            <w:r>
              <w:t>2024</w:t>
            </w:r>
            <w:r w:rsidR="00B31B37">
              <w:noBreakHyphen/>
            </w:r>
            <w:r>
              <w:t>25</w:t>
            </w:r>
          </w:p>
        </w:tc>
        <w:tc>
          <w:tcPr>
            <w:tcW w:w="1043" w:type="dxa"/>
            <w:tcBorders>
              <w:top w:val="single" w:sz="4" w:space="0" w:color="000000"/>
              <w:bottom w:val="single" w:sz="4" w:space="0" w:color="000000"/>
            </w:tcBorders>
          </w:tcPr>
          <w:p w14:paraId="6DEFE741" w14:textId="0B5D6079" w:rsidR="00B628FF" w:rsidRDefault="005B2D2F">
            <w:pPr>
              <w:pStyle w:val="MeasureTableYearHeadings"/>
              <w:keepNext/>
            </w:pPr>
            <w:r>
              <w:t>2025</w:t>
            </w:r>
            <w:r w:rsidR="00B31B37">
              <w:noBreakHyphen/>
            </w:r>
            <w:r>
              <w:t>26</w:t>
            </w:r>
          </w:p>
        </w:tc>
        <w:tc>
          <w:tcPr>
            <w:tcW w:w="1043" w:type="dxa"/>
            <w:tcBorders>
              <w:top w:val="single" w:sz="4" w:space="0" w:color="000000"/>
              <w:bottom w:val="single" w:sz="4" w:space="0" w:color="000000"/>
            </w:tcBorders>
          </w:tcPr>
          <w:p w14:paraId="2787AA51" w14:textId="0455FE0E" w:rsidR="00B628FF" w:rsidRDefault="005B2D2F">
            <w:pPr>
              <w:pStyle w:val="MeasureTableYearHeadings"/>
              <w:keepNext/>
            </w:pPr>
            <w:r>
              <w:t>2026</w:t>
            </w:r>
            <w:r w:rsidR="00B31B37">
              <w:noBreakHyphen/>
            </w:r>
            <w:r>
              <w:t>27</w:t>
            </w:r>
          </w:p>
        </w:tc>
        <w:tc>
          <w:tcPr>
            <w:tcW w:w="1043" w:type="dxa"/>
            <w:tcBorders>
              <w:top w:val="single" w:sz="4" w:space="0" w:color="000000"/>
              <w:bottom w:val="single" w:sz="4" w:space="0" w:color="000000"/>
            </w:tcBorders>
          </w:tcPr>
          <w:p w14:paraId="1A9DA917" w14:textId="05009094" w:rsidR="00B628FF" w:rsidRDefault="005B2D2F">
            <w:pPr>
              <w:pStyle w:val="MeasureTableYearHeadings"/>
              <w:keepNext/>
            </w:pPr>
            <w:r>
              <w:t>2027</w:t>
            </w:r>
            <w:r w:rsidR="00B31B37">
              <w:noBreakHyphen/>
            </w:r>
            <w:r>
              <w:t>28</w:t>
            </w:r>
          </w:p>
        </w:tc>
        <w:tc>
          <w:tcPr>
            <w:tcW w:w="1043" w:type="dxa"/>
            <w:tcBorders>
              <w:top w:val="single" w:sz="4" w:space="0" w:color="000000"/>
              <w:bottom w:val="single" w:sz="4" w:space="0" w:color="000000"/>
            </w:tcBorders>
          </w:tcPr>
          <w:p w14:paraId="2D6C8BA8" w14:textId="6C44E50E" w:rsidR="00B628FF" w:rsidRDefault="005B2D2F">
            <w:pPr>
              <w:pStyle w:val="MeasureTableYearHeadings"/>
              <w:keepNext/>
            </w:pPr>
            <w:r>
              <w:t>2028</w:t>
            </w:r>
            <w:r w:rsidR="00B31B37">
              <w:noBreakHyphen/>
            </w:r>
            <w:r>
              <w:t>29</w:t>
            </w:r>
          </w:p>
        </w:tc>
      </w:tr>
      <w:tr w:rsidR="00B628FF" w14:paraId="2F7CAC3C" w14:textId="77777777">
        <w:trPr>
          <w:cantSplit/>
        </w:trPr>
        <w:tc>
          <w:tcPr>
            <w:tcW w:w="2500" w:type="dxa"/>
            <w:tcBorders>
              <w:top w:val="single" w:sz="4" w:space="0" w:color="000000"/>
              <w:bottom w:val="single" w:sz="4" w:space="0" w:color="000000"/>
            </w:tcBorders>
          </w:tcPr>
          <w:p w14:paraId="1D7E5BE9" w14:textId="77777777" w:rsidR="00B628FF" w:rsidRDefault="005B2D2F">
            <w:pPr>
              <w:pStyle w:val="MeasureTableHeadingleftalignedwith2ptsspacing"/>
              <w:keepNext/>
            </w:pPr>
            <w:r>
              <w:t>Australian Taxation Office</w:t>
            </w:r>
          </w:p>
        </w:tc>
        <w:tc>
          <w:tcPr>
            <w:tcW w:w="1043" w:type="dxa"/>
            <w:tcBorders>
              <w:top w:val="single" w:sz="4" w:space="0" w:color="000000"/>
              <w:bottom w:val="single" w:sz="4" w:space="0" w:color="000000"/>
            </w:tcBorders>
          </w:tcPr>
          <w:p w14:paraId="1398CBFE" w14:textId="64DDBF4D"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67D69AA6" w14:textId="7D7B6CD7"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2EF7C82B" w14:textId="68013D50" w:rsidR="00B628FF" w:rsidRDefault="00B31B37">
            <w:pPr>
              <w:pStyle w:val="MeasureTableDataRightAlignedwith2ptsspacing"/>
              <w:keepNext/>
            </w:pPr>
            <w:r>
              <w:noBreakHyphen/>
            </w:r>
            <w:r w:rsidR="005B2D2F">
              <w:t>0.9</w:t>
            </w:r>
          </w:p>
        </w:tc>
        <w:tc>
          <w:tcPr>
            <w:tcW w:w="1043" w:type="dxa"/>
            <w:tcBorders>
              <w:top w:val="single" w:sz="4" w:space="0" w:color="000000"/>
              <w:bottom w:val="single" w:sz="4" w:space="0" w:color="000000"/>
            </w:tcBorders>
          </w:tcPr>
          <w:p w14:paraId="72C6E8BE" w14:textId="39544596" w:rsidR="00B628FF" w:rsidRDefault="00B31B37">
            <w:pPr>
              <w:pStyle w:val="MeasureTableDataRightAlignedwith2ptsspacing"/>
              <w:keepNext/>
            </w:pPr>
            <w:r>
              <w:noBreakHyphen/>
            </w:r>
            <w:r w:rsidR="005B2D2F">
              <w:t>1.0</w:t>
            </w:r>
          </w:p>
        </w:tc>
        <w:tc>
          <w:tcPr>
            <w:tcW w:w="1043" w:type="dxa"/>
            <w:tcBorders>
              <w:top w:val="single" w:sz="4" w:space="0" w:color="000000"/>
              <w:bottom w:val="single" w:sz="4" w:space="0" w:color="000000"/>
            </w:tcBorders>
          </w:tcPr>
          <w:p w14:paraId="53DBBA08" w14:textId="672F65D4" w:rsidR="00B628FF" w:rsidRDefault="00B31B37">
            <w:pPr>
              <w:pStyle w:val="MeasureTableDataRightAlignedwith2ptsspacing"/>
              <w:keepNext/>
            </w:pPr>
            <w:r>
              <w:noBreakHyphen/>
            </w:r>
            <w:r w:rsidR="005B2D2F">
              <w:t>2.6</w:t>
            </w:r>
          </w:p>
        </w:tc>
      </w:tr>
    </w:tbl>
    <w:p w14:paraId="5CE83FC7" w14:textId="77777777" w:rsidR="00B628FF" w:rsidRDefault="00B628FF">
      <w:pPr>
        <w:keepNext/>
        <w:spacing w:line="226" w:lineRule="exact"/>
        <w:rPr>
          <w:sz w:val="16"/>
        </w:rPr>
      </w:pPr>
    </w:p>
    <w:p w14:paraId="54E3A828" w14:textId="77777777" w:rsidR="00B628FF" w:rsidRDefault="005B2D2F">
      <w:pPr>
        <w:pStyle w:val="Normal2"/>
      </w:pPr>
      <w:r w:rsidRPr="77B708AE">
        <w:rPr>
          <w:lang w:val="en-US"/>
        </w:rPr>
        <w:t>The Government will amend the tax law to specifically list the following organisations as deductible gift recipients (DGRs):</w:t>
      </w:r>
    </w:p>
    <w:p w14:paraId="3CB6F1D4" w14:textId="40413D1A" w:rsidR="00B628FF" w:rsidRDefault="005B2D2F">
      <w:pPr>
        <w:pStyle w:val="Bullet"/>
      </w:pPr>
      <w:r>
        <w:t>Community Foundations Australia Ltd for gifts received after 30 June 2025 and before</w:t>
      </w:r>
      <w:r w:rsidR="001E306D">
        <w:t> </w:t>
      </w:r>
      <w:r>
        <w:t>1 July 2030</w:t>
      </w:r>
    </w:p>
    <w:p w14:paraId="5168300D" w14:textId="77777777" w:rsidR="00B628FF" w:rsidRDefault="005B2D2F">
      <w:pPr>
        <w:pStyle w:val="Bullet"/>
      </w:pPr>
      <w:r>
        <w:t>Equality Australia Ltd for gifts received after 30 June 2025 and before 1 July 2030</w:t>
      </w:r>
    </w:p>
    <w:p w14:paraId="25083AFD" w14:textId="21D1EBCF" w:rsidR="00B628FF" w:rsidRDefault="005B2D2F">
      <w:pPr>
        <w:pStyle w:val="Bullet"/>
      </w:pPr>
      <w:r>
        <w:t>Foundation Broken Hill Limited for gifts received after 30 June 2025 and before</w:t>
      </w:r>
      <w:r w:rsidR="001E306D">
        <w:t> </w:t>
      </w:r>
      <w:r>
        <w:t>1 July 2030</w:t>
      </w:r>
    </w:p>
    <w:p w14:paraId="47CBD4B3" w14:textId="0D50241E" w:rsidR="00B628FF" w:rsidRDefault="005B2D2F">
      <w:pPr>
        <w:pStyle w:val="Bullet"/>
      </w:pPr>
      <w:r>
        <w:t>Social Enterprise Australia Ltd for gifts received after 30 June 2025 and before</w:t>
      </w:r>
      <w:r w:rsidR="001E306D">
        <w:t> </w:t>
      </w:r>
      <w:r>
        <w:t>1 July 2030</w:t>
      </w:r>
    </w:p>
    <w:p w14:paraId="71ABBA3B" w14:textId="0F1E098C" w:rsidR="00B628FF" w:rsidRDefault="005B2D2F">
      <w:pPr>
        <w:pStyle w:val="Bullet"/>
      </w:pPr>
      <w:r>
        <w:t>St Patrick</w:t>
      </w:r>
      <w:r w:rsidR="00B31B37">
        <w:t>’</w:t>
      </w:r>
      <w:r>
        <w:t>s Cathedral Melbourne Restoration Fund for gifts received after</w:t>
      </w:r>
      <w:r w:rsidR="00735F4B">
        <w:t xml:space="preserve"> </w:t>
      </w:r>
      <w:r>
        <w:t>30 June 2027 and before 1 July 2032</w:t>
      </w:r>
    </w:p>
    <w:p w14:paraId="64145627" w14:textId="77777777" w:rsidR="00B628FF" w:rsidRDefault="005B2D2F">
      <w:pPr>
        <w:pStyle w:val="Bullet"/>
      </w:pPr>
      <w:r>
        <w:t>Sydney Chevra Kadisha for gifts received after 30 June 2025 and before 1 July 2030.</w:t>
      </w:r>
    </w:p>
    <w:p w14:paraId="7B3A0595" w14:textId="4371E789" w:rsidR="00B628FF" w:rsidRDefault="005B2D2F">
      <w:pPr>
        <w:pStyle w:val="Normal2"/>
      </w:pPr>
      <w:r w:rsidRPr="77B708AE">
        <w:rPr>
          <w:lang w:val="en-US"/>
        </w:rPr>
        <w:t>The Government will enable Foundation Broken Hill Limited and Lord Mayor</w:t>
      </w:r>
      <w:r w:rsidR="00B31B37">
        <w:rPr>
          <w:lang w:val="en-US"/>
        </w:rPr>
        <w:t>’</w:t>
      </w:r>
      <w:r w:rsidRPr="77B708AE">
        <w:rPr>
          <w:lang w:val="en-US"/>
        </w:rPr>
        <w:t>s Charitable Foundation to retain their specific listing status in the tax law, allowing them to undertake charitable activities unique to their communities that would otherwise fall outside the community charity DGR category. They will no longer be included on a list of entities for DGR endorsement by the A</w:t>
      </w:r>
      <w:r w:rsidR="00F84F77">
        <w:rPr>
          <w:lang w:val="en-US"/>
        </w:rPr>
        <w:t xml:space="preserve">ustralian </w:t>
      </w:r>
      <w:r w:rsidRPr="77B708AE">
        <w:rPr>
          <w:lang w:val="en-US"/>
        </w:rPr>
        <w:t>T</w:t>
      </w:r>
      <w:r w:rsidR="00F84F77">
        <w:rPr>
          <w:lang w:val="en-US"/>
        </w:rPr>
        <w:t xml:space="preserve">axation </w:t>
      </w:r>
      <w:r w:rsidRPr="77B708AE">
        <w:rPr>
          <w:lang w:val="en-US"/>
        </w:rPr>
        <w:t>O</w:t>
      </w:r>
      <w:r w:rsidR="00F84F77">
        <w:rPr>
          <w:lang w:val="en-US"/>
        </w:rPr>
        <w:t>ffice</w:t>
      </w:r>
      <w:r w:rsidRPr="77B708AE">
        <w:rPr>
          <w:lang w:val="en-US"/>
        </w:rPr>
        <w:t xml:space="preserve"> as a community charity.</w:t>
      </w:r>
    </w:p>
    <w:p w14:paraId="7BF52926" w14:textId="6B90A56D" w:rsidR="00B628FF" w:rsidRDefault="005B2D2F">
      <w:pPr>
        <w:pStyle w:val="Normal2"/>
      </w:pPr>
      <w:r>
        <w:t>This measure is estimated to decrease receipts by $4.5 million over five</w:t>
      </w:r>
      <w:r w:rsidR="004506BD">
        <w:t> </w:t>
      </w:r>
      <w:r>
        <w:t>years from 2024–‍25.</w:t>
      </w:r>
    </w:p>
    <w:p w14:paraId="0738991C" w14:textId="77777777" w:rsidR="00B628FF" w:rsidRDefault="005B2D2F">
      <w:pPr>
        <w:pStyle w:val="MeasureTitle"/>
      </w:pPr>
      <w:r>
        <w:t>Supporting the Hospitality Sector and Alcohol Producers</w:t>
      </w:r>
    </w:p>
    <w:p w14:paraId="215675DB" w14:textId="77777777" w:rsidR="00B628FF" w:rsidRDefault="005B2D2F">
      <w:pPr>
        <w:pStyle w:val="MeasureTableHeading"/>
      </w:pPr>
      <w:r>
        <w:t>Receipts ($m)</w:t>
      </w:r>
    </w:p>
    <w:tbl>
      <w:tblPr>
        <w:tblOverlap w:val="never"/>
        <w:tblW w:w="7721" w:type="dxa"/>
        <w:tblBorders>
          <w:top w:val="single" w:sz="4" w:space="0" w:color="000000"/>
          <w:bottom w:val="single" w:sz="4" w:space="0" w:color="000000"/>
        </w:tblBorders>
        <w:tblLayout w:type="fixed"/>
        <w:tblLook w:val="04A0" w:firstRow="1" w:lastRow="0" w:firstColumn="1" w:lastColumn="0" w:noHBand="0" w:noVBand="1"/>
      </w:tblPr>
      <w:tblGrid>
        <w:gridCol w:w="2501"/>
        <w:gridCol w:w="1044"/>
        <w:gridCol w:w="1044"/>
        <w:gridCol w:w="1044"/>
        <w:gridCol w:w="1044"/>
        <w:gridCol w:w="1044"/>
      </w:tblGrid>
      <w:tr w:rsidR="00B628FF" w14:paraId="6AF63BF1" w14:textId="77777777">
        <w:trPr>
          <w:cantSplit/>
        </w:trPr>
        <w:tc>
          <w:tcPr>
            <w:tcW w:w="2500" w:type="dxa"/>
            <w:tcBorders>
              <w:top w:val="single" w:sz="4" w:space="0" w:color="000000"/>
              <w:bottom w:val="single" w:sz="4" w:space="0" w:color="000000"/>
            </w:tcBorders>
          </w:tcPr>
          <w:p w14:paraId="0CF40C42" w14:textId="77777777" w:rsidR="00B628FF" w:rsidRDefault="00B628FF">
            <w:pPr>
              <w:pStyle w:val="MeasureTableYearHeadings"/>
              <w:keepNext/>
            </w:pPr>
          </w:p>
        </w:tc>
        <w:tc>
          <w:tcPr>
            <w:tcW w:w="1043" w:type="dxa"/>
            <w:tcBorders>
              <w:top w:val="single" w:sz="4" w:space="0" w:color="000000"/>
              <w:bottom w:val="single" w:sz="4" w:space="0" w:color="000000"/>
            </w:tcBorders>
          </w:tcPr>
          <w:p w14:paraId="0986EE36" w14:textId="7B27A1FB" w:rsidR="00B628FF" w:rsidRDefault="005B2D2F">
            <w:pPr>
              <w:pStyle w:val="MeasureTableYearHeadings"/>
              <w:keepNext/>
            </w:pPr>
            <w:r>
              <w:t>2024</w:t>
            </w:r>
            <w:r w:rsidR="00B31B37">
              <w:noBreakHyphen/>
            </w:r>
            <w:r>
              <w:t>25</w:t>
            </w:r>
          </w:p>
        </w:tc>
        <w:tc>
          <w:tcPr>
            <w:tcW w:w="1043" w:type="dxa"/>
            <w:tcBorders>
              <w:top w:val="single" w:sz="4" w:space="0" w:color="000000"/>
              <w:bottom w:val="single" w:sz="4" w:space="0" w:color="000000"/>
            </w:tcBorders>
          </w:tcPr>
          <w:p w14:paraId="186D43DE" w14:textId="106B74E0" w:rsidR="00B628FF" w:rsidRDefault="005B2D2F">
            <w:pPr>
              <w:pStyle w:val="MeasureTableYearHeadings"/>
              <w:keepNext/>
            </w:pPr>
            <w:r>
              <w:t>2025</w:t>
            </w:r>
            <w:r w:rsidR="00B31B37">
              <w:noBreakHyphen/>
            </w:r>
            <w:r>
              <w:t>26</w:t>
            </w:r>
          </w:p>
        </w:tc>
        <w:tc>
          <w:tcPr>
            <w:tcW w:w="1043" w:type="dxa"/>
            <w:tcBorders>
              <w:top w:val="single" w:sz="4" w:space="0" w:color="000000"/>
              <w:bottom w:val="single" w:sz="4" w:space="0" w:color="000000"/>
            </w:tcBorders>
          </w:tcPr>
          <w:p w14:paraId="32D1629B" w14:textId="1C86B6D9" w:rsidR="00B628FF" w:rsidRDefault="005B2D2F">
            <w:pPr>
              <w:pStyle w:val="MeasureTableYearHeadings"/>
              <w:keepNext/>
            </w:pPr>
            <w:r>
              <w:t>2026</w:t>
            </w:r>
            <w:r w:rsidR="00B31B37">
              <w:noBreakHyphen/>
            </w:r>
            <w:r>
              <w:t>27</w:t>
            </w:r>
          </w:p>
        </w:tc>
        <w:tc>
          <w:tcPr>
            <w:tcW w:w="1043" w:type="dxa"/>
            <w:tcBorders>
              <w:top w:val="single" w:sz="4" w:space="0" w:color="000000"/>
              <w:bottom w:val="single" w:sz="4" w:space="0" w:color="000000"/>
            </w:tcBorders>
          </w:tcPr>
          <w:p w14:paraId="25C0AEAD" w14:textId="54830BAC" w:rsidR="00B628FF" w:rsidRDefault="005B2D2F">
            <w:pPr>
              <w:pStyle w:val="MeasureTableYearHeadings"/>
              <w:keepNext/>
            </w:pPr>
            <w:r>
              <w:t>2027</w:t>
            </w:r>
            <w:r w:rsidR="00B31B37">
              <w:noBreakHyphen/>
            </w:r>
            <w:r>
              <w:t>28</w:t>
            </w:r>
          </w:p>
        </w:tc>
        <w:tc>
          <w:tcPr>
            <w:tcW w:w="1043" w:type="dxa"/>
            <w:tcBorders>
              <w:top w:val="single" w:sz="4" w:space="0" w:color="000000"/>
              <w:bottom w:val="single" w:sz="4" w:space="0" w:color="000000"/>
            </w:tcBorders>
          </w:tcPr>
          <w:p w14:paraId="6BF9D892" w14:textId="0528AAB4" w:rsidR="00B628FF" w:rsidRDefault="005B2D2F">
            <w:pPr>
              <w:pStyle w:val="MeasureTableYearHeadings"/>
              <w:keepNext/>
            </w:pPr>
            <w:r>
              <w:t>2028</w:t>
            </w:r>
            <w:r w:rsidR="00B31B37">
              <w:noBreakHyphen/>
            </w:r>
            <w:r>
              <w:t>29</w:t>
            </w:r>
          </w:p>
        </w:tc>
      </w:tr>
      <w:tr w:rsidR="00B628FF" w14:paraId="5624C777" w14:textId="77777777">
        <w:trPr>
          <w:cantSplit/>
        </w:trPr>
        <w:tc>
          <w:tcPr>
            <w:tcW w:w="2500" w:type="dxa"/>
            <w:tcBorders>
              <w:top w:val="single" w:sz="4" w:space="0" w:color="000000"/>
              <w:bottom w:val="single" w:sz="4" w:space="0" w:color="000000"/>
            </w:tcBorders>
          </w:tcPr>
          <w:p w14:paraId="036683C4" w14:textId="77777777" w:rsidR="00B628FF" w:rsidRDefault="005B2D2F">
            <w:pPr>
              <w:pStyle w:val="MeasureTableHeadingleftalignedwith2ptsspacing"/>
              <w:keepNext/>
            </w:pPr>
            <w:r>
              <w:t>Department of Home Affairs</w:t>
            </w:r>
          </w:p>
        </w:tc>
        <w:tc>
          <w:tcPr>
            <w:tcW w:w="1043" w:type="dxa"/>
            <w:tcBorders>
              <w:top w:val="single" w:sz="4" w:space="0" w:color="000000"/>
              <w:bottom w:val="single" w:sz="4" w:space="0" w:color="000000"/>
            </w:tcBorders>
          </w:tcPr>
          <w:p w14:paraId="0ED9A962" w14:textId="4638792E"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4F43CA66" w14:textId="33D73EEE" w:rsidR="00B628FF" w:rsidRDefault="007F0EE4">
            <w:pPr>
              <w:pStyle w:val="MeasureTableDataRightAlignedwith2ptsspacing"/>
              <w:keepNext/>
            </w:pPr>
            <w:r>
              <w:t>..</w:t>
            </w:r>
          </w:p>
        </w:tc>
        <w:tc>
          <w:tcPr>
            <w:tcW w:w="1043" w:type="dxa"/>
            <w:tcBorders>
              <w:top w:val="single" w:sz="4" w:space="0" w:color="000000"/>
              <w:bottom w:val="single" w:sz="4" w:space="0" w:color="000000"/>
            </w:tcBorders>
          </w:tcPr>
          <w:p w14:paraId="76B894ED" w14:textId="0E4F7B10" w:rsidR="00B628FF" w:rsidRDefault="007F0EE4">
            <w:pPr>
              <w:pStyle w:val="MeasureTableDataRightAlignedwith2ptsspacing"/>
              <w:keepNext/>
            </w:pPr>
            <w:r>
              <w:t>..</w:t>
            </w:r>
          </w:p>
        </w:tc>
        <w:tc>
          <w:tcPr>
            <w:tcW w:w="1043" w:type="dxa"/>
            <w:tcBorders>
              <w:top w:val="single" w:sz="4" w:space="0" w:color="000000"/>
              <w:bottom w:val="single" w:sz="4" w:space="0" w:color="000000"/>
            </w:tcBorders>
          </w:tcPr>
          <w:p w14:paraId="22363B31" w14:textId="5B94DB28" w:rsidR="00B628FF" w:rsidRDefault="007F0EE4">
            <w:pPr>
              <w:pStyle w:val="MeasureTableDataRightAlignedwith2ptsspacing"/>
              <w:keepNext/>
            </w:pPr>
            <w:r>
              <w:t>..</w:t>
            </w:r>
          </w:p>
        </w:tc>
        <w:tc>
          <w:tcPr>
            <w:tcW w:w="1043" w:type="dxa"/>
            <w:tcBorders>
              <w:top w:val="single" w:sz="4" w:space="0" w:color="000000"/>
              <w:bottom w:val="single" w:sz="4" w:space="0" w:color="000000"/>
            </w:tcBorders>
          </w:tcPr>
          <w:p w14:paraId="15897A48" w14:textId="3D57667E" w:rsidR="00B628FF" w:rsidRDefault="00B62A92">
            <w:pPr>
              <w:pStyle w:val="MeasureTableDataRightAlignedwith2ptsspacing"/>
              <w:keepNext/>
            </w:pPr>
            <w:r>
              <w:t>..</w:t>
            </w:r>
          </w:p>
        </w:tc>
      </w:tr>
      <w:tr w:rsidR="00B628FF" w14:paraId="145B9314" w14:textId="77777777">
        <w:trPr>
          <w:cantSplit/>
        </w:trPr>
        <w:tc>
          <w:tcPr>
            <w:tcW w:w="2500" w:type="dxa"/>
            <w:tcBorders>
              <w:top w:val="single" w:sz="4" w:space="0" w:color="000000"/>
              <w:bottom w:val="single" w:sz="4" w:space="0" w:color="000000"/>
            </w:tcBorders>
          </w:tcPr>
          <w:p w14:paraId="5C04F99E" w14:textId="77777777" w:rsidR="00B628FF" w:rsidRDefault="005B2D2F">
            <w:pPr>
              <w:pStyle w:val="MeasureTableHeadingleftalignedwith2ptsspacing"/>
              <w:keepNext/>
            </w:pPr>
            <w:r>
              <w:t>Australian Taxation Office</w:t>
            </w:r>
          </w:p>
        </w:tc>
        <w:tc>
          <w:tcPr>
            <w:tcW w:w="1043" w:type="dxa"/>
            <w:tcBorders>
              <w:top w:val="single" w:sz="4" w:space="0" w:color="000000"/>
              <w:bottom w:val="single" w:sz="4" w:space="0" w:color="000000"/>
            </w:tcBorders>
          </w:tcPr>
          <w:p w14:paraId="45E916FD" w14:textId="7AB233F1"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1A23B3AA" w14:textId="39254EC2" w:rsidR="00B628FF" w:rsidRDefault="00B31B37">
            <w:pPr>
              <w:pStyle w:val="MeasureTableDataRightAlignedwith2ptsspacing"/>
              <w:keepNext/>
            </w:pPr>
            <w:r>
              <w:noBreakHyphen/>
            </w:r>
            <w:r w:rsidR="005B2D2F">
              <w:t>10.0</w:t>
            </w:r>
          </w:p>
        </w:tc>
        <w:tc>
          <w:tcPr>
            <w:tcW w:w="1043" w:type="dxa"/>
            <w:tcBorders>
              <w:top w:val="single" w:sz="4" w:space="0" w:color="000000"/>
              <w:bottom w:val="single" w:sz="4" w:space="0" w:color="000000"/>
            </w:tcBorders>
          </w:tcPr>
          <w:p w14:paraId="66B04CBC" w14:textId="4AE32A20" w:rsidR="00B628FF" w:rsidRDefault="00B31B37">
            <w:pPr>
              <w:pStyle w:val="MeasureTableDataRightAlignedwith2ptsspacing"/>
              <w:keepNext/>
            </w:pPr>
            <w:r>
              <w:noBreakHyphen/>
            </w:r>
            <w:r w:rsidR="005B2D2F">
              <w:t>45.0</w:t>
            </w:r>
          </w:p>
        </w:tc>
        <w:tc>
          <w:tcPr>
            <w:tcW w:w="1043" w:type="dxa"/>
            <w:tcBorders>
              <w:top w:val="single" w:sz="4" w:space="0" w:color="000000"/>
              <w:bottom w:val="single" w:sz="4" w:space="0" w:color="000000"/>
            </w:tcBorders>
          </w:tcPr>
          <w:p w14:paraId="147CA92F" w14:textId="69EA54CD" w:rsidR="00B628FF" w:rsidRDefault="00B31B37">
            <w:pPr>
              <w:pStyle w:val="MeasureTableDataRightAlignedwith2ptsspacing"/>
              <w:keepNext/>
            </w:pPr>
            <w:r>
              <w:noBreakHyphen/>
            </w:r>
            <w:r w:rsidR="005B2D2F">
              <w:t>55.0</w:t>
            </w:r>
          </w:p>
        </w:tc>
        <w:tc>
          <w:tcPr>
            <w:tcW w:w="1043" w:type="dxa"/>
            <w:tcBorders>
              <w:top w:val="single" w:sz="4" w:space="0" w:color="000000"/>
              <w:bottom w:val="single" w:sz="4" w:space="0" w:color="000000"/>
            </w:tcBorders>
          </w:tcPr>
          <w:p w14:paraId="0D731E3C" w14:textId="4B4D368C" w:rsidR="00B628FF" w:rsidRDefault="00B31B37">
            <w:pPr>
              <w:pStyle w:val="MeasureTableDataRightAlignedwith2ptsspacing"/>
              <w:keepNext/>
            </w:pPr>
            <w:r>
              <w:noBreakHyphen/>
            </w:r>
            <w:r w:rsidR="005B2D2F">
              <w:t>55.0</w:t>
            </w:r>
          </w:p>
        </w:tc>
      </w:tr>
      <w:tr w:rsidR="00B628FF" w14:paraId="36B45C75" w14:textId="77777777">
        <w:trPr>
          <w:cantSplit/>
        </w:trPr>
        <w:tc>
          <w:tcPr>
            <w:tcW w:w="2500" w:type="dxa"/>
            <w:tcBorders>
              <w:top w:val="single" w:sz="4" w:space="0" w:color="000000"/>
              <w:bottom w:val="single" w:sz="4" w:space="0" w:color="000000"/>
            </w:tcBorders>
          </w:tcPr>
          <w:p w14:paraId="18263159" w14:textId="77777777" w:rsidR="00B628FF" w:rsidRDefault="005B2D2F">
            <w:pPr>
              <w:pStyle w:val="Totalrowleftaligned"/>
              <w:keepNext/>
            </w:pPr>
            <w:r>
              <w:t>Total – Receipts</w:t>
            </w:r>
          </w:p>
        </w:tc>
        <w:tc>
          <w:tcPr>
            <w:tcW w:w="1043" w:type="dxa"/>
            <w:tcBorders>
              <w:top w:val="single" w:sz="4" w:space="0" w:color="000000"/>
              <w:bottom w:val="single" w:sz="4" w:space="0" w:color="000000"/>
            </w:tcBorders>
          </w:tcPr>
          <w:p w14:paraId="0C3FD6F6" w14:textId="6647701F" w:rsidR="00B628FF" w:rsidRDefault="00B31B37">
            <w:pPr>
              <w:pStyle w:val="Totaldatarowrightaligned"/>
              <w:keepNext/>
            </w:pPr>
            <w:r>
              <w:noBreakHyphen/>
            </w:r>
          </w:p>
        </w:tc>
        <w:tc>
          <w:tcPr>
            <w:tcW w:w="1043" w:type="dxa"/>
            <w:tcBorders>
              <w:top w:val="single" w:sz="4" w:space="0" w:color="000000"/>
              <w:bottom w:val="single" w:sz="4" w:space="0" w:color="000000"/>
            </w:tcBorders>
          </w:tcPr>
          <w:p w14:paraId="0826549E" w14:textId="2609BEBD" w:rsidR="00B628FF" w:rsidRDefault="00B31B37">
            <w:pPr>
              <w:pStyle w:val="Totaldatarowrightaligned"/>
              <w:keepNext/>
            </w:pPr>
            <w:r>
              <w:noBreakHyphen/>
            </w:r>
            <w:r w:rsidR="005B2D2F">
              <w:t>10.0</w:t>
            </w:r>
          </w:p>
        </w:tc>
        <w:tc>
          <w:tcPr>
            <w:tcW w:w="1043" w:type="dxa"/>
            <w:tcBorders>
              <w:top w:val="single" w:sz="4" w:space="0" w:color="000000"/>
              <w:bottom w:val="single" w:sz="4" w:space="0" w:color="000000"/>
            </w:tcBorders>
          </w:tcPr>
          <w:p w14:paraId="4188DC2F" w14:textId="63DD08F3" w:rsidR="00B628FF" w:rsidRDefault="00B31B37">
            <w:pPr>
              <w:pStyle w:val="Totaldatarowrightaligned"/>
              <w:keepNext/>
            </w:pPr>
            <w:r>
              <w:noBreakHyphen/>
            </w:r>
            <w:r w:rsidR="005B2D2F">
              <w:t>45.0</w:t>
            </w:r>
          </w:p>
        </w:tc>
        <w:tc>
          <w:tcPr>
            <w:tcW w:w="1043" w:type="dxa"/>
            <w:tcBorders>
              <w:top w:val="single" w:sz="4" w:space="0" w:color="000000"/>
              <w:bottom w:val="single" w:sz="4" w:space="0" w:color="000000"/>
            </w:tcBorders>
          </w:tcPr>
          <w:p w14:paraId="3A73C60D" w14:textId="5EB2A7D7" w:rsidR="00B628FF" w:rsidRDefault="00B31B37">
            <w:pPr>
              <w:pStyle w:val="Totaldatarowrightaligned"/>
              <w:keepNext/>
            </w:pPr>
            <w:r>
              <w:noBreakHyphen/>
            </w:r>
            <w:r w:rsidR="005B2D2F">
              <w:t>55.0</w:t>
            </w:r>
          </w:p>
        </w:tc>
        <w:tc>
          <w:tcPr>
            <w:tcW w:w="1043" w:type="dxa"/>
            <w:tcBorders>
              <w:top w:val="single" w:sz="4" w:space="0" w:color="000000"/>
              <w:bottom w:val="single" w:sz="4" w:space="0" w:color="000000"/>
            </w:tcBorders>
          </w:tcPr>
          <w:p w14:paraId="0681A570" w14:textId="066981C7" w:rsidR="00B628FF" w:rsidRDefault="00B31B37">
            <w:pPr>
              <w:pStyle w:val="Totaldatarowrightaligned"/>
              <w:keepNext/>
            </w:pPr>
            <w:r>
              <w:noBreakHyphen/>
            </w:r>
            <w:r w:rsidR="005B2D2F">
              <w:t>55.0</w:t>
            </w:r>
          </w:p>
        </w:tc>
      </w:tr>
      <w:tr w:rsidR="00B628FF" w14:paraId="70C575FF" w14:textId="77777777">
        <w:trPr>
          <w:cantSplit/>
        </w:trPr>
        <w:tc>
          <w:tcPr>
            <w:tcW w:w="2500" w:type="dxa"/>
          </w:tcPr>
          <w:p w14:paraId="404BB2C5" w14:textId="77777777" w:rsidR="00B628FF" w:rsidRDefault="005B2D2F">
            <w:pPr>
              <w:pStyle w:val="AgencyName"/>
              <w:keepNext/>
            </w:pPr>
            <w:r>
              <w:t>Related payments ($m)</w:t>
            </w:r>
          </w:p>
        </w:tc>
        <w:tc>
          <w:tcPr>
            <w:tcW w:w="1043" w:type="dxa"/>
          </w:tcPr>
          <w:p w14:paraId="3316073C" w14:textId="77777777" w:rsidR="00B628FF" w:rsidRDefault="00B628FF">
            <w:pPr>
              <w:pStyle w:val="AgencyName"/>
              <w:keepNext/>
            </w:pPr>
          </w:p>
        </w:tc>
        <w:tc>
          <w:tcPr>
            <w:tcW w:w="1043" w:type="dxa"/>
          </w:tcPr>
          <w:p w14:paraId="6F205033" w14:textId="77777777" w:rsidR="00B628FF" w:rsidRDefault="00B628FF">
            <w:pPr>
              <w:pStyle w:val="AgencyName"/>
              <w:keepNext/>
            </w:pPr>
          </w:p>
        </w:tc>
        <w:tc>
          <w:tcPr>
            <w:tcW w:w="1043" w:type="dxa"/>
          </w:tcPr>
          <w:p w14:paraId="45B1B8B3" w14:textId="77777777" w:rsidR="00B628FF" w:rsidRDefault="00B628FF">
            <w:pPr>
              <w:pStyle w:val="AgencyName"/>
              <w:keepNext/>
            </w:pPr>
          </w:p>
        </w:tc>
        <w:tc>
          <w:tcPr>
            <w:tcW w:w="1043" w:type="dxa"/>
          </w:tcPr>
          <w:p w14:paraId="4E0794C0" w14:textId="77777777" w:rsidR="00B628FF" w:rsidRDefault="00B628FF">
            <w:pPr>
              <w:pStyle w:val="AgencyName"/>
              <w:keepNext/>
            </w:pPr>
          </w:p>
        </w:tc>
        <w:tc>
          <w:tcPr>
            <w:tcW w:w="1043" w:type="dxa"/>
          </w:tcPr>
          <w:p w14:paraId="13E26EE8" w14:textId="77777777" w:rsidR="00B628FF" w:rsidRDefault="00B628FF">
            <w:pPr>
              <w:pStyle w:val="AgencyName"/>
              <w:keepNext/>
            </w:pPr>
          </w:p>
        </w:tc>
      </w:tr>
      <w:tr w:rsidR="00B628FF" w14:paraId="3ABD59DD" w14:textId="77777777">
        <w:tc>
          <w:tcPr>
            <w:tcW w:w="2500" w:type="dxa"/>
          </w:tcPr>
          <w:p w14:paraId="624CAEEC" w14:textId="77777777" w:rsidR="00B628FF" w:rsidRDefault="005B2D2F">
            <w:pPr>
              <w:pStyle w:val="AgencyNamewith2ptsspacing"/>
              <w:keepNext/>
            </w:pPr>
            <w:r>
              <w:t>Department of the Treasury</w:t>
            </w:r>
          </w:p>
        </w:tc>
        <w:tc>
          <w:tcPr>
            <w:tcW w:w="1043" w:type="dxa"/>
          </w:tcPr>
          <w:p w14:paraId="32DF742B" w14:textId="72EA0E34" w:rsidR="00B628FF" w:rsidRDefault="00B31B37">
            <w:pPr>
              <w:pStyle w:val="Measuretabledatarightaligneditalics"/>
              <w:keepNext/>
            </w:pPr>
            <w:r>
              <w:noBreakHyphen/>
            </w:r>
          </w:p>
        </w:tc>
        <w:tc>
          <w:tcPr>
            <w:tcW w:w="1043" w:type="dxa"/>
          </w:tcPr>
          <w:p w14:paraId="417866B2" w14:textId="36C944B9" w:rsidR="00B628FF" w:rsidRDefault="00DC61B4">
            <w:pPr>
              <w:pStyle w:val="Measuretabledatarightaligneditalics"/>
              <w:keepNext/>
            </w:pPr>
            <w:r>
              <w:t>..</w:t>
            </w:r>
          </w:p>
        </w:tc>
        <w:tc>
          <w:tcPr>
            <w:tcW w:w="1043" w:type="dxa"/>
          </w:tcPr>
          <w:p w14:paraId="430882AC" w14:textId="52071500" w:rsidR="00B628FF" w:rsidRDefault="00DC61B4">
            <w:pPr>
              <w:pStyle w:val="Measuretabledatarightaligneditalics"/>
              <w:keepNext/>
            </w:pPr>
            <w:r>
              <w:t>..</w:t>
            </w:r>
          </w:p>
        </w:tc>
        <w:tc>
          <w:tcPr>
            <w:tcW w:w="1043" w:type="dxa"/>
          </w:tcPr>
          <w:p w14:paraId="3889C951" w14:textId="270F79E5" w:rsidR="00B628FF" w:rsidRDefault="00DC61B4">
            <w:pPr>
              <w:pStyle w:val="Measuretabledatarightaligneditalics"/>
              <w:keepNext/>
            </w:pPr>
            <w:r>
              <w:t>..</w:t>
            </w:r>
          </w:p>
        </w:tc>
        <w:tc>
          <w:tcPr>
            <w:tcW w:w="1043" w:type="dxa"/>
          </w:tcPr>
          <w:p w14:paraId="18FCF12F" w14:textId="5927AEEC" w:rsidR="00B628FF" w:rsidRDefault="00DC61B4">
            <w:pPr>
              <w:pStyle w:val="Measuretabledatarightaligneditalics"/>
              <w:keepNext/>
            </w:pPr>
            <w:r>
              <w:t>..</w:t>
            </w:r>
          </w:p>
        </w:tc>
      </w:tr>
    </w:tbl>
    <w:p w14:paraId="0D2D3932" w14:textId="77777777" w:rsidR="00B628FF" w:rsidRDefault="00B628FF">
      <w:pPr>
        <w:keepNext/>
        <w:spacing w:line="226" w:lineRule="exact"/>
        <w:rPr>
          <w:sz w:val="16"/>
        </w:rPr>
      </w:pPr>
    </w:p>
    <w:p w14:paraId="1AF7F8B3" w14:textId="77777777" w:rsidR="00B628FF" w:rsidRDefault="005B2D2F">
      <w:pPr>
        <w:pStyle w:val="Normal2"/>
      </w:pPr>
      <w:r w:rsidRPr="77B708AE">
        <w:rPr>
          <w:lang w:val="en-US"/>
        </w:rPr>
        <w:t>The Government will increase support for hospitality venues, brewers, distillers and wine producers through changes to the alcohol tax settings in Australia, supporting local jobs and regional tourism.</w:t>
      </w:r>
    </w:p>
    <w:p w14:paraId="360CB415" w14:textId="78B86CF4" w:rsidR="00B628FF" w:rsidRDefault="005B2D2F">
      <w:pPr>
        <w:pStyle w:val="Normal2"/>
      </w:pPr>
      <w:r>
        <w:t>The Government will pause indexation on draught beer excise and excise equivalent customs duty rates for a two‑year period, from August 2025. Under this measure biannual indexation of draught beer excise and excise equivalent customs duty rates due to occur in August 2025, February 2026, August 2026, and February 2027 will not occur. Biannual indexation will then recommence from August 2027.</w:t>
      </w:r>
    </w:p>
    <w:p w14:paraId="2065674B" w14:textId="5638CEA4" w:rsidR="00B628FF" w:rsidRDefault="005B2D2F">
      <w:pPr>
        <w:pStyle w:val="Normal2"/>
      </w:pPr>
      <w:r w:rsidRPr="77B708AE">
        <w:rPr>
          <w:lang w:val="en-US"/>
        </w:rPr>
        <w:t xml:space="preserve">The Government will also increase support available under the existing </w:t>
      </w:r>
      <w:r w:rsidRPr="77B708AE">
        <w:rPr>
          <w:i/>
          <w:iCs/>
          <w:lang w:val="en-US"/>
        </w:rPr>
        <w:t>Excise remission scheme for manufacturers of alcoholic beverages</w:t>
      </w:r>
      <w:r w:rsidRPr="77B708AE">
        <w:rPr>
          <w:lang w:val="en-US"/>
        </w:rPr>
        <w:t xml:space="preserve"> (the Remission scheme) and Wine Equalisation Tax (WET) </w:t>
      </w:r>
      <w:r w:rsidR="001A08F2">
        <w:rPr>
          <w:lang w:val="en-US"/>
        </w:rPr>
        <w:t>p</w:t>
      </w:r>
      <w:r w:rsidR="001A08F2" w:rsidRPr="77B708AE">
        <w:rPr>
          <w:lang w:val="en-US"/>
        </w:rPr>
        <w:t xml:space="preserve">roducer </w:t>
      </w:r>
      <w:r w:rsidRPr="77B708AE">
        <w:rPr>
          <w:lang w:val="en-US"/>
        </w:rPr>
        <w:t>rebate (Producer rebate). Currently, all eligible brewers and distillers can receive an excise remission under the Remission Scheme up to a cap of $350,000. All eligible wine producers can currently receive a WET rebate up to a cap of $350,000 under the Producer rebate. This measure will increase the caps for all eligible brewers, distillers and wine producers to $400,000 per financial year, from 1 July 2026.</w:t>
      </w:r>
    </w:p>
    <w:p w14:paraId="6D385DAB" w14:textId="4476F0E3" w:rsidR="00B628FF" w:rsidRDefault="005B2D2F">
      <w:pPr>
        <w:pStyle w:val="Normal2"/>
      </w:pPr>
      <w:r>
        <w:t>This measure is estimated to decrease receipts by $165.0 million over five</w:t>
      </w:r>
      <w:r w:rsidR="00B02994">
        <w:t> </w:t>
      </w:r>
      <w:r>
        <w:t>years from 2024–‍25.</w:t>
      </w:r>
    </w:p>
    <w:p w14:paraId="266E5685" w14:textId="77777777" w:rsidR="00994320" w:rsidRDefault="00994320">
      <w:pPr>
        <w:pStyle w:val="Heading1"/>
        <w:rPr>
          <w:sz w:val="30"/>
        </w:rPr>
        <w:sectPr w:rsidR="00994320" w:rsidSect="00A06F82">
          <w:headerReference w:type="even" r:id="rId21"/>
          <w:headerReference w:type="default" r:id="rId22"/>
          <w:footerReference w:type="even" r:id="rId23"/>
          <w:footerReference w:type="default" r:id="rId24"/>
          <w:headerReference w:type="first" r:id="rId25"/>
          <w:footerReference w:type="first" r:id="rId26"/>
          <w:pgSz w:w="11906" w:h="16838"/>
          <w:pgMar w:top="2835" w:right="2098" w:bottom="2466" w:left="2098" w:header="1814" w:footer="1814" w:gutter="0"/>
          <w:cols w:space="720"/>
          <w:docGrid w:linePitch="272"/>
        </w:sectPr>
      </w:pPr>
    </w:p>
    <w:p w14:paraId="71F9E748" w14:textId="77777777" w:rsidR="00B628FF" w:rsidRPr="00190FC0" w:rsidRDefault="005B2D2F" w:rsidP="00190FC0">
      <w:pPr>
        <w:pStyle w:val="Heading1"/>
      </w:pPr>
      <w:r w:rsidRPr="003C3E34">
        <w:t>Part 2: Payment Measures</w:t>
      </w:r>
    </w:p>
    <w:p w14:paraId="1B2AB37D" w14:textId="77777777" w:rsidR="00B628FF" w:rsidRDefault="005B2D2F">
      <w:pPr>
        <w:pStyle w:val="TableHeading"/>
      </w:pPr>
      <w:r>
        <w:t>Table 2: Payment measures since the 2024–25 MYEFO⁽ª⁾</w:t>
      </w:r>
    </w:p>
    <w:tbl>
      <w:tblPr>
        <w:tblOverlap w:val="never"/>
        <w:tblW w:w="5000" w:type="pct"/>
        <w:tblBorders>
          <w:top w:val="single" w:sz="4" w:space="0" w:color="000000"/>
          <w:bottom w:val="single" w:sz="4" w:space="0" w:color="000000"/>
        </w:tblBorders>
        <w:tblLayout w:type="fixed"/>
        <w:tblCellMar>
          <w:left w:w="0" w:type="dxa"/>
          <w:right w:w="56" w:type="dxa"/>
        </w:tblCellMar>
        <w:tblLook w:val="04A0" w:firstRow="1" w:lastRow="0" w:firstColumn="1" w:lastColumn="0" w:noHBand="0" w:noVBand="1"/>
      </w:tblPr>
      <w:tblGrid>
        <w:gridCol w:w="3465"/>
        <w:gridCol w:w="849"/>
        <w:gridCol w:w="849"/>
        <w:gridCol w:w="849"/>
        <w:gridCol w:w="849"/>
        <w:gridCol w:w="849"/>
      </w:tblGrid>
      <w:tr w:rsidR="00B628FF" w14:paraId="4E0A0F55" w14:textId="77777777" w:rsidTr="00031112">
        <w:tc>
          <w:tcPr>
            <w:tcW w:w="3471" w:type="dxa"/>
            <w:tcBorders>
              <w:top w:val="single" w:sz="4" w:space="0" w:color="000000"/>
            </w:tcBorders>
          </w:tcPr>
          <w:p w14:paraId="50347F7A" w14:textId="77777777" w:rsidR="00B628FF" w:rsidRDefault="00B628FF">
            <w:pPr>
              <w:pStyle w:val="Summarytabletextrightaligned"/>
            </w:pPr>
          </w:p>
        </w:tc>
        <w:tc>
          <w:tcPr>
            <w:tcW w:w="850" w:type="dxa"/>
            <w:tcBorders>
              <w:top w:val="single" w:sz="4" w:space="0" w:color="000000"/>
            </w:tcBorders>
          </w:tcPr>
          <w:p w14:paraId="090B4696" w14:textId="0025E41B" w:rsidR="00B628FF" w:rsidRDefault="005B2D2F">
            <w:pPr>
              <w:pStyle w:val="Summarytabletextrightaligned"/>
            </w:pPr>
            <w:r>
              <w:t>2024</w:t>
            </w:r>
            <w:r w:rsidR="00B31B37">
              <w:noBreakHyphen/>
            </w:r>
            <w:r>
              <w:t>25</w:t>
            </w:r>
          </w:p>
        </w:tc>
        <w:tc>
          <w:tcPr>
            <w:tcW w:w="850" w:type="dxa"/>
            <w:tcBorders>
              <w:top w:val="single" w:sz="4" w:space="0" w:color="000000"/>
            </w:tcBorders>
            <w:shd w:val="clear" w:color="auto" w:fill="E6F2FF"/>
          </w:tcPr>
          <w:p w14:paraId="109FA51D" w14:textId="21C5F03C" w:rsidR="00B628FF" w:rsidRDefault="005B2D2F">
            <w:pPr>
              <w:pStyle w:val="Summarytabletextrightaligned"/>
            </w:pPr>
            <w:r>
              <w:t>2025</w:t>
            </w:r>
            <w:r w:rsidR="00B31B37">
              <w:noBreakHyphen/>
            </w:r>
            <w:r>
              <w:t>26</w:t>
            </w:r>
          </w:p>
        </w:tc>
        <w:tc>
          <w:tcPr>
            <w:tcW w:w="850" w:type="dxa"/>
            <w:tcBorders>
              <w:top w:val="single" w:sz="4" w:space="0" w:color="000000"/>
            </w:tcBorders>
          </w:tcPr>
          <w:p w14:paraId="578DFAFD" w14:textId="64788254" w:rsidR="00B628FF" w:rsidRDefault="005B2D2F">
            <w:pPr>
              <w:pStyle w:val="Summarytabletextrightaligned"/>
            </w:pPr>
            <w:r>
              <w:t>2026</w:t>
            </w:r>
            <w:r w:rsidR="00B31B37">
              <w:noBreakHyphen/>
            </w:r>
            <w:r>
              <w:t>27</w:t>
            </w:r>
          </w:p>
        </w:tc>
        <w:tc>
          <w:tcPr>
            <w:tcW w:w="850" w:type="dxa"/>
            <w:tcBorders>
              <w:top w:val="single" w:sz="4" w:space="0" w:color="000000"/>
            </w:tcBorders>
          </w:tcPr>
          <w:p w14:paraId="7CE29140" w14:textId="143C8377" w:rsidR="00B628FF" w:rsidRDefault="005B2D2F">
            <w:pPr>
              <w:pStyle w:val="Summarytabletextrightaligned"/>
            </w:pPr>
            <w:r>
              <w:t>2027</w:t>
            </w:r>
            <w:r w:rsidR="00B31B37">
              <w:noBreakHyphen/>
            </w:r>
            <w:r>
              <w:t>28</w:t>
            </w:r>
          </w:p>
        </w:tc>
        <w:tc>
          <w:tcPr>
            <w:tcW w:w="850" w:type="dxa"/>
            <w:tcBorders>
              <w:top w:val="single" w:sz="4" w:space="0" w:color="000000"/>
            </w:tcBorders>
          </w:tcPr>
          <w:p w14:paraId="1AEB402F" w14:textId="4A923576" w:rsidR="00B628FF" w:rsidRDefault="005B2D2F">
            <w:pPr>
              <w:pStyle w:val="Summarytabletextrightaligned"/>
            </w:pPr>
            <w:r>
              <w:t>2028</w:t>
            </w:r>
            <w:r w:rsidR="00B31B37">
              <w:noBreakHyphen/>
            </w:r>
            <w:r>
              <w:t>29</w:t>
            </w:r>
          </w:p>
        </w:tc>
      </w:tr>
      <w:tr w:rsidR="00B628FF" w14:paraId="662A97FC" w14:textId="77777777" w:rsidTr="00031112">
        <w:tc>
          <w:tcPr>
            <w:tcW w:w="3471" w:type="dxa"/>
          </w:tcPr>
          <w:p w14:paraId="72FB1BEC" w14:textId="77777777" w:rsidR="00B628FF" w:rsidRDefault="00B628FF">
            <w:pPr>
              <w:pStyle w:val="Summarytabletextrightaligned"/>
            </w:pPr>
          </w:p>
        </w:tc>
        <w:tc>
          <w:tcPr>
            <w:tcW w:w="850" w:type="dxa"/>
            <w:tcBorders>
              <w:bottom w:val="single" w:sz="4" w:space="0" w:color="000000"/>
            </w:tcBorders>
          </w:tcPr>
          <w:p w14:paraId="266B2A17" w14:textId="77777777" w:rsidR="00B628FF" w:rsidRDefault="005B2D2F">
            <w:pPr>
              <w:pStyle w:val="Summarytabletextrightaligned"/>
            </w:pPr>
            <w:r>
              <w:t>$m</w:t>
            </w:r>
          </w:p>
        </w:tc>
        <w:tc>
          <w:tcPr>
            <w:tcW w:w="850" w:type="dxa"/>
            <w:tcBorders>
              <w:bottom w:val="single" w:sz="4" w:space="0" w:color="000000"/>
            </w:tcBorders>
            <w:shd w:val="clear" w:color="auto" w:fill="E6F2FF"/>
          </w:tcPr>
          <w:p w14:paraId="783A89D8" w14:textId="77777777" w:rsidR="00B628FF" w:rsidRDefault="005B2D2F">
            <w:pPr>
              <w:pStyle w:val="Summarytabletextrightaligned"/>
            </w:pPr>
            <w:r>
              <w:t>$m</w:t>
            </w:r>
          </w:p>
        </w:tc>
        <w:tc>
          <w:tcPr>
            <w:tcW w:w="850" w:type="dxa"/>
            <w:tcBorders>
              <w:bottom w:val="single" w:sz="4" w:space="0" w:color="000000"/>
            </w:tcBorders>
          </w:tcPr>
          <w:p w14:paraId="78C72D55" w14:textId="77777777" w:rsidR="00B628FF" w:rsidRDefault="005B2D2F">
            <w:pPr>
              <w:pStyle w:val="Summarytabletextrightaligned"/>
            </w:pPr>
            <w:r>
              <w:t>$m</w:t>
            </w:r>
          </w:p>
        </w:tc>
        <w:tc>
          <w:tcPr>
            <w:tcW w:w="850" w:type="dxa"/>
            <w:tcBorders>
              <w:bottom w:val="single" w:sz="4" w:space="0" w:color="000000"/>
            </w:tcBorders>
          </w:tcPr>
          <w:p w14:paraId="0C231E7A" w14:textId="77777777" w:rsidR="00B628FF" w:rsidRDefault="005B2D2F">
            <w:pPr>
              <w:pStyle w:val="Summarytabletextrightaligned"/>
            </w:pPr>
            <w:r>
              <w:t>$m</w:t>
            </w:r>
          </w:p>
        </w:tc>
        <w:tc>
          <w:tcPr>
            <w:tcW w:w="850" w:type="dxa"/>
            <w:tcBorders>
              <w:bottom w:val="single" w:sz="4" w:space="0" w:color="000000"/>
            </w:tcBorders>
          </w:tcPr>
          <w:p w14:paraId="3A54E6E4" w14:textId="77777777" w:rsidR="00B628FF" w:rsidRDefault="005B2D2F">
            <w:pPr>
              <w:pStyle w:val="Summarytabletextrightaligned"/>
            </w:pPr>
            <w:r>
              <w:t>$m</w:t>
            </w:r>
          </w:p>
        </w:tc>
      </w:tr>
      <w:tr w:rsidR="00B628FF" w14:paraId="6889EFF9" w14:textId="77777777" w:rsidTr="00031112">
        <w:tc>
          <w:tcPr>
            <w:tcW w:w="3471" w:type="dxa"/>
            <w:vAlign w:val="bottom"/>
          </w:tcPr>
          <w:p w14:paraId="0B15929D" w14:textId="77777777" w:rsidR="00B628FF" w:rsidRDefault="005B2D2F">
            <w:pPr>
              <w:pStyle w:val="SummaryPortfolioTitle-BP2"/>
            </w:pPr>
            <w:r>
              <w:t>AGRICULTURE, FISHERIES AND FORESTRY</w:t>
            </w:r>
          </w:p>
        </w:tc>
        <w:tc>
          <w:tcPr>
            <w:tcW w:w="850" w:type="dxa"/>
          </w:tcPr>
          <w:p w14:paraId="55A6525F" w14:textId="77777777" w:rsidR="00B628FF" w:rsidRDefault="00B628FF">
            <w:pPr>
              <w:pStyle w:val="MeasureTableTextRightAlignedBefore6ptAfter1pt"/>
            </w:pPr>
          </w:p>
        </w:tc>
        <w:tc>
          <w:tcPr>
            <w:tcW w:w="850" w:type="dxa"/>
            <w:shd w:val="clear" w:color="auto" w:fill="E6F2FF"/>
          </w:tcPr>
          <w:p w14:paraId="68B2EF56" w14:textId="77777777" w:rsidR="00B628FF" w:rsidRDefault="00B628FF">
            <w:pPr>
              <w:pStyle w:val="MeasureTableTextRightAlignedBefore6ptAfter1pt"/>
            </w:pPr>
          </w:p>
        </w:tc>
        <w:tc>
          <w:tcPr>
            <w:tcW w:w="850" w:type="dxa"/>
          </w:tcPr>
          <w:p w14:paraId="33949481" w14:textId="77777777" w:rsidR="00B628FF" w:rsidRDefault="00B628FF">
            <w:pPr>
              <w:pStyle w:val="MeasureTableTextRightAlignedBefore6ptAfter1pt"/>
            </w:pPr>
          </w:p>
        </w:tc>
        <w:tc>
          <w:tcPr>
            <w:tcW w:w="850" w:type="dxa"/>
          </w:tcPr>
          <w:p w14:paraId="6611DFAB" w14:textId="77777777" w:rsidR="00B628FF" w:rsidRDefault="00B628FF">
            <w:pPr>
              <w:pStyle w:val="MeasureTableTextRightAlignedBefore6ptAfter1pt"/>
            </w:pPr>
          </w:p>
        </w:tc>
        <w:tc>
          <w:tcPr>
            <w:tcW w:w="850" w:type="dxa"/>
          </w:tcPr>
          <w:p w14:paraId="56BE95E9" w14:textId="77777777" w:rsidR="00B628FF" w:rsidRDefault="00B628FF">
            <w:pPr>
              <w:pStyle w:val="MeasureTableTextRightAlignedBefore6ptAfter1pt"/>
            </w:pPr>
          </w:p>
        </w:tc>
      </w:tr>
      <w:tr w:rsidR="00B628FF" w14:paraId="21A3D5E4" w14:textId="77777777" w:rsidTr="00031112">
        <w:tc>
          <w:tcPr>
            <w:tcW w:w="3471" w:type="dxa"/>
            <w:vAlign w:val="bottom"/>
          </w:tcPr>
          <w:p w14:paraId="0EC8059E" w14:textId="77777777" w:rsidR="00B628FF" w:rsidRDefault="005B2D2F">
            <w:pPr>
              <w:pStyle w:val="SummaryAgencyTitle-BP2"/>
            </w:pPr>
            <w:r>
              <w:t>Australian Fisheries Management Authority</w:t>
            </w:r>
          </w:p>
        </w:tc>
        <w:tc>
          <w:tcPr>
            <w:tcW w:w="850" w:type="dxa"/>
          </w:tcPr>
          <w:p w14:paraId="2A8C2FED" w14:textId="77777777" w:rsidR="00B628FF" w:rsidRDefault="00B628FF">
            <w:pPr>
              <w:pStyle w:val="SummaryAgencyTitle-BP2"/>
            </w:pPr>
          </w:p>
        </w:tc>
        <w:tc>
          <w:tcPr>
            <w:tcW w:w="850" w:type="dxa"/>
            <w:shd w:val="clear" w:color="auto" w:fill="E6F2FF"/>
          </w:tcPr>
          <w:p w14:paraId="5F177368" w14:textId="77777777" w:rsidR="00B628FF" w:rsidRDefault="00B628FF">
            <w:pPr>
              <w:pStyle w:val="SummaryAgencyTitle-BP2"/>
            </w:pPr>
          </w:p>
        </w:tc>
        <w:tc>
          <w:tcPr>
            <w:tcW w:w="850" w:type="dxa"/>
          </w:tcPr>
          <w:p w14:paraId="21B35498" w14:textId="77777777" w:rsidR="00B628FF" w:rsidRDefault="00B628FF">
            <w:pPr>
              <w:pStyle w:val="SummaryAgencyTitle-BP2"/>
            </w:pPr>
          </w:p>
        </w:tc>
        <w:tc>
          <w:tcPr>
            <w:tcW w:w="850" w:type="dxa"/>
          </w:tcPr>
          <w:p w14:paraId="77C10FB3" w14:textId="77777777" w:rsidR="00B628FF" w:rsidRDefault="00B628FF">
            <w:pPr>
              <w:pStyle w:val="SummaryAgencyTitle-BP2"/>
            </w:pPr>
          </w:p>
        </w:tc>
        <w:tc>
          <w:tcPr>
            <w:tcW w:w="850" w:type="dxa"/>
          </w:tcPr>
          <w:p w14:paraId="448446FB" w14:textId="77777777" w:rsidR="00B628FF" w:rsidRDefault="00B628FF">
            <w:pPr>
              <w:pStyle w:val="SummaryAgencyTitle-BP2"/>
            </w:pPr>
          </w:p>
        </w:tc>
      </w:tr>
      <w:tr w:rsidR="00B628FF" w14:paraId="5CF6D3DC" w14:textId="77777777" w:rsidTr="00031112">
        <w:tc>
          <w:tcPr>
            <w:tcW w:w="3471" w:type="dxa"/>
            <w:vAlign w:val="bottom"/>
          </w:tcPr>
          <w:p w14:paraId="255142FA" w14:textId="77777777" w:rsidR="00B628FF" w:rsidRDefault="005B2D2F">
            <w:pPr>
              <w:pStyle w:val="SummaryMeasureTitlewithTheme"/>
            </w:pPr>
            <w:r>
              <w:t>Supporting Border Security(b)</w:t>
            </w:r>
          </w:p>
        </w:tc>
        <w:tc>
          <w:tcPr>
            <w:tcW w:w="850" w:type="dxa"/>
            <w:vAlign w:val="bottom"/>
          </w:tcPr>
          <w:p w14:paraId="39833EAC" w14:textId="05818042" w:rsidR="00B628FF" w:rsidRDefault="00B31B37">
            <w:pPr>
              <w:pStyle w:val="Summarytabletextrightaligned"/>
            </w:pPr>
            <w:r>
              <w:noBreakHyphen/>
            </w:r>
          </w:p>
        </w:tc>
        <w:tc>
          <w:tcPr>
            <w:tcW w:w="850" w:type="dxa"/>
            <w:shd w:val="clear" w:color="auto" w:fill="E6F2FF"/>
            <w:vAlign w:val="bottom"/>
          </w:tcPr>
          <w:p w14:paraId="7B081BC1" w14:textId="77777777" w:rsidR="00B628FF" w:rsidRDefault="005B2D2F">
            <w:pPr>
              <w:pStyle w:val="Summarytabletextrightaligned"/>
            </w:pPr>
            <w:r>
              <w:t>2.0</w:t>
            </w:r>
          </w:p>
        </w:tc>
        <w:tc>
          <w:tcPr>
            <w:tcW w:w="850" w:type="dxa"/>
            <w:vAlign w:val="bottom"/>
          </w:tcPr>
          <w:p w14:paraId="011DC210" w14:textId="3BCAC4BA" w:rsidR="00B628FF" w:rsidRDefault="00B31B37">
            <w:pPr>
              <w:pStyle w:val="Summarytabletextrightaligned"/>
            </w:pPr>
            <w:r>
              <w:noBreakHyphen/>
            </w:r>
          </w:p>
        </w:tc>
        <w:tc>
          <w:tcPr>
            <w:tcW w:w="850" w:type="dxa"/>
            <w:vAlign w:val="bottom"/>
          </w:tcPr>
          <w:p w14:paraId="6DAA9888" w14:textId="6306C0AE" w:rsidR="00B628FF" w:rsidRDefault="00B31B37">
            <w:pPr>
              <w:pStyle w:val="Summarytabletextrightaligned"/>
            </w:pPr>
            <w:r>
              <w:noBreakHyphen/>
            </w:r>
          </w:p>
        </w:tc>
        <w:tc>
          <w:tcPr>
            <w:tcW w:w="850" w:type="dxa"/>
            <w:vAlign w:val="bottom"/>
          </w:tcPr>
          <w:p w14:paraId="44AA8681" w14:textId="3E2AFDD7" w:rsidR="00B628FF" w:rsidRDefault="00B31B37">
            <w:pPr>
              <w:pStyle w:val="Summarytabletextrightaligned"/>
            </w:pPr>
            <w:r>
              <w:noBreakHyphen/>
            </w:r>
          </w:p>
        </w:tc>
      </w:tr>
      <w:tr w:rsidR="00B628FF" w14:paraId="43AABFA7" w14:textId="77777777" w:rsidTr="00031112">
        <w:tc>
          <w:tcPr>
            <w:tcW w:w="3471" w:type="dxa"/>
            <w:vAlign w:val="bottom"/>
          </w:tcPr>
          <w:p w14:paraId="042A8654" w14:textId="77777777" w:rsidR="00B628FF" w:rsidRDefault="005B2D2F">
            <w:pPr>
              <w:pStyle w:val="SummaryAgencyTitle-BP2"/>
            </w:pPr>
            <w:r>
              <w:t>Department of Agriculture, Fisheries and Forestry</w:t>
            </w:r>
          </w:p>
        </w:tc>
        <w:tc>
          <w:tcPr>
            <w:tcW w:w="850" w:type="dxa"/>
          </w:tcPr>
          <w:p w14:paraId="6E6FEB1A" w14:textId="77777777" w:rsidR="00B628FF" w:rsidRDefault="00B628FF">
            <w:pPr>
              <w:pStyle w:val="SummaryAgencyTitle-BP2"/>
            </w:pPr>
          </w:p>
        </w:tc>
        <w:tc>
          <w:tcPr>
            <w:tcW w:w="850" w:type="dxa"/>
            <w:shd w:val="clear" w:color="auto" w:fill="E6F2FF"/>
          </w:tcPr>
          <w:p w14:paraId="569B3330" w14:textId="77777777" w:rsidR="00B628FF" w:rsidRDefault="00B628FF">
            <w:pPr>
              <w:pStyle w:val="SummaryAgencyTitle-BP2"/>
            </w:pPr>
          </w:p>
        </w:tc>
        <w:tc>
          <w:tcPr>
            <w:tcW w:w="850" w:type="dxa"/>
          </w:tcPr>
          <w:p w14:paraId="1B07A443" w14:textId="77777777" w:rsidR="00B628FF" w:rsidRDefault="00B628FF">
            <w:pPr>
              <w:pStyle w:val="SummaryAgencyTitle-BP2"/>
            </w:pPr>
          </w:p>
        </w:tc>
        <w:tc>
          <w:tcPr>
            <w:tcW w:w="850" w:type="dxa"/>
          </w:tcPr>
          <w:p w14:paraId="0F35606E" w14:textId="77777777" w:rsidR="00B628FF" w:rsidRDefault="00B628FF">
            <w:pPr>
              <w:pStyle w:val="SummaryAgencyTitle-BP2"/>
            </w:pPr>
          </w:p>
        </w:tc>
        <w:tc>
          <w:tcPr>
            <w:tcW w:w="850" w:type="dxa"/>
          </w:tcPr>
          <w:p w14:paraId="0DC11762" w14:textId="77777777" w:rsidR="00B628FF" w:rsidRDefault="00B628FF">
            <w:pPr>
              <w:pStyle w:val="SummaryAgencyTitle-BP2"/>
            </w:pPr>
          </w:p>
        </w:tc>
      </w:tr>
      <w:tr w:rsidR="00B628FF" w14:paraId="7DE3206E" w14:textId="77777777" w:rsidTr="00031112">
        <w:tc>
          <w:tcPr>
            <w:tcW w:w="3471" w:type="dxa"/>
            <w:vAlign w:val="bottom"/>
          </w:tcPr>
          <w:p w14:paraId="0887343A" w14:textId="77777777" w:rsidR="00B628FF" w:rsidRDefault="005B2D2F">
            <w:pPr>
              <w:pStyle w:val="SummaryMeasureTitlewithTheme"/>
            </w:pPr>
            <w:r>
              <w:t>Agricultural Priorities</w:t>
            </w:r>
          </w:p>
        </w:tc>
        <w:tc>
          <w:tcPr>
            <w:tcW w:w="850" w:type="dxa"/>
            <w:vAlign w:val="bottom"/>
          </w:tcPr>
          <w:p w14:paraId="45EB3E48" w14:textId="79583653" w:rsidR="00B628FF" w:rsidRDefault="00B31B37">
            <w:pPr>
              <w:pStyle w:val="Summarytabletextrightaligned"/>
            </w:pPr>
            <w:r>
              <w:noBreakHyphen/>
            </w:r>
          </w:p>
        </w:tc>
        <w:tc>
          <w:tcPr>
            <w:tcW w:w="850" w:type="dxa"/>
            <w:shd w:val="clear" w:color="auto" w:fill="E6F2FF"/>
            <w:vAlign w:val="bottom"/>
          </w:tcPr>
          <w:p w14:paraId="6CC1263F" w14:textId="77777777" w:rsidR="00B628FF" w:rsidRDefault="005B2D2F">
            <w:pPr>
              <w:pStyle w:val="Summarytabletextrightaligned"/>
            </w:pPr>
            <w:r>
              <w:t>19.7</w:t>
            </w:r>
          </w:p>
        </w:tc>
        <w:tc>
          <w:tcPr>
            <w:tcW w:w="850" w:type="dxa"/>
            <w:vAlign w:val="bottom"/>
          </w:tcPr>
          <w:p w14:paraId="48E533C6" w14:textId="77777777" w:rsidR="00B628FF" w:rsidRDefault="005B2D2F">
            <w:pPr>
              <w:pStyle w:val="Summarytabletextrightaligned"/>
            </w:pPr>
            <w:r>
              <w:t>8.4</w:t>
            </w:r>
          </w:p>
        </w:tc>
        <w:tc>
          <w:tcPr>
            <w:tcW w:w="850" w:type="dxa"/>
            <w:vAlign w:val="bottom"/>
          </w:tcPr>
          <w:p w14:paraId="1C001A8F" w14:textId="77777777" w:rsidR="00B628FF" w:rsidRDefault="005B2D2F">
            <w:pPr>
              <w:pStyle w:val="Summarytabletextrightaligned"/>
            </w:pPr>
            <w:r>
              <w:t>2.3</w:t>
            </w:r>
          </w:p>
        </w:tc>
        <w:tc>
          <w:tcPr>
            <w:tcW w:w="850" w:type="dxa"/>
            <w:vAlign w:val="bottom"/>
          </w:tcPr>
          <w:p w14:paraId="4B079B71" w14:textId="6B717B49" w:rsidR="00B628FF" w:rsidRDefault="00B31B37">
            <w:pPr>
              <w:pStyle w:val="Summarytabletextrightaligned"/>
            </w:pPr>
            <w:r>
              <w:noBreakHyphen/>
            </w:r>
          </w:p>
        </w:tc>
      </w:tr>
      <w:tr w:rsidR="00B628FF" w14:paraId="24EB8058" w14:textId="77777777" w:rsidTr="00031112">
        <w:tc>
          <w:tcPr>
            <w:tcW w:w="3471" w:type="dxa"/>
            <w:vAlign w:val="bottom"/>
          </w:tcPr>
          <w:p w14:paraId="0D6008C3" w14:textId="77777777" w:rsidR="00B628FF" w:rsidRDefault="005B2D2F">
            <w:pPr>
              <w:pStyle w:val="Summarytabletextleftalignedbold"/>
            </w:pPr>
            <w:r>
              <w:t>Portfolio total</w:t>
            </w:r>
          </w:p>
        </w:tc>
        <w:tc>
          <w:tcPr>
            <w:tcW w:w="850" w:type="dxa"/>
            <w:tcBorders>
              <w:top w:val="single" w:sz="4" w:space="0" w:color="000000"/>
              <w:bottom w:val="single" w:sz="4" w:space="0" w:color="000000"/>
            </w:tcBorders>
            <w:vAlign w:val="bottom"/>
          </w:tcPr>
          <w:p w14:paraId="383CCA6D" w14:textId="653E9DBF" w:rsidR="00B628FF" w:rsidRDefault="00B31B37">
            <w:pPr>
              <w:pStyle w:val="Summarytabletextrightalignedbold"/>
            </w:pPr>
            <w:r>
              <w:noBreakHyphen/>
            </w:r>
          </w:p>
        </w:tc>
        <w:tc>
          <w:tcPr>
            <w:tcW w:w="850" w:type="dxa"/>
            <w:tcBorders>
              <w:top w:val="single" w:sz="4" w:space="0" w:color="000000"/>
              <w:bottom w:val="single" w:sz="4" w:space="0" w:color="000000"/>
            </w:tcBorders>
            <w:shd w:val="clear" w:color="auto" w:fill="E6F2FF"/>
            <w:vAlign w:val="bottom"/>
          </w:tcPr>
          <w:p w14:paraId="0F2E8A2C" w14:textId="77777777" w:rsidR="00B628FF" w:rsidRDefault="005B2D2F">
            <w:pPr>
              <w:pStyle w:val="Summarytabletextrightalignedbold"/>
            </w:pPr>
            <w:r>
              <w:t>21.7</w:t>
            </w:r>
          </w:p>
        </w:tc>
        <w:tc>
          <w:tcPr>
            <w:tcW w:w="850" w:type="dxa"/>
            <w:tcBorders>
              <w:top w:val="single" w:sz="4" w:space="0" w:color="000000"/>
              <w:bottom w:val="single" w:sz="4" w:space="0" w:color="000000"/>
            </w:tcBorders>
            <w:vAlign w:val="bottom"/>
          </w:tcPr>
          <w:p w14:paraId="077773E8" w14:textId="77777777" w:rsidR="00B628FF" w:rsidRDefault="005B2D2F">
            <w:pPr>
              <w:pStyle w:val="Summarytabletextrightalignedbold"/>
            </w:pPr>
            <w:r>
              <w:t>8.4</w:t>
            </w:r>
          </w:p>
        </w:tc>
        <w:tc>
          <w:tcPr>
            <w:tcW w:w="850" w:type="dxa"/>
            <w:tcBorders>
              <w:top w:val="single" w:sz="4" w:space="0" w:color="000000"/>
              <w:bottom w:val="single" w:sz="4" w:space="0" w:color="000000"/>
            </w:tcBorders>
            <w:vAlign w:val="bottom"/>
          </w:tcPr>
          <w:p w14:paraId="0CA64E6C" w14:textId="77777777" w:rsidR="00B628FF" w:rsidRDefault="005B2D2F">
            <w:pPr>
              <w:pStyle w:val="Summarytabletextrightalignedbold"/>
            </w:pPr>
            <w:r>
              <w:t>2.3</w:t>
            </w:r>
          </w:p>
        </w:tc>
        <w:tc>
          <w:tcPr>
            <w:tcW w:w="850" w:type="dxa"/>
            <w:tcBorders>
              <w:top w:val="single" w:sz="4" w:space="0" w:color="000000"/>
              <w:bottom w:val="single" w:sz="4" w:space="0" w:color="000000"/>
            </w:tcBorders>
            <w:vAlign w:val="bottom"/>
          </w:tcPr>
          <w:p w14:paraId="631B2F1E" w14:textId="01E2FB0C" w:rsidR="00B628FF" w:rsidRDefault="00B31B37">
            <w:pPr>
              <w:pStyle w:val="Summarytabletextrightalignedbold"/>
            </w:pPr>
            <w:r>
              <w:noBreakHyphen/>
            </w:r>
          </w:p>
        </w:tc>
      </w:tr>
      <w:tr w:rsidR="00B628FF" w14:paraId="4CD618C3" w14:textId="77777777" w:rsidTr="00031112">
        <w:tc>
          <w:tcPr>
            <w:tcW w:w="3471" w:type="dxa"/>
            <w:vAlign w:val="bottom"/>
          </w:tcPr>
          <w:p w14:paraId="79A77FC4" w14:textId="4E116073" w:rsidR="00B628FF" w:rsidRDefault="005B2D2F">
            <w:pPr>
              <w:pStyle w:val="SummaryPortfolioTitle-BP2"/>
            </w:pPr>
            <w:r>
              <w:t>ATTORNEY‑GENERAL</w:t>
            </w:r>
            <w:r w:rsidR="00B31B37">
              <w:t>’</w:t>
            </w:r>
            <w:r>
              <w:t>S</w:t>
            </w:r>
          </w:p>
        </w:tc>
        <w:tc>
          <w:tcPr>
            <w:tcW w:w="850" w:type="dxa"/>
          </w:tcPr>
          <w:p w14:paraId="29DD6D34" w14:textId="77777777" w:rsidR="00B628FF" w:rsidRDefault="00B628FF">
            <w:pPr>
              <w:pStyle w:val="MeasureTableTextRightAlignedBefore6ptAfter1pt"/>
            </w:pPr>
          </w:p>
        </w:tc>
        <w:tc>
          <w:tcPr>
            <w:tcW w:w="850" w:type="dxa"/>
            <w:shd w:val="clear" w:color="auto" w:fill="E6F2FF"/>
          </w:tcPr>
          <w:p w14:paraId="2EB3260E" w14:textId="77777777" w:rsidR="00B628FF" w:rsidRDefault="00B628FF">
            <w:pPr>
              <w:pStyle w:val="MeasureTableTextRightAlignedBefore6ptAfter1pt"/>
            </w:pPr>
          </w:p>
        </w:tc>
        <w:tc>
          <w:tcPr>
            <w:tcW w:w="850" w:type="dxa"/>
          </w:tcPr>
          <w:p w14:paraId="29C7A979" w14:textId="77777777" w:rsidR="00B628FF" w:rsidRDefault="00B628FF">
            <w:pPr>
              <w:pStyle w:val="MeasureTableTextRightAlignedBefore6ptAfter1pt"/>
            </w:pPr>
          </w:p>
        </w:tc>
        <w:tc>
          <w:tcPr>
            <w:tcW w:w="850" w:type="dxa"/>
          </w:tcPr>
          <w:p w14:paraId="6BBD5E3F" w14:textId="77777777" w:rsidR="00B628FF" w:rsidRDefault="00B628FF">
            <w:pPr>
              <w:pStyle w:val="MeasureTableTextRightAlignedBefore6ptAfter1pt"/>
            </w:pPr>
          </w:p>
        </w:tc>
        <w:tc>
          <w:tcPr>
            <w:tcW w:w="850" w:type="dxa"/>
          </w:tcPr>
          <w:p w14:paraId="5AD5882D" w14:textId="77777777" w:rsidR="00B628FF" w:rsidRDefault="00B628FF">
            <w:pPr>
              <w:pStyle w:val="MeasureTableTextRightAlignedBefore6ptAfter1pt"/>
            </w:pPr>
          </w:p>
        </w:tc>
      </w:tr>
      <w:tr w:rsidR="00B628FF" w14:paraId="25A29020" w14:textId="77777777" w:rsidTr="00031112">
        <w:tc>
          <w:tcPr>
            <w:tcW w:w="3471" w:type="dxa"/>
            <w:vAlign w:val="bottom"/>
          </w:tcPr>
          <w:p w14:paraId="4C80D8B1" w14:textId="2BDCBE43" w:rsidR="00B628FF" w:rsidRDefault="005B2D2F">
            <w:pPr>
              <w:pStyle w:val="SummaryAgencyTitle-BP2"/>
            </w:pPr>
            <w:r>
              <w:t>Attorney‑General</w:t>
            </w:r>
            <w:r w:rsidR="00B31B37">
              <w:t>’</w:t>
            </w:r>
            <w:r>
              <w:t>s Department</w:t>
            </w:r>
          </w:p>
        </w:tc>
        <w:tc>
          <w:tcPr>
            <w:tcW w:w="850" w:type="dxa"/>
          </w:tcPr>
          <w:p w14:paraId="0605CEB4" w14:textId="77777777" w:rsidR="00B628FF" w:rsidRDefault="00B628FF">
            <w:pPr>
              <w:pStyle w:val="SummaryAgencyTitle-BP2"/>
            </w:pPr>
          </w:p>
        </w:tc>
        <w:tc>
          <w:tcPr>
            <w:tcW w:w="850" w:type="dxa"/>
            <w:shd w:val="clear" w:color="auto" w:fill="E6F2FF"/>
          </w:tcPr>
          <w:p w14:paraId="27D77F0C" w14:textId="77777777" w:rsidR="00B628FF" w:rsidRDefault="00B628FF">
            <w:pPr>
              <w:pStyle w:val="SummaryAgencyTitle-BP2"/>
            </w:pPr>
          </w:p>
        </w:tc>
        <w:tc>
          <w:tcPr>
            <w:tcW w:w="850" w:type="dxa"/>
          </w:tcPr>
          <w:p w14:paraId="1131B6EB" w14:textId="77777777" w:rsidR="00B628FF" w:rsidRDefault="00B628FF">
            <w:pPr>
              <w:pStyle w:val="SummaryAgencyTitle-BP2"/>
            </w:pPr>
          </w:p>
        </w:tc>
        <w:tc>
          <w:tcPr>
            <w:tcW w:w="850" w:type="dxa"/>
          </w:tcPr>
          <w:p w14:paraId="3B431AC1" w14:textId="77777777" w:rsidR="00B628FF" w:rsidRDefault="00B628FF">
            <w:pPr>
              <w:pStyle w:val="SummaryAgencyTitle-BP2"/>
            </w:pPr>
          </w:p>
        </w:tc>
        <w:tc>
          <w:tcPr>
            <w:tcW w:w="850" w:type="dxa"/>
          </w:tcPr>
          <w:p w14:paraId="18663F99" w14:textId="77777777" w:rsidR="00B628FF" w:rsidRDefault="00B628FF">
            <w:pPr>
              <w:pStyle w:val="SummaryAgencyTitle-BP2"/>
            </w:pPr>
          </w:p>
        </w:tc>
      </w:tr>
      <w:tr w:rsidR="00B628FF" w14:paraId="3A616442" w14:textId="77777777" w:rsidTr="00031112">
        <w:tc>
          <w:tcPr>
            <w:tcW w:w="3471" w:type="dxa"/>
            <w:vAlign w:val="bottom"/>
          </w:tcPr>
          <w:p w14:paraId="687FD04C" w14:textId="7FDCDA85" w:rsidR="00B628FF" w:rsidRDefault="005B2D2F">
            <w:pPr>
              <w:pStyle w:val="SummaryMeasureTitlewithTheme"/>
            </w:pPr>
            <w:r>
              <w:t>Attorney‑General</w:t>
            </w:r>
            <w:r w:rsidR="00B31B37">
              <w:t>’</w:t>
            </w:r>
            <w:r>
              <w:t>s Portfolio – additional resourcing</w:t>
            </w:r>
          </w:p>
        </w:tc>
        <w:tc>
          <w:tcPr>
            <w:tcW w:w="850" w:type="dxa"/>
            <w:vAlign w:val="bottom"/>
          </w:tcPr>
          <w:p w14:paraId="0A66E80D" w14:textId="6C383DBD" w:rsidR="00B628FF" w:rsidRDefault="00B31B37">
            <w:pPr>
              <w:pStyle w:val="Summarytabletextrightaligned"/>
            </w:pPr>
            <w:r>
              <w:noBreakHyphen/>
            </w:r>
          </w:p>
        </w:tc>
        <w:tc>
          <w:tcPr>
            <w:tcW w:w="850" w:type="dxa"/>
            <w:shd w:val="clear" w:color="auto" w:fill="E6F2FF"/>
            <w:vAlign w:val="bottom"/>
          </w:tcPr>
          <w:p w14:paraId="28E0F88A" w14:textId="77777777" w:rsidR="00B628FF" w:rsidRDefault="005B2D2F">
            <w:pPr>
              <w:pStyle w:val="Summarytabletextrightaligned"/>
            </w:pPr>
            <w:r>
              <w:t>9.5</w:t>
            </w:r>
          </w:p>
        </w:tc>
        <w:tc>
          <w:tcPr>
            <w:tcW w:w="850" w:type="dxa"/>
            <w:vAlign w:val="bottom"/>
          </w:tcPr>
          <w:p w14:paraId="59AB9A5A" w14:textId="1943396B" w:rsidR="00B628FF" w:rsidRDefault="00B31B37">
            <w:pPr>
              <w:pStyle w:val="Summarytabletextrightaligned"/>
            </w:pPr>
            <w:r>
              <w:noBreakHyphen/>
            </w:r>
          </w:p>
        </w:tc>
        <w:tc>
          <w:tcPr>
            <w:tcW w:w="850" w:type="dxa"/>
            <w:vAlign w:val="bottom"/>
          </w:tcPr>
          <w:p w14:paraId="274D4ED5" w14:textId="36CACF72" w:rsidR="00B628FF" w:rsidRDefault="00B31B37">
            <w:pPr>
              <w:pStyle w:val="Summarytabletextrightaligned"/>
            </w:pPr>
            <w:r>
              <w:noBreakHyphen/>
            </w:r>
          </w:p>
        </w:tc>
        <w:tc>
          <w:tcPr>
            <w:tcW w:w="850" w:type="dxa"/>
            <w:vAlign w:val="bottom"/>
          </w:tcPr>
          <w:p w14:paraId="5BD5F694" w14:textId="13DF730F" w:rsidR="00B628FF" w:rsidRDefault="00B31B37">
            <w:pPr>
              <w:pStyle w:val="Summarytabletextrightaligned"/>
            </w:pPr>
            <w:r>
              <w:noBreakHyphen/>
            </w:r>
          </w:p>
        </w:tc>
      </w:tr>
      <w:tr w:rsidR="00B628FF" w14:paraId="0BAE2F82" w14:textId="77777777" w:rsidTr="00031112">
        <w:tc>
          <w:tcPr>
            <w:tcW w:w="3471" w:type="dxa"/>
            <w:vAlign w:val="bottom"/>
          </w:tcPr>
          <w:p w14:paraId="454FFF4F" w14:textId="77777777" w:rsidR="00B628FF" w:rsidRDefault="005B2D2F">
            <w:pPr>
              <w:pStyle w:val="SummaryMeasureTitlewithTheme"/>
            </w:pPr>
            <w:r>
              <w:t>National Strategy to Prevent and Respond to Child Sexual Abuse – continuation</w:t>
            </w:r>
          </w:p>
        </w:tc>
        <w:tc>
          <w:tcPr>
            <w:tcW w:w="850" w:type="dxa"/>
            <w:vAlign w:val="bottom"/>
          </w:tcPr>
          <w:p w14:paraId="2902508B" w14:textId="0AD37D61" w:rsidR="00B628FF" w:rsidRDefault="00B31B37">
            <w:pPr>
              <w:pStyle w:val="Summarytabletextrightaligned"/>
            </w:pPr>
            <w:r>
              <w:noBreakHyphen/>
            </w:r>
          </w:p>
        </w:tc>
        <w:tc>
          <w:tcPr>
            <w:tcW w:w="850" w:type="dxa"/>
            <w:shd w:val="clear" w:color="auto" w:fill="E6F2FF"/>
            <w:vAlign w:val="bottom"/>
          </w:tcPr>
          <w:p w14:paraId="58D8ABFA" w14:textId="77777777" w:rsidR="00B628FF" w:rsidRDefault="005B2D2F">
            <w:pPr>
              <w:pStyle w:val="Summarytabletextrightaligned"/>
            </w:pPr>
            <w:r>
              <w:t>15.7</w:t>
            </w:r>
          </w:p>
        </w:tc>
        <w:tc>
          <w:tcPr>
            <w:tcW w:w="850" w:type="dxa"/>
            <w:vAlign w:val="bottom"/>
          </w:tcPr>
          <w:p w14:paraId="0B4A7A9A" w14:textId="66EEDC45" w:rsidR="00B628FF" w:rsidRDefault="00B31B37">
            <w:pPr>
              <w:pStyle w:val="Summarytabletextrightaligned"/>
            </w:pPr>
            <w:r>
              <w:noBreakHyphen/>
            </w:r>
          </w:p>
        </w:tc>
        <w:tc>
          <w:tcPr>
            <w:tcW w:w="850" w:type="dxa"/>
            <w:vAlign w:val="bottom"/>
          </w:tcPr>
          <w:p w14:paraId="434E252F" w14:textId="33732DC8" w:rsidR="00B628FF" w:rsidRDefault="00B31B37">
            <w:pPr>
              <w:pStyle w:val="Summarytabletextrightaligned"/>
            </w:pPr>
            <w:r>
              <w:noBreakHyphen/>
            </w:r>
          </w:p>
        </w:tc>
        <w:tc>
          <w:tcPr>
            <w:tcW w:w="850" w:type="dxa"/>
            <w:vAlign w:val="bottom"/>
          </w:tcPr>
          <w:p w14:paraId="27F5619B" w14:textId="511AAB81" w:rsidR="00B628FF" w:rsidRDefault="00B31B37">
            <w:pPr>
              <w:pStyle w:val="Summarytabletextrightaligned"/>
            </w:pPr>
            <w:r>
              <w:noBreakHyphen/>
            </w:r>
          </w:p>
        </w:tc>
      </w:tr>
      <w:tr w:rsidR="00B628FF" w14:paraId="1CCC24EC" w14:textId="77777777" w:rsidTr="00031112">
        <w:tc>
          <w:tcPr>
            <w:tcW w:w="3471" w:type="dxa"/>
            <w:vAlign w:val="bottom"/>
          </w:tcPr>
          <w:p w14:paraId="34614A8B" w14:textId="77777777" w:rsidR="00B628FF" w:rsidRDefault="005B2D2F">
            <w:pPr>
              <w:pStyle w:val="SummaryMeasureTitlewithTheme"/>
            </w:pPr>
            <w:r>
              <w:t>Nuclear‑Powered Submarine Program – continuation of whole‑of‑government support</w:t>
            </w:r>
          </w:p>
        </w:tc>
        <w:tc>
          <w:tcPr>
            <w:tcW w:w="850" w:type="dxa"/>
            <w:vAlign w:val="bottom"/>
          </w:tcPr>
          <w:p w14:paraId="137598CE" w14:textId="306B7D99" w:rsidR="00B628FF" w:rsidRDefault="00B31B37">
            <w:pPr>
              <w:pStyle w:val="Summarytabletextrightaligned"/>
            </w:pPr>
            <w:r>
              <w:noBreakHyphen/>
            </w:r>
          </w:p>
        </w:tc>
        <w:tc>
          <w:tcPr>
            <w:tcW w:w="850" w:type="dxa"/>
            <w:shd w:val="clear" w:color="auto" w:fill="E6F2FF"/>
            <w:vAlign w:val="bottom"/>
          </w:tcPr>
          <w:p w14:paraId="2173D64D" w14:textId="77777777" w:rsidR="00B628FF" w:rsidRDefault="005B2D2F">
            <w:pPr>
              <w:pStyle w:val="Summarytabletextrightaligned"/>
            </w:pPr>
            <w:r>
              <w:t>1.1</w:t>
            </w:r>
          </w:p>
        </w:tc>
        <w:tc>
          <w:tcPr>
            <w:tcW w:w="850" w:type="dxa"/>
            <w:vAlign w:val="bottom"/>
          </w:tcPr>
          <w:p w14:paraId="73F11C0A" w14:textId="67210A41" w:rsidR="00B628FF" w:rsidRDefault="00B31B37">
            <w:pPr>
              <w:pStyle w:val="Summarytabletextrightaligned"/>
            </w:pPr>
            <w:r>
              <w:noBreakHyphen/>
            </w:r>
          </w:p>
        </w:tc>
        <w:tc>
          <w:tcPr>
            <w:tcW w:w="850" w:type="dxa"/>
            <w:vAlign w:val="bottom"/>
          </w:tcPr>
          <w:p w14:paraId="03CDA432" w14:textId="204F25F8" w:rsidR="00B628FF" w:rsidRDefault="00B31B37">
            <w:pPr>
              <w:pStyle w:val="Summarytabletextrightaligned"/>
            </w:pPr>
            <w:r>
              <w:noBreakHyphen/>
            </w:r>
          </w:p>
        </w:tc>
        <w:tc>
          <w:tcPr>
            <w:tcW w:w="850" w:type="dxa"/>
            <w:vAlign w:val="bottom"/>
          </w:tcPr>
          <w:p w14:paraId="0320CFAF" w14:textId="4E1ADF53" w:rsidR="00B628FF" w:rsidRDefault="00B31B37">
            <w:pPr>
              <w:pStyle w:val="Summarytabletextrightaligned"/>
            </w:pPr>
            <w:r>
              <w:noBreakHyphen/>
            </w:r>
          </w:p>
        </w:tc>
      </w:tr>
      <w:tr w:rsidR="00B628FF" w14:paraId="31B5B57E" w14:textId="77777777" w:rsidTr="00031112">
        <w:tc>
          <w:tcPr>
            <w:tcW w:w="3471" w:type="dxa"/>
            <w:vAlign w:val="bottom"/>
          </w:tcPr>
          <w:p w14:paraId="5EB13BFD" w14:textId="77777777" w:rsidR="00B628FF" w:rsidRDefault="005B2D2F">
            <w:pPr>
              <w:pStyle w:val="SummaryMeasureTitlewithTheme"/>
            </w:pPr>
            <w:r>
              <w:t>Strengthening Justice System Response to Sexual Violence</w:t>
            </w:r>
          </w:p>
        </w:tc>
        <w:tc>
          <w:tcPr>
            <w:tcW w:w="850" w:type="dxa"/>
            <w:vAlign w:val="bottom"/>
          </w:tcPr>
          <w:p w14:paraId="505749FA" w14:textId="427B1556" w:rsidR="00B628FF" w:rsidRDefault="00B31B37">
            <w:pPr>
              <w:pStyle w:val="Summarytabletextrightaligned"/>
            </w:pPr>
            <w:r>
              <w:noBreakHyphen/>
            </w:r>
          </w:p>
        </w:tc>
        <w:tc>
          <w:tcPr>
            <w:tcW w:w="850" w:type="dxa"/>
            <w:shd w:val="clear" w:color="auto" w:fill="E6F2FF"/>
            <w:vAlign w:val="bottom"/>
          </w:tcPr>
          <w:p w14:paraId="3FBDD955" w14:textId="77777777" w:rsidR="00B628FF" w:rsidRDefault="005B2D2F">
            <w:pPr>
              <w:pStyle w:val="Summarytabletextrightaligned"/>
            </w:pPr>
            <w:r>
              <w:t>2.0</w:t>
            </w:r>
          </w:p>
        </w:tc>
        <w:tc>
          <w:tcPr>
            <w:tcW w:w="850" w:type="dxa"/>
            <w:vAlign w:val="bottom"/>
          </w:tcPr>
          <w:p w14:paraId="71475FBA" w14:textId="77777777" w:rsidR="00B628FF" w:rsidRDefault="005B2D2F">
            <w:pPr>
              <w:pStyle w:val="Summarytabletextrightaligned"/>
            </w:pPr>
            <w:r>
              <w:t>0.8</w:t>
            </w:r>
          </w:p>
        </w:tc>
        <w:tc>
          <w:tcPr>
            <w:tcW w:w="850" w:type="dxa"/>
            <w:vAlign w:val="bottom"/>
          </w:tcPr>
          <w:p w14:paraId="5A305835" w14:textId="77777777" w:rsidR="00B628FF" w:rsidRDefault="005B2D2F">
            <w:pPr>
              <w:pStyle w:val="Summarytabletextrightaligned"/>
            </w:pPr>
            <w:r>
              <w:t>0.6</w:t>
            </w:r>
          </w:p>
        </w:tc>
        <w:tc>
          <w:tcPr>
            <w:tcW w:w="850" w:type="dxa"/>
            <w:vAlign w:val="bottom"/>
          </w:tcPr>
          <w:p w14:paraId="0BB4C9FD" w14:textId="03178C3C" w:rsidR="00B628FF" w:rsidRDefault="00B31B37">
            <w:pPr>
              <w:pStyle w:val="Summarytabletextrightaligned"/>
            </w:pPr>
            <w:r>
              <w:noBreakHyphen/>
            </w:r>
          </w:p>
        </w:tc>
      </w:tr>
      <w:tr w:rsidR="00B628FF" w14:paraId="289D1FB4" w14:textId="77777777" w:rsidTr="00031112">
        <w:tc>
          <w:tcPr>
            <w:tcW w:w="3471" w:type="dxa"/>
            <w:vAlign w:val="bottom"/>
          </w:tcPr>
          <w:p w14:paraId="230080A9" w14:textId="77777777" w:rsidR="00B628FF" w:rsidRDefault="005B2D2F">
            <w:pPr>
              <w:pStyle w:val="SummaryMeasureTitlewithTheme"/>
            </w:pPr>
            <w:r>
              <w:t>Supporting Social Cohesion</w:t>
            </w:r>
          </w:p>
        </w:tc>
        <w:tc>
          <w:tcPr>
            <w:tcW w:w="850" w:type="dxa"/>
            <w:vAlign w:val="bottom"/>
          </w:tcPr>
          <w:p w14:paraId="65549DB9" w14:textId="77777777" w:rsidR="00B628FF" w:rsidRDefault="005B2D2F">
            <w:pPr>
              <w:pStyle w:val="Summarytabletextrightaligned"/>
            </w:pPr>
            <w:r>
              <w:t>11.0</w:t>
            </w:r>
          </w:p>
        </w:tc>
        <w:tc>
          <w:tcPr>
            <w:tcW w:w="850" w:type="dxa"/>
            <w:shd w:val="clear" w:color="auto" w:fill="E6F2FF"/>
            <w:vAlign w:val="bottom"/>
          </w:tcPr>
          <w:p w14:paraId="7A33A33C" w14:textId="77777777" w:rsidR="00B628FF" w:rsidRDefault="005B2D2F">
            <w:pPr>
              <w:pStyle w:val="Summarytabletextrightaligned"/>
            </w:pPr>
            <w:r>
              <w:t>21.5</w:t>
            </w:r>
          </w:p>
        </w:tc>
        <w:tc>
          <w:tcPr>
            <w:tcW w:w="850" w:type="dxa"/>
            <w:vAlign w:val="bottom"/>
          </w:tcPr>
          <w:p w14:paraId="2A0A3D9E" w14:textId="6CFDD4C6" w:rsidR="00B628FF" w:rsidRDefault="00B31B37">
            <w:pPr>
              <w:pStyle w:val="Summarytabletextrightaligned"/>
            </w:pPr>
            <w:r>
              <w:noBreakHyphen/>
            </w:r>
          </w:p>
        </w:tc>
        <w:tc>
          <w:tcPr>
            <w:tcW w:w="850" w:type="dxa"/>
            <w:vAlign w:val="bottom"/>
          </w:tcPr>
          <w:p w14:paraId="65EAA3F2" w14:textId="7493728A" w:rsidR="00B628FF" w:rsidRDefault="00B31B37">
            <w:pPr>
              <w:pStyle w:val="Summarytabletextrightaligned"/>
            </w:pPr>
            <w:r>
              <w:noBreakHyphen/>
            </w:r>
          </w:p>
        </w:tc>
        <w:tc>
          <w:tcPr>
            <w:tcW w:w="850" w:type="dxa"/>
            <w:vAlign w:val="bottom"/>
          </w:tcPr>
          <w:p w14:paraId="75A07B0A" w14:textId="672C8C28" w:rsidR="00B628FF" w:rsidRDefault="00B31B37">
            <w:pPr>
              <w:pStyle w:val="Summarytabletextrightaligned"/>
            </w:pPr>
            <w:r>
              <w:noBreakHyphen/>
            </w:r>
          </w:p>
        </w:tc>
      </w:tr>
      <w:tr w:rsidR="00B628FF" w14:paraId="21FF5CA6" w14:textId="77777777" w:rsidTr="00031112">
        <w:tc>
          <w:tcPr>
            <w:tcW w:w="3471" w:type="dxa"/>
            <w:vAlign w:val="bottom"/>
          </w:tcPr>
          <w:p w14:paraId="2ED5F39D" w14:textId="77777777" w:rsidR="00B628FF" w:rsidRDefault="005B2D2F">
            <w:pPr>
              <w:pStyle w:val="SummaryAgencyTitle-BP2"/>
            </w:pPr>
            <w:r>
              <w:t>Australian Criminal Intelligence Commission</w:t>
            </w:r>
          </w:p>
        </w:tc>
        <w:tc>
          <w:tcPr>
            <w:tcW w:w="850" w:type="dxa"/>
          </w:tcPr>
          <w:p w14:paraId="60EFA2DA" w14:textId="77777777" w:rsidR="00B628FF" w:rsidRDefault="00B628FF">
            <w:pPr>
              <w:pStyle w:val="SummaryAgencyTitle-BP2"/>
            </w:pPr>
          </w:p>
        </w:tc>
        <w:tc>
          <w:tcPr>
            <w:tcW w:w="850" w:type="dxa"/>
            <w:shd w:val="clear" w:color="auto" w:fill="E6F2FF"/>
          </w:tcPr>
          <w:p w14:paraId="644776B6" w14:textId="77777777" w:rsidR="00B628FF" w:rsidRDefault="00B628FF">
            <w:pPr>
              <w:pStyle w:val="SummaryAgencyTitle-BP2"/>
            </w:pPr>
          </w:p>
        </w:tc>
        <w:tc>
          <w:tcPr>
            <w:tcW w:w="850" w:type="dxa"/>
          </w:tcPr>
          <w:p w14:paraId="24A20514" w14:textId="77777777" w:rsidR="00B628FF" w:rsidRDefault="00B628FF">
            <w:pPr>
              <w:pStyle w:val="SummaryAgencyTitle-BP2"/>
            </w:pPr>
          </w:p>
        </w:tc>
        <w:tc>
          <w:tcPr>
            <w:tcW w:w="850" w:type="dxa"/>
          </w:tcPr>
          <w:p w14:paraId="76A98563" w14:textId="77777777" w:rsidR="00B628FF" w:rsidRDefault="00B628FF">
            <w:pPr>
              <w:pStyle w:val="SummaryAgencyTitle-BP2"/>
            </w:pPr>
          </w:p>
        </w:tc>
        <w:tc>
          <w:tcPr>
            <w:tcW w:w="850" w:type="dxa"/>
          </w:tcPr>
          <w:p w14:paraId="606F1ED9" w14:textId="77777777" w:rsidR="00B628FF" w:rsidRDefault="00B628FF">
            <w:pPr>
              <w:pStyle w:val="SummaryAgencyTitle-BP2"/>
            </w:pPr>
          </w:p>
        </w:tc>
      </w:tr>
      <w:tr w:rsidR="00B628FF" w14:paraId="1FAFCAA7" w14:textId="77777777" w:rsidTr="00031112">
        <w:tc>
          <w:tcPr>
            <w:tcW w:w="3471" w:type="dxa"/>
            <w:vAlign w:val="bottom"/>
          </w:tcPr>
          <w:p w14:paraId="5C9222C5" w14:textId="72C4090A" w:rsidR="00B628FF" w:rsidRDefault="005B2D2F">
            <w:pPr>
              <w:pStyle w:val="SummaryMeasureTitlewithTheme"/>
            </w:pPr>
            <w:r>
              <w:t>Attorney‑General</w:t>
            </w:r>
            <w:r w:rsidR="00B31B37">
              <w:t>’</w:t>
            </w:r>
            <w:r>
              <w:t>s Portfolio – additional resourcing</w:t>
            </w:r>
          </w:p>
        </w:tc>
        <w:tc>
          <w:tcPr>
            <w:tcW w:w="850" w:type="dxa"/>
            <w:vAlign w:val="bottom"/>
          </w:tcPr>
          <w:p w14:paraId="6D4CD0EE" w14:textId="19CBEA7C" w:rsidR="00B628FF" w:rsidRDefault="00B31B37">
            <w:pPr>
              <w:pStyle w:val="Summarytabletextrightaligned"/>
            </w:pPr>
            <w:r>
              <w:noBreakHyphen/>
            </w:r>
          </w:p>
        </w:tc>
        <w:tc>
          <w:tcPr>
            <w:tcW w:w="850" w:type="dxa"/>
            <w:shd w:val="clear" w:color="auto" w:fill="E6F2FF"/>
            <w:vAlign w:val="bottom"/>
          </w:tcPr>
          <w:p w14:paraId="36F833D8" w14:textId="77777777" w:rsidR="00B628FF" w:rsidRDefault="005B2D2F">
            <w:pPr>
              <w:pStyle w:val="Summarytabletextrightaligned"/>
            </w:pPr>
            <w:r>
              <w:t>51.4</w:t>
            </w:r>
          </w:p>
        </w:tc>
        <w:tc>
          <w:tcPr>
            <w:tcW w:w="850" w:type="dxa"/>
            <w:vAlign w:val="bottom"/>
          </w:tcPr>
          <w:p w14:paraId="6AE9C932" w14:textId="7D1927B4" w:rsidR="00B628FF" w:rsidRDefault="00B31B37">
            <w:pPr>
              <w:pStyle w:val="Summarytabletextrightaligned"/>
            </w:pPr>
            <w:r>
              <w:noBreakHyphen/>
            </w:r>
          </w:p>
        </w:tc>
        <w:tc>
          <w:tcPr>
            <w:tcW w:w="850" w:type="dxa"/>
            <w:vAlign w:val="bottom"/>
          </w:tcPr>
          <w:p w14:paraId="25D87A4D" w14:textId="4801F161" w:rsidR="00B628FF" w:rsidRDefault="00B31B37">
            <w:pPr>
              <w:pStyle w:val="Summarytabletextrightaligned"/>
            </w:pPr>
            <w:r>
              <w:noBreakHyphen/>
            </w:r>
          </w:p>
        </w:tc>
        <w:tc>
          <w:tcPr>
            <w:tcW w:w="850" w:type="dxa"/>
            <w:vAlign w:val="bottom"/>
          </w:tcPr>
          <w:p w14:paraId="7CD8AE9D" w14:textId="4F3E7D5F" w:rsidR="00B628FF" w:rsidRDefault="00B31B37">
            <w:pPr>
              <w:pStyle w:val="Summarytabletextrightaligned"/>
            </w:pPr>
            <w:r>
              <w:noBreakHyphen/>
            </w:r>
          </w:p>
        </w:tc>
      </w:tr>
      <w:tr w:rsidR="00B628FF" w14:paraId="07AC4029" w14:textId="77777777" w:rsidTr="00031112">
        <w:tc>
          <w:tcPr>
            <w:tcW w:w="3471" w:type="dxa"/>
            <w:vAlign w:val="bottom"/>
          </w:tcPr>
          <w:p w14:paraId="35FE27D5" w14:textId="77777777" w:rsidR="00B628FF" w:rsidRDefault="005B2D2F">
            <w:pPr>
              <w:pStyle w:val="SummaryMeasureTitlewithTheme"/>
            </w:pPr>
            <w:r>
              <w:t>Illicit Tobacco Compliance and Enforcement Package – direct and targeted enforcement to counter profits from illicit tobacco</w:t>
            </w:r>
          </w:p>
        </w:tc>
        <w:tc>
          <w:tcPr>
            <w:tcW w:w="850" w:type="dxa"/>
            <w:vAlign w:val="bottom"/>
          </w:tcPr>
          <w:p w14:paraId="724AF4F0" w14:textId="1920B3C1" w:rsidR="00B628FF" w:rsidRDefault="00B31B37">
            <w:pPr>
              <w:pStyle w:val="Summarytabletextrightaligned"/>
            </w:pPr>
            <w:r>
              <w:noBreakHyphen/>
            </w:r>
          </w:p>
        </w:tc>
        <w:tc>
          <w:tcPr>
            <w:tcW w:w="850" w:type="dxa"/>
            <w:shd w:val="clear" w:color="auto" w:fill="E6F2FF"/>
            <w:vAlign w:val="bottom"/>
          </w:tcPr>
          <w:p w14:paraId="40A37DDE" w14:textId="77777777" w:rsidR="00B628FF" w:rsidRDefault="005B2D2F">
            <w:pPr>
              <w:pStyle w:val="Summarytabletextrightaligned"/>
            </w:pPr>
            <w:r>
              <w:t>2.6</w:t>
            </w:r>
          </w:p>
        </w:tc>
        <w:tc>
          <w:tcPr>
            <w:tcW w:w="850" w:type="dxa"/>
            <w:vAlign w:val="bottom"/>
          </w:tcPr>
          <w:p w14:paraId="5B209007" w14:textId="77777777" w:rsidR="00B628FF" w:rsidRDefault="005B2D2F">
            <w:pPr>
              <w:pStyle w:val="Summarytabletextrightaligned"/>
            </w:pPr>
            <w:r>
              <w:t>2.7</w:t>
            </w:r>
          </w:p>
        </w:tc>
        <w:tc>
          <w:tcPr>
            <w:tcW w:w="850" w:type="dxa"/>
            <w:vAlign w:val="bottom"/>
          </w:tcPr>
          <w:p w14:paraId="0B424958" w14:textId="14EBC6CB" w:rsidR="00B628FF" w:rsidRDefault="00B31B37">
            <w:pPr>
              <w:pStyle w:val="Summarytabletextrightaligned"/>
            </w:pPr>
            <w:r>
              <w:noBreakHyphen/>
            </w:r>
          </w:p>
        </w:tc>
        <w:tc>
          <w:tcPr>
            <w:tcW w:w="850" w:type="dxa"/>
            <w:vAlign w:val="bottom"/>
          </w:tcPr>
          <w:p w14:paraId="09045E8F" w14:textId="1C29CCE7" w:rsidR="00B628FF" w:rsidRDefault="00B31B37">
            <w:pPr>
              <w:pStyle w:val="Summarytabletextrightaligned"/>
            </w:pPr>
            <w:r>
              <w:noBreakHyphen/>
            </w:r>
          </w:p>
        </w:tc>
      </w:tr>
      <w:tr w:rsidR="00B628FF" w14:paraId="5FAC26CE" w14:textId="77777777" w:rsidTr="00031112">
        <w:tc>
          <w:tcPr>
            <w:tcW w:w="3471" w:type="dxa"/>
            <w:vAlign w:val="bottom"/>
          </w:tcPr>
          <w:p w14:paraId="76261ED0" w14:textId="77777777" w:rsidR="00B628FF" w:rsidRDefault="005B2D2F">
            <w:pPr>
              <w:pStyle w:val="SummaryAgencyTitle-BP2"/>
            </w:pPr>
            <w:r>
              <w:t>Australian Federal Police</w:t>
            </w:r>
          </w:p>
        </w:tc>
        <w:tc>
          <w:tcPr>
            <w:tcW w:w="850" w:type="dxa"/>
          </w:tcPr>
          <w:p w14:paraId="2F78FB10" w14:textId="77777777" w:rsidR="00B628FF" w:rsidRDefault="00B628FF">
            <w:pPr>
              <w:pStyle w:val="SummaryAgencyTitle-BP2"/>
            </w:pPr>
          </w:p>
        </w:tc>
        <w:tc>
          <w:tcPr>
            <w:tcW w:w="850" w:type="dxa"/>
            <w:shd w:val="clear" w:color="auto" w:fill="E6F2FF"/>
          </w:tcPr>
          <w:p w14:paraId="4F44650F" w14:textId="77777777" w:rsidR="00B628FF" w:rsidRDefault="00B628FF">
            <w:pPr>
              <w:pStyle w:val="SummaryAgencyTitle-BP2"/>
            </w:pPr>
          </w:p>
        </w:tc>
        <w:tc>
          <w:tcPr>
            <w:tcW w:w="850" w:type="dxa"/>
          </w:tcPr>
          <w:p w14:paraId="0DE5DEE6" w14:textId="77777777" w:rsidR="00B628FF" w:rsidRDefault="00B628FF">
            <w:pPr>
              <w:pStyle w:val="SummaryAgencyTitle-BP2"/>
            </w:pPr>
          </w:p>
        </w:tc>
        <w:tc>
          <w:tcPr>
            <w:tcW w:w="850" w:type="dxa"/>
          </w:tcPr>
          <w:p w14:paraId="46A4C6FD" w14:textId="77777777" w:rsidR="00B628FF" w:rsidRDefault="00B628FF">
            <w:pPr>
              <w:pStyle w:val="SummaryAgencyTitle-BP2"/>
            </w:pPr>
          </w:p>
        </w:tc>
        <w:tc>
          <w:tcPr>
            <w:tcW w:w="850" w:type="dxa"/>
          </w:tcPr>
          <w:p w14:paraId="3A72C2E9" w14:textId="77777777" w:rsidR="00B628FF" w:rsidRDefault="00B628FF">
            <w:pPr>
              <w:pStyle w:val="SummaryAgencyTitle-BP2"/>
            </w:pPr>
          </w:p>
        </w:tc>
      </w:tr>
      <w:tr w:rsidR="00B628FF" w14:paraId="4D001DE0" w14:textId="77777777" w:rsidTr="00031112">
        <w:tc>
          <w:tcPr>
            <w:tcW w:w="3471" w:type="dxa"/>
            <w:vAlign w:val="bottom"/>
          </w:tcPr>
          <w:p w14:paraId="6A599595" w14:textId="2422F42F" w:rsidR="00B628FF" w:rsidRDefault="005B2D2F">
            <w:pPr>
              <w:pStyle w:val="SummaryMeasureTitlewithTheme"/>
            </w:pPr>
            <w:r>
              <w:t>Attorney‑General</w:t>
            </w:r>
            <w:r w:rsidR="00B31B37">
              <w:t>’</w:t>
            </w:r>
            <w:r>
              <w:t>s Portfolio – additional resourcing</w:t>
            </w:r>
          </w:p>
        </w:tc>
        <w:tc>
          <w:tcPr>
            <w:tcW w:w="850" w:type="dxa"/>
            <w:vAlign w:val="bottom"/>
          </w:tcPr>
          <w:p w14:paraId="09CC72CA" w14:textId="2FD9152E" w:rsidR="00B628FF" w:rsidRDefault="00B31B37">
            <w:pPr>
              <w:pStyle w:val="Summarytabletextrightaligned"/>
            </w:pPr>
            <w:r>
              <w:noBreakHyphen/>
            </w:r>
          </w:p>
        </w:tc>
        <w:tc>
          <w:tcPr>
            <w:tcW w:w="850" w:type="dxa"/>
            <w:shd w:val="clear" w:color="auto" w:fill="E6F2FF"/>
            <w:vAlign w:val="bottom"/>
          </w:tcPr>
          <w:p w14:paraId="035C53F4" w14:textId="77777777" w:rsidR="00B628FF" w:rsidRDefault="005B2D2F">
            <w:pPr>
              <w:pStyle w:val="Summarytabletextrightaligned"/>
            </w:pPr>
            <w:r>
              <w:t>20.1</w:t>
            </w:r>
          </w:p>
        </w:tc>
        <w:tc>
          <w:tcPr>
            <w:tcW w:w="850" w:type="dxa"/>
            <w:vAlign w:val="bottom"/>
          </w:tcPr>
          <w:p w14:paraId="080D5D55" w14:textId="77777777" w:rsidR="00B628FF" w:rsidRDefault="005B2D2F">
            <w:pPr>
              <w:pStyle w:val="Summarytabletextrightaligned"/>
            </w:pPr>
            <w:r>
              <w:t>12.8</w:t>
            </w:r>
          </w:p>
        </w:tc>
        <w:tc>
          <w:tcPr>
            <w:tcW w:w="850" w:type="dxa"/>
            <w:vAlign w:val="bottom"/>
          </w:tcPr>
          <w:p w14:paraId="03C2475F" w14:textId="77777777" w:rsidR="00B628FF" w:rsidRDefault="005B2D2F">
            <w:pPr>
              <w:pStyle w:val="Summarytabletextrightaligned"/>
            </w:pPr>
            <w:r>
              <w:t>2.9</w:t>
            </w:r>
          </w:p>
        </w:tc>
        <w:tc>
          <w:tcPr>
            <w:tcW w:w="850" w:type="dxa"/>
            <w:vAlign w:val="bottom"/>
          </w:tcPr>
          <w:p w14:paraId="4F38B18C" w14:textId="77777777" w:rsidR="00B628FF" w:rsidRDefault="005B2D2F">
            <w:pPr>
              <w:pStyle w:val="Summarytabletextrightaligned"/>
            </w:pPr>
            <w:r>
              <w:t>2.4</w:t>
            </w:r>
          </w:p>
        </w:tc>
      </w:tr>
      <w:tr w:rsidR="00B628FF" w14:paraId="45B9BB03" w14:textId="77777777" w:rsidTr="00031112">
        <w:tc>
          <w:tcPr>
            <w:tcW w:w="3471" w:type="dxa"/>
            <w:vAlign w:val="bottom"/>
          </w:tcPr>
          <w:p w14:paraId="1887084C" w14:textId="77777777" w:rsidR="00B628FF" w:rsidRDefault="005B2D2F">
            <w:pPr>
              <w:pStyle w:val="SummaryMeasureTitlewithTheme"/>
            </w:pPr>
            <w:r>
              <w:t>Illicit Tobacco Compliance and Enforcement Package – direct and targeted enforcement to counter profits from illicit tobacco</w:t>
            </w:r>
          </w:p>
        </w:tc>
        <w:tc>
          <w:tcPr>
            <w:tcW w:w="850" w:type="dxa"/>
            <w:vAlign w:val="bottom"/>
          </w:tcPr>
          <w:p w14:paraId="0F5610FF" w14:textId="5FE1DC7D" w:rsidR="00B628FF" w:rsidRDefault="00B31B37">
            <w:pPr>
              <w:pStyle w:val="Summarytabletextrightaligned"/>
            </w:pPr>
            <w:r>
              <w:noBreakHyphen/>
            </w:r>
          </w:p>
        </w:tc>
        <w:tc>
          <w:tcPr>
            <w:tcW w:w="850" w:type="dxa"/>
            <w:shd w:val="clear" w:color="auto" w:fill="E6F2FF"/>
            <w:vAlign w:val="bottom"/>
          </w:tcPr>
          <w:p w14:paraId="73D6C1C1" w14:textId="77777777" w:rsidR="00B628FF" w:rsidRDefault="005B2D2F">
            <w:pPr>
              <w:pStyle w:val="Summarytabletextrightaligned"/>
            </w:pPr>
            <w:r>
              <w:t>16.7</w:t>
            </w:r>
          </w:p>
        </w:tc>
        <w:tc>
          <w:tcPr>
            <w:tcW w:w="850" w:type="dxa"/>
            <w:vAlign w:val="bottom"/>
          </w:tcPr>
          <w:p w14:paraId="10D3EF05" w14:textId="77777777" w:rsidR="00B628FF" w:rsidRDefault="005B2D2F">
            <w:pPr>
              <w:pStyle w:val="Summarytabletextrightaligned"/>
            </w:pPr>
            <w:r>
              <w:t>16.8</w:t>
            </w:r>
          </w:p>
        </w:tc>
        <w:tc>
          <w:tcPr>
            <w:tcW w:w="850" w:type="dxa"/>
            <w:vAlign w:val="bottom"/>
          </w:tcPr>
          <w:p w14:paraId="2D85477E" w14:textId="541E4703" w:rsidR="00B628FF" w:rsidRDefault="00B31B37">
            <w:pPr>
              <w:pStyle w:val="Summarytabletextrightaligned"/>
            </w:pPr>
            <w:r>
              <w:noBreakHyphen/>
            </w:r>
          </w:p>
        </w:tc>
        <w:tc>
          <w:tcPr>
            <w:tcW w:w="850" w:type="dxa"/>
            <w:vAlign w:val="bottom"/>
          </w:tcPr>
          <w:p w14:paraId="6D147AD9" w14:textId="494F822F" w:rsidR="00B628FF" w:rsidRDefault="00B31B37">
            <w:pPr>
              <w:pStyle w:val="Summarytabletextrightaligned"/>
            </w:pPr>
            <w:r>
              <w:noBreakHyphen/>
            </w:r>
          </w:p>
        </w:tc>
      </w:tr>
      <w:tr w:rsidR="00B628FF" w14:paraId="2BD4A615" w14:textId="77777777" w:rsidTr="00031112">
        <w:tc>
          <w:tcPr>
            <w:tcW w:w="3471" w:type="dxa"/>
            <w:vAlign w:val="bottom"/>
          </w:tcPr>
          <w:p w14:paraId="01483663" w14:textId="77777777" w:rsidR="00B628FF" w:rsidRDefault="005B2D2F">
            <w:pPr>
              <w:pStyle w:val="SummaryMeasureTitlewithTheme"/>
            </w:pPr>
            <w:r>
              <w:t>National Strategy to Prevent and Respond to Child Sexual Abuse – continuation</w:t>
            </w:r>
          </w:p>
        </w:tc>
        <w:tc>
          <w:tcPr>
            <w:tcW w:w="850" w:type="dxa"/>
            <w:vAlign w:val="bottom"/>
          </w:tcPr>
          <w:p w14:paraId="4A5B34B4" w14:textId="23476419" w:rsidR="00B628FF" w:rsidRDefault="00B31B37">
            <w:pPr>
              <w:pStyle w:val="Summarytabletextrightaligned"/>
            </w:pPr>
            <w:r>
              <w:noBreakHyphen/>
            </w:r>
          </w:p>
        </w:tc>
        <w:tc>
          <w:tcPr>
            <w:tcW w:w="850" w:type="dxa"/>
            <w:shd w:val="clear" w:color="auto" w:fill="E6F2FF"/>
            <w:vAlign w:val="bottom"/>
          </w:tcPr>
          <w:p w14:paraId="2801B4D6" w14:textId="77777777" w:rsidR="00B628FF" w:rsidRDefault="005B2D2F">
            <w:pPr>
              <w:pStyle w:val="Summarytabletextrightaligned"/>
            </w:pPr>
            <w:r>
              <w:t>1.2</w:t>
            </w:r>
          </w:p>
        </w:tc>
        <w:tc>
          <w:tcPr>
            <w:tcW w:w="850" w:type="dxa"/>
            <w:vAlign w:val="bottom"/>
          </w:tcPr>
          <w:p w14:paraId="648333B5" w14:textId="694A3B2F" w:rsidR="00B628FF" w:rsidRDefault="00B31B37">
            <w:pPr>
              <w:pStyle w:val="Summarytabletextrightaligned"/>
            </w:pPr>
            <w:r>
              <w:noBreakHyphen/>
            </w:r>
          </w:p>
        </w:tc>
        <w:tc>
          <w:tcPr>
            <w:tcW w:w="850" w:type="dxa"/>
            <w:vAlign w:val="bottom"/>
          </w:tcPr>
          <w:p w14:paraId="186388EA" w14:textId="63A30378" w:rsidR="00B628FF" w:rsidRDefault="00B31B37">
            <w:pPr>
              <w:pStyle w:val="Summarytabletextrightaligned"/>
            </w:pPr>
            <w:r>
              <w:noBreakHyphen/>
            </w:r>
          </w:p>
        </w:tc>
        <w:tc>
          <w:tcPr>
            <w:tcW w:w="850" w:type="dxa"/>
            <w:vAlign w:val="bottom"/>
          </w:tcPr>
          <w:p w14:paraId="3D882A89" w14:textId="5EEBB8E7" w:rsidR="00B628FF" w:rsidRDefault="00B31B37">
            <w:pPr>
              <w:pStyle w:val="Summarytabletextrightaligned"/>
            </w:pPr>
            <w:r>
              <w:noBreakHyphen/>
            </w:r>
          </w:p>
        </w:tc>
      </w:tr>
      <w:tr w:rsidR="00B628FF" w14:paraId="07E407AB" w14:textId="77777777" w:rsidTr="00031112">
        <w:tc>
          <w:tcPr>
            <w:tcW w:w="3471" w:type="dxa"/>
            <w:vAlign w:val="bottom"/>
          </w:tcPr>
          <w:p w14:paraId="17F44514" w14:textId="77777777" w:rsidR="00B628FF" w:rsidRDefault="005B2D2F">
            <w:pPr>
              <w:pStyle w:val="SummaryMeasureTitlewithTheme"/>
            </w:pPr>
            <w:r>
              <w:t>Support for Royal Solomon Islands Police Force Expansion</w:t>
            </w:r>
          </w:p>
        </w:tc>
        <w:tc>
          <w:tcPr>
            <w:tcW w:w="850" w:type="dxa"/>
            <w:vAlign w:val="bottom"/>
          </w:tcPr>
          <w:p w14:paraId="110AD4C1" w14:textId="5E4B0825" w:rsidR="00B628FF" w:rsidRDefault="00B31B37">
            <w:pPr>
              <w:pStyle w:val="Summarytabletextrightaligned"/>
            </w:pPr>
            <w:r>
              <w:noBreakHyphen/>
            </w:r>
          </w:p>
        </w:tc>
        <w:tc>
          <w:tcPr>
            <w:tcW w:w="850" w:type="dxa"/>
            <w:shd w:val="clear" w:color="auto" w:fill="E6F2FF"/>
            <w:vAlign w:val="bottom"/>
          </w:tcPr>
          <w:p w14:paraId="6790A456" w14:textId="149DB1EA" w:rsidR="00B628FF" w:rsidRDefault="00B31B37">
            <w:pPr>
              <w:pStyle w:val="Summarytabletextrightaligned"/>
            </w:pPr>
            <w:r>
              <w:noBreakHyphen/>
            </w:r>
          </w:p>
        </w:tc>
        <w:tc>
          <w:tcPr>
            <w:tcW w:w="850" w:type="dxa"/>
            <w:vAlign w:val="bottom"/>
          </w:tcPr>
          <w:p w14:paraId="32FD683C" w14:textId="3CF794C1" w:rsidR="00B628FF" w:rsidRDefault="00B31B37">
            <w:pPr>
              <w:pStyle w:val="Summarytabletextrightaligned"/>
            </w:pPr>
            <w:r>
              <w:noBreakHyphen/>
            </w:r>
          </w:p>
        </w:tc>
        <w:tc>
          <w:tcPr>
            <w:tcW w:w="850" w:type="dxa"/>
            <w:vAlign w:val="bottom"/>
          </w:tcPr>
          <w:p w14:paraId="3E949C57" w14:textId="3E62FCDD" w:rsidR="00B628FF" w:rsidRDefault="00B31B37">
            <w:pPr>
              <w:pStyle w:val="Summarytabletextrightaligned"/>
            </w:pPr>
            <w:r>
              <w:noBreakHyphen/>
            </w:r>
          </w:p>
        </w:tc>
        <w:tc>
          <w:tcPr>
            <w:tcW w:w="850" w:type="dxa"/>
            <w:vAlign w:val="bottom"/>
          </w:tcPr>
          <w:p w14:paraId="663E8793" w14:textId="62417249" w:rsidR="00B628FF" w:rsidRDefault="00B31B37">
            <w:pPr>
              <w:pStyle w:val="Summarytabletextrightaligned"/>
            </w:pPr>
            <w:r>
              <w:noBreakHyphen/>
            </w:r>
          </w:p>
        </w:tc>
      </w:tr>
      <w:tr w:rsidR="00B628FF" w14:paraId="398B8AC1" w14:textId="77777777" w:rsidTr="00031112">
        <w:tc>
          <w:tcPr>
            <w:tcW w:w="3471" w:type="dxa"/>
            <w:vAlign w:val="bottom"/>
          </w:tcPr>
          <w:p w14:paraId="5206E8DC" w14:textId="77777777" w:rsidR="00B628FF" w:rsidRDefault="005B2D2F">
            <w:pPr>
              <w:pStyle w:val="SummaryAgencyTitle-BP2"/>
            </w:pPr>
            <w:r>
              <w:t>Australian Institute of Criminology</w:t>
            </w:r>
          </w:p>
        </w:tc>
        <w:tc>
          <w:tcPr>
            <w:tcW w:w="850" w:type="dxa"/>
          </w:tcPr>
          <w:p w14:paraId="6E203389" w14:textId="77777777" w:rsidR="00B628FF" w:rsidRDefault="00B628FF">
            <w:pPr>
              <w:pStyle w:val="SummaryAgencyTitle-BP2"/>
            </w:pPr>
          </w:p>
        </w:tc>
        <w:tc>
          <w:tcPr>
            <w:tcW w:w="850" w:type="dxa"/>
            <w:shd w:val="clear" w:color="auto" w:fill="E6F2FF"/>
          </w:tcPr>
          <w:p w14:paraId="6465F306" w14:textId="77777777" w:rsidR="00B628FF" w:rsidRDefault="00B628FF">
            <w:pPr>
              <w:pStyle w:val="SummaryAgencyTitle-BP2"/>
            </w:pPr>
          </w:p>
        </w:tc>
        <w:tc>
          <w:tcPr>
            <w:tcW w:w="850" w:type="dxa"/>
          </w:tcPr>
          <w:p w14:paraId="36290885" w14:textId="77777777" w:rsidR="00B628FF" w:rsidRDefault="00B628FF">
            <w:pPr>
              <w:pStyle w:val="SummaryAgencyTitle-BP2"/>
            </w:pPr>
          </w:p>
        </w:tc>
        <w:tc>
          <w:tcPr>
            <w:tcW w:w="850" w:type="dxa"/>
          </w:tcPr>
          <w:p w14:paraId="5F3899E6" w14:textId="77777777" w:rsidR="00B628FF" w:rsidRDefault="00B628FF">
            <w:pPr>
              <w:pStyle w:val="SummaryAgencyTitle-BP2"/>
            </w:pPr>
          </w:p>
        </w:tc>
        <w:tc>
          <w:tcPr>
            <w:tcW w:w="850" w:type="dxa"/>
          </w:tcPr>
          <w:p w14:paraId="1975069E" w14:textId="77777777" w:rsidR="00B628FF" w:rsidRDefault="00B628FF">
            <w:pPr>
              <w:pStyle w:val="SummaryAgencyTitle-BP2"/>
            </w:pPr>
          </w:p>
        </w:tc>
      </w:tr>
      <w:tr w:rsidR="00B628FF" w14:paraId="531BDF02" w14:textId="77777777" w:rsidTr="00031112">
        <w:tc>
          <w:tcPr>
            <w:tcW w:w="3471" w:type="dxa"/>
            <w:vAlign w:val="bottom"/>
          </w:tcPr>
          <w:p w14:paraId="3956E029" w14:textId="1AD518DA" w:rsidR="00B628FF" w:rsidRDefault="005B2D2F">
            <w:pPr>
              <w:pStyle w:val="SummaryMeasureTitlewithTheme"/>
            </w:pPr>
            <w:r>
              <w:t>Attorney‑General</w:t>
            </w:r>
            <w:r w:rsidR="00B31B37">
              <w:t>’</w:t>
            </w:r>
            <w:r>
              <w:t>s Portfolio – additional resourcing</w:t>
            </w:r>
          </w:p>
        </w:tc>
        <w:tc>
          <w:tcPr>
            <w:tcW w:w="850" w:type="dxa"/>
            <w:vAlign w:val="bottom"/>
          </w:tcPr>
          <w:p w14:paraId="54E25AC3" w14:textId="7FBA79EB" w:rsidR="00B628FF" w:rsidRDefault="00B31B37">
            <w:pPr>
              <w:pStyle w:val="Summarytabletextrightaligned"/>
            </w:pPr>
            <w:r>
              <w:noBreakHyphen/>
            </w:r>
          </w:p>
        </w:tc>
        <w:tc>
          <w:tcPr>
            <w:tcW w:w="850" w:type="dxa"/>
            <w:shd w:val="clear" w:color="auto" w:fill="E6F2FF"/>
            <w:vAlign w:val="bottom"/>
          </w:tcPr>
          <w:p w14:paraId="0AC0CAD4" w14:textId="77777777" w:rsidR="00B628FF" w:rsidRDefault="005B2D2F">
            <w:pPr>
              <w:pStyle w:val="Summarytabletextrightaligned"/>
            </w:pPr>
            <w:r>
              <w:t>0.1</w:t>
            </w:r>
          </w:p>
        </w:tc>
        <w:tc>
          <w:tcPr>
            <w:tcW w:w="850" w:type="dxa"/>
            <w:vAlign w:val="bottom"/>
          </w:tcPr>
          <w:p w14:paraId="2131CE48" w14:textId="5DC8A995" w:rsidR="00B628FF" w:rsidRDefault="00B31B37">
            <w:pPr>
              <w:pStyle w:val="Summarytabletextrightaligned"/>
            </w:pPr>
            <w:r>
              <w:noBreakHyphen/>
            </w:r>
          </w:p>
        </w:tc>
        <w:tc>
          <w:tcPr>
            <w:tcW w:w="850" w:type="dxa"/>
            <w:vAlign w:val="bottom"/>
          </w:tcPr>
          <w:p w14:paraId="0EC35A87" w14:textId="0ECADC54" w:rsidR="00B628FF" w:rsidRDefault="00B31B37">
            <w:pPr>
              <w:pStyle w:val="Summarytabletextrightaligned"/>
            </w:pPr>
            <w:r>
              <w:noBreakHyphen/>
            </w:r>
          </w:p>
        </w:tc>
        <w:tc>
          <w:tcPr>
            <w:tcW w:w="850" w:type="dxa"/>
            <w:vAlign w:val="bottom"/>
          </w:tcPr>
          <w:p w14:paraId="7774B39F" w14:textId="3AC5991E" w:rsidR="00B628FF" w:rsidRDefault="00B31B37">
            <w:pPr>
              <w:pStyle w:val="Summarytabletextrightaligned"/>
            </w:pPr>
            <w:r>
              <w:noBreakHyphen/>
            </w:r>
          </w:p>
        </w:tc>
      </w:tr>
      <w:tr w:rsidR="00B628FF" w14:paraId="1EAE96AC" w14:textId="77777777" w:rsidTr="00031112">
        <w:tc>
          <w:tcPr>
            <w:tcW w:w="3471" w:type="dxa"/>
            <w:vAlign w:val="bottom"/>
          </w:tcPr>
          <w:p w14:paraId="6F47407E" w14:textId="77777777" w:rsidR="00B628FF" w:rsidRDefault="005B2D2F">
            <w:pPr>
              <w:pStyle w:val="SummaryMeasureTitlewithTheme"/>
            </w:pPr>
            <w:r>
              <w:t>National Strategy to Prevent and Respond to Child Sexual Abuse – continuation</w:t>
            </w:r>
          </w:p>
        </w:tc>
        <w:tc>
          <w:tcPr>
            <w:tcW w:w="850" w:type="dxa"/>
            <w:vAlign w:val="bottom"/>
          </w:tcPr>
          <w:p w14:paraId="1B8209C7" w14:textId="309D88F9" w:rsidR="00B628FF" w:rsidRDefault="00B31B37">
            <w:pPr>
              <w:pStyle w:val="Summarytabletextrightaligned"/>
            </w:pPr>
            <w:r>
              <w:noBreakHyphen/>
            </w:r>
          </w:p>
        </w:tc>
        <w:tc>
          <w:tcPr>
            <w:tcW w:w="850" w:type="dxa"/>
            <w:shd w:val="clear" w:color="auto" w:fill="E6F2FF"/>
            <w:vAlign w:val="bottom"/>
          </w:tcPr>
          <w:p w14:paraId="66BDCF43" w14:textId="77777777" w:rsidR="00B628FF" w:rsidRDefault="005B2D2F">
            <w:pPr>
              <w:pStyle w:val="Summarytabletextrightaligned"/>
            </w:pPr>
            <w:r>
              <w:t>0.3</w:t>
            </w:r>
          </w:p>
        </w:tc>
        <w:tc>
          <w:tcPr>
            <w:tcW w:w="850" w:type="dxa"/>
            <w:vAlign w:val="bottom"/>
          </w:tcPr>
          <w:p w14:paraId="1AC5317B" w14:textId="5DAB560B" w:rsidR="00B628FF" w:rsidRDefault="00B31B37">
            <w:pPr>
              <w:pStyle w:val="Summarytabletextrightaligned"/>
            </w:pPr>
            <w:r>
              <w:noBreakHyphen/>
            </w:r>
          </w:p>
        </w:tc>
        <w:tc>
          <w:tcPr>
            <w:tcW w:w="850" w:type="dxa"/>
            <w:vAlign w:val="bottom"/>
          </w:tcPr>
          <w:p w14:paraId="1A0803FE" w14:textId="49B45366" w:rsidR="00B628FF" w:rsidRDefault="00B31B37">
            <w:pPr>
              <w:pStyle w:val="Summarytabletextrightaligned"/>
            </w:pPr>
            <w:r>
              <w:noBreakHyphen/>
            </w:r>
          </w:p>
        </w:tc>
        <w:tc>
          <w:tcPr>
            <w:tcW w:w="850" w:type="dxa"/>
            <w:vAlign w:val="bottom"/>
          </w:tcPr>
          <w:p w14:paraId="408DE59D" w14:textId="0D1935D5" w:rsidR="00B628FF" w:rsidRDefault="00B31B37">
            <w:pPr>
              <w:pStyle w:val="Summarytabletextrightaligned"/>
            </w:pPr>
            <w:r>
              <w:noBreakHyphen/>
            </w:r>
          </w:p>
        </w:tc>
      </w:tr>
    </w:tbl>
    <w:p w14:paraId="2AD707C6" w14:textId="77777777" w:rsidR="00997AF2" w:rsidRDefault="00997AF2" w:rsidP="00997AF2">
      <w:pPr>
        <w:sectPr w:rsidR="00997AF2" w:rsidSect="00A06F82">
          <w:headerReference w:type="even" r:id="rId27"/>
          <w:headerReference w:type="default" r:id="rId28"/>
          <w:footerReference w:type="even" r:id="rId29"/>
          <w:footerReference w:type="default" r:id="rId30"/>
          <w:headerReference w:type="first" r:id="rId31"/>
          <w:footerReference w:type="first" r:id="rId32"/>
          <w:type w:val="oddPage"/>
          <w:pgSz w:w="11906" w:h="16838"/>
          <w:pgMar w:top="2835" w:right="2098" w:bottom="2466" w:left="2098" w:header="1814" w:footer="1814" w:gutter="0"/>
          <w:cols w:space="720"/>
          <w:titlePg/>
          <w:docGrid w:linePitch="272"/>
        </w:sectPr>
      </w:pPr>
    </w:p>
    <w:p w14:paraId="1651EEC1" w14:textId="77777777" w:rsidR="00997AF2" w:rsidRDefault="00997AF2" w:rsidP="00997AF2">
      <w:pPr>
        <w:pStyle w:val="TableHeadingcontinued"/>
      </w:pPr>
      <w:r>
        <w:t>Table 2: Payment measures since the 2024–25 MYEFO</w:t>
      </w:r>
      <w:r>
        <w:rPr>
          <w:rFonts w:ascii="Cambria Math" w:hAnsi="Cambria Math" w:cs="Cambria Math"/>
        </w:rPr>
        <w:t>⁽</w:t>
      </w:r>
      <w:r>
        <w:rPr>
          <w:rFonts w:cs="Arial"/>
        </w:rPr>
        <w:t>ª</w:t>
      </w:r>
      <w:r>
        <w:rPr>
          <w:rFonts w:ascii="Cambria Math" w:hAnsi="Cambria Math" w:cs="Cambria Math"/>
        </w:rPr>
        <w:t>⁾</w:t>
      </w:r>
      <w:r>
        <w:t xml:space="preserve"> (continued)</w:t>
      </w:r>
    </w:p>
    <w:tbl>
      <w:tblPr>
        <w:tblOverlap w:val="never"/>
        <w:tblW w:w="7721" w:type="dxa"/>
        <w:tblBorders>
          <w:top w:val="single" w:sz="4" w:space="0" w:color="000000"/>
          <w:bottom w:val="single" w:sz="4" w:space="0" w:color="000000"/>
        </w:tblBorders>
        <w:tblLayout w:type="fixed"/>
        <w:tblCellMar>
          <w:left w:w="0" w:type="dxa"/>
          <w:right w:w="56" w:type="dxa"/>
        </w:tblCellMar>
        <w:tblLook w:val="04A0" w:firstRow="1" w:lastRow="0" w:firstColumn="1" w:lastColumn="0" w:noHBand="0" w:noVBand="1"/>
      </w:tblPr>
      <w:tblGrid>
        <w:gridCol w:w="3471"/>
        <w:gridCol w:w="850"/>
        <w:gridCol w:w="850"/>
        <w:gridCol w:w="850"/>
        <w:gridCol w:w="850"/>
        <w:gridCol w:w="850"/>
      </w:tblGrid>
      <w:tr w:rsidR="00997AF2" w14:paraId="538BAD7A" w14:textId="77777777" w:rsidTr="5FA307DC">
        <w:tc>
          <w:tcPr>
            <w:tcW w:w="3471" w:type="dxa"/>
            <w:vAlign w:val="bottom"/>
          </w:tcPr>
          <w:p w14:paraId="604121F3" w14:textId="77777777" w:rsidR="00997AF2" w:rsidRDefault="00997AF2" w:rsidP="00997AF2"/>
        </w:tc>
        <w:tc>
          <w:tcPr>
            <w:tcW w:w="850" w:type="dxa"/>
            <w:tcBorders>
              <w:bottom w:val="nil"/>
            </w:tcBorders>
          </w:tcPr>
          <w:p w14:paraId="3DC05E30" w14:textId="0D26BF2D" w:rsidR="00997AF2" w:rsidRDefault="00997AF2" w:rsidP="00997AF2">
            <w:pPr>
              <w:pStyle w:val="Summarytabletextrightaligned"/>
            </w:pPr>
            <w:r>
              <w:t>2024</w:t>
            </w:r>
            <w:r w:rsidR="00B31B37">
              <w:noBreakHyphen/>
            </w:r>
            <w:r>
              <w:t>25</w:t>
            </w:r>
          </w:p>
        </w:tc>
        <w:tc>
          <w:tcPr>
            <w:tcW w:w="850" w:type="dxa"/>
            <w:tcBorders>
              <w:bottom w:val="nil"/>
            </w:tcBorders>
            <w:shd w:val="clear" w:color="auto" w:fill="E6F2FF"/>
          </w:tcPr>
          <w:p w14:paraId="17EA3B65" w14:textId="4696501D" w:rsidR="00997AF2" w:rsidRDefault="00997AF2" w:rsidP="00997AF2">
            <w:pPr>
              <w:pStyle w:val="Summarytabletextrightaligned"/>
            </w:pPr>
            <w:r>
              <w:t>2025</w:t>
            </w:r>
            <w:r w:rsidR="00B31B37">
              <w:noBreakHyphen/>
            </w:r>
            <w:r>
              <w:t>26</w:t>
            </w:r>
          </w:p>
        </w:tc>
        <w:tc>
          <w:tcPr>
            <w:tcW w:w="850" w:type="dxa"/>
            <w:tcBorders>
              <w:bottom w:val="nil"/>
            </w:tcBorders>
          </w:tcPr>
          <w:p w14:paraId="0FF55102" w14:textId="1256F480" w:rsidR="00997AF2" w:rsidRDefault="00997AF2" w:rsidP="00997AF2">
            <w:pPr>
              <w:pStyle w:val="Summarytabletextrightaligned"/>
            </w:pPr>
            <w:r>
              <w:t>2026</w:t>
            </w:r>
            <w:r w:rsidR="00B31B37">
              <w:noBreakHyphen/>
            </w:r>
            <w:r>
              <w:t>27</w:t>
            </w:r>
          </w:p>
        </w:tc>
        <w:tc>
          <w:tcPr>
            <w:tcW w:w="850" w:type="dxa"/>
            <w:tcBorders>
              <w:bottom w:val="nil"/>
            </w:tcBorders>
          </w:tcPr>
          <w:p w14:paraId="51317FDC" w14:textId="552F1E26" w:rsidR="00997AF2" w:rsidRDefault="00997AF2" w:rsidP="00997AF2">
            <w:pPr>
              <w:pStyle w:val="Summarytabletextrightaligned"/>
            </w:pPr>
            <w:r>
              <w:t>2027</w:t>
            </w:r>
            <w:r w:rsidR="00B31B37">
              <w:noBreakHyphen/>
            </w:r>
            <w:r>
              <w:t>28</w:t>
            </w:r>
          </w:p>
        </w:tc>
        <w:tc>
          <w:tcPr>
            <w:tcW w:w="850" w:type="dxa"/>
            <w:tcBorders>
              <w:bottom w:val="nil"/>
            </w:tcBorders>
          </w:tcPr>
          <w:p w14:paraId="7302F55C" w14:textId="3DD3E22F" w:rsidR="00997AF2" w:rsidRDefault="00997AF2" w:rsidP="00997AF2">
            <w:pPr>
              <w:pStyle w:val="Summarytabletextrightaligned"/>
            </w:pPr>
            <w:r>
              <w:t>2028</w:t>
            </w:r>
            <w:r w:rsidR="00B31B37">
              <w:noBreakHyphen/>
            </w:r>
            <w:r>
              <w:t>29</w:t>
            </w:r>
          </w:p>
        </w:tc>
      </w:tr>
      <w:tr w:rsidR="00997AF2" w14:paraId="2F46E9C1" w14:textId="77777777" w:rsidTr="5FA307DC">
        <w:tc>
          <w:tcPr>
            <w:tcW w:w="3471" w:type="dxa"/>
            <w:vAlign w:val="bottom"/>
          </w:tcPr>
          <w:p w14:paraId="308B0041" w14:textId="77777777" w:rsidR="00997AF2" w:rsidRDefault="00997AF2" w:rsidP="00997AF2"/>
        </w:tc>
        <w:tc>
          <w:tcPr>
            <w:tcW w:w="850" w:type="dxa"/>
            <w:tcBorders>
              <w:top w:val="nil"/>
              <w:bottom w:val="single" w:sz="4" w:space="0" w:color="auto"/>
            </w:tcBorders>
            <w:shd w:val="clear" w:color="auto" w:fill="auto"/>
          </w:tcPr>
          <w:p w14:paraId="5F959CC5" w14:textId="77777777" w:rsidR="00997AF2" w:rsidRDefault="00997AF2" w:rsidP="00997AF2">
            <w:pPr>
              <w:pStyle w:val="Summarytabletextrightaligned"/>
            </w:pPr>
            <w:r>
              <w:t>$m</w:t>
            </w:r>
          </w:p>
        </w:tc>
        <w:tc>
          <w:tcPr>
            <w:tcW w:w="850" w:type="dxa"/>
            <w:tcBorders>
              <w:top w:val="nil"/>
              <w:bottom w:val="single" w:sz="4" w:space="0" w:color="auto"/>
            </w:tcBorders>
            <w:shd w:val="clear" w:color="auto" w:fill="E6F2FF"/>
          </w:tcPr>
          <w:p w14:paraId="09AC25A2" w14:textId="77777777" w:rsidR="00997AF2" w:rsidRDefault="00997AF2" w:rsidP="00997AF2">
            <w:pPr>
              <w:pStyle w:val="Summarytabletextrightaligned"/>
            </w:pPr>
            <w:r>
              <w:t>$m</w:t>
            </w:r>
          </w:p>
        </w:tc>
        <w:tc>
          <w:tcPr>
            <w:tcW w:w="850" w:type="dxa"/>
            <w:tcBorders>
              <w:top w:val="nil"/>
              <w:bottom w:val="single" w:sz="4" w:space="0" w:color="auto"/>
            </w:tcBorders>
            <w:shd w:val="clear" w:color="auto" w:fill="auto"/>
          </w:tcPr>
          <w:p w14:paraId="2C2C7931" w14:textId="77777777" w:rsidR="00997AF2" w:rsidRDefault="00997AF2" w:rsidP="00997AF2">
            <w:pPr>
              <w:pStyle w:val="Summarytabletextrightaligned"/>
            </w:pPr>
            <w:r>
              <w:t>$m</w:t>
            </w:r>
          </w:p>
        </w:tc>
        <w:tc>
          <w:tcPr>
            <w:tcW w:w="850" w:type="dxa"/>
            <w:tcBorders>
              <w:top w:val="nil"/>
              <w:bottom w:val="single" w:sz="4" w:space="0" w:color="auto"/>
            </w:tcBorders>
            <w:shd w:val="clear" w:color="auto" w:fill="auto"/>
          </w:tcPr>
          <w:p w14:paraId="41320F43" w14:textId="77777777" w:rsidR="00997AF2" w:rsidRDefault="00997AF2" w:rsidP="00997AF2">
            <w:pPr>
              <w:pStyle w:val="Summarytabletextrightaligned"/>
            </w:pPr>
            <w:r>
              <w:t>$m</w:t>
            </w:r>
          </w:p>
        </w:tc>
        <w:tc>
          <w:tcPr>
            <w:tcW w:w="850" w:type="dxa"/>
            <w:tcBorders>
              <w:top w:val="nil"/>
              <w:bottom w:val="single" w:sz="4" w:space="0" w:color="auto"/>
            </w:tcBorders>
            <w:shd w:val="clear" w:color="auto" w:fill="auto"/>
          </w:tcPr>
          <w:p w14:paraId="38805B9A" w14:textId="77777777" w:rsidR="00997AF2" w:rsidRDefault="00997AF2" w:rsidP="00997AF2">
            <w:pPr>
              <w:pStyle w:val="Summarytabletextrightaligned"/>
            </w:pPr>
            <w:r>
              <w:t>$m</w:t>
            </w:r>
          </w:p>
        </w:tc>
      </w:tr>
      <w:tr w:rsidR="00997AF2" w14:paraId="454FFED5" w14:textId="77777777" w:rsidTr="5FA307DC">
        <w:tc>
          <w:tcPr>
            <w:tcW w:w="3471" w:type="dxa"/>
            <w:tcBorders>
              <w:bottom w:val="nil"/>
            </w:tcBorders>
            <w:vAlign w:val="bottom"/>
          </w:tcPr>
          <w:p w14:paraId="4E825D8A" w14:textId="0491BFA8" w:rsidR="00997AF2" w:rsidRPr="00997AF2" w:rsidRDefault="00997AF2" w:rsidP="00997AF2">
            <w:pPr>
              <w:pStyle w:val="SummaryMeasureTitlewithTheme"/>
              <w:rPr>
                <w:b/>
              </w:rPr>
            </w:pPr>
            <w:r w:rsidRPr="00997AF2">
              <w:rPr>
                <w:b/>
              </w:rPr>
              <w:t>ATTORNEY</w:t>
            </w:r>
            <w:r w:rsidRPr="00997AF2">
              <w:rPr>
                <w:rFonts w:ascii="Cambria Math" w:hAnsi="Cambria Math" w:cs="Cambria Math"/>
                <w:b/>
              </w:rPr>
              <w:t>‑</w:t>
            </w:r>
            <w:r w:rsidRPr="00997AF2">
              <w:rPr>
                <w:b/>
              </w:rPr>
              <w:t>GENERAL</w:t>
            </w:r>
            <w:r w:rsidR="00B31B37">
              <w:rPr>
                <w:b/>
              </w:rPr>
              <w:t>’</w:t>
            </w:r>
            <w:r w:rsidRPr="00997AF2">
              <w:rPr>
                <w:b/>
              </w:rPr>
              <w:t>S (continued)</w:t>
            </w:r>
          </w:p>
        </w:tc>
        <w:tc>
          <w:tcPr>
            <w:tcW w:w="850" w:type="dxa"/>
            <w:tcBorders>
              <w:top w:val="single" w:sz="4" w:space="0" w:color="auto"/>
              <w:bottom w:val="nil"/>
            </w:tcBorders>
          </w:tcPr>
          <w:p w14:paraId="7A4B5B75" w14:textId="77777777" w:rsidR="00997AF2" w:rsidRDefault="00997AF2">
            <w:pPr>
              <w:pStyle w:val="SummaryAgencyTitle-BP2"/>
            </w:pPr>
          </w:p>
        </w:tc>
        <w:tc>
          <w:tcPr>
            <w:tcW w:w="850" w:type="dxa"/>
            <w:tcBorders>
              <w:top w:val="single" w:sz="4" w:space="0" w:color="auto"/>
              <w:bottom w:val="nil"/>
            </w:tcBorders>
            <w:shd w:val="clear" w:color="auto" w:fill="E6F2FF"/>
          </w:tcPr>
          <w:p w14:paraId="3800A006" w14:textId="77777777" w:rsidR="00997AF2" w:rsidRDefault="00997AF2">
            <w:pPr>
              <w:pStyle w:val="SummaryAgencyTitle-BP2"/>
            </w:pPr>
          </w:p>
        </w:tc>
        <w:tc>
          <w:tcPr>
            <w:tcW w:w="850" w:type="dxa"/>
            <w:tcBorders>
              <w:top w:val="single" w:sz="4" w:space="0" w:color="auto"/>
              <w:bottom w:val="nil"/>
            </w:tcBorders>
          </w:tcPr>
          <w:p w14:paraId="0B07DE39" w14:textId="77777777" w:rsidR="00997AF2" w:rsidRDefault="00997AF2">
            <w:pPr>
              <w:pStyle w:val="SummaryAgencyTitle-BP2"/>
            </w:pPr>
          </w:p>
        </w:tc>
        <w:tc>
          <w:tcPr>
            <w:tcW w:w="850" w:type="dxa"/>
            <w:tcBorders>
              <w:top w:val="single" w:sz="4" w:space="0" w:color="auto"/>
              <w:bottom w:val="nil"/>
            </w:tcBorders>
          </w:tcPr>
          <w:p w14:paraId="47E4F498" w14:textId="77777777" w:rsidR="00997AF2" w:rsidRDefault="00997AF2">
            <w:pPr>
              <w:pStyle w:val="SummaryAgencyTitle-BP2"/>
            </w:pPr>
          </w:p>
        </w:tc>
        <w:tc>
          <w:tcPr>
            <w:tcW w:w="850" w:type="dxa"/>
            <w:tcBorders>
              <w:top w:val="single" w:sz="4" w:space="0" w:color="auto"/>
              <w:bottom w:val="nil"/>
            </w:tcBorders>
          </w:tcPr>
          <w:p w14:paraId="3588346D" w14:textId="77777777" w:rsidR="00997AF2" w:rsidRDefault="00997AF2">
            <w:pPr>
              <w:pStyle w:val="SummaryAgencyTitle-BP2"/>
            </w:pPr>
          </w:p>
        </w:tc>
      </w:tr>
      <w:tr w:rsidR="00B628FF" w14:paraId="45AD739C" w14:textId="77777777" w:rsidTr="5FA307DC">
        <w:tc>
          <w:tcPr>
            <w:tcW w:w="3471" w:type="dxa"/>
            <w:tcBorders>
              <w:top w:val="nil"/>
            </w:tcBorders>
            <w:vAlign w:val="bottom"/>
          </w:tcPr>
          <w:p w14:paraId="28F004ED" w14:textId="77777777" w:rsidR="00B628FF" w:rsidRDefault="005B2D2F">
            <w:pPr>
              <w:pStyle w:val="SummaryAgencyTitle-BP2"/>
            </w:pPr>
            <w:r>
              <w:t>Australian Transaction Reports and Analysis Centre</w:t>
            </w:r>
          </w:p>
        </w:tc>
        <w:tc>
          <w:tcPr>
            <w:tcW w:w="850" w:type="dxa"/>
            <w:tcBorders>
              <w:top w:val="nil"/>
            </w:tcBorders>
          </w:tcPr>
          <w:p w14:paraId="1AF9BFE2" w14:textId="77777777" w:rsidR="00B628FF" w:rsidRDefault="00B628FF">
            <w:pPr>
              <w:pStyle w:val="SummaryAgencyTitle-BP2"/>
            </w:pPr>
          </w:p>
        </w:tc>
        <w:tc>
          <w:tcPr>
            <w:tcW w:w="850" w:type="dxa"/>
            <w:tcBorders>
              <w:top w:val="nil"/>
            </w:tcBorders>
            <w:shd w:val="clear" w:color="auto" w:fill="E6F2FF"/>
          </w:tcPr>
          <w:p w14:paraId="7A42F506" w14:textId="77777777" w:rsidR="00B628FF" w:rsidRDefault="00B628FF">
            <w:pPr>
              <w:pStyle w:val="SummaryAgencyTitle-BP2"/>
            </w:pPr>
          </w:p>
        </w:tc>
        <w:tc>
          <w:tcPr>
            <w:tcW w:w="850" w:type="dxa"/>
            <w:tcBorders>
              <w:top w:val="nil"/>
            </w:tcBorders>
          </w:tcPr>
          <w:p w14:paraId="75BEE2A9" w14:textId="77777777" w:rsidR="00B628FF" w:rsidRDefault="00B628FF">
            <w:pPr>
              <w:pStyle w:val="SummaryAgencyTitle-BP2"/>
            </w:pPr>
          </w:p>
        </w:tc>
        <w:tc>
          <w:tcPr>
            <w:tcW w:w="850" w:type="dxa"/>
            <w:tcBorders>
              <w:top w:val="nil"/>
            </w:tcBorders>
          </w:tcPr>
          <w:p w14:paraId="370A546C" w14:textId="77777777" w:rsidR="00B628FF" w:rsidRDefault="00B628FF">
            <w:pPr>
              <w:pStyle w:val="SummaryAgencyTitle-BP2"/>
            </w:pPr>
          </w:p>
        </w:tc>
        <w:tc>
          <w:tcPr>
            <w:tcW w:w="850" w:type="dxa"/>
            <w:tcBorders>
              <w:top w:val="nil"/>
            </w:tcBorders>
          </w:tcPr>
          <w:p w14:paraId="225583C9" w14:textId="77777777" w:rsidR="00B628FF" w:rsidRDefault="00B628FF">
            <w:pPr>
              <w:pStyle w:val="SummaryAgencyTitle-BP2"/>
            </w:pPr>
          </w:p>
        </w:tc>
      </w:tr>
      <w:tr w:rsidR="00B628FF" w14:paraId="407C3671" w14:textId="77777777" w:rsidTr="5FA307DC">
        <w:tc>
          <w:tcPr>
            <w:tcW w:w="3471" w:type="dxa"/>
            <w:vAlign w:val="bottom"/>
          </w:tcPr>
          <w:p w14:paraId="2A390D5A" w14:textId="77777777" w:rsidR="00B628FF" w:rsidRDefault="005B2D2F">
            <w:pPr>
              <w:pStyle w:val="SummaryMeasureTitlewithTheme"/>
            </w:pPr>
            <w:r>
              <w:t>Illicit Tobacco Compliance and Enforcement Package – direct and targeted enforcement to counter profits from illicit tobacco</w:t>
            </w:r>
          </w:p>
        </w:tc>
        <w:tc>
          <w:tcPr>
            <w:tcW w:w="850" w:type="dxa"/>
            <w:vAlign w:val="bottom"/>
          </w:tcPr>
          <w:p w14:paraId="69C1FBD3" w14:textId="7C1C2CD1" w:rsidR="00B628FF" w:rsidRDefault="00B31B37">
            <w:pPr>
              <w:pStyle w:val="Summarytabletextrightaligned"/>
            </w:pPr>
            <w:r>
              <w:noBreakHyphen/>
            </w:r>
          </w:p>
        </w:tc>
        <w:tc>
          <w:tcPr>
            <w:tcW w:w="850" w:type="dxa"/>
            <w:shd w:val="clear" w:color="auto" w:fill="E6F2FF"/>
            <w:vAlign w:val="bottom"/>
          </w:tcPr>
          <w:p w14:paraId="51E6CE74" w14:textId="77777777" w:rsidR="00B628FF" w:rsidRDefault="005B2D2F">
            <w:pPr>
              <w:pStyle w:val="Summarytabletextrightaligned"/>
            </w:pPr>
            <w:r>
              <w:t>0.4</w:t>
            </w:r>
          </w:p>
        </w:tc>
        <w:tc>
          <w:tcPr>
            <w:tcW w:w="850" w:type="dxa"/>
            <w:vAlign w:val="bottom"/>
          </w:tcPr>
          <w:p w14:paraId="1E8B1B33" w14:textId="77777777" w:rsidR="00B628FF" w:rsidRDefault="005B2D2F">
            <w:pPr>
              <w:pStyle w:val="Summarytabletextrightaligned"/>
            </w:pPr>
            <w:r>
              <w:t>0.4</w:t>
            </w:r>
          </w:p>
        </w:tc>
        <w:tc>
          <w:tcPr>
            <w:tcW w:w="850" w:type="dxa"/>
            <w:vAlign w:val="bottom"/>
          </w:tcPr>
          <w:p w14:paraId="599F2BF2" w14:textId="1DA4FFC2" w:rsidR="00B628FF" w:rsidRDefault="00B31B37">
            <w:pPr>
              <w:pStyle w:val="Summarytabletextrightaligned"/>
            </w:pPr>
            <w:r>
              <w:noBreakHyphen/>
            </w:r>
          </w:p>
        </w:tc>
        <w:tc>
          <w:tcPr>
            <w:tcW w:w="850" w:type="dxa"/>
            <w:vAlign w:val="bottom"/>
          </w:tcPr>
          <w:p w14:paraId="4A65DA80" w14:textId="08BDD887" w:rsidR="00B628FF" w:rsidRDefault="00B31B37">
            <w:pPr>
              <w:pStyle w:val="Summarytabletextrightaligned"/>
            </w:pPr>
            <w:r>
              <w:noBreakHyphen/>
            </w:r>
          </w:p>
        </w:tc>
      </w:tr>
      <w:tr w:rsidR="00B628FF" w14:paraId="1A848359" w14:textId="77777777" w:rsidTr="5FA307DC">
        <w:tc>
          <w:tcPr>
            <w:tcW w:w="3471" w:type="dxa"/>
            <w:vAlign w:val="bottom"/>
          </w:tcPr>
          <w:p w14:paraId="78417400" w14:textId="77777777" w:rsidR="00B628FF" w:rsidRDefault="005B2D2F">
            <w:pPr>
              <w:pStyle w:val="SummaryAgencyTitle-BP2"/>
            </w:pPr>
            <w:r>
              <w:t>Office of the Australian Information Commissioner</w:t>
            </w:r>
          </w:p>
        </w:tc>
        <w:tc>
          <w:tcPr>
            <w:tcW w:w="850" w:type="dxa"/>
          </w:tcPr>
          <w:p w14:paraId="020C13DF" w14:textId="77777777" w:rsidR="00B628FF" w:rsidRDefault="00B628FF">
            <w:pPr>
              <w:pStyle w:val="SummaryAgencyTitle-BP2"/>
            </w:pPr>
          </w:p>
        </w:tc>
        <w:tc>
          <w:tcPr>
            <w:tcW w:w="850" w:type="dxa"/>
            <w:shd w:val="clear" w:color="auto" w:fill="E6F2FF"/>
          </w:tcPr>
          <w:p w14:paraId="24630CD5" w14:textId="77777777" w:rsidR="00B628FF" w:rsidRDefault="00B628FF">
            <w:pPr>
              <w:pStyle w:val="SummaryAgencyTitle-BP2"/>
            </w:pPr>
          </w:p>
        </w:tc>
        <w:tc>
          <w:tcPr>
            <w:tcW w:w="850" w:type="dxa"/>
          </w:tcPr>
          <w:p w14:paraId="06F0116A" w14:textId="77777777" w:rsidR="00B628FF" w:rsidRDefault="00B628FF">
            <w:pPr>
              <w:pStyle w:val="SummaryAgencyTitle-BP2"/>
            </w:pPr>
          </w:p>
        </w:tc>
        <w:tc>
          <w:tcPr>
            <w:tcW w:w="850" w:type="dxa"/>
          </w:tcPr>
          <w:p w14:paraId="42D8C54E" w14:textId="77777777" w:rsidR="00B628FF" w:rsidRDefault="00B628FF">
            <w:pPr>
              <w:pStyle w:val="SummaryAgencyTitle-BP2"/>
            </w:pPr>
          </w:p>
        </w:tc>
        <w:tc>
          <w:tcPr>
            <w:tcW w:w="850" w:type="dxa"/>
          </w:tcPr>
          <w:p w14:paraId="11162B36" w14:textId="77777777" w:rsidR="00B628FF" w:rsidRDefault="00B628FF">
            <w:pPr>
              <w:pStyle w:val="SummaryAgencyTitle-BP2"/>
            </w:pPr>
          </w:p>
        </w:tc>
      </w:tr>
      <w:tr w:rsidR="00B628FF" w14:paraId="172CEC77" w14:textId="77777777" w:rsidTr="5FA307DC">
        <w:tc>
          <w:tcPr>
            <w:tcW w:w="3471" w:type="dxa"/>
            <w:vAlign w:val="bottom"/>
          </w:tcPr>
          <w:p w14:paraId="68AFA0CE" w14:textId="4A49903E" w:rsidR="00B628FF" w:rsidRDefault="005B2D2F">
            <w:pPr>
              <w:pStyle w:val="SummaryMeasureTitlewithTheme"/>
            </w:pPr>
            <w:r>
              <w:t>Attorney‑General</w:t>
            </w:r>
            <w:r w:rsidR="00B31B37">
              <w:t>’</w:t>
            </w:r>
            <w:r>
              <w:t>s Portfolio – additional resourcing</w:t>
            </w:r>
          </w:p>
        </w:tc>
        <w:tc>
          <w:tcPr>
            <w:tcW w:w="850" w:type="dxa"/>
            <w:vAlign w:val="bottom"/>
          </w:tcPr>
          <w:p w14:paraId="34B8F6DF" w14:textId="77777777" w:rsidR="00B628FF" w:rsidRDefault="005B2D2F">
            <w:pPr>
              <w:pStyle w:val="Summarytabletextrightaligned"/>
            </w:pPr>
            <w:r>
              <w:t>0.4</w:t>
            </w:r>
          </w:p>
        </w:tc>
        <w:tc>
          <w:tcPr>
            <w:tcW w:w="850" w:type="dxa"/>
            <w:shd w:val="clear" w:color="auto" w:fill="E6F2FF"/>
            <w:vAlign w:val="bottom"/>
          </w:tcPr>
          <w:p w14:paraId="36E3A267" w14:textId="77777777" w:rsidR="00B628FF" w:rsidRDefault="005B2D2F">
            <w:pPr>
              <w:pStyle w:val="Summarytabletextrightaligned"/>
            </w:pPr>
            <w:r>
              <w:t>10.5</w:t>
            </w:r>
          </w:p>
        </w:tc>
        <w:tc>
          <w:tcPr>
            <w:tcW w:w="850" w:type="dxa"/>
            <w:vAlign w:val="bottom"/>
          </w:tcPr>
          <w:p w14:paraId="55DA17A4" w14:textId="77777777" w:rsidR="00B628FF" w:rsidRDefault="005B2D2F">
            <w:pPr>
              <w:pStyle w:val="Summarytabletextrightaligned"/>
            </w:pPr>
            <w:r>
              <w:t>3.1</w:t>
            </w:r>
          </w:p>
        </w:tc>
        <w:tc>
          <w:tcPr>
            <w:tcW w:w="850" w:type="dxa"/>
            <w:vAlign w:val="bottom"/>
          </w:tcPr>
          <w:p w14:paraId="2AC9E0B2" w14:textId="04D2866F" w:rsidR="00B628FF" w:rsidRDefault="00B31B37">
            <w:pPr>
              <w:pStyle w:val="Summarytabletextrightaligned"/>
            </w:pPr>
            <w:r>
              <w:noBreakHyphen/>
            </w:r>
          </w:p>
        </w:tc>
        <w:tc>
          <w:tcPr>
            <w:tcW w:w="850" w:type="dxa"/>
            <w:vAlign w:val="bottom"/>
          </w:tcPr>
          <w:p w14:paraId="1DBDD8A5" w14:textId="0159CDC0" w:rsidR="00B628FF" w:rsidRDefault="00B31B37">
            <w:pPr>
              <w:pStyle w:val="Summarytabletextrightaligned"/>
            </w:pPr>
            <w:r>
              <w:noBreakHyphen/>
            </w:r>
          </w:p>
        </w:tc>
      </w:tr>
      <w:tr w:rsidR="00B628FF" w14:paraId="0A4AE32E" w14:textId="77777777" w:rsidTr="5FA307DC">
        <w:tc>
          <w:tcPr>
            <w:tcW w:w="3471" w:type="dxa"/>
            <w:vAlign w:val="bottom"/>
          </w:tcPr>
          <w:p w14:paraId="31783F63" w14:textId="77777777" w:rsidR="00B628FF" w:rsidRDefault="005B2D2F">
            <w:pPr>
              <w:pStyle w:val="SummaryMeasureTitlewithTheme"/>
            </w:pPr>
            <w:r>
              <w:t>Strengthening Medicare</w:t>
            </w:r>
          </w:p>
        </w:tc>
        <w:tc>
          <w:tcPr>
            <w:tcW w:w="850" w:type="dxa"/>
            <w:vAlign w:val="bottom"/>
          </w:tcPr>
          <w:p w14:paraId="6D248E9B" w14:textId="6F3F7505" w:rsidR="00B628FF" w:rsidRDefault="00B31B37">
            <w:pPr>
              <w:pStyle w:val="Summarytabletextrightaligned"/>
            </w:pPr>
            <w:r>
              <w:noBreakHyphen/>
            </w:r>
          </w:p>
        </w:tc>
        <w:tc>
          <w:tcPr>
            <w:tcW w:w="850" w:type="dxa"/>
            <w:shd w:val="clear" w:color="auto" w:fill="E6F2FF"/>
            <w:vAlign w:val="bottom"/>
          </w:tcPr>
          <w:p w14:paraId="2E7FC1C0" w14:textId="77777777" w:rsidR="00B628FF" w:rsidRDefault="005B2D2F">
            <w:pPr>
              <w:pStyle w:val="Summarytabletextrightaligned"/>
            </w:pPr>
            <w:r>
              <w:t>2.3</w:t>
            </w:r>
          </w:p>
        </w:tc>
        <w:tc>
          <w:tcPr>
            <w:tcW w:w="850" w:type="dxa"/>
            <w:vAlign w:val="bottom"/>
          </w:tcPr>
          <w:p w14:paraId="7638BCE3" w14:textId="71F1E5E9" w:rsidR="00B628FF" w:rsidRDefault="00B31B37">
            <w:pPr>
              <w:pStyle w:val="Summarytabletextrightaligned"/>
            </w:pPr>
            <w:r>
              <w:noBreakHyphen/>
            </w:r>
          </w:p>
        </w:tc>
        <w:tc>
          <w:tcPr>
            <w:tcW w:w="850" w:type="dxa"/>
            <w:vAlign w:val="bottom"/>
          </w:tcPr>
          <w:p w14:paraId="79B33E02" w14:textId="01299BC1" w:rsidR="00B628FF" w:rsidRDefault="00B31B37">
            <w:pPr>
              <w:pStyle w:val="Summarytabletextrightaligned"/>
            </w:pPr>
            <w:r>
              <w:noBreakHyphen/>
            </w:r>
          </w:p>
        </w:tc>
        <w:tc>
          <w:tcPr>
            <w:tcW w:w="850" w:type="dxa"/>
            <w:vAlign w:val="bottom"/>
          </w:tcPr>
          <w:p w14:paraId="6C5EC224" w14:textId="6CFE8823" w:rsidR="00B628FF" w:rsidRDefault="00B31B37">
            <w:pPr>
              <w:pStyle w:val="Summarytabletextrightaligned"/>
            </w:pPr>
            <w:r>
              <w:noBreakHyphen/>
            </w:r>
          </w:p>
        </w:tc>
      </w:tr>
      <w:tr w:rsidR="00B628FF" w14:paraId="40814535" w14:textId="77777777" w:rsidTr="5FA307DC">
        <w:tc>
          <w:tcPr>
            <w:tcW w:w="3471" w:type="dxa"/>
            <w:vAlign w:val="bottom"/>
          </w:tcPr>
          <w:p w14:paraId="75FA182D" w14:textId="77777777" w:rsidR="00B628FF" w:rsidRDefault="005B2D2F">
            <w:pPr>
              <w:pStyle w:val="SummaryAgencyTitle-BP2"/>
            </w:pPr>
            <w:r>
              <w:t>Office of the Commonwealth Ombudsman</w:t>
            </w:r>
          </w:p>
        </w:tc>
        <w:tc>
          <w:tcPr>
            <w:tcW w:w="850" w:type="dxa"/>
          </w:tcPr>
          <w:p w14:paraId="167E6698" w14:textId="77777777" w:rsidR="00B628FF" w:rsidRDefault="00B628FF">
            <w:pPr>
              <w:pStyle w:val="SummaryAgencyTitle-BP2"/>
            </w:pPr>
          </w:p>
        </w:tc>
        <w:tc>
          <w:tcPr>
            <w:tcW w:w="850" w:type="dxa"/>
            <w:shd w:val="clear" w:color="auto" w:fill="E6F2FF"/>
          </w:tcPr>
          <w:p w14:paraId="0A328C98" w14:textId="77777777" w:rsidR="00B628FF" w:rsidRDefault="00B628FF">
            <w:pPr>
              <w:pStyle w:val="SummaryAgencyTitle-BP2"/>
            </w:pPr>
          </w:p>
        </w:tc>
        <w:tc>
          <w:tcPr>
            <w:tcW w:w="850" w:type="dxa"/>
          </w:tcPr>
          <w:p w14:paraId="50485F9C" w14:textId="77777777" w:rsidR="00B628FF" w:rsidRDefault="00B628FF">
            <w:pPr>
              <w:pStyle w:val="SummaryAgencyTitle-BP2"/>
            </w:pPr>
          </w:p>
        </w:tc>
        <w:tc>
          <w:tcPr>
            <w:tcW w:w="850" w:type="dxa"/>
          </w:tcPr>
          <w:p w14:paraId="0388CCF3" w14:textId="77777777" w:rsidR="00B628FF" w:rsidRDefault="00B628FF">
            <w:pPr>
              <w:pStyle w:val="SummaryAgencyTitle-BP2"/>
            </w:pPr>
          </w:p>
        </w:tc>
        <w:tc>
          <w:tcPr>
            <w:tcW w:w="850" w:type="dxa"/>
          </w:tcPr>
          <w:p w14:paraId="322B419F" w14:textId="77777777" w:rsidR="00B628FF" w:rsidRDefault="00B628FF">
            <w:pPr>
              <w:pStyle w:val="SummaryAgencyTitle-BP2"/>
            </w:pPr>
          </w:p>
        </w:tc>
      </w:tr>
      <w:tr w:rsidR="00B628FF" w14:paraId="65284694" w14:textId="77777777" w:rsidTr="5FA307DC">
        <w:tc>
          <w:tcPr>
            <w:tcW w:w="3471" w:type="dxa"/>
            <w:vAlign w:val="bottom"/>
          </w:tcPr>
          <w:p w14:paraId="3A48D0EE" w14:textId="4C9BBBF6" w:rsidR="00B628FF" w:rsidRDefault="005B2D2F">
            <w:pPr>
              <w:pStyle w:val="SummaryMeasureTitlewithTheme"/>
            </w:pPr>
            <w:r>
              <w:t>Attorney‑General</w:t>
            </w:r>
            <w:r w:rsidR="00B31B37">
              <w:t>’</w:t>
            </w:r>
            <w:r>
              <w:t>s Portfolio – additional resourcing</w:t>
            </w:r>
          </w:p>
        </w:tc>
        <w:tc>
          <w:tcPr>
            <w:tcW w:w="850" w:type="dxa"/>
            <w:vAlign w:val="bottom"/>
          </w:tcPr>
          <w:p w14:paraId="168409AA" w14:textId="1C130959" w:rsidR="00B628FF" w:rsidRDefault="00B31B37">
            <w:pPr>
              <w:pStyle w:val="Summarytabletextrightaligned"/>
            </w:pPr>
            <w:r>
              <w:noBreakHyphen/>
            </w:r>
          </w:p>
        </w:tc>
        <w:tc>
          <w:tcPr>
            <w:tcW w:w="850" w:type="dxa"/>
            <w:shd w:val="clear" w:color="auto" w:fill="E6F2FF"/>
            <w:vAlign w:val="bottom"/>
          </w:tcPr>
          <w:p w14:paraId="62737202" w14:textId="77777777" w:rsidR="00B628FF" w:rsidRDefault="005B2D2F">
            <w:pPr>
              <w:pStyle w:val="Summarytabletextrightaligned"/>
            </w:pPr>
            <w:r>
              <w:t>1.5</w:t>
            </w:r>
          </w:p>
        </w:tc>
        <w:tc>
          <w:tcPr>
            <w:tcW w:w="850" w:type="dxa"/>
            <w:vAlign w:val="bottom"/>
          </w:tcPr>
          <w:p w14:paraId="01E999DC" w14:textId="2054AF76" w:rsidR="00B628FF" w:rsidRDefault="00B31B37">
            <w:pPr>
              <w:pStyle w:val="Summarytabletextrightaligned"/>
            </w:pPr>
            <w:r>
              <w:noBreakHyphen/>
            </w:r>
          </w:p>
        </w:tc>
        <w:tc>
          <w:tcPr>
            <w:tcW w:w="850" w:type="dxa"/>
            <w:vAlign w:val="bottom"/>
          </w:tcPr>
          <w:p w14:paraId="79C04C4F" w14:textId="71293996" w:rsidR="00B628FF" w:rsidRDefault="00B31B37">
            <w:pPr>
              <w:pStyle w:val="Summarytabletextrightaligned"/>
            </w:pPr>
            <w:r>
              <w:noBreakHyphen/>
            </w:r>
          </w:p>
        </w:tc>
        <w:tc>
          <w:tcPr>
            <w:tcW w:w="850" w:type="dxa"/>
            <w:vAlign w:val="bottom"/>
          </w:tcPr>
          <w:p w14:paraId="613C662A" w14:textId="078BB497" w:rsidR="00B628FF" w:rsidRDefault="00B31B37">
            <w:pPr>
              <w:pStyle w:val="Summarytabletextrightaligned"/>
            </w:pPr>
            <w:r>
              <w:noBreakHyphen/>
            </w:r>
          </w:p>
        </w:tc>
      </w:tr>
      <w:tr w:rsidR="00B628FF" w14:paraId="576CB576" w14:textId="77777777" w:rsidTr="5FA307DC">
        <w:tc>
          <w:tcPr>
            <w:tcW w:w="3471" w:type="dxa"/>
            <w:vAlign w:val="bottom"/>
          </w:tcPr>
          <w:p w14:paraId="55287621" w14:textId="77777777" w:rsidR="00B628FF" w:rsidRDefault="005B2D2F">
            <w:pPr>
              <w:pStyle w:val="SummaryAgencyTitle-BP2"/>
            </w:pPr>
            <w:r>
              <w:t>Office of the Director of Public Prosecutions</w:t>
            </w:r>
          </w:p>
        </w:tc>
        <w:tc>
          <w:tcPr>
            <w:tcW w:w="850" w:type="dxa"/>
          </w:tcPr>
          <w:p w14:paraId="0C48AC14" w14:textId="77777777" w:rsidR="00B628FF" w:rsidRDefault="00B628FF">
            <w:pPr>
              <w:pStyle w:val="SummaryAgencyTitle-BP2"/>
            </w:pPr>
          </w:p>
        </w:tc>
        <w:tc>
          <w:tcPr>
            <w:tcW w:w="850" w:type="dxa"/>
            <w:shd w:val="clear" w:color="auto" w:fill="E6F2FF"/>
          </w:tcPr>
          <w:p w14:paraId="5AFE37CE" w14:textId="77777777" w:rsidR="00B628FF" w:rsidRDefault="00B628FF">
            <w:pPr>
              <w:pStyle w:val="SummaryAgencyTitle-BP2"/>
            </w:pPr>
          </w:p>
        </w:tc>
        <w:tc>
          <w:tcPr>
            <w:tcW w:w="850" w:type="dxa"/>
          </w:tcPr>
          <w:p w14:paraId="65AFD10B" w14:textId="77777777" w:rsidR="00B628FF" w:rsidRDefault="00B628FF">
            <w:pPr>
              <w:pStyle w:val="SummaryAgencyTitle-BP2"/>
            </w:pPr>
          </w:p>
        </w:tc>
        <w:tc>
          <w:tcPr>
            <w:tcW w:w="850" w:type="dxa"/>
          </w:tcPr>
          <w:p w14:paraId="24F392D3" w14:textId="77777777" w:rsidR="00B628FF" w:rsidRDefault="00B628FF">
            <w:pPr>
              <w:pStyle w:val="SummaryAgencyTitle-BP2"/>
            </w:pPr>
          </w:p>
        </w:tc>
        <w:tc>
          <w:tcPr>
            <w:tcW w:w="850" w:type="dxa"/>
          </w:tcPr>
          <w:p w14:paraId="2F547DD9" w14:textId="77777777" w:rsidR="00B628FF" w:rsidRDefault="00B628FF">
            <w:pPr>
              <w:pStyle w:val="SummaryAgencyTitle-BP2"/>
            </w:pPr>
          </w:p>
        </w:tc>
      </w:tr>
      <w:tr w:rsidR="00B628FF" w14:paraId="38CE0DA1" w14:textId="77777777" w:rsidTr="5FA307DC">
        <w:tc>
          <w:tcPr>
            <w:tcW w:w="3471" w:type="dxa"/>
            <w:vAlign w:val="bottom"/>
          </w:tcPr>
          <w:p w14:paraId="007A6296" w14:textId="7FCBBD22" w:rsidR="00B628FF" w:rsidRDefault="005B2D2F">
            <w:pPr>
              <w:pStyle w:val="SummaryMeasureTitlewithTheme"/>
            </w:pPr>
            <w:r>
              <w:t>Attorney‑General</w:t>
            </w:r>
            <w:r w:rsidR="00B31B37">
              <w:t>’</w:t>
            </w:r>
            <w:r>
              <w:t>s Portfolio – additional resourcing</w:t>
            </w:r>
          </w:p>
        </w:tc>
        <w:tc>
          <w:tcPr>
            <w:tcW w:w="850" w:type="dxa"/>
            <w:vAlign w:val="bottom"/>
          </w:tcPr>
          <w:p w14:paraId="7224CB7D" w14:textId="14376CD1" w:rsidR="00B628FF" w:rsidRDefault="00B31B37">
            <w:pPr>
              <w:pStyle w:val="Summarytabletextrightaligned"/>
            </w:pPr>
            <w:r>
              <w:noBreakHyphen/>
            </w:r>
          </w:p>
        </w:tc>
        <w:tc>
          <w:tcPr>
            <w:tcW w:w="850" w:type="dxa"/>
            <w:shd w:val="clear" w:color="auto" w:fill="E6F2FF"/>
            <w:vAlign w:val="bottom"/>
          </w:tcPr>
          <w:p w14:paraId="089F60B1" w14:textId="77777777" w:rsidR="00B628FF" w:rsidRDefault="005B2D2F">
            <w:pPr>
              <w:pStyle w:val="Summarytabletextrightaligned"/>
            </w:pPr>
            <w:r>
              <w:t>3.5</w:t>
            </w:r>
          </w:p>
        </w:tc>
        <w:tc>
          <w:tcPr>
            <w:tcW w:w="850" w:type="dxa"/>
            <w:vAlign w:val="bottom"/>
          </w:tcPr>
          <w:p w14:paraId="654D2311" w14:textId="649B959C" w:rsidR="00B628FF" w:rsidRDefault="00B31B37">
            <w:pPr>
              <w:pStyle w:val="Summarytabletextrightaligned"/>
            </w:pPr>
            <w:r>
              <w:noBreakHyphen/>
            </w:r>
          </w:p>
        </w:tc>
        <w:tc>
          <w:tcPr>
            <w:tcW w:w="850" w:type="dxa"/>
            <w:vAlign w:val="bottom"/>
          </w:tcPr>
          <w:p w14:paraId="5B4728ED" w14:textId="60280A13" w:rsidR="00B628FF" w:rsidRDefault="00B31B37">
            <w:pPr>
              <w:pStyle w:val="Summarytabletextrightaligned"/>
            </w:pPr>
            <w:r>
              <w:noBreakHyphen/>
            </w:r>
          </w:p>
        </w:tc>
        <w:tc>
          <w:tcPr>
            <w:tcW w:w="850" w:type="dxa"/>
            <w:vAlign w:val="bottom"/>
          </w:tcPr>
          <w:p w14:paraId="53F9FF90" w14:textId="4E47F313" w:rsidR="00B628FF" w:rsidRDefault="00B31B37">
            <w:pPr>
              <w:pStyle w:val="Summarytabletextrightaligned"/>
            </w:pPr>
            <w:r>
              <w:noBreakHyphen/>
            </w:r>
          </w:p>
        </w:tc>
      </w:tr>
      <w:tr w:rsidR="00B628FF" w14:paraId="24C1DF39" w14:textId="77777777" w:rsidTr="5FA307DC">
        <w:tc>
          <w:tcPr>
            <w:tcW w:w="3471" w:type="dxa"/>
            <w:vAlign w:val="bottom"/>
          </w:tcPr>
          <w:p w14:paraId="53EDBCEB" w14:textId="77777777" w:rsidR="00B628FF" w:rsidRDefault="005B2D2F">
            <w:pPr>
              <w:pStyle w:val="SummaryMeasureTitlewithTheme"/>
            </w:pPr>
            <w:r>
              <w:t>Illicit Tobacco Compliance and Enforcement Package – direct and targeted enforcement to counter profits from illicit tobacco</w:t>
            </w:r>
          </w:p>
        </w:tc>
        <w:tc>
          <w:tcPr>
            <w:tcW w:w="850" w:type="dxa"/>
            <w:vAlign w:val="bottom"/>
          </w:tcPr>
          <w:p w14:paraId="62755EA2" w14:textId="28DFA0A9" w:rsidR="00B628FF" w:rsidRDefault="00B31B37">
            <w:pPr>
              <w:pStyle w:val="Summarytabletextrightaligned"/>
            </w:pPr>
            <w:r>
              <w:noBreakHyphen/>
            </w:r>
          </w:p>
        </w:tc>
        <w:tc>
          <w:tcPr>
            <w:tcW w:w="850" w:type="dxa"/>
            <w:shd w:val="clear" w:color="auto" w:fill="E6F2FF"/>
            <w:vAlign w:val="bottom"/>
          </w:tcPr>
          <w:p w14:paraId="4BBC4FD5" w14:textId="77777777" w:rsidR="00B628FF" w:rsidRDefault="005B2D2F">
            <w:pPr>
              <w:pStyle w:val="Summarytabletextrightaligned"/>
            </w:pPr>
            <w:r>
              <w:t>2.2</w:t>
            </w:r>
          </w:p>
        </w:tc>
        <w:tc>
          <w:tcPr>
            <w:tcW w:w="850" w:type="dxa"/>
            <w:vAlign w:val="bottom"/>
          </w:tcPr>
          <w:p w14:paraId="124F7633" w14:textId="77777777" w:rsidR="00B628FF" w:rsidRDefault="005B2D2F">
            <w:pPr>
              <w:pStyle w:val="Summarytabletextrightaligned"/>
            </w:pPr>
            <w:r>
              <w:t>2.3</w:t>
            </w:r>
          </w:p>
        </w:tc>
        <w:tc>
          <w:tcPr>
            <w:tcW w:w="850" w:type="dxa"/>
            <w:vAlign w:val="bottom"/>
          </w:tcPr>
          <w:p w14:paraId="0D763183" w14:textId="2EC7BCFA" w:rsidR="00B628FF" w:rsidRDefault="00B31B37">
            <w:pPr>
              <w:pStyle w:val="Summarytabletextrightaligned"/>
            </w:pPr>
            <w:r>
              <w:noBreakHyphen/>
            </w:r>
          </w:p>
        </w:tc>
        <w:tc>
          <w:tcPr>
            <w:tcW w:w="850" w:type="dxa"/>
            <w:vAlign w:val="bottom"/>
          </w:tcPr>
          <w:p w14:paraId="0A561DCC" w14:textId="66A16B72" w:rsidR="00B628FF" w:rsidRDefault="00B31B37">
            <w:pPr>
              <w:pStyle w:val="Summarytabletextrightaligned"/>
            </w:pPr>
            <w:r>
              <w:noBreakHyphen/>
            </w:r>
          </w:p>
        </w:tc>
      </w:tr>
      <w:tr w:rsidR="00B628FF" w14:paraId="1BC6FF0C" w14:textId="77777777" w:rsidTr="5FA307DC">
        <w:tc>
          <w:tcPr>
            <w:tcW w:w="3471" w:type="dxa"/>
            <w:vAlign w:val="bottom"/>
          </w:tcPr>
          <w:p w14:paraId="3C9D4574" w14:textId="77777777" w:rsidR="00B628FF" w:rsidRDefault="005B2D2F">
            <w:pPr>
              <w:pStyle w:val="SummaryMeasureTitlewithTheme"/>
            </w:pPr>
            <w:r>
              <w:t>Supporting Border Security(b)</w:t>
            </w:r>
          </w:p>
        </w:tc>
        <w:tc>
          <w:tcPr>
            <w:tcW w:w="850" w:type="dxa"/>
            <w:vAlign w:val="bottom"/>
          </w:tcPr>
          <w:p w14:paraId="787E525F" w14:textId="015C698A" w:rsidR="00B628FF" w:rsidRDefault="00B31B37">
            <w:pPr>
              <w:pStyle w:val="Summarytabletextrightaligned"/>
            </w:pPr>
            <w:r>
              <w:noBreakHyphen/>
            </w:r>
          </w:p>
        </w:tc>
        <w:tc>
          <w:tcPr>
            <w:tcW w:w="850" w:type="dxa"/>
            <w:shd w:val="clear" w:color="auto" w:fill="E6F2FF"/>
            <w:vAlign w:val="bottom"/>
          </w:tcPr>
          <w:p w14:paraId="212B018C" w14:textId="77777777" w:rsidR="00B628FF" w:rsidRDefault="005B2D2F">
            <w:pPr>
              <w:pStyle w:val="Summarytabletextrightaligned"/>
            </w:pPr>
            <w:r>
              <w:t>4.1</w:t>
            </w:r>
          </w:p>
        </w:tc>
        <w:tc>
          <w:tcPr>
            <w:tcW w:w="850" w:type="dxa"/>
            <w:vAlign w:val="bottom"/>
          </w:tcPr>
          <w:p w14:paraId="09E7153B" w14:textId="0ECEC88D" w:rsidR="00B628FF" w:rsidRDefault="00B31B37">
            <w:pPr>
              <w:pStyle w:val="Summarytabletextrightaligned"/>
            </w:pPr>
            <w:r>
              <w:noBreakHyphen/>
            </w:r>
          </w:p>
        </w:tc>
        <w:tc>
          <w:tcPr>
            <w:tcW w:w="850" w:type="dxa"/>
            <w:vAlign w:val="bottom"/>
          </w:tcPr>
          <w:p w14:paraId="012622D9" w14:textId="00EC2E2C" w:rsidR="00B628FF" w:rsidRDefault="00B31B37">
            <w:pPr>
              <w:pStyle w:val="Summarytabletextrightaligned"/>
            </w:pPr>
            <w:r>
              <w:noBreakHyphen/>
            </w:r>
          </w:p>
        </w:tc>
        <w:tc>
          <w:tcPr>
            <w:tcW w:w="850" w:type="dxa"/>
            <w:vAlign w:val="bottom"/>
          </w:tcPr>
          <w:p w14:paraId="2F138AF7" w14:textId="396C293D" w:rsidR="00B628FF" w:rsidRDefault="00B31B37">
            <w:pPr>
              <w:pStyle w:val="Summarytabletextrightaligned"/>
            </w:pPr>
            <w:r>
              <w:noBreakHyphen/>
            </w:r>
          </w:p>
        </w:tc>
      </w:tr>
      <w:tr w:rsidR="00B628FF" w14:paraId="715443F1" w14:textId="77777777" w:rsidTr="5FA307DC">
        <w:tc>
          <w:tcPr>
            <w:tcW w:w="3471" w:type="dxa"/>
            <w:vAlign w:val="bottom"/>
          </w:tcPr>
          <w:p w14:paraId="3C33421E" w14:textId="77777777" w:rsidR="00B628FF" w:rsidRDefault="005B2D2F">
            <w:pPr>
              <w:pStyle w:val="SummaryAgencyTitle-BP2"/>
            </w:pPr>
            <w:r>
              <w:t>Office of the Special Investigator</w:t>
            </w:r>
          </w:p>
        </w:tc>
        <w:tc>
          <w:tcPr>
            <w:tcW w:w="850" w:type="dxa"/>
          </w:tcPr>
          <w:p w14:paraId="157C576C" w14:textId="77777777" w:rsidR="00B628FF" w:rsidRDefault="00B628FF">
            <w:pPr>
              <w:pStyle w:val="SummaryAgencyTitle-BP2"/>
            </w:pPr>
          </w:p>
        </w:tc>
        <w:tc>
          <w:tcPr>
            <w:tcW w:w="850" w:type="dxa"/>
            <w:shd w:val="clear" w:color="auto" w:fill="E6F2FF"/>
          </w:tcPr>
          <w:p w14:paraId="5E329636" w14:textId="77777777" w:rsidR="00B628FF" w:rsidRDefault="00B628FF">
            <w:pPr>
              <w:pStyle w:val="SummaryAgencyTitle-BP2"/>
            </w:pPr>
          </w:p>
        </w:tc>
        <w:tc>
          <w:tcPr>
            <w:tcW w:w="850" w:type="dxa"/>
          </w:tcPr>
          <w:p w14:paraId="55B97680" w14:textId="77777777" w:rsidR="00B628FF" w:rsidRDefault="00B628FF">
            <w:pPr>
              <w:pStyle w:val="SummaryAgencyTitle-BP2"/>
            </w:pPr>
          </w:p>
        </w:tc>
        <w:tc>
          <w:tcPr>
            <w:tcW w:w="850" w:type="dxa"/>
          </w:tcPr>
          <w:p w14:paraId="4703E105" w14:textId="77777777" w:rsidR="00B628FF" w:rsidRDefault="00B628FF">
            <w:pPr>
              <w:pStyle w:val="SummaryAgencyTitle-BP2"/>
            </w:pPr>
          </w:p>
        </w:tc>
        <w:tc>
          <w:tcPr>
            <w:tcW w:w="850" w:type="dxa"/>
          </w:tcPr>
          <w:p w14:paraId="7ADC5275" w14:textId="77777777" w:rsidR="00B628FF" w:rsidRDefault="00B628FF">
            <w:pPr>
              <w:pStyle w:val="SummaryAgencyTitle-BP2"/>
            </w:pPr>
          </w:p>
        </w:tc>
      </w:tr>
      <w:tr w:rsidR="00B628FF" w14:paraId="04F92307" w14:textId="77777777" w:rsidTr="5FA307DC">
        <w:tc>
          <w:tcPr>
            <w:tcW w:w="3471" w:type="dxa"/>
            <w:vAlign w:val="bottom"/>
          </w:tcPr>
          <w:p w14:paraId="48BF750D" w14:textId="66E47DD0" w:rsidR="00B628FF" w:rsidRDefault="005B2D2F">
            <w:pPr>
              <w:pStyle w:val="SummaryMeasureTitlewithTheme"/>
            </w:pPr>
            <w:r>
              <w:t>Attorney‑General</w:t>
            </w:r>
            <w:r w:rsidR="00B31B37">
              <w:t>’</w:t>
            </w:r>
            <w:r>
              <w:t>s Portfolio – additional resourcing</w:t>
            </w:r>
          </w:p>
        </w:tc>
        <w:tc>
          <w:tcPr>
            <w:tcW w:w="850" w:type="dxa"/>
            <w:vAlign w:val="bottom"/>
          </w:tcPr>
          <w:p w14:paraId="73FA6157" w14:textId="39A22EB2" w:rsidR="00B628FF" w:rsidRDefault="00B31B37">
            <w:pPr>
              <w:pStyle w:val="Summarytabletextrightaligned"/>
            </w:pPr>
            <w:r>
              <w:noBreakHyphen/>
            </w:r>
            <w:r w:rsidR="005B2D2F">
              <w:t>12.5</w:t>
            </w:r>
          </w:p>
        </w:tc>
        <w:tc>
          <w:tcPr>
            <w:tcW w:w="850" w:type="dxa"/>
            <w:shd w:val="clear" w:color="auto" w:fill="E6F2FF"/>
            <w:vAlign w:val="bottom"/>
          </w:tcPr>
          <w:p w14:paraId="67753CD7" w14:textId="77777777" w:rsidR="00B628FF" w:rsidRDefault="005B2D2F">
            <w:pPr>
              <w:pStyle w:val="Summarytabletextrightaligned"/>
            </w:pPr>
            <w:r>
              <w:t>47.5</w:t>
            </w:r>
          </w:p>
        </w:tc>
        <w:tc>
          <w:tcPr>
            <w:tcW w:w="850" w:type="dxa"/>
            <w:vAlign w:val="bottom"/>
          </w:tcPr>
          <w:p w14:paraId="17ABF639" w14:textId="22338EFD" w:rsidR="00B628FF" w:rsidRDefault="00B31B37">
            <w:pPr>
              <w:pStyle w:val="Summarytabletextrightaligned"/>
            </w:pPr>
            <w:r>
              <w:noBreakHyphen/>
            </w:r>
          </w:p>
        </w:tc>
        <w:tc>
          <w:tcPr>
            <w:tcW w:w="850" w:type="dxa"/>
            <w:vAlign w:val="bottom"/>
          </w:tcPr>
          <w:p w14:paraId="3B11B4AF" w14:textId="5FAF4582" w:rsidR="00B628FF" w:rsidRDefault="00B31B37">
            <w:pPr>
              <w:pStyle w:val="Summarytabletextrightaligned"/>
            </w:pPr>
            <w:r>
              <w:noBreakHyphen/>
            </w:r>
          </w:p>
        </w:tc>
        <w:tc>
          <w:tcPr>
            <w:tcW w:w="850" w:type="dxa"/>
            <w:vAlign w:val="bottom"/>
          </w:tcPr>
          <w:p w14:paraId="314D7E75" w14:textId="48BD3503" w:rsidR="00B628FF" w:rsidRDefault="00B31B37">
            <w:pPr>
              <w:pStyle w:val="Summarytabletextrightaligned"/>
            </w:pPr>
            <w:r>
              <w:noBreakHyphen/>
            </w:r>
          </w:p>
        </w:tc>
      </w:tr>
      <w:tr w:rsidR="00B628FF" w14:paraId="1BC6FF4A" w14:textId="77777777" w:rsidTr="5FA307DC">
        <w:tc>
          <w:tcPr>
            <w:tcW w:w="3471" w:type="dxa"/>
            <w:vAlign w:val="bottom"/>
          </w:tcPr>
          <w:p w14:paraId="64C172D2" w14:textId="77777777" w:rsidR="00B628FF" w:rsidRDefault="005B2D2F">
            <w:pPr>
              <w:pStyle w:val="Summarytabletextleftalignedbold"/>
            </w:pPr>
            <w:r>
              <w:t>Portfolio total</w:t>
            </w:r>
          </w:p>
        </w:tc>
        <w:tc>
          <w:tcPr>
            <w:tcW w:w="850" w:type="dxa"/>
            <w:tcBorders>
              <w:top w:val="single" w:sz="4" w:space="0" w:color="000000" w:themeColor="text1"/>
              <w:bottom w:val="single" w:sz="4" w:space="0" w:color="000000" w:themeColor="text1"/>
            </w:tcBorders>
            <w:vAlign w:val="bottom"/>
          </w:tcPr>
          <w:p w14:paraId="6C5ED3BA" w14:textId="428657E8" w:rsidR="00B628FF" w:rsidRDefault="00B31B37">
            <w:pPr>
              <w:pStyle w:val="Summarytabletextrightalignedbold"/>
            </w:pPr>
            <w:r>
              <w:noBreakHyphen/>
            </w:r>
            <w:r w:rsidR="005B2D2F">
              <w:t>1.1</w:t>
            </w:r>
          </w:p>
        </w:tc>
        <w:tc>
          <w:tcPr>
            <w:tcW w:w="850" w:type="dxa"/>
            <w:tcBorders>
              <w:top w:val="single" w:sz="4" w:space="0" w:color="000000" w:themeColor="text1"/>
              <w:bottom w:val="single" w:sz="4" w:space="0" w:color="000000" w:themeColor="text1"/>
            </w:tcBorders>
            <w:shd w:val="clear" w:color="auto" w:fill="E6F2FF"/>
            <w:vAlign w:val="bottom"/>
          </w:tcPr>
          <w:p w14:paraId="0CED86ED" w14:textId="77777777" w:rsidR="00B628FF" w:rsidRDefault="005B2D2F">
            <w:pPr>
              <w:pStyle w:val="Summarytabletextrightalignedbold"/>
            </w:pPr>
            <w:r>
              <w:t>214.3</w:t>
            </w:r>
          </w:p>
        </w:tc>
        <w:tc>
          <w:tcPr>
            <w:tcW w:w="850" w:type="dxa"/>
            <w:tcBorders>
              <w:top w:val="single" w:sz="4" w:space="0" w:color="000000" w:themeColor="text1"/>
              <w:bottom w:val="single" w:sz="4" w:space="0" w:color="000000" w:themeColor="text1"/>
            </w:tcBorders>
            <w:vAlign w:val="bottom"/>
          </w:tcPr>
          <w:p w14:paraId="0F5DEB6C" w14:textId="77777777" w:rsidR="00B628FF" w:rsidRDefault="005B2D2F">
            <w:pPr>
              <w:pStyle w:val="Summarytabletextrightalignedbold"/>
            </w:pPr>
            <w:r>
              <w:t>38.8</w:t>
            </w:r>
          </w:p>
        </w:tc>
        <w:tc>
          <w:tcPr>
            <w:tcW w:w="850" w:type="dxa"/>
            <w:tcBorders>
              <w:top w:val="single" w:sz="4" w:space="0" w:color="000000" w:themeColor="text1"/>
              <w:bottom w:val="single" w:sz="4" w:space="0" w:color="000000" w:themeColor="text1"/>
            </w:tcBorders>
            <w:vAlign w:val="bottom"/>
          </w:tcPr>
          <w:p w14:paraId="211D3FFD" w14:textId="77777777" w:rsidR="00B628FF" w:rsidRDefault="005B2D2F">
            <w:pPr>
              <w:pStyle w:val="Summarytabletextrightalignedbold"/>
            </w:pPr>
            <w:r>
              <w:t>3.5</w:t>
            </w:r>
          </w:p>
        </w:tc>
        <w:tc>
          <w:tcPr>
            <w:tcW w:w="850" w:type="dxa"/>
            <w:tcBorders>
              <w:top w:val="single" w:sz="4" w:space="0" w:color="000000" w:themeColor="text1"/>
              <w:bottom w:val="single" w:sz="4" w:space="0" w:color="000000" w:themeColor="text1"/>
            </w:tcBorders>
            <w:vAlign w:val="bottom"/>
          </w:tcPr>
          <w:p w14:paraId="7A2C97C3" w14:textId="77777777" w:rsidR="00B628FF" w:rsidRDefault="005B2D2F">
            <w:pPr>
              <w:pStyle w:val="Summarytabletextrightalignedbold"/>
            </w:pPr>
            <w:r>
              <w:t>2.4</w:t>
            </w:r>
          </w:p>
        </w:tc>
      </w:tr>
      <w:tr w:rsidR="00B628FF" w14:paraId="1A73EC1F" w14:textId="77777777" w:rsidTr="5FA307DC">
        <w:tc>
          <w:tcPr>
            <w:tcW w:w="3471" w:type="dxa"/>
            <w:vAlign w:val="bottom"/>
          </w:tcPr>
          <w:p w14:paraId="3C3C7FA4" w14:textId="77777777" w:rsidR="00B628FF" w:rsidRDefault="005B2D2F">
            <w:pPr>
              <w:pStyle w:val="SummaryPortfolioTitle-BP2"/>
            </w:pPr>
            <w:r>
              <w:t>CLIMATE CHANGE, ENERGY, THE ENVIRONMENT AND WATER</w:t>
            </w:r>
          </w:p>
        </w:tc>
        <w:tc>
          <w:tcPr>
            <w:tcW w:w="850" w:type="dxa"/>
          </w:tcPr>
          <w:p w14:paraId="77F99489" w14:textId="77777777" w:rsidR="00B628FF" w:rsidRDefault="00B628FF">
            <w:pPr>
              <w:pStyle w:val="MeasureTableTextRightAlignedBefore6ptAfter1pt"/>
            </w:pPr>
          </w:p>
        </w:tc>
        <w:tc>
          <w:tcPr>
            <w:tcW w:w="850" w:type="dxa"/>
            <w:shd w:val="clear" w:color="auto" w:fill="E6F2FF"/>
          </w:tcPr>
          <w:p w14:paraId="3CC4436E" w14:textId="77777777" w:rsidR="00B628FF" w:rsidRDefault="00B628FF">
            <w:pPr>
              <w:pStyle w:val="MeasureTableTextRightAlignedBefore6ptAfter1pt"/>
            </w:pPr>
          </w:p>
        </w:tc>
        <w:tc>
          <w:tcPr>
            <w:tcW w:w="850" w:type="dxa"/>
          </w:tcPr>
          <w:p w14:paraId="505BAFF2" w14:textId="77777777" w:rsidR="00B628FF" w:rsidRDefault="00B628FF">
            <w:pPr>
              <w:pStyle w:val="MeasureTableTextRightAlignedBefore6ptAfter1pt"/>
            </w:pPr>
          </w:p>
        </w:tc>
        <w:tc>
          <w:tcPr>
            <w:tcW w:w="850" w:type="dxa"/>
          </w:tcPr>
          <w:p w14:paraId="6879C0B6" w14:textId="77777777" w:rsidR="00B628FF" w:rsidRDefault="00B628FF">
            <w:pPr>
              <w:pStyle w:val="MeasureTableTextRightAlignedBefore6ptAfter1pt"/>
            </w:pPr>
          </w:p>
        </w:tc>
        <w:tc>
          <w:tcPr>
            <w:tcW w:w="850" w:type="dxa"/>
          </w:tcPr>
          <w:p w14:paraId="21E2F23E" w14:textId="77777777" w:rsidR="00B628FF" w:rsidRDefault="00B628FF">
            <w:pPr>
              <w:pStyle w:val="MeasureTableTextRightAlignedBefore6ptAfter1pt"/>
            </w:pPr>
          </w:p>
        </w:tc>
      </w:tr>
      <w:tr w:rsidR="00B628FF" w14:paraId="6DB4AC60" w14:textId="77777777" w:rsidTr="5FA307DC">
        <w:tc>
          <w:tcPr>
            <w:tcW w:w="3471" w:type="dxa"/>
            <w:vAlign w:val="bottom"/>
          </w:tcPr>
          <w:p w14:paraId="6C36328E" w14:textId="77777777" w:rsidR="00B628FF" w:rsidRDefault="005B2D2F">
            <w:pPr>
              <w:pStyle w:val="SummaryAgencyTitle-BP2"/>
            </w:pPr>
            <w:r>
              <w:t>Clean Energy Finance Corporation</w:t>
            </w:r>
          </w:p>
        </w:tc>
        <w:tc>
          <w:tcPr>
            <w:tcW w:w="850" w:type="dxa"/>
          </w:tcPr>
          <w:p w14:paraId="763E74DB" w14:textId="77777777" w:rsidR="00B628FF" w:rsidRDefault="00B628FF">
            <w:pPr>
              <w:pStyle w:val="SummaryAgencyTitle-BP2"/>
            </w:pPr>
          </w:p>
        </w:tc>
        <w:tc>
          <w:tcPr>
            <w:tcW w:w="850" w:type="dxa"/>
            <w:shd w:val="clear" w:color="auto" w:fill="E6F2FF"/>
          </w:tcPr>
          <w:p w14:paraId="5515FEC0" w14:textId="77777777" w:rsidR="00B628FF" w:rsidRDefault="00B628FF">
            <w:pPr>
              <w:pStyle w:val="SummaryAgencyTitle-BP2"/>
            </w:pPr>
          </w:p>
        </w:tc>
        <w:tc>
          <w:tcPr>
            <w:tcW w:w="850" w:type="dxa"/>
          </w:tcPr>
          <w:p w14:paraId="47DAFC11" w14:textId="77777777" w:rsidR="00B628FF" w:rsidRDefault="00B628FF">
            <w:pPr>
              <w:pStyle w:val="SummaryAgencyTitle-BP2"/>
            </w:pPr>
          </w:p>
        </w:tc>
        <w:tc>
          <w:tcPr>
            <w:tcW w:w="850" w:type="dxa"/>
          </w:tcPr>
          <w:p w14:paraId="3704FCBB" w14:textId="77777777" w:rsidR="00B628FF" w:rsidRDefault="00B628FF">
            <w:pPr>
              <w:pStyle w:val="SummaryAgencyTitle-BP2"/>
            </w:pPr>
          </w:p>
        </w:tc>
        <w:tc>
          <w:tcPr>
            <w:tcW w:w="850" w:type="dxa"/>
          </w:tcPr>
          <w:p w14:paraId="556062A1" w14:textId="77777777" w:rsidR="00B628FF" w:rsidRDefault="00B628FF">
            <w:pPr>
              <w:pStyle w:val="SummaryAgencyTitle-BP2"/>
            </w:pPr>
          </w:p>
        </w:tc>
      </w:tr>
      <w:tr w:rsidR="00B628FF" w14:paraId="18945B99" w14:textId="77777777" w:rsidTr="5FA307DC">
        <w:tc>
          <w:tcPr>
            <w:tcW w:w="3471" w:type="dxa"/>
            <w:vAlign w:val="bottom"/>
          </w:tcPr>
          <w:p w14:paraId="4745E2AC" w14:textId="77777777" w:rsidR="00B628FF" w:rsidRDefault="005B2D2F">
            <w:pPr>
              <w:pStyle w:val="SummaryMeasureTitlewithTheme"/>
            </w:pPr>
            <w:r>
              <w:t>Strengthening the Clean Energy Finance Corporation(b)</w:t>
            </w:r>
          </w:p>
        </w:tc>
        <w:tc>
          <w:tcPr>
            <w:tcW w:w="850" w:type="dxa"/>
            <w:vAlign w:val="bottom"/>
          </w:tcPr>
          <w:p w14:paraId="5F15CDCE" w14:textId="5DDDBF13" w:rsidR="00B628FF" w:rsidRDefault="00B31B37">
            <w:pPr>
              <w:pStyle w:val="Summarytabletextrightaligned"/>
            </w:pPr>
            <w:r>
              <w:noBreakHyphen/>
            </w:r>
          </w:p>
        </w:tc>
        <w:tc>
          <w:tcPr>
            <w:tcW w:w="850" w:type="dxa"/>
            <w:shd w:val="clear" w:color="auto" w:fill="E6F2FF"/>
            <w:vAlign w:val="bottom"/>
          </w:tcPr>
          <w:p w14:paraId="62853233" w14:textId="2DC03333" w:rsidR="00B628FF" w:rsidRDefault="00B31B37">
            <w:pPr>
              <w:pStyle w:val="Summarytabletextrightaligned"/>
            </w:pPr>
            <w:r>
              <w:noBreakHyphen/>
            </w:r>
          </w:p>
        </w:tc>
        <w:tc>
          <w:tcPr>
            <w:tcW w:w="850" w:type="dxa"/>
            <w:vAlign w:val="bottom"/>
          </w:tcPr>
          <w:p w14:paraId="2AE3AA9E" w14:textId="5651EC8D" w:rsidR="00B628FF" w:rsidRDefault="00B31B37">
            <w:pPr>
              <w:pStyle w:val="Summarytabletextrightaligned"/>
            </w:pPr>
            <w:r>
              <w:noBreakHyphen/>
            </w:r>
          </w:p>
        </w:tc>
        <w:tc>
          <w:tcPr>
            <w:tcW w:w="850" w:type="dxa"/>
            <w:vAlign w:val="bottom"/>
          </w:tcPr>
          <w:p w14:paraId="7B152BF0" w14:textId="56F87554" w:rsidR="00B628FF" w:rsidRDefault="00B31B37">
            <w:pPr>
              <w:pStyle w:val="Summarytabletextrightaligned"/>
            </w:pPr>
            <w:r>
              <w:noBreakHyphen/>
            </w:r>
          </w:p>
        </w:tc>
        <w:tc>
          <w:tcPr>
            <w:tcW w:w="850" w:type="dxa"/>
            <w:vAlign w:val="bottom"/>
          </w:tcPr>
          <w:p w14:paraId="76438D65" w14:textId="3E726A74" w:rsidR="00B628FF" w:rsidRDefault="00B31B37">
            <w:pPr>
              <w:pStyle w:val="Summarytabletextrightaligned"/>
            </w:pPr>
            <w:r>
              <w:noBreakHyphen/>
            </w:r>
          </w:p>
        </w:tc>
      </w:tr>
      <w:tr w:rsidR="00B628FF" w14:paraId="1819BEDC" w14:textId="77777777" w:rsidTr="5FA307DC">
        <w:tc>
          <w:tcPr>
            <w:tcW w:w="3471" w:type="dxa"/>
            <w:vAlign w:val="bottom"/>
          </w:tcPr>
          <w:p w14:paraId="0E8AB275" w14:textId="77777777" w:rsidR="00B628FF" w:rsidRDefault="005B2D2F">
            <w:pPr>
              <w:pStyle w:val="SummaryAgencyTitle-BP2"/>
            </w:pPr>
            <w:r>
              <w:t>Department of Climate Change, Energy, the Environment and Water</w:t>
            </w:r>
          </w:p>
        </w:tc>
        <w:tc>
          <w:tcPr>
            <w:tcW w:w="850" w:type="dxa"/>
          </w:tcPr>
          <w:p w14:paraId="79ECFCFB" w14:textId="77777777" w:rsidR="00B628FF" w:rsidRDefault="00B628FF">
            <w:pPr>
              <w:pStyle w:val="SummaryAgencyTitle-BP2"/>
            </w:pPr>
          </w:p>
        </w:tc>
        <w:tc>
          <w:tcPr>
            <w:tcW w:w="850" w:type="dxa"/>
            <w:shd w:val="clear" w:color="auto" w:fill="E6F2FF"/>
          </w:tcPr>
          <w:p w14:paraId="13B21828" w14:textId="77777777" w:rsidR="00B628FF" w:rsidRDefault="00B628FF">
            <w:pPr>
              <w:pStyle w:val="SummaryAgencyTitle-BP2"/>
            </w:pPr>
          </w:p>
        </w:tc>
        <w:tc>
          <w:tcPr>
            <w:tcW w:w="850" w:type="dxa"/>
          </w:tcPr>
          <w:p w14:paraId="32556A75" w14:textId="77777777" w:rsidR="00B628FF" w:rsidRDefault="00B628FF">
            <w:pPr>
              <w:pStyle w:val="SummaryAgencyTitle-BP2"/>
            </w:pPr>
          </w:p>
        </w:tc>
        <w:tc>
          <w:tcPr>
            <w:tcW w:w="850" w:type="dxa"/>
          </w:tcPr>
          <w:p w14:paraId="11E1DFA0" w14:textId="77777777" w:rsidR="00B628FF" w:rsidRDefault="00B628FF">
            <w:pPr>
              <w:pStyle w:val="SummaryAgencyTitle-BP2"/>
            </w:pPr>
          </w:p>
        </w:tc>
        <w:tc>
          <w:tcPr>
            <w:tcW w:w="850" w:type="dxa"/>
          </w:tcPr>
          <w:p w14:paraId="214CBDCA" w14:textId="77777777" w:rsidR="00B628FF" w:rsidRDefault="00B628FF">
            <w:pPr>
              <w:pStyle w:val="SummaryAgencyTitle-BP2"/>
            </w:pPr>
          </w:p>
        </w:tc>
      </w:tr>
      <w:tr w:rsidR="00B628FF" w14:paraId="6301D1A3" w14:textId="77777777" w:rsidTr="5FA307DC">
        <w:tc>
          <w:tcPr>
            <w:tcW w:w="3471" w:type="dxa"/>
            <w:vAlign w:val="bottom"/>
          </w:tcPr>
          <w:p w14:paraId="2EBBB48C" w14:textId="77777777" w:rsidR="00B628FF" w:rsidRDefault="005B2D2F">
            <w:pPr>
              <w:pStyle w:val="SummaryMeasureTitlewithTheme"/>
            </w:pPr>
            <w:r>
              <w:t>Additional Support for the Maugean Skate</w:t>
            </w:r>
          </w:p>
        </w:tc>
        <w:tc>
          <w:tcPr>
            <w:tcW w:w="850" w:type="dxa"/>
            <w:vAlign w:val="bottom"/>
          </w:tcPr>
          <w:p w14:paraId="720A224B" w14:textId="06076EE1" w:rsidR="00B628FF" w:rsidRDefault="00B31B37">
            <w:pPr>
              <w:pStyle w:val="Summarytabletextrightaligned"/>
            </w:pPr>
            <w:r>
              <w:noBreakHyphen/>
            </w:r>
          </w:p>
        </w:tc>
        <w:tc>
          <w:tcPr>
            <w:tcW w:w="850" w:type="dxa"/>
            <w:shd w:val="clear" w:color="auto" w:fill="E6F2FF"/>
            <w:vAlign w:val="bottom"/>
          </w:tcPr>
          <w:p w14:paraId="09D2835F" w14:textId="29804569" w:rsidR="00B628FF" w:rsidRDefault="00B31B37">
            <w:pPr>
              <w:pStyle w:val="Summarytabletextrightaligned"/>
            </w:pPr>
            <w:r>
              <w:noBreakHyphen/>
            </w:r>
            <w:r w:rsidR="005B2D2F">
              <w:t>2.4</w:t>
            </w:r>
          </w:p>
        </w:tc>
        <w:tc>
          <w:tcPr>
            <w:tcW w:w="850" w:type="dxa"/>
            <w:vAlign w:val="bottom"/>
          </w:tcPr>
          <w:p w14:paraId="6C068B2E" w14:textId="77777777" w:rsidR="00B628FF" w:rsidRDefault="005B2D2F">
            <w:pPr>
              <w:pStyle w:val="Summarytabletextrightaligned"/>
            </w:pPr>
            <w:r>
              <w:t>1.0</w:t>
            </w:r>
          </w:p>
        </w:tc>
        <w:tc>
          <w:tcPr>
            <w:tcW w:w="850" w:type="dxa"/>
            <w:vAlign w:val="bottom"/>
          </w:tcPr>
          <w:p w14:paraId="52166257" w14:textId="77777777" w:rsidR="00B628FF" w:rsidRDefault="005B2D2F">
            <w:pPr>
              <w:pStyle w:val="Summarytabletextrightaligned"/>
            </w:pPr>
            <w:r>
              <w:t>1.4</w:t>
            </w:r>
          </w:p>
        </w:tc>
        <w:tc>
          <w:tcPr>
            <w:tcW w:w="850" w:type="dxa"/>
            <w:vAlign w:val="bottom"/>
          </w:tcPr>
          <w:p w14:paraId="3FC77C8C" w14:textId="7631A507" w:rsidR="00B628FF" w:rsidRDefault="00B31B37">
            <w:pPr>
              <w:pStyle w:val="Summarytabletextrightaligned"/>
            </w:pPr>
            <w:r>
              <w:noBreakHyphen/>
            </w:r>
          </w:p>
        </w:tc>
      </w:tr>
      <w:tr w:rsidR="00B628FF" w14:paraId="22A0138C" w14:textId="77777777" w:rsidTr="5FA307DC">
        <w:tc>
          <w:tcPr>
            <w:tcW w:w="3471" w:type="dxa"/>
            <w:vAlign w:val="bottom"/>
          </w:tcPr>
          <w:p w14:paraId="57D43EB1" w14:textId="77777777" w:rsidR="00B628FF" w:rsidRDefault="005B2D2F">
            <w:pPr>
              <w:pStyle w:val="SummaryMeasureTitlewithTheme"/>
            </w:pPr>
            <w:r>
              <w:t>Climate Change, Energy, the Environment and Water – savings</w:t>
            </w:r>
          </w:p>
        </w:tc>
        <w:tc>
          <w:tcPr>
            <w:tcW w:w="850" w:type="dxa"/>
            <w:vAlign w:val="bottom"/>
          </w:tcPr>
          <w:p w14:paraId="0475FC66" w14:textId="10EBFBC3" w:rsidR="00B628FF" w:rsidRDefault="00B31B37">
            <w:pPr>
              <w:pStyle w:val="Summarytabletextrightaligned"/>
            </w:pPr>
            <w:r>
              <w:noBreakHyphen/>
            </w:r>
            <w:r w:rsidR="005B2D2F">
              <w:t>10.6</w:t>
            </w:r>
          </w:p>
        </w:tc>
        <w:tc>
          <w:tcPr>
            <w:tcW w:w="850" w:type="dxa"/>
            <w:shd w:val="clear" w:color="auto" w:fill="E6F2FF"/>
            <w:vAlign w:val="bottom"/>
          </w:tcPr>
          <w:p w14:paraId="3D607E57" w14:textId="79855D80" w:rsidR="00B628FF" w:rsidRDefault="00B31B37">
            <w:pPr>
              <w:pStyle w:val="Summarytabletextrightaligned"/>
            </w:pPr>
            <w:r>
              <w:noBreakHyphen/>
            </w:r>
          </w:p>
        </w:tc>
        <w:tc>
          <w:tcPr>
            <w:tcW w:w="850" w:type="dxa"/>
            <w:vAlign w:val="bottom"/>
          </w:tcPr>
          <w:p w14:paraId="39DBACAB" w14:textId="7C3A0685" w:rsidR="00B628FF" w:rsidRDefault="00B31B37">
            <w:pPr>
              <w:pStyle w:val="Summarytabletextrightaligned"/>
            </w:pPr>
            <w:r>
              <w:noBreakHyphen/>
            </w:r>
          </w:p>
        </w:tc>
        <w:tc>
          <w:tcPr>
            <w:tcW w:w="850" w:type="dxa"/>
            <w:vAlign w:val="bottom"/>
          </w:tcPr>
          <w:p w14:paraId="3B7BE687" w14:textId="33200F5F" w:rsidR="00B628FF" w:rsidRDefault="00B31B37">
            <w:pPr>
              <w:pStyle w:val="Summarytabletextrightaligned"/>
            </w:pPr>
            <w:r>
              <w:noBreakHyphen/>
            </w:r>
          </w:p>
        </w:tc>
        <w:tc>
          <w:tcPr>
            <w:tcW w:w="850" w:type="dxa"/>
            <w:vAlign w:val="bottom"/>
          </w:tcPr>
          <w:p w14:paraId="1B478AAF" w14:textId="79AAB0E8" w:rsidR="00B628FF" w:rsidRDefault="00B31B37">
            <w:pPr>
              <w:pStyle w:val="Summarytabletextrightaligned"/>
            </w:pPr>
            <w:r>
              <w:noBreakHyphen/>
            </w:r>
          </w:p>
        </w:tc>
      </w:tr>
      <w:tr w:rsidR="00B628FF" w14:paraId="4F86AB19" w14:textId="77777777" w:rsidTr="5FA307DC">
        <w:tc>
          <w:tcPr>
            <w:tcW w:w="3471" w:type="dxa"/>
            <w:vAlign w:val="bottom"/>
          </w:tcPr>
          <w:p w14:paraId="721AAFA2" w14:textId="77777777" w:rsidR="00B628FF" w:rsidRDefault="005B2D2F">
            <w:pPr>
              <w:pStyle w:val="SummaryMeasureTitlewithTheme"/>
            </w:pPr>
            <w:r>
              <w:t>Continuing Implementation of the Murray‑Darling Basin Plan</w:t>
            </w:r>
          </w:p>
        </w:tc>
        <w:tc>
          <w:tcPr>
            <w:tcW w:w="850" w:type="dxa"/>
            <w:vAlign w:val="bottom"/>
          </w:tcPr>
          <w:p w14:paraId="04D0C886" w14:textId="6D3B0E27" w:rsidR="00B628FF" w:rsidRDefault="00B31B37">
            <w:pPr>
              <w:pStyle w:val="Summarytabletextrightaligned"/>
            </w:pPr>
            <w:r>
              <w:noBreakHyphen/>
            </w:r>
          </w:p>
        </w:tc>
        <w:tc>
          <w:tcPr>
            <w:tcW w:w="850" w:type="dxa"/>
            <w:shd w:val="clear" w:color="auto" w:fill="E6F2FF"/>
            <w:vAlign w:val="bottom"/>
          </w:tcPr>
          <w:p w14:paraId="58A97B18" w14:textId="77777777" w:rsidR="00B628FF" w:rsidRDefault="005B2D2F">
            <w:pPr>
              <w:pStyle w:val="Summarytabletextrightaligned"/>
            </w:pPr>
            <w:r w:rsidRPr="5FA307DC">
              <w:rPr>
                <w:lang w:val="en-US"/>
              </w:rPr>
              <w:t>nfp</w:t>
            </w:r>
          </w:p>
        </w:tc>
        <w:tc>
          <w:tcPr>
            <w:tcW w:w="850" w:type="dxa"/>
            <w:vAlign w:val="bottom"/>
          </w:tcPr>
          <w:p w14:paraId="78E42D52" w14:textId="77777777" w:rsidR="00B628FF" w:rsidRDefault="005B2D2F">
            <w:pPr>
              <w:pStyle w:val="Summarytabletextrightaligned"/>
            </w:pPr>
            <w:r w:rsidRPr="5FA307DC">
              <w:rPr>
                <w:lang w:val="en-US"/>
              </w:rPr>
              <w:t>nfp</w:t>
            </w:r>
          </w:p>
        </w:tc>
        <w:tc>
          <w:tcPr>
            <w:tcW w:w="850" w:type="dxa"/>
            <w:vAlign w:val="bottom"/>
          </w:tcPr>
          <w:p w14:paraId="64AB8851" w14:textId="77777777" w:rsidR="00B628FF" w:rsidRDefault="005B2D2F">
            <w:pPr>
              <w:pStyle w:val="Summarytabletextrightaligned"/>
            </w:pPr>
            <w:r w:rsidRPr="5FA307DC">
              <w:rPr>
                <w:lang w:val="en-US"/>
              </w:rPr>
              <w:t>nfp</w:t>
            </w:r>
          </w:p>
        </w:tc>
        <w:tc>
          <w:tcPr>
            <w:tcW w:w="850" w:type="dxa"/>
            <w:vAlign w:val="bottom"/>
          </w:tcPr>
          <w:p w14:paraId="23996A10" w14:textId="0B80E6A5" w:rsidR="00B628FF" w:rsidRDefault="00B31B37">
            <w:pPr>
              <w:pStyle w:val="Summarytabletextrightaligned"/>
            </w:pPr>
            <w:r>
              <w:noBreakHyphen/>
            </w:r>
          </w:p>
        </w:tc>
      </w:tr>
      <w:tr w:rsidR="00B628FF" w14:paraId="46D24740" w14:textId="77777777" w:rsidTr="5FA307DC">
        <w:tc>
          <w:tcPr>
            <w:tcW w:w="3471" w:type="dxa"/>
            <w:vAlign w:val="bottom"/>
          </w:tcPr>
          <w:p w14:paraId="7C5EBC43" w14:textId="77777777" w:rsidR="00B628FF" w:rsidRDefault="005B2D2F">
            <w:pPr>
              <w:pStyle w:val="SummaryMeasureTitlewithTheme"/>
            </w:pPr>
            <w:r>
              <w:t>National Water Grid Fund – responsible investment in water infrastructure</w:t>
            </w:r>
          </w:p>
        </w:tc>
        <w:tc>
          <w:tcPr>
            <w:tcW w:w="850" w:type="dxa"/>
            <w:vAlign w:val="bottom"/>
          </w:tcPr>
          <w:p w14:paraId="596962E7" w14:textId="5211279A" w:rsidR="00B628FF" w:rsidRDefault="00B31B37">
            <w:pPr>
              <w:pStyle w:val="Summarytabletextrightaligned"/>
            </w:pPr>
            <w:r>
              <w:noBreakHyphen/>
            </w:r>
            <w:r w:rsidR="005B2D2F">
              <w:t>1.7</w:t>
            </w:r>
          </w:p>
        </w:tc>
        <w:tc>
          <w:tcPr>
            <w:tcW w:w="850" w:type="dxa"/>
            <w:shd w:val="clear" w:color="auto" w:fill="E6F2FF"/>
            <w:vAlign w:val="bottom"/>
          </w:tcPr>
          <w:p w14:paraId="3B042ED4" w14:textId="00D64F9B" w:rsidR="00B628FF" w:rsidRDefault="00B31B37">
            <w:pPr>
              <w:pStyle w:val="Summarytabletextrightaligned"/>
            </w:pPr>
            <w:r>
              <w:noBreakHyphen/>
            </w:r>
            <w:r w:rsidR="005B2D2F">
              <w:t>1.2</w:t>
            </w:r>
          </w:p>
        </w:tc>
        <w:tc>
          <w:tcPr>
            <w:tcW w:w="850" w:type="dxa"/>
            <w:vAlign w:val="bottom"/>
          </w:tcPr>
          <w:p w14:paraId="2A855EF9" w14:textId="1ED786DE" w:rsidR="00B628FF" w:rsidRDefault="00B31B37">
            <w:pPr>
              <w:pStyle w:val="Summarytabletextrightaligned"/>
            </w:pPr>
            <w:r>
              <w:noBreakHyphen/>
            </w:r>
            <w:r w:rsidR="005B2D2F">
              <w:t>1.2</w:t>
            </w:r>
          </w:p>
        </w:tc>
        <w:tc>
          <w:tcPr>
            <w:tcW w:w="850" w:type="dxa"/>
            <w:vAlign w:val="bottom"/>
          </w:tcPr>
          <w:p w14:paraId="599935C5" w14:textId="1D700327" w:rsidR="00B628FF" w:rsidRDefault="00B31B37">
            <w:pPr>
              <w:pStyle w:val="Summarytabletextrightaligned"/>
            </w:pPr>
            <w:r>
              <w:noBreakHyphen/>
            </w:r>
          </w:p>
        </w:tc>
        <w:tc>
          <w:tcPr>
            <w:tcW w:w="850" w:type="dxa"/>
            <w:vAlign w:val="bottom"/>
          </w:tcPr>
          <w:p w14:paraId="65B0B310" w14:textId="3EF23700" w:rsidR="00B628FF" w:rsidRDefault="00B31B37">
            <w:pPr>
              <w:pStyle w:val="Summarytabletextrightaligned"/>
            </w:pPr>
            <w:r>
              <w:noBreakHyphen/>
            </w:r>
          </w:p>
        </w:tc>
      </w:tr>
      <w:tr w:rsidR="00B628FF" w14:paraId="77FAE97D" w14:textId="77777777" w:rsidTr="5FA307DC">
        <w:tc>
          <w:tcPr>
            <w:tcW w:w="3471" w:type="dxa"/>
            <w:vAlign w:val="bottom"/>
          </w:tcPr>
          <w:p w14:paraId="0C04454F" w14:textId="77777777" w:rsidR="00B628FF" w:rsidRDefault="005B2D2F">
            <w:pPr>
              <w:pStyle w:val="SummaryMeasureTitlewithTheme"/>
            </w:pPr>
            <w:r>
              <w:t>Nuclear‑Powered Submarine Program – continuation of whole‑of‑government support</w:t>
            </w:r>
          </w:p>
        </w:tc>
        <w:tc>
          <w:tcPr>
            <w:tcW w:w="850" w:type="dxa"/>
            <w:vAlign w:val="bottom"/>
          </w:tcPr>
          <w:p w14:paraId="1AE3A01F" w14:textId="1DFB979C" w:rsidR="00B628FF" w:rsidRDefault="00B31B37">
            <w:pPr>
              <w:pStyle w:val="Summarytabletextrightaligned"/>
            </w:pPr>
            <w:r>
              <w:noBreakHyphen/>
            </w:r>
          </w:p>
        </w:tc>
        <w:tc>
          <w:tcPr>
            <w:tcW w:w="850" w:type="dxa"/>
            <w:shd w:val="clear" w:color="auto" w:fill="E6F2FF"/>
            <w:vAlign w:val="bottom"/>
          </w:tcPr>
          <w:p w14:paraId="2982967C" w14:textId="77777777" w:rsidR="00B628FF" w:rsidRDefault="005B2D2F">
            <w:pPr>
              <w:pStyle w:val="Summarytabletextrightaligned"/>
            </w:pPr>
            <w:r>
              <w:t>3.0</w:t>
            </w:r>
          </w:p>
        </w:tc>
        <w:tc>
          <w:tcPr>
            <w:tcW w:w="850" w:type="dxa"/>
            <w:vAlign w:val="bottom"/>
          </w:tcPr>
          <w:p w14:paraId="11D3E8FE" w14:textId="45104C21" w:rsidR="00B628FF" w:rsidRDefault="00B31B37">
            <w:pPr>
              <w:pStyle w:val="Summarytabletextrightaligned"/>
            </w:pPr>
            <w:r>
              <w:noBreakHyphen/>
            </w:r>
          </w:p>
        </w:tc>
        <w:tc>
          <w:tcPr>
            <w:tcW w:w="850" w:type="dxa"/>
            <w:vAlign w:val="bottom"/>
          </w:tcPr>
          <w:p w14:paraId="099E18DE" w14:textId="0CF1A791" w:rsidR="00B628FF" w:rsidRDefault="00B31B37">
            <w:pPr>
              <w:pStyle w:val="Summarytabletextrightaligned"/>
            </w:pPr>
            <w:r>
              <w:noBreakHyphen/>
            </w:r>
          </w:p>
        </w:tc>
        <w:tc>
          <w:tcPr>
            <w:tcW w:w="850" w:type="dxa"/>
            <w:vAlign w:val="bottom"/>
          </w:tcPr>
          <w:p w14:paraId="112C9FCB" w14:textId="3F992BB3" w:rsidR="00B628FF" w:rsidRDefault="00B31B37">
            <w:pPr>
              <w:pStyle w:val="Summarytabletextrightaligned"/>
            </w:pPr>
            <w:r>
              <w:noBreakHyphen/>
            </w:r>
          </w:p>
        </w:tc>
      </w:tr>
      <w:tr w:rsidR="00B628FF" w14:paraId="1E18431A" w14:textId="77777777" w:rsidTr="5FA307DC">
        <w:tc>
          <w:tcPr>
            <w:tcW w:w="3471" w:type="dxa"/>
            <w:vAlign w:val="bottom"/>
          </w:tcPr>
          <w:p w14:paraId="6FDC49D5" w14:textId="77777777" w:rsidR="00B628FF" w:rsidRDefault="005B2D2F">
            <w:pPr>
              <w:pStyle w:val="SummaryMeasureTitlewithTheme"/>
            </w:pPr>
            <w:r>
              <w:t>Protecting Our Environment</w:t>
            </w:r>
          </w:p>
        </w:tc>
        <w:tc>
          <w:tcPr>
            <w:tcW w:w="850" w:type="dxa"/>
            <w:vAlign w:val="bottom"/>
          </w:tcPr>
          <w:p w14:paraId="71096018" w14:textId="75A58F5E" w:rsidR="00B628FF" w:rsidRDefault="00B31B37">
            <w:pPr>
              <w:pStyle w:val="Summarytabletextrightaligned"/>
            </w:pPr>
            <w:r>
              <w:noBreakHyphen/>
            </w:r>
          </w:p>
        </w:tc>
        <w:tc>
          <w:tcPr>
            <w:tcW w:w="850" w:type="dxa"/>
            <w:shd w:val="clear" w:color="auto" w:fill="E6F2FF"/>
            <w:vAlign w:val="bottom"/>
          </w:tcPr>
          <w:p w14:paraId="0FB87255" w14:textId="77777777" w:rsidR="00B628FF" w:rsidRDefault="005B2D2F">
            <w:pPr>
              <w:pStyle w:val="Summarytabletextrightaligned"/>
            </w:pPr>
            <w:r>
              <w:t>50.0</w:t>
            </w:r>
          </w:p>
        </w:tc>
        <w:tc>
          <w:tcPr>
            <w:tcW w:w="850" w:type="dxa"/>
            <w:vAlign w:val="bottom"/>
          </w:tcPr>
          <w:p w14:paraId="3206D2DD" w14:textId="77777777" w:rsidR="00B628FF" w:rsidRDefault="005B2D2F">
            <w:pPr>
              <w:pStyle w:val="Summarytabletextrightaligned"/>
            </w:pPr>
            <w:r>
              <w:t>50.0</w:t>
            </w:r>
          </w:p>
        </w:tc>
        <w:tc>
          <w:tcPr>
            <w:tcW w:w="850" w:type="dxa"/>
            <w:vAlign w:val="bottom"/>
          </w:tcPr>
          <w:p w14:paraId="4AD433AA" w14:textId="77777777" w:rsidR="00B628FF" w:rsidRDefault="005B2D2F">
            <w:pPr>
              <w:pStyle w:val="Summarytabletextrightaligned"/>
            </w:pPr>
            <w:r>
              <w:t>50.0</w:t>
            </w:r>
          </w:p>
        </w:tc>
        <w:tc>
          <w:tcPr>
            <w:tcW w:w="850" w:type="dxa"/>
            <w:vAlign w:val="bottom"/>
          </w:tcPr>
          <w:p w14:paraId="49CED042" w14:textId="77777777" w:rsidR="00B628FF" w:rsidRDefault="005B2D2F">
            <w:pPr>
              <w:pStyle w:val="Summarytabletextrightaligned"/>
            </w:pPr>
            <w:r>
              <w:t>50.0</w:t>
            </w:r>
          </w:p>
        </w:tc>
      </w:tr>
    </w:tbl>
    <w:p w14:paraId="23D30F18" w14:textId="77777777" w:rsidR="00997AF2" w:rsidRDefault="00997AF2" w:rsidP="00997AF2">
      <w:pPr>
        <w:sectPr w:rsidR="00997AF2" w:rsidSect="00A06F82">
          <w:pgSz w:w="11906" w:h="16838"/>
          <w:pgMar w:top="2835" w:right="2098" w:bottom="2466" w:left="2098" w:header="1814" w:footer="1814" w:gutter="0"/>
          <w:cols w:space="720"/>
          <w:docGrid w:linePitch="272"/>
        </w:sectPr>
      </w:pPr>
    </w:p>
    <w:p w14:paraId="72F6CC9B" w14:textId="77777777" w:rsidR="00997AF2" w:rsidRDefault="00997AF2" w:rsidP="00997AF2">
      <w:pPr>
        <w:pStyle w:val="TableHeadingcontinued"/>
      </w:pPr>
      <w:r>
        <w:t>Table 2: Payment measures since the 2024–25 MYEFO</w:t>
      </w:r>
      <w:r>
        <w:rPr>
          <w:rFonts w:ascii="Cambria Math" w:hAnsi="Cambria Math" w:cs="Cambria Math"/>
        </w:rPr>
        <w:t>⁽</w:t>
      </w:r>
      <w:r>
        <w:rPr>
          <w:rFonts w:cs="Arial"/>
        </w:rPr>
        <w:t>ª</w:t>
      </w:r>
      <w:r>
        <w:rPr>
          <w:rFonts w:ascii="Cambria Math" w:hAnsi="Cambria Math" w:cs="Cambria Math"/>
        </w:rPr>
        <w:t>⁾</w:t>
      </w:r>
      <w:r>
        <w:t xml:space="preserve"> (continued)</w:t>
      </w:r>
    </w:p>
    <w:tbl>
      <w:tblPr>
        <w:tblOverlap w:val="never"/>
        <w:tblW w:w="7721" w:type="dxa"/>
        <w:tblBorders>
          <w:top w:val="single" w:sz="4" w:space="0" w:color="000000"/>
          <w:bottom w:val="single" w:sz="4" w:space="0" w:color="000000"/>
        </w:tblBorders>
        <w:tblLayout w:type="fixed"/>
        <w:tblCellMar>
          <w:left w:w="0" w:type="dxa"/>
          <w:right w:w="56" w:type="dxa"/>
        </w:tblCellMar>
        <w:tblLook w:val="04A0" w:firstRow="1" w:lastRow="0" w:firstColumn="1" w:lastColumn="0" w:noHBand="0" w:noVBand="1"/>
      </w:tblPr>
      <w:tblGrid>
        <w:gridCol w:w="3471"/>
        <w:gridCol w:w="850"/>
        <w:gridCol w:w="850"/>
        <w:gridCol w:w="850"/>
        <w:gridCol w:w="850"/>
        <w:gridCol w:w="850"/>
      </w:tblGrid>
      <w:tr w:rsidR="00997AF2" w14:paraId="5DF29522" w14:textId="77777777" w:rsidTr="00997AF2">
        <w:tc>
          <w:tcPr>
            <w:tcW w:w="3471" w:type="dxa"/>
            <w:vAlign w:val="bottom"/>
          </w:tcPr>
          <w:p w14:paraId="01143BB1" w14:textId="77777777" w:rsidR="00997AF2" w:rsidRDefault="00997AF2" w:rsidP="00997AF2"/>
        </w:tc>
        <w:tc>
          <w:tcPr>
            <w:tcW w:w="850" w:type="dxa"/>
            <w:tcBorders>
              <w:bottom w:val="nil"/>
            </w:tcBorders>
          </w:tcPr>
          <w:p w14:paraId="00429FA4" w14:textId="440A9057" w:rsidR="00997AF2" w:rsidRDefault="00997AF2" w:rsidP="00997AF2">
            <w:pPr>
              <w:pStyle w:val="Summarytabletextrightaligned"/>
            </w:pPr>
            <w:r>
              <w:t>2024</w:t>
            </w:r>
            <w:r w:rsidR="00B31B37">
              <w:noBreakHyphen/>
            </w:r>
            <w:r>
              <w:t>25</w:t>
            </w:r>
          </w:p>
        </w:tc>
        <w:tc>
          <w:tcPr>
            <w:tcW w:w="850" w:type="dxa"/>
            <w:tcBorders>
              <w:bottom w:val="nil"/>
            </w:tcBorders>
            <w:shd w:val="clear" w:color="auto" w:fill="E6F2FF"/>
          </w:tcPr>
          <w:p w14:paraId="16F2FBBF" w14:textId="717C88FC" w:rsidR="00997AF2" w:rsidRDefault="00997AF2" w:rsidP="00997AF2">
            <w:pPr>
              <w:pStyle w:val="Summarytabletextrightaligned"/>
            </w:pPr>
            <w:r>
              <w:t>2025</w:t>
            </w:r>
            <w:r w:rsidR="00B31B37">
              <w:noBreakHyphen/>
            </w:r>
            <w:r>
              <w:t>26</w:t>
            </w:r>
          </w:p>
        </w:tc>
        <w:tc>
          <w:tcPr>
            <w:tcW w:w="850" w:type="dxa"/>
            <w:tcBorders>
              <w:bottom w:val="nil"/>
            </w:tcBorders>
          </w:tcPr>
          <w:p w14:paraId="02B090F6" w14:textId="04E422BB" w:rsidR="00997AF2" w:rsidRDefault="00997AF2" w:rsidP="00997AF2">
            <w:pPr>
              <w:pStyle w:val="Summarytabletextrightaligned"/>
            </w:pPr>
            <w:r>
              <w:t>2026</w:t>
            </w:r>
            <w:r w:rsidR="00B31B37">
              <w:noBreakHyphen/>
            </w:r>
            <w:r>
              <w:t>27</w:t>
            </w:r>
          </w:p>
        </w:tc>
        <w:tc>
          <w:tcPr>
            <w:tcW w:w="850" w:type="dxa"/>
            <w:tcBorders>
              <w:bottom w:val="nil"/>
            </w:tcBorders>
          </w:tcPr>
          <w:p w14:paraId="4AB5EEC7" w14:textId="260F5AE6" w:rsidR="00997AF2" w:rsidRDefault="00997AF2" w:rsidP="00997AF2">
            <w:pPr>
              <w:pStyle w:val="Summarytabletextrightaligned"/>
            </w:pPr>
            <w:r>
              <w:t>2027</w:t>
            </w:r>
            <w:r w:rsidR="00B31B37">
              <w:noBreakHyphen/>
            </w:r>
            <w:r>
              <w:t>28</w:t>
            </w:r>
          </w:p>
        </w:tc>
        <w:tc>
          <w:tcPr>
            <w:tcW w:w="850" w:type="dxa"/>
            <w:tcBorders>
              <w:bottom w:val="nil"/>
            </w:tcBorders>
          </w:tcPr>
          <w:p w14:paraId="40963817" w14:textId="5948EB1F" w:rsidR="00997AF2" w:rsidRDefault="00997AF2" w:rsidP="00997AF2">
            <w:pPr>
              <w:pStyle w:val="Summarytabletextrightaligned"/>
            </w:pPr>
            <w:r>
              <w:t>2028</w:t>
            </w:r>
            <w:r w:rsidR="00B31B37">
              <w:noBreakHyphen/>
            </w:r>
            <w:r>
              <w:t>29</w:t>
            </w:r>
          </w:p>
        </w:tc>
      </w:tr>
      <w:tr w:rsidR="00997AF2" w14:paraId="1B344DF7" w14:textId="77777777" w:rsidTr="00997AF2">
        <w:tc>
          <w:tcPr>
            <w:tcW w:w="3471" w:type="dxa"/>
            <w:vAlign w:val="bottom"/>
          </w:tcPr>
          <w:p w14:paraId="3E501DD5" w14:textId="77777777" w:rsidR="00997AF2" w:rsidRDefault="00997AF2" w:rsidP="00997AF2"/>
        </w:tc>
        <w:tc>
          <w:tcPr>
            <w:tcW w:w="850" w:type="dxa"/>
            <w:tcBorders>
              <w:top w:val="nil"/>
              <w:bottom w:val="single" w:sz="4" w:space="0" w:color="auto"/>
            </w:tcBorders>
            <w:shd w:val="clear" w:color="auto" w:fill="auto"/>
          </w:tcPr>
          <w:p w14:paraId="22953E1C" w14:textId="77777777" w:rsidR="00997AF2" w:rsidRDefault="00997AF2" w:rsidP="00997AF2">
            <w:pPr>
              <w:pStyle w:val="Summarytabletextrightaligned"/>
            </w:pPr>
            <w:r>
              <w:t>$m</w:t>
            </w:r>
          </w:p>
        </w:tc>
        <w:tc>
          <w:tcPr>
            <w:tcW w:w="850" w:type="dxa"/>
            <w:tcBorders>
              <w:top w:val="nil"/>
              <w:bottom w:val="single" w:sz="4" w:space="0" w:color="auto"/>
            </w:tcBorders>
            <w:shd w:val="clear" w:color="auto" w:fill="E6F2FF"/>
          </w:tcPr>
          <w:p w14:paraId="527C87D2" w14:textId="77777777" w:rsidR="00997AF2" w:rsidRDefault="00997AF2" w:rsidP="00997AF2">
            <w:pPr>
              <w:pStyle w:val="Summarytabletextrightaligned"/>
            </w:pPr>
            <w:r>
              <w:t>$m</w:t>
            </w:r>
          </w:p>
        </w:tc>
        <w:tc>
          <w:tcPr>
            <w:tcW w:w="850" w:type="dxa"/>
            <w:tcBorders>
              <w:top w:val="nil"/>
              <w:bottom w:val="single" w:sz="4" w:space="0" w:color="auto"/>
            </w:tcBorders>
            <w:shd w:val="clear" w:color="auto" w:fill="auto"/>
          </w:tcPr>
          <w:p w14:paraId="0E73605A" w14:textId="77777777" w:rsidR="00997AF2" w:rsidRDefault="00997AF2" w:rsidP="00997AF2">
            <w:pPr>
              <w:pStyle w:val="Summarytabletextrightaligned"/>
            </w:pPr>
            <w:r>
              <w:t>$m</w:t>
            </w:r>
          </w:p>
        </w:tc>
        <w:tc>
          <w:tcPr>
            <w:tcW w:w="850" w:type="dxa"/>
            <w:tcBorders>
              <w:top w:val="nil"/>
              <w:bottom w:val="single" w:sz="4" w:space="0" w:color="auto"/>
            </w:tcBorders>
            <w:shd w:val="clear" w:color="auto" w:fill="auto"/>
          </w:tcPr>
          <w:p w14:paraId="7B442719" w14:textId="77777777" w:rsidR="00997AF2" w:rsidRDefault="00997AF2" w:rsidP="00997AF2">
            <w:pPr>
              <w:pStyle w:val="Summarytabletextrightaligned"/>
            </w:pPr>
            <w:r>
              <w:t>$m</w:t>
            </w:r>
          </w:p>
        </w:tc>
        <w:tc>
          <w:tcPr>
            <w:tcW w:w="850" w:type="dxa"/>
            <w:tcBorders>
              <w:top w:val="nil"/>
              <w:bottom w:val="single" w:sz="4" w:space="0" w:color="auto"/>
            </w:tcBorders>
            <w:shd w:val="clear" w:color="auto" w:fill="auto"/>
          </w:tcPr>
          <w:p w14:paraId="009CD216" w14:textId="77777777" w:rsidR="00997AF2" w:rsidRDefault="00997AF2" w:rsidP="00997AF2">
            <w:pPr>
              <w:pStyle w:val="Summarytabletextrightaligned"/>
            </w:pPr>
            <w:r>
              <w:t>$m</w:t>
            </w:r>
          </w:p>
        </w:tc>
      </w:tr>
      <w:tr w:rsidR="00997AF2" w14:paraId="30344D76" w14:textId="77777777" w:rsidTr="00997AF2">
        <w:tc>
          <w:tcPr>
            <w:tcW w:w="3471" w:type="dxa"/>
            <w:tcBorders>
              <w:bottom w:val="nil"/>
            </w:tcBorders>
            <w:vAlign w:val="bottom"/>
          </w:tcPr>
          <w:p w14:paraId="409FCA82" w14:textId="77777777" w:rsidR="00997AF2" w:rsidRPr="00997AF2" w:rsidRDefault="00997AF2" w:rsidP="00997AF2">
            <w:pPr>
              <w:pStyle w:val="SummaryMeasureTitlewithTheme"/>
              <w:rPr>
                <w:b/>
              </w:rPr>
            </w:pPr>
            <w:r w:rsidRPr="00997AF2">
              <w:rPr>
                <w:b/>
              </w:rPr>
              <w:t>CLIMATE CHANGE, ENERGY, THE ENVIRONMENT AND WATER (continued)</w:t>
            </w:r>
          </w:p>
        </w:tc>
        <w:tc>
          <w:tcPr>
            <w:tcW w:w="850" w:type="dxa"/>
            <w:tcBorders>
              <w:top w:val="single" w:sz="4" w:space="0" w:color="auto"/>
              <w:bottom w:val="nil"/>
            </w:tcBorders>
          </w:tcPr>
          <w:p w14:paraId="4D28B109" w14:textId="77777777" w:rsidR="00997AF2" w:rsidRDefault="00997AF2">
            <w:pPr>
              <w:pStyle w:val="SummaryAgencyTitle-BP2"/>
            </w:pPr>
          </w:p>
        </w:tc>
        <w:tc>
          <w:tcPr>
            <w:tcW w:w="850" w:type="dxa"/>
            <w:tcBorders>
              <w:top w:val="single" w:sz="4" w:space="0" w:color="auto"/>
              <w:bottom w:val="nil"/>
            </w:tcBorders>
            <w:shd w:val="clear" w:color="auto" w:fill="E6F2FF"/>
          </w:tcPr>
          <w:p w14:paraId="2D1C734C" w14:textId="77777777" w:rsidR="00997AF2" w:rsidRDefault="00997AF2">
            <w:pPr>
              <w:pStyle w:val="SummaryAgencyTitle-BP2"/>
            </w:pPr>
          </w:p>
        </w:tc>
        <w:tc>
          <w:tcPr>
            <w:tcW w:w="850" w:type="dxa"/>
            <w:tcBorders>
              <w:top w:val="single" w:sz="4" w:space="0" w:color="auto"/>
              <w:bottom w:val="nil"/>
            </w:tcBorders>
          </w:tcPr>
          <w:p w14:paraId="377FF9F6" w14:textId="77777777" w:rsidR="00997AF2" w:rsidRDefault="00997AF2">
            <w:pPr>
              <w:pStyle w:val="SummaryAgencyTitle-BP2"/>
            </w:pPr>
          </w:p>
        </w:tc>
        <w:tc>
          <w:tcPr>
            <w:tcW w:w="850" w:type="dxa"/>
            <w:tcBorders>
              <w:top w:val="single" w:sz="4" w:space="0" w:color="auto"/>
              <w:bottom w:val="nil"/>
            </w:tcBorders>
          </w:tcPr>
          <w:p w14:paraId="43A5138E" w14:textId="77777777" w:rsidR="00997AF2" w:rsidRDefault="00997AF2">
            <w:pPr>
              <w:pStyle w:val="SummaryAgencyTitle-BP2"/>
            </w:pPr>
          </w:p>
        </w:tc>
        <w:tc>
          <w:tcPr>
            <w:tcW w:w="850" w:type="dxa"/>
            <w:tcBorders>
              <w:top w:val="single" w:sz="4" w:space="0" w:color="auto"/>
              <w:bottom w:val="nil"/>
            </w:tcBorders>
          </w:tcPr>
          <w:p w14:paraId="2EEC097A" w14:textId="77777777" w:rsidR="00997AF2" w:rsidRDefault="00997AF2">
            <w:pPr>
              <w:pStyle w:val="SummaryAgencyTitle-BP2"/>
            </w:pPr>
          </w:p>
        </w:tc>
      </w:tr>
      <w:tr w:rsidR="00B628FF" w14:paraId="0D91A5B0" w14:textId="77777777" w:rsidTr="00997AF2">
        <w:tc>
          <w:tcPr>
            <w:tcW w:w="3471" w:type="dxa"/>
            <w:tcBorders>
              <w:top w:val="nil"/>
            </w:tcBorders>
            <w:vAlign w:val="bottom"/>
          </w:tcPr>
          <w:p w14:paraId="618C6DEC" w14:textId="77777777" w:rsidR="00B628FF" w:rsidRDefault="005B2D2F">
            <w:pPr>
              <w:pStyle w:val="SummaryAgencyTitle-BP2"/>
            </w:pPr>
            <w:r>
              <w:t>Director of National Parks</w:t>
            </w:r>
          </w:p>
        </w:tc>
        <w:tc>
          <w:tcPr>
            <w:tcW w:w="850" w:type="dxa"/>
            <w:tcBorders>
              <w:top w:val="nil"/>
            </w:tcBorders>
          </w:tcPr>
          <w:p w14:paraId="6361F091" w14:textId="77777777" w:rsidR="00B628FF" w:rsidRDefault="00B628FF">
            <w:pPr>
              <w:pStyle w:val="SummaryAgencyTitle-BP2"/>
            </w:pPr>
          </w:p>
        </w:tc>
        <w:tc>
          <w:tcPr>
            <w:tcW w:w="850" w:type="dxa"/>
            <w:tcBorders>
              <w:top w:val="nil"/>
            </w:tcBorders>
            <w:shd w:val="clear" w:color="auto" w:fill="E6F2FF"/>
          </w:tcPr>
          <w:p w14:paraId="3F56D1DA" w14:textId="77777777" w:rsidR="00B628FF" w:rsidRDefault="00B628FF">
            <w:pPr>
              <w:pStyle w:val="SummaryAgencyTitle-BP2"/>
            </w:pPr>
          </w:p>
        </w:tc>
        <w:tc>
          <w:tcPr>
            <w:tcW w:w="850" w:type="dxa"/>
            <w:tcBorders>
              <w:top w:val="nil"/>
            </w:tcBorders>
          </w:tcPr>
          <w:p w14:paraId="00BD769C" w14:textId="77777777" w:rsidR="00B628FF" w:rsidRDefault="00B628FF">
            <w:pPr>
              <w:pStyle w:val="SummaryAgencyTitle-BP2"/>
            </w:pPr>
          </w:p>
        </w:tc>
        <w:tc>
          <w:tcPr>
            <w:tcW w:w="850" w:type="dxa"/>
            <w:tcBorders>
              <w:top w:val="nil"/>
            </w:tcBorders>
          </w:tcPr>
          <w:p w14:paraId="7F7BED0D" w14:textId="77777777" w:rsidR="00B628FF" w:rsidRDefault="00B628FF">
            <w:pPr>
              <w:pStyle w:val="SummaryAgencyTitle-BP2"/>
            </w:pPr>
          </w:p>
        </w:tc>
        <w:tc>
          <w:tcPr>
            <w:tcW w:w="850" w:type="dxa"/>
            <w:tcBorders>
              <w:top w:val="nil"/>
            </w:tcBorders>
          </w:tcPr>
          <w:p w14:paraId="5041F645" w14:textId="77777777" w:rsidR="00B628FF" w:rsidRDefault="00B628FF">
            <w:pPr>
              <w:pStyle w:val="SummaryAgencyTitle-BP2"/>
            </w:pPr>
          </w:p>
        </w:tc>
      </w:tr>
      <w:tr w:rsidR="00B628FF" w14:paraId="2097D710" w14:textId="77777777" w:rsidTr="00997AF2">
        <w:tc>
          <w:tcPr>
            <w:tcW w:w="3471" w:type="dxa"/>
            <w:vAlign w:val="bottom"/>
          </w:tcPr>
          <w:p w14:paraId="278E04A4" w14:textId="437829B2" w:rsidR="00B628FF" w:rsidRDefault="005B2D2F">
            <w:pPr>
              <w:pStyle w:val="SummaryMeasureTitlewithTheme"/>
            </w:pPr>
            <w:r>
              <w:t>Protecting Australia</w:t>
            </w:r>
            <w:r w:rsidR="00B31B37">
              <w:t>’</w:t>
            </w:r>
            <w:r>
              <w:t>s Iconic National Parks – continuing delivery</w:t>
            </w:r>
          </w:p>
        </w:tc>
        <w:tc>
          <w:tcPr>
            <w:tcW w:w="850" w:type="dxa"/>
            <w:vAlign w:val="bottom"/>
          </w:tcPr>
          <w:p w14:paraId="0E54C7CC" w14:textId="4DB7C09C" w:rsidR="00B628FF" w:rsidRDefault="00B31B37">
            <w:pPr>
              <w:pStyle w:val="Summarytabletextrightaligned"/>
            </w:pPr>
            <w:r>
              <w:noBreakHyphen/>
            </w:r>
          </w:p>
        </w:tc>
        <w:tc>
          <w:tcPr>
            <w:tcW w:w="850" w:type="dxa"/>
            <w:shd w:val="clear" w:color="auto" w:fill="E6F2FF"/>
            <w:vAlign w:val="bottom"/>
          </w:tcPr>
          <w:p w14:paraId="658183C5" w14:textId="77777777" w:rsidR="00B628FF" w:rsidRDefault="005B2D2F">
            <w:pPr>
              <w:pStyle w:val="Summarytabletextrightaligned"/>
            </w:pPr>
            <w:r>
              <w:t>13.9</w:t>
            </w:r>
          </w:p>
        </w:tc>
        <w:tc>
          <w:tcPr>
            <w:tcW w:w="850" w:type="dxa"/>
            <w:vAlign w:val="bottom"/>
          </w:tcPr>
          <w:p w14:paraId="34A91248" w14:textId="77777777" w:rsidR="00B628FF" w:rsidRDefault="005B2D2F">
            <w:pPr>
              <w:pStyle w:val="Summarytabletextrightaligned"/>
            </w:pPr>
            <w:r>
              <w:t>13.6</w:t>
            </w:r>
          </w:p>
        </w:tc>
        <w:tc>
          <w:tcPr>
            <w:tcW w:w="850" w:type="dxa"/>
            <w:vAlign w:val="bottom"/>
          </w:tcPr>
          <w:p w14:paraId="552F1558" w14:textId="77777777" w:rsidR="00B628FF" w:rsidRDefault="005B2D2F">
            <w:pPr>
              <w:pStyle w:val="Summarytabletextrightaligned"/>
            </w:pPr>
            <w:r>
              <w:t>13.8</w:t>
            </w:r>
          </w:p>
        </w:tc>
        <w:tc>
          <w:tcPr>
            <w:tcW w:w="850" w:type="dxa"/>
            <w:vAlign w:val="bottom"/>
          </w:tcPr>
          <w:p w14:paraId="0A52ABDC" w14:textId="77777777" w:rsidR="00B628FF" w:rsidRDefault="005B2D2F">
            <w:pPr>
              <w:pStyle w:val="Summarytabletextrightaligned"/>
            </w:pPr>
            <w:r>
              <w:t>13.9</w:t>
            </w:r>
          </w:p>
        </w:tc>
      </w:tr>
      <w:tr w:rsidR="00B628FF" w14:paraId="01741885" w14:textId="77777777" w:rsidTr="00997AF2">
        <w:tc>
          <w:tcPr>
            <w:tcW w:w="3471" w:type="dxa"/>
            <w:vAlign w:val="bottom"/>
          </w:tcPr>
          <w:p w14:paraId="7C2246DE" w14:textId="77777777" w:rsidR="00B628FF" w:rsidRDefault="005B2D2F">
            <w:pPr>
              <w:pStyle w:val="SummaryMeasureTitlewithTheme"/>
            </w:pPr>
            <w:r>
              <w:t>Protecting Our Environment</w:t>
            </w:r>
          </w:p>
        </w:tc>
        <w:tc>
          <w:tcPr>
            <w:tcW w:w="850" w:type="dxa"/>
            <w:vAlign w:val="bottom"/>
          </w:tcPr>
          <w:p w14:paraId="4A05AC7B" w14:textId="45476CA2" w:rsidR="00B628FF" w:rsidRDefault="00B31B37">
            <w:pPr>
              <w:pStyle w:val="Summarytabletextrightaligned"/>
            </w:pPr>
            <w:r>
              <w:noBreakHyphen/>
            </w:r>
          </w:p>
        </w:tc>
        <w:tc>
          <w:tcPr>
            <w:tcW w:w="850" w:type="dxa"/>
            <w:shd w:val="clear" w:color="auto" w:fill="E6F2FF"/>
            <w:vAlign w:val="bottom"/>
          </w:tcPr>
          <w:p w14:paraId="56B6D202" w14:textId="77777777" w:rsidR="00B628FF" w:rsidRDefault="005B2D2F">
            <w:pPr>
              <w:pStyle w:val="Summarytabletextrightaligned"/>
            </w:pPr>
            <w:r>
              <w:t>1.4</w:t>
            </w:r>
          </w:p>
        </w:tc>
        <w:tc>
          <w:tcPr>
            <w:tcW w:w="850" w:type="dxa"/>
            <w:vAlign w:val="bottom"/>
          </w:tcPr>
          <w:p w14:paraId="3EA38313" w14:textId="77777777" w:rsidR="00B628FF" w:rsidRDefault="005B2D2F">
            <w:pPr>
              <w:pStyle w:val="Summarytabletextrightaligned"/>
            </w:pPr>
            <w:r>
              <w:t>2.0</w:t>
            </w:r>
          </w:p>
        </w:tc>
        <w:tc>
          <w:tcPr>
            <w:tcW w:w="850" w:type="dxa"/>
            <w:vAlign w:val="bottom"/>
          </w:tcPr>
          <w:p w14:paraId="21E83C68" w14:textId="77777777" w:rsidR="00B628FF" w:rsidRDefault="005B2D2F">
            <w:pPr>
              <w:pStyle w:val="Summarytabletextrightaligned"/>
            </w:pPr>
            <w:r>
              <w:t>0.8</w:t>
            </w:r>
          </w:p>
        </w:tc>
        <w:tc>
          <w:tcPr>
            <w:tcW w:w="850" w:type="dxa"/>
            <w:vAlign w:val="bottom"/>
          </w:tcPr>
          <w:p w14:paraId="656226B7" w14:textId="77777777" w:rsidR="00B628FF" w:rsidRDefault="005B2D2F">
            <w:pPr>
              <w:pStyle w:val="Summarytabletextrightaligned"/>
            </w:pPr>
            <w:r>
              <w:t>7.7</w:t>
            </w:r>
          </w:p>
        </w:tc>
      </w:tr>
      <w:tr w:rsidR="00B628FF" w14:paraId="7749B148" w14:textId="77777777" w:rsidTr="00997AF2">
        <w:tc>
          <w:tcPr>
            <w:tcW w:w="3471" w:type="dxa"/>
            <w:vAlign w:val="bottom"/>
          </w:tcPr>
          <w:p w14:paraId="5DDD5838" w14:textId="77777777" w:rsidR="00B628FF" w:rsidRDefault="005B2D2F">
            <w:pPr>
              <w:pStyle w:val="Summarytabletextleftalignedbold"/>
            </w:pPr>
            <w:r>
              <w:t>Portfolio total</w:t>
            </w:r>
          </w:p>
        </w:tc>
        <w:tc>
          <w:tcPr>
            <w:tcW w:w="850" w:type="dxa"/>
            <w:tcBorders>
              <w:top w:val="single" w:sz="4" w:space="0" w:color="000000"/>
              <w:bottom w:val="single" w:sz="4" w:space="0" w:color="000000"/>
            </w:tcBorders>
            <w:vAlign w:val="bottom"/>
          </w:tcPr>
          <w:p w14:paraId="0F8E3523" w14:textId="2ED79C9A" w:rsidR="00B628FF" w:rsidRDefault="00B31B37">
            <w:pPr>
              <w:pStyle w:val="Summarytabletextrightalignedbold"/>
            </w:pPr>
            <w:r>
              <w:noBreakHyphen/>
            </w:r>
            <w:r w:rsidR="005B2D2F">
              <w:t>12.3</w:t>
            </w:r>
          </w:p>
        </w:tc>
        <w:tc>
          <w:tcPr>
            <w:tcW w:w="850" w:type="dxa"/>
            <w:tcBorders>
              <w:top w:val="single" w:sz="4" w:space="0" w:color="000000"/>
              <w:bottom w:val="single" w:sz="4" w:space="0" w:color="000000"/>
            </w:tcBorders>
            <w:shd w:val="clear" w:color="auto" w:fill="E6F2FF"/>
            <w:vAlign w:val="bottom"/>
          </w:tcPr>
          <w:p w14:paraId="5D994805" w14:textId="77777777" w:rsidR="00B628FF" w:rsidRDefault="005B2D2F">
            <w:pPr>
              <w:pStyle w:val="Summarytabletextrightalignedbold"/>
            </w:pPr>
            <w:r>
              <w:t>64.8</w:t>
            </w:r>
          </w:p>
        </w:tc>
        <w:tc>
          <w:tcPr>
            <w:tcW w:w="850" w:type="dxa"/>
            <w:tcBorders>
              <w:top w:val="single" w:sz="4" w:space="0" w:color="000000"/>
              <w:bottom w:val="single" w:sz="4" w:space="0" w:color="000000"/>
            </w:tcBorders>
            <w:vAlign w:val="bottom"/>
          </w:tcPr>
          <w:p w14:paraId="5C6CCC85" w14:textId="77777777" w:rsidR="00B628FF" w:rsidRDefault="005B2D2F">
            <w:pPr>
              <w:pStyle w:val="Summarytabletextrightalignedbold"/>
            </w:pPr>
            <w:r>
              <w:t>65.5</w:t>
            </w:r>
          </w:p>
        </w:tc>
        <w:tc>
          <w:tcPr>
            <w:tcW w:w="850" w:type="dxa"/>
            <w:tcBorders>
              <w:top w:val="single" w:sz="4" w:space="0" w:color="000000"/>
              <w:bottom w:val="single" w:sz="4" w:space="0" w:color="000000"/>
            </w:tcBorders>
            <w:vAlign w:val="bottom"/>
          </w:tcPr>
          <w:p w14:paraId="54EEE8F3" w14:textId="77777777" w:rsidR="00B628FF" w:rsidRDefault="005B2D2F">
            <w:pPr>
              <w:pStyle w:val="Summarytabletextrightalignedbold"/>
            </w:pPr>
            <w:r>
              <w:t>66.0</w:t>
            </w:r>
          </w:p>
        </w:tc>
        <w:tc>
          <w:tcPr>
            <w:tcW w:w="850" w:type="dxa"/>
            <w:tcBorders>
              <w:top w:val="single" w:sz="4" w:space="0" w:color="000000"/>
              <w:bottom w:val="single" w:sz="4" w:space="0" w:color="000000"/>
            </w:tcBorders>
            <w:vAlign w:val="bottom"/>
          </w:tcPr>
          <w:p w14:paraId="6C6B9BED" w14:textId="77777777" w:rsidR="00B628FF" w:rsidRDefault="005B2D2F">
            <w:pPr>
              <w:pStyle w:val="Summarytabletextrightalignedbold"/>
            </w:pPr>
            <w:r>
              <w:t>71.7</w:t>
            </w:r>
          </w:p>
        </w:tc>
      </w:tr>
      <w:tr w:rsidR="00B628FF" w14:paraId="0C619DB3" w14:textId="77777777" w:rsidTr="00997AF2">
        <w:tc>
          <w:tcPr>
            <w:tcW w:w="3471" w:type="dxa"/>
            <w:vAlign w:val="bottom"/>
          </w:tcPr>
          <w:p w14:paraId="6122FD6F" w14:textId="77777777" w:rsidR="00B628FF" w:rsidRDefault="005B2D2F">
            <w:pPr>
              <w:pStyle w:val="SummaryPortfolioTitle-BP2"/>
            </w:pPr>
            <w:r>
              <w:t>CROSS PORTFOLIO</w:t>
            </w:r>
          </w:p>
        </w:tc>
        <w:tc>
          <w:tcPr>
            <w:tcW w:w="850" w:type="dxa"/>
          </w:tcPr>
          <w:p w14:paraId="166162EB" w14:textId="77777777" w:rsidR="00B628FF" w:rsidRDefault="00B628FF">
            <w:pPr>
              <w:pStyle w:val="MeasureTableTextRightAlignedBefore6ptAfter1pt"/>
            </w:pPr>
          </w:p>
        </w:tc>
        <w:tc>
          <w:tcPr>
            <w:tcW w:w="850" w:type="dxa"/>
            <w:shd w:val="clear" w:color="auto" w:fill="E6F2FF"/>
          </w:tcPr>
          <w:p w14:paraId="311C91D0" w14:textId="77777777" w:rsidR="00B628FF" w:rsidRDefault="00B628FF">
            <w:pPr>
              <w:pStyle w:val="MeasureTableTextRightAlignedBefore6ptAfter1pt"/>
            </w:pPr>
          </w:p>
        </w:tc>
        <w:tc>
          <w:tcPr>
            <w:tcW w:w="850" w:type="dxa"/>
          </w:tcPr>
          <w:p w14:paraId="30129422" w14:textId="77777777" w:rsidR="00B628FF" w:rsidRDefault="00B628FF">
            <w:pPr>
              <w:pStyle w:val="MeasureTableTextRightAlignedBefore6ptAfter1pt"/>
            </w:pPr>
          </w:p>
        </w:tc>
        <w:tc>
          <w:tcPr>
            <w:tcW w:w="850" w:type="dxa"/>
          </w:tcPr>
          <w:p w14:paraId="53C99F56" w14:textId="77777777" w:rsidR="00B628FF" w:rsidRDefault="00B628FF">
            <w:pPr>
              <w:pStyle w:val="MeasureTableTextRightAlignedBefore6ptAfter1pt"/>
            </w:pPr>
          </w:p>
        </w:tc>
        <w:tc>
          <w:tcPr>
            <w:tcW w:w="850" w:type="dxa"/>
          </w:tcPr>
          <w:p w14:paraId="78F28EEA" w14:textId="77777777" w:rsidR="00B628FF" w:rsidRDefault="00B628FF">
            <w:pPr>
              <w:pStyle w:val="MeasureTableTextRightAlignedBefore6ptAfter1pt"/>
            </w:pPr>
          </w:p>
        </w:tc>
      </w:tr>
      <w:tr w:rsidR="00B628FF" w14:paraId="04C5C5C1" w14:textId="77777777" w:rsidTr="00997AF2">
        <w:tc>
          <w:tcPr>
            <w:tcW w:w="3471" w:type="dxa"/>
            <w:vAlign w:val="bottom"/>
          </w:tcPr>
          <w:p w14:paraId="17EB84B7" w14:textId="77777777" w:rsidR="00B628FF" w:rsidRDefault="005B2D2F">
            <w:pPr>
              <w:pStyle w:val="SummaryAgencyTitle-BP2"/>
            </w:pPr>
            <w:r>
              <w:t>Various Agencies</w:t>
            </w:r>
          </w:p>
        </w:tc>
        <w:tc>
          <w:tcPr>
            <w:tcW w:w="850" w:type="dxa"/>
          </w:tcPr>
          <w:p w14:paraId="414F2C29" w14:textId="77777777" w:rsidR="00B628FF" w:rsidRDefault="00B628FF">
            <w:pPr>
              <w:pStyle w:val="SummaryAgencyTitle-BP2"/>
            </w:pPr>
          </w:p>
        </w:tc>
        <w:tc>
          <w:tcPr>
            <w:tcW w:w="850" w:type="dxa"/>
            <w:shd w:val="clear" w:color="auto" w:fill="E6F2FF"/>
          </w:tcPr>
          <w:p w14:paraId="155DE5E8" w14:textId="77777777" w:rsidR="00B628FF" w:rsidRDefault="00B628FF">
            <w:pPr>
              <w:pStyle w:val="SummaryAgencyTitle-BP2"/>
            </w:pPr>
          </w:p>
        </w:tc>
        <w:tc>
          <w:tcPr>
            <w:tcW w:w="850" w:type="dxa"/>
          </w:tcPr>
          <w:p w14:paraId="4E49B3EC" w14:textId="77777777" w:rsidR="00B628FF" w:rsidRDefault="00B628FF">
            <w:pPr>
              <w:pStyle w:val="SummaryAgencyTitle-BP2"/>
            </w:pPr>
          </w:p>
        </w:tc>
        <w:tc>
          <w:tcPr>
            <w:tcW w:w="850" w:type="dxa"/>
          </w:tcPr>
          <w:p w14:paraId="7C8838E0" w14:textId="77777777" w:rsidR="00B628FF" w:rsidRDefault="00B628FF">
            <w:pPr>
              <w:pStyle w:val="SummaryAgencyTitle-BP2"/>
            </w:pPr>
          </w:p>
        </w:tc>
        <w:tc>
          <w:tcPr>
            <w:tcW w:w="850" w:type="dxa"/>
          </w:tcPr>
          <w:p w14:paraId="10FAE8E8" w14:textId="77777777" w:rsidR="00B628FF" w:rsidRDefault="00B628FF">
            <w:pPr>
              <w:pStyle w:val="SummaryAgencyTitle-BP2"/>
            </w:pPr>
          </w:p>
        </w:tc>
      </w:tr>
      <w:tr w:rsidR="00B628FF" w14:paraId="2C3BD02B" w14:textId="77777777" w:rsidTr="00997AF2">
        <w:tc>
          <w:tcPr>
            <w:tcW w:w="3471" w:type="dxa"/>
            <w:vAlign w:val="bottom"/>
          </w:tcPr>
          <w:p w14:paraId="32403CCE" w14:textId="77777777" w:rsidR="00B628FF" w:rsidRDefault="005B2D2F">
            <w:pPr>
              <w:pStyle w:val="SummaryMeasureTitlewithTheme"/>
            </w:pPr>
            <w:r>
              <w:t>Savings from External Labour – further extension</w:t>
            </w:r>
          </w:p>
        </w:tc>
        <w:tc>
          <w:tcPr>
            <w:tcW w:w="850" w:type="dxa"/>
            <w:vAlign w:val="bottom"/>
          </w:tcPr>
          <w:p w14:paraId="65696D72" w14:textId="25152E9E" w:rsidR="00B628FF" w:rsidRDefault="00B31B37">
            <w:pPr>
              <w:pStyle w:val="Summarytabletextrightaligned"/>
            </w:pPr>
            <w:r>
              <w:noBreakHyphen/>
            </w:r>
          </w:p>
        </w:tc>
        <w:tc>
          <w:tcPr>
            <w:tcW w:w="850" w:type="dxa"/>
            <w:shd w:val="clear" w:color="auto" w:fill="E6F2FF"/>
            <w:vAlign w:val="bottom"/>
          </w:tcPr>
          <w:p w14:paraId="18989A9D" w14:textId="7289A688" w:rsidR="00B628FF" w:rsidRDefault="00B31B37">
            <w:pPr>
              <w:pStyle w:val="Summarytabletextrightaligned"/>
            </w:pPr>
            <w:r>
              <w:noBreakHyphen/>
            </w:r>
          </w:p>
        </w:tc>
        <w:tc>
          <w:tcPr>
            <w:tcW w:w="850" w:type="dxa"/>
            <w:vAlign w:val="bottom"/>
          </w:tcPr>
          <w:p w14:paraId="3170379A" w14:textId="521AE7B1" w:rsidR="00B628FF" w:rsidRDefault="00B31B37">
            <w:pPr>
              <w:pStyle w:val="Summarytabletextrightaligned"/>
            </w:pPr>
            <w:r>
              <w:noBreakHyphen/>
            </w:r>
          </w:p>
        </w:tc>
        <w:tc>
          <w:tcPr>
            <w:tcW w:w="850" w:type="dxa"/>
            <w:vAlign w:val="bottom"/>
          </w:tcPr>
          <w:p w14:paraId="3911DC1F" w14:textId="7E5009FA" w:rsidR="00B628FF" w:rsidRDefault="00B31B37">
            <w:pPr>
              <w:pStyle w:val="Summarytabletextrightaligned"/>
            </w:pPr>
            <w:r>
              <w:noBreakHyphen/>
            </w:r>
          </w:p>
        </w:tc>
        <w:tc>
          <w:tcPr>
            <w:tcW w:w="850" w:type="dxa"/>
            <w:vAlign w:val="bottom"/>
          </w:tcPr>
          <w:p w14:paraId="7D366E8B" w14:textId="75C535B3" w:rsidR="00B628FF" w:rsidRDefault="00B31B37">
            <w:pPr>
              <w:pStyle w:val="Summarytabletextrightaligned"/>
            </w:pPr>
            <w:r>
              <w:noBreakHyphen/>
            </w:r>
            <w:r w:rsidR="005B2D2F">
              <w:t>718.8</w:t>
            </w:r>
          </w:p>
        </w:tc>
      </w:tr>
      <w:tr w:rsidR="00B628FF" w14:paraId="5A5D5A7A" w14:textId="77777777" w:rsidTr="00997AF2">
        <w:tc>
          <w:tcPr>
            <w:tcW w:w="3471" w:type="dxa"/>
            <w:vAlign w:val="bottom"/>
          </w:tcPr>
          <w:p w14:paraId="0DADDD43" w14:textId="77777777" w:rsidR="00B628FF" w:rsidRDefault="005B2D2F">
            <w:pPr>
              <w:pStyle w:val="Summarytabletextleftalignedbold"/>
            </w:pPr>
            <w:r>
              <w:t>Portfolio total</w:t>
            </w:r>
          </w:p>
        </w:tc>
        <w:tc>
          <w:tcPr>
            <w:tcW w:w="850" w:type="dxa"/>
            <w:tcBorders>
              <w:top w:val="single" w:sz="4" w:space="0" w:color="000000"/>
              <w:bottom w:val="single" w:sz="4" w:space="0" w:color="000000"/>
            </w:tcBorders>
            <w:vAlign w:val="bottom"/>
          </w:tcPr>
          <w:p w14:paraId="620E0C6F" w14:textId="791F77E9" w:rsidR="00B628FF" w:rsidRDefault="00B31B37">
            <w:pPr>
              <w:pStyle w:val="Summarytabletextrightalignedbold"/>
            </w:pPr>
            <w:r>
              <w:noBreakHyphen/>
            </w:r>
          </w:p>
        </w:tc>
        <w:tc>
          <w:tcPr>
            <w:tcW w:w="850" w:type="dxa"/>
            <w:tcBorders>
              <w:top w:val="single" w:sz="4" w:space="0" w:color="000000"/>
              <w:bottom w:val="single" w:sz="4" w:space="0" w:color="000000"/>
            </w:tcBorders>
            <w:shd w:val="clear" w:color="auto" w:fill="E6F2FF"/>
            <w:vAlign w:val="bottom"/>
          </w:tcPr>
          <w:p w14:paraId="4FFFE7E6" w14:textId="334305CA" w:rsidR="00B628FF" w:rsidRDefault="00B31B37">
            <w:pPr>
              <w:pStyle w:val="Summarytabletextrightalignedbold"/>
            </w:pPr>
            <w:r>
              <w:noBreakHyphen/>
            </w:r>
          </w:p>
        </w:tc>
        <w:tc>
          <w:tcPr>
            <w:tcW w:w="850" w:type="dxa"/>
            <w:tcBorders>
              <w:top w:val="single" w:sz="4" w:space="0" w:color="000000"/>
              <w:bottom w:val="single" w:sz="4" w:space="0" w:color="000000"/>
            </w:tcBorders>
            <w:vAlign w:val="bottom"/>
          </w:tcPr>
          <w:p w14:paraId="277039C6" w14:textId="521A5560" w:rsidR="00B628FF" w:rsidRDefault="00B31B37">
            <w:pPr>
              <w:pStyle w:val="Summarytabletextrightalignedbold"/>
            </w:pPr>
            <w:r>
              <w:noBreakHyphen/>
            </w:r>
          </w:p>
        </w:tc>
        <w:tc>
          <w:tcPr>
            <w:tcW w:w="850" w:type="dxa"/>
            <w:tcBorders>
              <w:top w:val="single" w:sz="4" w:space="0" w:color="000000"/>
              <w:bottom w:val="single" w:sz="4" w:space="0" w:color="000000"/>
            </w:tcBorders>
            <w:vAlign w:val="bottom"/>
          </w:tcPr>
          <w:p w14:paraId="176524E4" w14:textId="519F2470" w:rsidR="00B628FF" w:rsidRDefault="00B31B37">
            <w:pPr>
              <w:pStyle w:val="Summarytabletextrightalignedbold"/>
            </w:pPr>
            <w:r>
              <w:noBreakHyphen/>
            </w:r>
          </w:p>
        </w:tc>
        <w:tc>
          <w:tcPr>
            <w:tcW w:w="850" w:type="dxa"/>
            <w:tcBorders>
              <w:top w:val="single" w:sz="4" w:space="0" w:color="000000"/>
              <w:bottom w:val="single" w:sz="4" w:space="0" w:color="000000"/>
            </w:tcBorders>
            <w:vAlign w:val="bottom"/>
          </w:tcPr>
          <w:p w14:paraId="1E450F01" w14:textId="48EE5C6F" w:rsidR="00B628FF" w:rsidRDefault="00B31B37">
            <w:pPr>
              <w:pStyle w:val="Summarytabletextrightalignedbold"/>
            </w:pPr>
            <w:r>
              <w:noBreakHyphen/>
            </w:r>
            <w:r w:rsidR="005B2D2F">
              <w:t>718.8</w:t>
            </w:r>
          </w:p>
        </w:tc>
      </w:tr>
      <w:tr w:rsidR="00B628FF" w14:paraId="45F2C40C" w14:textId="77777777" w:rsidTr="00997AF2">
        <w:tc>
          <w:tcPr>
            <w:tcW w:w="3471" w:type="dxa"/>
            <w:vAlign w:val="bottom"/>
          </w:tcPr>
          <w:p w14:paraId="4A64CE3D" w14:textId="77777777" w:rsidR="00B628FF" w:rsidRDefault="005B2D2F">
            <w:pPr>
              <w:pStyle w:val="SummaryPortfolioTitle-BP2"/>
            </w:pPr>
            <w:r>
              <w:t>DEFENCE</w:t>
            </w:r>
          </w:p>
        </w:tc>
        <w:tc>
          <w:tcPr>
            <w:tcW w:w="850" w:type="dxa"/>
          </w:tcPr>
          <w:p w14:paraId="1848E4C9" w14:textId="77777777" w:rsidR="00B628FF" w:rsidRDefault="00B628FF">
            <w:pPr>
              <w:pStyle w:val="MeasureTableTextRightAlignedBefore6ptAfter1pt"/>
            </w:pPr>
          </w:p>
        </w:tc>
        <w:tc>
          <w:tcPr>
            <w:tcW w:w="850" w:type="dxa"/>
            <w:shd w:val="clear" w:color="auto" w:fill="E6F2FF"/>
          </w:tcPr>
          <w:p w14:paraId="3F7DB8B4" w14:textId="77777777" w:rsidR="00B628FF" w:rsidRDefault="00B628FF">
            <w:pPr>
              <w:pStyle w:val="MeasureTableTextRightAlignedBefore6ptAfter1pt"/>
            </w:pPr>
          </w:p>
        </w:tc>
        <w:tc>
          <w:tcPr>
            <w:tcW w:w="850" w:type="dxa"/>
          </w:tcPr>
          <w:p w14:paraId="5523A862" w14:textId="77777777" w:rsidR="00B628FF" w:rsidRDefault="00B628FF">
            <w:pPr>
              <w:pStyle w:val="MeasureTableTextRightAlignedBefore6ptAfter1pt"/>
            </w:pPr>
          </w:p>
        </w:tc>
        <w:tc>
          <w:tcPr>
            <w:tcW w:w="850" w:type="dxa"/>
          </w:tcPr>
          <w:p w14:paraId="53FF8D05" w14:textId="77777777" w:rsidR="00B628FF" w:rsidRDefault="00B628FF">
            <w:pPr>
              <w:pStyle w:val="MeasureTableTextRightAlignedBefore6ptAfter1pt"/>
            </w:pPr>
          </w:p>
        </w:tc>
        <w:tc>
          <w:tcPr>
            <w:tcW w:w="850" w:type="dxa"/>
          </w:tcPr>
          <w:p w14:paraId="0DD1D55B" w14:textId="77777777" w:rsidR="00B628FF" w:rsidRDefault="00B628FF">
            <w:pPr>
              <w:pStyle w:val="MeasureTableTextRightAlignedBefore6ptAfter1pt"/>
            </w:pPr>
          </w:p>
        </w:tc>
      </w:tr>
      <w:tr w:rsidR="00B628FF" w14:paraId="2D82A102" w14:textId="77777777" w:rsidTr="00997AF2">
        <w:tc>
          <w:tcPr>
            <w:tcW w:w="3471" w:type="dxa"/>
            <w:vAlign w:val="bottom"/>
          </w:tcPr>
          <w:p w14:paraId="0D57DED9" w14:textId="77777777" w:rsidR="00B628FF" w:rsidRDefault="005B2D2F">
            <w:pPr>
              <w:pStyle w:val="SummaryAgencyTitle-BP2"/>
            </w:pPr>
            <w:r>
              <w:t>Australian Submarine Agency</w:t>
            </w:r>
          </w:p>
        </w:tc>
        <w:tc>
          <w:tcPr>
            <w:tcW w:w="850" w:type="dxa"/>
          </w:tcPr>
          <w:p w14:paraId="7F0CE02D" w14:textId="77777777" w:rsidR="00B628FF" w:rsidRDefault="00B628FF">
            <w:pPr>
              <w:pStyle w:val="SummaryAgencyTitle-BP2"/>
            </w:pPr>
          </w:p>
        </w:tc>
        <w:tc>
          <w:tcPr>
            <w:tcW w:w="850" w:type="dxa"/>
            <w:shd w:val="clear" w:color="auto" w:fill="E6F2FF"/>
          </w:tcPr>
          <w:p w14:paraId="2C012B24" w14:textId="77777777" w:rsidR="00B628FF" w:rsidRDefault="00B628FF">
            <w:pPr>
              <w:pStyle w:val="SummaryAgencyTitle-BP2"/>
            </w:pPr>
          </w:p>
        </w:tc>
        <w:tc>
          <w:tcPr>
            <w:tcW w:w="850" w:type="dxa"/>
          </w:tcPr>
          <w:p w14:paraId="43E0C33E" w14:textId="77777777" w:rsidR="00B628FF" w:rsidRDefault="00B628FF">
            <w:pPr>
              <w:pStyle w:val="SummaryAgencyTitle-BP2"/>
            </w:pPr>
          </w:p>
        </w:tc>
        <w:tc>
          <w:tcPr>
            <w:tcW w:w="850" w:type="dxa"/>
          </w:tcPr>
          <w:p w14:paraId="20AF0016" w14:textId="77777777" w:rsidR="00B628FF" w:rsidRDefault="00B628FF">
            <w:pPr>
              <w:pStyle w:val="SummaryAgencyTitle-BP2"/>
            </w:pPr>
          </w:p>
        </w:tc>
        <w:tc>
          <w:tcPr>
            <w:tcW w:w="850" w:type="dxa"/>
          </w:tcPr>
          <w:p w14:paraId="74A3084E" w14:textId="77777777" w:rsidR="00B628FF" w:rsidRDefault="00B628FF">
            <w:pPr>
              <w:pStyle w:val="SummaryAgencyTitle-BP2"/>
            </w:pPr>
          </w:p>
        </w:tc>
      </w:tr>
      <w:tr w:rsidR="00B628FF" w14:paraId="63A49B09" w14:textId="77777777" w:rsidTr="00997AF2">
        <w:tc>
          <w:tcPr>
            <w:tcW w:w="3471" w:type="dxa"/>
            <w:vAlign w:val="bottom"/>
          </w:tcPr>
          <w:p w14:paraId="07678932" w14:textId="77777777" w:rsidR="00B628FF" w:rsidRDefault="005B2D2F">
            <w:pPr>
              <w:pStyle w:val="SummaryMeasureTitlewithTheme"/>
            </w:pPr>
            <w:r>
              <w:t>Nuclear‑Powered Submarine Program – continuation of whole‑of‑government support</w:t>
            </w:r>
          </w:p>
        </w:tc>
        <w:tc>
          <w:tcPr>
            <w:tcW w:w="850" w:type="dxa"/>
            <w:vAlign w:val="bottom"/>
          </w:tcPr>
          <w:p w14:paraId="2A06F0DF" w14:textId="34915875" w:rsidR="00B628FF" w:rsidRDefault="00B31B37">
            <w:pPr>
              <w:pStyle w:val="Summarytabletextrightaligned"/>
            </w:pPr>
            <w:r>
              <w:noBreakHyphen/>
            </w:r>
          </w:p>
        </w:tc>
        <w:tc>
          <w:tcPr>
            <w:tcW w:w="850" w:type="dxa"/>
            <w:shd w:val="clear" w:color="auto" w:fill="E6F2FF"/>
            <w:vAlign w:val="bottom"/>
          </w:tcPr>
          <w:p w14:paraId="67536D35" w14:textId="34FC25AD" w:rsidR="00B628FF" w:rsidRDefault="00B31B37">
            <w:pPr>
              <w:pStyle w:val="Summarytabletextrightaligned"/>
            </w:pPr>
            <w:r>
              <w:noBreakHyphen/>
            </w:r>
            <w:r w:rsidR="005B2D2F">
              <w:t>12.3</w:t>
            </w:r>
          </w:p>
        </w:tc>
        <w:tc>
          <w:tcPr>
            <w:tcW w:w="850" w:type="dxa"/>
            <w:vAlign w:val="bottom"/>
          </w:tcPr>
          <w:p w14:paraId="06916E10" w14:textId="12649539" w:rsidR="00B628FF" w:rsidRDefault="00B31B37">
            <w:pPr>
              <w:pStyle w:val="Summarytabletextrightaligned"/>
            </w:pPr>
            <w:r>
              <w:noBreakHyphen/>
            </w:r>
          </w:p>
        </w:tc>
        <w:tc>
          <w:tcPr>
            <w:tcW w:w="850" w:type="dxa"/>
            <w:vAlign w:val="bottom"/>
          </w:tcPr>
          <w:p w14:paraId="14380D31" w14:textId="755B725E" w:rsidR="00B628FF" w:rsidRDefault="00B31B37">
            <w:pPr>
              <w:pStyle w:val="Summarytabletextrightaligned"/>
            </w:pPr>
            <w:r>
              <w:noBreakHyphen/>
            </w:r>
          </w:p>
        </w:tc>
        <w:tc>
          <w:tcPr>
            <w:tcW w:w="850" w:type="dxa"/>
            <w:vAlign w:val="bottom"/>
          </w:tcPr>
          <w:p w14:paraId="455EDF2D" w14:textId="2C0CB265" w:rsidR="00B628FF" w:rsidRDefault="00B31B37">
            <w:pPr>
              <w:pStyle w:val="Summarytabletextrightaligned"/>
            </w:pPr>
            <w:r>
              <w:noBreakHyphen/>
            </w:r>
          </w:p>
        </w:tc>
      </w:tr>
      <w:tr w:rsidR="00B628FF" w14:paraId="0ACDFEE8" w14:textId="77777777" w:rsidTr="00997AF2">
        <w:tc>
          <w:tcPr>
            <w:tcW w:w="3471" w:type="dxa"/>
            <w:vAlign w:val="bottom"/>
          </w:tcPr>
          <w:p w14:paraId="3CDC925E" w14:textId="77777777" w:rsidR="00B628FF" w:rsidRDefault="005B2D2F">
            <w:pPr>
              <w:pStyle w:val="SummaryAgencyTitle-BP2"/>
            </w:pPr>
            <w:r>
              <w:t>Department of Defence</w:t>
            </w:r>
          </w:p>
        </w:tc>
        <w:tc>
          <w:tcPr>
            <w:tcW w:w="850" w:type="dxa"/>
          </w:tcPr>
          <w:p w14:paraId="74E801C7" w14:textId="77777777" w:rsidR="00B628FF" w:rsidRDefault="00B628FF">
            <w:pPr>
              <w:pStyle w:val="SummaryAgencyTitle-BP2"/>
            </w:pPr>
          </w:p>
        </w:tc>
        <w:tc>
          <w:tcPr>
            <w:tcW w:w="850" w:type="dxa"/>
            <w:shd w:val="clear" w:color="auto" w:fill="E6F2FF"/>
          </w:tcPr>
          <w:p w14:paraId="03992323" w14:textId="77777777" w:rsidR="00B628FF" w:rsidRDefault="00B628FF">
            <w:pPr>
              <w:pStyle w:val="SummaryAgencyTitle-BP2"/>
            </w:pPr>
          </w:p>
        </w:tc>
        <w:tc>
          <w:tcPr>
            <w:tcW w:w="850" w:type="dxa"/>
          </w:tcPr>
          <w:p w14:paraId="24E5A24D" w14:textId="77777777" w:rsidR="00B628FF" w:rsidRDefault="00B628FF">
            <w:pPr>
              <w:pStyle w:val="SummaryAgencyTitle-BP2"/>
            </w:pPr>
          </w:p>
        </w:tc>
        <w:tc>
          <w:tcPr>
            <w:tcW w:w="850" w:type="dxa"/>
          </w:tcPr>
          <w:p w14:paraId="18901A60" w14:textId="77777777" w:rsidR="00B628FF" w:rsidRDefault="00B628FF">
            <w:pPr>
              <w:pStyle w:val="SummaryAgencyTitle-BP2"/>
            </w:pPr>
          </w:p>
        </w:tc>
        <w:tc>
          <w:tcPr>
            <w:tcW w:w="850" w:type="dxa"/>
          </w:tcPr>
          <w:p w14:paraId="6B508367" w14:textId="77777777" w:rsidR="00B628FF" w:rsidRDefault="00B628FF">
            <w:pPr>
              <w:pStyle w:val="SummaryAgencyTitle-BP2"/>
            </w:pPr>
          </w:p>
        </w:tc>
      </w:tr>
      <w:tr w:rsidR="00B628FF" w14:paraId="6413365E" w14:textId="77777777" w:rsidTr="00997AF2">
        <w:tc>
          <w:tcPr>
            <w:tcW w:w="3471" w:type="dxa"/>
            <w:vAlign w:val="bottom"/>
          </w:tcPr>
          <w:p w14:paraId="1BB8C0C2" w14:textId="1E9DD2C9" w:rsidR="00B628FF" w:rsidRDefault="005B2D2F">
            <w:pPr>
              <w:pStyle w:val="SummaryMeasureTitlewithTheme"/>
            </w:pPr>
            <w:r>
              <w:t>Attorney‑General</w:t>
            </w:r>
            <w:r w:rsidR="00B31B37">
              <w:t>’</w:t>
            </w:r>
            <w:r>
              <w:t>s Portfolio – additional resourcing</w:t>
            </w:r>
          </w:p>
        </w:tc>
        <w:tc>
          <w:tcPr>
            <w:tcW w:w="850" w:type="dxa"/>
            <w:vAlign w:val="bottom"/>
          </w:tcPr>
          <w:p w14:paraId="19C787FA" w14:textId="5F465EE1" w:rsidR="00B628FF" w:rsidRDefault="00B31B37">
            <w:pPr>
              <w:pStyle w:val="Summarytabletextrightaligned"/>
            </w:pPr>
            <w:r>
              <w:noBreakHyphen/>
            </w:r>
          </w:p>
        </w:tc>
        <w:tc>
          <w:tcPr>
            <w:tcW w:w="850" w:type="dxa"/>
            <w:shd w:val="clear" w:color="auto" w:fill="E6F2FF"/>
            <w:vAlign w:val="bottom"/>
          </w:tcPr>
          <w:p w14:paraId="16B84FD3" w14:textId="492AEF93" w:rsidR="00B628FF" w:rsidRDefault="00B31B37">
            <w:pPr>
              <w:pStyle w:val="Summarytabletextrightaligned"/>
            </w:pPr>
            <w:r>
              <w:noBreakHyphen/>
            </w:r>
            <w:r w:rsidR="005B2D2F">
              <w:t>41.9</w:t>
            </w:r>
          </w:p>
        </w:tc>
        <w:tc>
          <w:tcPr>
            <w:tcW w:w="850" w:type="dxa"/>
            <w:vAlign w:val="bottom"/>
          </w:tcPr>
          <w:p w14:paraId="37DB0880" w14:textId="1A1CC287" w:rsidR="00B628FF" w:rsidRDefault="00B31B37">
            <w:pPr>
              <w:pStyle w:val="Summarytabletextrightaligned"/>
            </w:pPr>
            <w:r>
              <w:noBreakHyphen/>
            </w:r>
          </w:p>
        </w:tc>
        <w:tc>
          <w:tcPr>
            <w:tcW w:w="850" w:type="dxa"/>
            <w:vAlign w:val="bottom"/>
          </w:tcPr>
          <w:p w14:paraId="68E1EED7" w14:textId="52C68D29" w:rsidR="00B628FF" w:rsidRDefault="00B31B37">
            <w:pPr>
              <w:pStyle w:val="Summarytabletextrightaligned"/>
            </w:pPr>
            <w:r>
              <w:noBreakHyphen/>
            </w:r>
          </w:p>
        </w:tc>
        <w:tc>
          <w:tcPr>
            <w:tcW w:w="850" w:type="dxa"/>
            <w:vAlign w:val="bottom"/>
          </w:tcPr>
          <w:p w14:paraId="3E948DDD" w14:textId="0B64A617" w:rsidR="00B628FF" w:rsidRDefault="00B31B37">
            <w:pPr>
              <w:pStyle w:val="Summarytabletextrightaligned"/>
            </w:pPr>
            <w:r>
              <w:noBreakHyphen/>
            </w:r>
          </w:p>
        </w:tc>
      </w:tr>
      <w:tr w:rsidR="00B628FF" w14:paraId="70665A3B" w14:textId="77777777" w:rsidTr="00997AF2">
        <w:tc>
          <w:tcPr>
            <w:tcW w:w="3471" w:type="dxa"/>
            <w:vAlign w:val="bottom"/>
          </w:tcPr>
          <w:p w14:paraId="5019A13E" w14:textId="132F6A65" w:rsidR="00B628FF" w:rsidRDefault="005B2D2F">
            <w:pPr>
              <w:pStyle w:val="SummaryMeasureTitlewithTheme"/>
            </w:pPr>
            <w:r>
              <w:t>Australia</w:t>
            </w:r>
            <w:r w:rsidR="00B31B37">
              <w:t>’</w:t>
            </w:r>
            <w:r>
              <w:t>s Embassy in Kyiv</w:t>
            </w:r>
          </w:p>
        </w:tc>
        <w:tc>
          <w:tcPr>
            <w:tcW w:w="850" w:type="dxa"/>
            <w:vAlign w:val="bottom"/>
          </w:tcPr>
          <w:p w14:paraId="024BB359" w14:textId="71DCEFE0" w:rsidR="00B628FF" w:rsidRDefault="00B31B37">
            <w:pPr>
              <w:pStyle w:val="Summarytabletextrightaligned"/>
            </w:pPr>
            <w:r>
              <w:noBreakHyphen/>
            </w:r>
          </w:p>
        </w:tc>
        <w:tc>
          <w:tcPr>
            <w:tcW w:w="850" w:type="dxa"/>
            <w:shd w:val="clear" w:color="auto" w:fill="E6F2FF"/>
            <w:vAlign w:val="bottom"/>
          </w:tcPr>
          <w:p w14:paraId="2D2C1F6C" w14:textId="3411C678" w:rsidR="00B628FF" w:rsidRDefault="00B31B37">
            <w:pPr>
              <w:pStyle w:val="Summarytabletextrightaligned"/>
            </w:pPr>
            <w:r>
              <w:noBreakHyphen/>
            </w:r>
          </w:p>
        </w:tc>
        <w:tc>
          <w:tcPr>
            <w:tcW w:w="850" w:type="dxa"/>
            <w:vAlign w:val="bottom"/>
          </w:tcPr>
          <w:p w14:paraId="10BE2DA8" w14:textId="4128CC7E" w:rsidR="00B628FF" w:rsidRDefault="00B31B37">
            <w:pPr>
              <w:pStyle w:val="Summarytabletextrightaligned"/>
            </w:pPr>
            <w:r>
              <w:noBreakHyphen/>
            </w:r>
          </w:p>
        </w:tc>
        <w:tc>
          <w:tcPr>
            <w:tcW w:w="850" w:type="dxa"/>
            <w:vAlign w:val="bottom"/>
          </w:tcPr>
          <w:p w14:paraId="6AEA5215" w14:textId="25FAA041" w:rsidR="00B628FF" w:rsidRDefault="00B31B37">
            <w:pPr>
              <w:pStyle w:val="Summarytabletextrightaligned"/>
            </w:pPr>
            <w:r>
              <w:noBreakHyphen/>
            </w:r>
          </w:p>
        </w:tc>
        <w:tc>
          <w:tcPr>
            <w:tcW w:w="850" w:type="dxa"/>
            <w:vAlign w:val="bottom"/>
          </w:tcPr>
          <w:p w14:paraId="3A5BD77B" w14:textId="033DB601" w:rsidR="00B628FF" w:rsidRDefault="00B31B37">
            <w:pPr>
              <w:pStyle w:val="Summarytabletextrightaligned"/>
            </w:pPr>
            <w:r>
              <w:noBreakHyphen/>
            </w:r>
          </w:p>
        </w:tc>
      </w:tr>
      <w:tr w:rsidR="00B628FF" w14:paraId="19418323" w14:textId="77777777" w:rsidTr="00997AF2">
        <w:tc>
          <w:tcPr>
            <w:tcW w:w="3471" w:type="dxa"/>
            <w:vAlign w:val="bottom"/>
          </w:tcPr>
          <w:p w14:paraId="21A06D64" w14:textId="77777777" w:rsidR="00B628FF" w:rsidRDefault="005B2D2F">
            <w:pPr>
              <w:pStyle w:val="SummaryMeasureTitlewithTheme"/>
            </w:pPr>
            <w:r>
              <w:t>Continued Defence Support to Ukraine</w:t>
            </w:r>
          </w:p>
        </w:tc>
        <w:tc>
          <w:tcPr>
            <w:tcW w:w="850" w:type="dxa"/>
            <w:vAlign w:val="bottom"/>
          </w:tcPr>
          <w:p w14:paraId="229154CB" w14:textId="3936836E" w:rsidR="00B628FF" w:rsidRDefault="00B31B37">
            <w:pPr>
              <w:pStyle w:val="Summarytabletextrightaligned"/>
            </w:pPr>
            <w:r>
              <w:noBreakHyphen/>
            </w:r>
          </w:p>
        </w:tc>
        <w:tc>
          <w:tcPr>
            <w:tcW w:w="850" w:type="dxa"/>
            <w:shd w:val="clear" w:color="auto" w:fill="E6F2FF"/>
            <w:vAlign w:val="bottom"/>
          </w:tcPr>
          <w:p w14:paraId="3C6EC3D1" w14:textId="373A430B" w:rsidR="00B628FF" w:rsidRDefault="00B31B37">
            <w:pPr>
              <w:pStyle w:val="Summarytabletextrightaligned"/>
            </w:pPr>
            <w:r>
              <w:noBreakHyphen/>
            </w:r>
          </w:p>
        </w:tc>
        <w:tc>
          <w:tcPr>
            <w:tcW w:w="850" w:type="dxa"/>
            <w:vAlign w:val="bottom"/>
          </w:tcPr>
          <w:p w14:paraId="005AFB20" w14:textId="70224836" w:rsidR="00B628FF" w:rsidRDefault="00B31B37">
            <w:pPr>
              <w:pStyle w:val="Summarytabletextrightaligned"/>
            </w:pPr>
            <w:r>
              <w:noBreakHyphen/>
            </w:r>
          </w:p>
        </w:tc>
        <w:tc>
          <w:tcPr>
            <w:tcW w:w="850" w:type="dxa"/>
            <w:vAlign w:val="bottom"/>
          </w:tcPr>
          <w:p w14:paraId="3D60B811" w14:textId="20CEA107" w:rsidR="00B628FF" w:rsidRDefault="00B31B37">
            <w:pPr>
              <w:pStyle w:val="Summarytabletextrightaligned"/>
            </w:pPr>
            <w:r>
              <w:noBreakHyphen/>
            </w:r>
          </w:p>
        </w:tc>
        <w:tc>
          <w:tcPr>
            <w:tcW w:w="850" w:type="dxa"/>
            <w:vAlign w:val="bottom"/>
          </w:tcPr>
          <w:p w14:paraId="42823BEB" w14:textId="69B0E2F3" w:rsidR="00B628FF" w:rsidRDefault="00B31B37">
            <w:pPr>
              <w:pStyle w:val="Summarytabletextrightaligned"/>
            </w:pPr>
            <w:r>
              <w:noBreakHyphen/>
            </w:r>
          </w:p>
        </w:tc>
      </w:tr>
      <w:tr w:rsidR="00B628FF" w14:paraId="56629604" w14:textId="77777777" w:rsidTr="00997AF2">
        <w:tc>
          <w:tcPr>
            <w:tcW w:w="3471" w:type="dxa"/>
            <w:vAlign w:val="bottom"/>
          </w:tcPr>
          <w:p w14:paraId="01508440" w14:textId="77777777" w:rsidR="00B628FF" w:rsidRDefault="005B2D2F">
            <w:pPr>
              <w:pStyle w:val="SummaryMeasureTitlewithTheme"/>
            </w:pPr>
            <w:r>
              <w:t>Investing in Naval Shipbuilding and Sustainment in Australia – further investment</w:t>
            </w:r>
          </w:p>
        </w:tc>
        <w:tc>
          <w:tcPr>
            <w:tcW w:w="850" w:type="dxa"/>
            <w:vAlign w:val="bottom"/>
          </w:tcPr>
          <w:p w14:paraId="08EE3703" w14:textId="7F4E5999" w:rsidR="00B628FF" w:rsidRDefault="00B31B37">
            <w:pPr>
              <w:pStyle w:val="Summarytabletextrightaligned"/>
            </w:pPr>
            <w:r>
              <w:noBreakHyphen/>
            </w:r>
          </w:p>
        </w:tc>
        <w:tc>
          <w:tcPr>
            <w:tcW w:w="850" w:type="dxa"/>
            <w:shd w:val="clear" w:color="auto" w:fill="E6F2FF"/>
            <w:vAlign w:val="bottom"/>
          </w:tcPr>
          <w:p w14:paraId="35C12491" w14:textId="7F31AFAD" w:rsidR="00B628FF" w:rsidRDefault="00B31B37">
            <w:pPr>
              <w:pStyle w:val="Summarytabletextrightaligned"/>
            </w:pPr>
            <w:r>
              <w:noBreakHyphen/>
            </w:r>
          </w:p>
        </w:tc>
        <w:tc>
          <w:tcPr>
            <w:tcW w:w="850" w:type="dxa"/>
            <w:vAlign w:val="bottom"/>
          </w:tcPr>
          <w:p w14:paraId="4DA48FAD" w14:textId="5E0BF3A8" w:rsidR="00B628FF" w:rsidRDefault="00B31B37">
            <w:pPr>
              <w:pStyle w:val="Summarytabletextrightaligned"/>
            </w:pPr>
            <w:r>
              <w:noBreakHyphen/>
            </w:r>
          </w:p>
        </w:tc>
        <w:tc>
          <w:tcPr>
            <w:tcW w:w="850" w:type="dxa"/>
            <w:vAlign w:val="bottom"/>
          </w:tcPr>
          <w:p w14:paraId="3D28BC76" w14:textId="14D9081B" w:rsidR="00B628FF" w:rsidRDefault="00B31B37">
            <w:pPr>
              <w:pStyle w:val="Summarytabletextrightaligned"/>
            </w:pPr>
            <w:r>
              <w:noBreakHyphen/>
            </w:r>
          </w:p>
        </w:tc>
        <w:tc>
          <w:tcPr>
            <w:tcW w:w="850" w:type="dxa"/>
            <w:vAlign w:val="bottom"/>
          </w:tcPr>
          <w:p w14:paraId="5ED2C1D3" w14:textId="01E9DE40" w:rsidR="00B628FF" w:rsidRDefault="00B31B37">
            <w:pPr>
              <w:pStyle w:val="Summarytabletextrightaligned"/>
            </w:pPr>
            <w:r>
              <w:noBreakHyphen/>
            </w:r>
          </w:p>
        </w:tc>
      </w:tr>
      <w:tr w:rsidR="00B628FF" w14:paraId="59E25D68" w14:textId="77777777" w:rsidTr="00997AF2">
        <w:tc>
          <w:tcPr>
            <w:tcW w:w="3471" w:type="dxa"/>
            <w:vAlign w:val="bottom"/>
          </w:tcPr>
          <w:p w14:paraId="1F21F38B" w14:textId="77777777" w:rsidR="00B628FF" w:rsidRDefault="005B2D2F">
            <w:pPr>
              <w:pStyle w:val="SummaryMeasureTitlewithTheme"/>
            </w:pPr>
            <w:r>
              <w:t>Nuclear‑Powered Submarine Program – continuation of whole‑of‑government support</w:t>
            </w:r>
          </w:p>
        </w:tc>
        <w:tc>
          <w:tcPr>
            <w:tcW w:w="850" w:type="dxa"/>
            <w:vAlign w:val="bottom"/>
          </w:tcPr>
          <w:p w14:paraId="7488D809" w14:textId="0CBA41A3" w:rsidR="00B628FF" w:rsidRDefault="00B31B37">
            <w:pPr>
              <w:pStyle w:val="Summarytabletextrightaligned"/>
            </w:pPr>
            <w:r>
              <w:noBreakHyphen/>
            </w:r>
          </w:p>
        </w:tc>
        <w:tc>
          <w:tcPr>
            <w:tcW w:w="850" w:type="dxa"/>
            <w:shd w:val="clear" w:color="auto" w:fill="E6F2FF"/>
            <w:vAlign w:val="bottom"/>
          </w:tcPr>
          <w:p w14:paraId="40D4C87B" w14:textId="79196AEF" w:rsidR="00B628FF" w:rsidRDefault="00B31B37">
            <w:pPr>
              <w:pStyle w:val="Summarytabletextrightaligned"/>
            </w:pPr>
            <w:r>
              <w:noBreakHyphen/>
            </w:r>
            <w:r w:rsidR="005B2D2F">
              <w:t>49.3</w:t>
            </w:r>
          </w:p>
        </w:tc>
        <w:tc>
          <w:tcPr>
            <w:tcW w:w="850" w:type="dxa"/>
            <w:vAlign w:val="bottom"/>
          </w:tcPr>
          <w:p w14:paraId="3E1BF039" w14:textId="296AA0D7" w:rsidR="00B628FF" w:rsidRDefault="00B31B37">
            <w:pPr>
              <w:pStyle w:val="Summarytabletextrightaligned"/>
            </w:pPr>
            <w:r>
              <w:noBreakHyphen/>
            </w:r>
          </w:p>
        </w:tc>
        <w:tc>
          <w:tcPr>
            <w:tcW w:w="850" w:type="dxa"/>
            <w:vAlign w:val="bottom"/>
          </w:tcPr>
          <w:p w14:paraId="50DB96DE" w14:textId="45951D9D" w:rsidR="00B628FF" w:rsidRDefault="00B31B37">
            <w:pPr>
              <w:pStyle w:val="Summarytabletextrightaligned"/>
            </w:pPr>
            <w:r>
              <w:noBreakHyphen/>
            </w:r>
          </w:p>
        </w:tc>
        <w:tc>
          <w:tcPr>
            <w:tcW w:w="850" w:type="dxa"/>
            <w:vAlign w:val="bottom"/>
          </w:tcPr>
          <w:p w14:paraId="1337AC86" w14:textId="3BABAAD2" w:rsidR="00B628FF" w:rsidRDefault="00B31B37">
            <w:pPr>
              <w:pStyle w:val="Summarytabletextrightaligned"/>
            </w:pPr>
            <w:r>
              <w:noBreakHyphen/>
            </w:r>
          </w:p>
        </w:tc>
      </w:tr>
      <w:tr w:rsidR="00B628FF" w14:paraId="582ABFC6" w14:textId="77777777" w:rsidTr="00997AF2">
        <w:tc>
          <w:tcPr>
            <w:tcW w:w="3471" w:type="dxa"/>
            <w:vAlign w:val="bottom"/>
          </w:tcPr>
          <w:p w14:paraId="5C26389E" w14:textId="77777777" w:rsidR="00B628FF" w:rsidRDefault="005B2D2F">
            <w:pPr>
              <w:pStyle w:val="SummaryMeasureTitlewithTheme"/>
            </w:pPr>
            <w:r>
              <w:t>Support for Royal Solomon Islands Police Force Expansion</w:t>
            </w:r>
          </w:p>
        </w:tc>
        <w:tc>
          <w:tcPr>
            <w:tcW w:w="850" w:type="dxa"/>
            <w:vAlign w:val="bottom"/>
          </w:tcPr>
          <w:p w14:paraId="4156FD6F" w14:textId="78F89ACC" w:rsidR="00B628FF" w:rsidRDefault="00B31B37">
            <w:pPr>
              <w:pStyle w:val="Summarytabletextrightaligned"/>
            </w:pPr>
            <w:r>
              <w:noBreakHyphen/>
            </w:r>
          </w:p>
        </w:tc>
        <w:tc>
          <w:tcPr>
            <w:tcW w:w="850" w:type="dxa"/>
            <w:shd w:val="clear" w:color="auto" w:fill="E6F2FF"/>
            <w:vAlign w:val="bottom"/>
          </w:tcPr>
          <w:p w14:paraId="414564B7" w14:textId="5BD50A4F" w:rsidR="00B628FF" w:rsidRDefault="00B31B37">
            <w:pPr>
              <w:pStyle w:val="Summarytabletextrightaligned"/>
            </w:pPr>
            <w:r>
              <w:noBreakHyphen/>
            </w:r>
          </w:p>
        </w:tc>
        <w:tc>
          <w:tcPr>
            <w:tcW w:w="850" w:type="dxa"/>
            <w:vAlign w:val="bottom"/>
          </w:tcPr>
          <w:p w14:paraId="1E358EB5" w14:textId="78306F29" w:rsidR="00B628FF" w:rsidRDefault="00B31B37">
            <w:pPr>
              <w:pStyle w:val="Summarytabletextrightaligned"/>
            </w:pPr>
            <w:r>
              <w:noBreakHyphen/>
            </w:r>
          </w:p>
        </w:tc>
        <w:tc>
          <w:tcPr>
            <w:tcW w:w="850" w:type="dxa"/>
            <w:vAlign w:val="bottom"/>
          </w:tcPr>
          <w:p w14:paraId="07B08183" w14:textId="38AE3224" w:rsidR="00B628FF" w:rsidRDefault="00B31B37">
            <w:pPr>
              <w:pStyle w:val="Summarytabletextrightaligned"/>
            </w:pPr>
            <w:r>
              <w:noBreakHyphen/>
            </w:r>
          </w:p>
        </w:tc>
        <w:tc>
          <w:tcPr>
            <w:tcW w:w="850" w:type="dxa"/>
            <w:vAlign w:val="bottom"/>
          </w:tcPr>
          <w:p w14:paraId="19652435" w14:textId="0F29D741" w:rsidR="00B628FF" w:rsidRDefault="00B31B37">
            <w:pPr>
              <w:pStyle w:val="Summarytabletextrightaligned"/>
            </w:pPr>
            <w:r>
              <w:noBreakHyphen/>
            </w:r>
          </w:p>
        </w:tc>
      </w:tr>
      <w:tr w:rsidR="00B628FF" w14:paraId="2B555FE3" w14:textId="77777777" w:rsidTr="00997AF2">
        <w:tc>
          <w:tcPr>
            <w:tcW w:w="3471" w:type="dxa"/>
            <w:vAlign w:val="bottom"/>
          </w:tcPr>
          <w:p w14:paraId="7B0BE372" w14:textId="3EAC6D11" w:rsidR="00B628FF" w:rsidRDefault="005B2D2F">
            <w:pPr>
              <w:pStyle w:val="SummaryAgencyTitle-BP2"/>
            </w:pPr>
            <w:r>
              <w:t>Department of Veterans</w:t>
            </w:r>
            <w:r w:rsidR="00B31B37">
              <w:t>’</w:t>
            </w:r>
            <w:r>
              <w:t xml:space="preserve"> Affairs</w:t>
            </w:r>
          </w:p>
        </w:tc>
        <w:tc>
          <w:tcPr>
            <w:tcW w:w="850" w:type="dxa"/>
          </w:tcPr>
          <w:p w14:paraId="1221886C" w14:textId="77777777" w:rsidR="00B628FF" w:rsidRDefault="00B628FF">
            <w:pPr>
              <w:pStyle w:val="SummaryAgencyTitle-BP2"/>
            </w:pPr>
          </w:p>
        </w:tc>
        <w:tc>
          <w:tcPr>
            <w:tcW w:w="850" w:type="dxa"/>
            <w:shd w:val="clear" w:color="auto" w:fill="E6F2FF"/>
          </w:tcPr>
          <w:p w14:paraId="2B7B6264" w14:textId="77777777" w:rsidR="00B628FF" w:rsidRDefault="00B628FF">
            <w:pPr>
              <w:pStyle w:val="SummaryAgencyTitle-BP2"/>
            </w:pPr>
          </w:p>
        </w:tc>
        <w:tc>
          <w:tcPr>
            <w:tcW w:w="850" w:type="dxa"/>
          </w:tcPr>
          <w:p w14:paraId="377A50EC" w14:textId="77777777" w:rsidR="00B628FF" w:rsidRDefault="00B628FF">
            <w:pPr>
              <w:pStyle w:val="SummaryAgencyTitle-BP2"/>
            </w:pPr>
          </w:p>
        </w:tc>
        <w:tc>
          <w:tcPr>
            <w:tcW w:w="850" w:type="dxa"/>
          </w:tcPr>
          <w:p w14:paraId="6A7F4938" w14:textId="77777777" w:rsidR="00B628FF" w:rsidRDefault="00B628FF">
            <w:pPr>
              <w:pStyle w:val="SummaryAgencyTitle-BP2"/>
            </w:pPr>
          </w:p>
        </w:tc>
        <w:tc>
          <w:tcPr>
            <w:tcW w:w="850" w:type="dxa"/>
          </w:tcPr>
          <w:p w14:paraId="3028E13B" w14:textId="77777777" w:rsidR="00B628FF" w:rsidRDefault="00B628FF">
            <w:pPr>
              <w:pStyle w:val="SummaryAgencyTitle-BP2"/>
            </w:pPr>
          </w:p>
        </w:tc>
      </w:tr>
      <w:tr w:rsidR="00B628FF" w14:paraId="523821E9" w14:textId="77777777" w:rsidTr="00997AF2">
        <w:tc>
          <w:tcPr>
            <w:tcW w:w="3471" w:type="dxa"/>
            <w:vAlign w:val="bottom"/>
          </w:tcPr>
          <w:p w14:paraId="054C5DF0" w14:textId="77777777" w:rsidR="00B628FF" w:rsidRDefault="005B2D2F">
            <w:pPr>
              <w:pStyle w:val="SummaryMeasureTitlewithTheme"/>
            </w:pPr>
            <w:r>
              <w:t>Continuing to Support Veterans and their Families</w:t>
            </w:r>
          </w:p>
        </w:tc>
        <w:tc>
          <w:tcPr>
            <w:tcW w:w="850" w:type="dxa"/>
            <w:vAlign w:val="bottom"/>
          </w:tcPr>
          <w:p w14:paraId="5DBC64D3" w14:textId="7C66D674" w:rsidR="00B628FF" w:rsidRDefault="00B31B37">
            <w:pPr>
              <w:pStyle w:val="Summarytabletextrightaligned"/>
            </w:pPr>
            <w:r>
              <w:noBreakHyphen/>
            </w:r>
          </w:p>
        </w:tc>
        <w:tc>
          <w:tcPr>
            <w:tcW w:w="850" w:type="dxa"/>
            <w:shd w:val="clear" w:color="auto" w:fill="E6F2FF"/>
            <w:vAlign w:val="bottom"/>
          </w:tcPr>
          <w:p w14:paraId="1F74EC0A" w14:textId="77777777" w:rsidR="00B628FF" w:rsidRDefault="005B2D2F">
            <w:pPr>
              <w:pStyle w:val="Summarytabletextrightaligned"/>
            </w:pPr>
            <w:r>
              <w:t>10.8</w:t>
            </w:r>
          </w:p>
        </w:tc>
        <w:tc>
          <w:tcPr>
            <w:tcW w:w="850" w:type="dxa"/>
            <w:vAlign w:val="bottom"/>
          </w:tcPr>
          <w:p w14:paraId="638FF8FF" w14:textId="3AA51F21" w:rsidR="00B628FF" w:rsidRDefault="00B31B37">
            <w:pPr>
              <w:pStyle w:val="Summarytabletextrightaligned"/>
            </w:pPr>
            <w:r>
              <w:noBreakHyphen/>
            </w:r>
          </w:p>
        </w:tc>
        <w:tc>
          <w:tcPr>
            <w:tcW w:w="850" w:type="dxa"/>
            <w:vAlign w:val="bottom"/>
          </w:tcPr>
          <w:p w14:paraId="255045C6" w14:textId="296D4B44" w:rsidR="00B628FF" w:rsidRDefault="00B31B37">
            <w:pPr>
              <w:pStyle w:val="Summarytabletextrightaligned"/>
            </w:pPr>
            <w:r>
              <w:noBreakHyphen/>
            </w:r>
          </w:p>
        </w:tc>
        <w:tc>
          <w:tcPr>
            <w:tcW w:w="850" w:type="dxa"/>
            <w:vAlign w:val="bottom"/>
          </w:tcPr>
          <w:p w14:paraId="13918F6E" w14:textId="091177D8" w:rsidR="00B628FF" w:rsidRDefault="00B31B37">
            <w:pPr>
              <w:pStyle w:val="Summarytabletextrightaligned"/>
            </w:pPr>
            <w:r>
              <w:noBreakHyphen/>
            </w:r>
          </w:p>
        </w:tc>
      </w:tr>
      <w:tr w:rsidR="00B628FF" w14:paraId="05BDD623" w14:textId="77777777" w:rsidTr="00997AF2">
        <w:tc>
          <w:tcPr>
            <w:tcW w:w="3471" w:type="dxa"/>
            <w:vAlign w:val="bottom"/>
          </w:tcPr>
          <w:p w14:paraId="4E79D544" w14:textId="0EA102BF" w:rsidR="00B628FF" w:rsidRDefault="005B2D2F">
            <w:pPr>
              <w:pStyle w:val="SummaryMeasureTitlewithTheme"/>
            </w:pPr>
            <w:r>
              <w:t>Department of Veterans</w:t>
            </w:r>
            <w:r w:rsidR="00B31B37">
              <w:t>’</w:t>
            </w:r>
            <w:r>
              <w:t xml:space="preserve"> Affairs – additional resourcing to support service delivery</w:t>
            </w:r>
          </w:p>
        </w:tc>
        <w:tc>
          <w:tcPr>
            <w:tcW w:w="850" w:type="dxa"/>
            <w:vAlign w:val="bottom"/>
          </w:tcPr>
          <w:p w14:paraId="32F76194" w14:textId="7A9E8F71" w:rsidR="00B628FF" w:rsidRDefault="00B31B37">
            <w:pPr>
              <w:pStyle w:val="Summarytabletextrightaligned"/>
            </w:pPr>
            <w:r>
              <w:noBreakHyphen/>
            </w:r>
          </w:p>
        </w:tc>
        <w:tc>
          <w:tcPr>
            <w:tcW w:w="850" w:type="dxa"/>
            <w:shd w:val="clear" w:color="auto" w:fill="E6F2FF"/>
            <w:vAlign w:val="bottom"/>
          </w:tcPr>
          <w:p w14:paraId="5767365E" w14:textId="77777777" w:rsidR="00B628FF" w:rsidRDefault="005B2D2F">
            <w:pPr>
              <w:pStyle w:val="Summarytabletextrightaligned"/>
            </w:pPr>
            <w:r>
              <w:t>47.6</w:t>
            </w:r>
          </w:p>
        </w:tc>
        <w:tc>
          <w:tcPr>
            <w:tcW w:w="850" w:type="dxa"/>
            <w:vAlign w:val="bottom"/>
          </w:tcPr>
          <w:p w14:paraId="2D9D988E" w14:textId="6B6541AC" w:rsidR="00B628FF" w:rsidRDefault="00B31B37">
            <w:pPr>
              <w:pStyle w:val="Summarytabletextrightaligned"/>
            </w:pPr>
            <w:r>
              <w:noBreakHyphen/>
            </w:r>
          </w:p>
        </w:tc>
        <w:tc>
          <w:tcPr>
            <w:tcW w:w="850" w:type="dxa"/>
            <w:vAlign w:val="bottom"/>
          </w:tcPr>
          <w:p w14:paraId="11F2425A" w14:textId="4877F2CA" w:rsidR="00B628FF" w:rsidRDefault="00B31B37">
            <w:pPr>
              <w:pStyle w:val="Summarytabletextrightaligned"/>
            </w:pPr>
            <w:r>
              <w:noBreakHyphen/>
            </w:r>
          </w:p>
        </w:tc>
        <w:tc>
          <w:tcPr>
            <w:tcW w:w="850" w:type="dxa"/>
            <w:vAlign w:val="bottom"/>
          </w:tcPr>
          <w:p w14:paraId="15E8241B" w14:textId="63B4AFEB" w:rsidR="00B628FF" w:rsidRDefault="00B31B37">
            <w:pPr>
              <w:pStyle w:val="Summarytabletextrightaligned"/>
            </w:pPr>
            <w:r>
              <w:noBreakHyphen/>
            </w:r>
          </w:p>
        </w:tc>
      </w:tr>
      <w:tr w:rsidR="00B628FF" w14:paraId="672254F3" w14:textId="77777777" w:rsidTr="00997AF2">
        <w:tc>
          <w:tcPr>
            <w:tcW w:w="3471" w:type="dxa"/>
            <w:vAlign w:val="bottom"/>
          </w:tcPr>
          <w:p w14:paraId="5ECCA447" w14:textId="77777777" w:rsidR="00B628FF" w:rsidRDefault="005B2D2F">
            <w:pPr>
              <w:pStyle w:val="SummaryMeasureTitlewithTheme"/>
            </w:pPr>
            <w:r>
              <w:t>Funding Pay Increases for Aged Care Workers – nurses</w:t>
            </w:r>
          </w:p>
        </w:tc>
        <w:tc>
          <w:tcPr>
            <w:tcW w:w="850" w:type="dxa"/>
            <w:vAlign w:val="bottom"/>
          </w:tcPr>
          <w:p w14:paraId="6BC70E08" w14:textId="5FED3D16" w:rsidR="00B628FF" w:rsidRDefault="00B31B37">
            <w:pPr>
              <w:pStyle w:val="Summarytabletextrightaligned"/>
            </w:pPr>
            <w:r>
              <w:noBreakHyphen/>
            </w:r>
          </w:p>
        </w:tc>
        <w:tc>
          <w:tcPr>
            <w:tcW w:w="850" w:type="dxa"/>
            <w:shd w:val="clear" w:color="auto" w:fill="E6F2FF"/>
            <w:vAlign w:val="bottom"/>
          </w:tcPr>
          <w:p w14:paraId="4E724BBB" w14:textId="77777777" w:rsidR="00B628FF" w:rsidRDefault="005B2D2F">
            <w:pPr>
              <w:pStyle w:val="Summarytabletextrightaligned"/>
            </w:pPr>
            <w:r>
              <w:t>0.1</w:t>
            </w:r>
          </w:p>
        </w:tc>
        <w:tc>
          <w:tcPr>
            <w:tcW w:w="850" w:type="dxa"/>
            <w:vAlign w:val="bottom"/>
          </w:tcPr>
          <w:p w14:paraId="11D02478" w14:textId="77777777" w:rsidR="00B628FF" w:rsidRDefault="005B2D2F">
            <w:pPr>
              <w:pStyle w:val="Summarytabletextrightaligned"/>
            </w:pPr>
            <w:r>
              <w:t>0.1</w:t>
            </w:r>
          </w:p>
        </w:tc>
        <w:tc>
          <w:tcPr>
            <w:tcW w:w="850" w:type="dxa"/>
            <w:vAlign w:val="bottom"/>
          </w:tcPr>
          <w:p w14:paraId="7913D9C5" w14:textId="5137A325" w:rsidR="00B628FF" w:rsidRDefault="00B31B37">
            <w:pPr>
              <w:pStyle w:val="Summarytabletextrightaligned"/>
            </w:pPr>
            <w:r>
              <w:noBreakHyphen/>
            </w:r>
          </w:p>
        </w:tc>
        <w:tc>
          <w:tcPr>
            <w:tcW w:w="850" w:type="dxa"/>
            <w:vAlign w:val="bottom"/>
          </w:tcPr>
          <w:p w14:paraId="09965407" w14:textId="1F7FB6B4" w:rsidR="00B628FF" w:rsidRDefault="00B31B37">
            <w:pPr>
              <w:pStyle w:val="Summarytabletextrightaligned"/>
            </w:pPr>
            <w:r>
              <w:noBreakHyphen/>
            </w:r>
          </w:p>
        </w:tc>
      </w:tr>
      <w:tr w:rsidR="00B628FF" w14:paraId="7613F582" w14:textId="77777777" w:rsidTr="00997AF2">
        <w:tc>
          <w:tcPr>
            <w:tcW w:w="3471" w:type="dxa"/>
            <w:vAlign w:val="bottom"/>
          </w:tcPr>
          <w:p w14:paraId="2B21E843" w14:textId="77777777" w:rsidR="00B628FF" w:rsidRDefault="005B2D2F">
            <w:pPr>
              <w:pStyle w:val="SummaryMeasureTitlewithTheme"/>
            </w:pPr>
            <w:r>
              <w:t>Health – savings</w:t>
            </w:r>
          </w:p>
        </w:tc>
        <w:tc>
          <w:tcPr>
            <w:tcW w:w="850" w:type="dxa"/>
            <w:vAlign w:val="bottom"/>
          </w:tcPr>
          <w:p w14:paraId="4ED82117" w14:textId="2CBA81B1" w:rsidR="00B628FF" w:rsidRDefault="00B31B37">
            <w:pPr>
              <w:pStyle w:val="Summarytabletextrightaligned"/>
            </w:pPr>
            <w:r>
              <w:noBreakHyphen/>
            </w:r>
          </w:p>
        </w:tc>
        <w:tc>
          <w:tcPr>
            <w:tcW w:w="850" w:type="dxa"/>
            <w:shd w:val="clear" w:color="auto" w:fill="E6F2FF"/>
            <w:vAlign w:val="bottom"/>
          </w:tcPr>
          <w:p w14:paraId="547A4586" w14:textId="5AA380EC" w:rsidR="00B628FF" w:rsidRDefault="00B31B37">
            <w:pPr>
              <w:pStyle w:val="Summarytabletextrightaligned"/>
            </w:pPr>
            <w:r>
              <w:noBreakHyphen/>
            </w:r>
            <w:r w:rsidR="005B2D2F">
              <w:t>0.1</w:t>
            </w:r>
          </w:p>
        </w:tc>
        <w:tc>
          <w:tcPr>
            <w:tcW w:w="850" w:type="dxa"/>
            <w:vAlign w:val="bottom"/>
          </w:tcPr>
          <w:p w14:paraId="71C9FB2C" w14:textId="77777777" w:rsidR="00B628FF" w:rsidRDefault="005B2D2F">
            <w:pPr>
              <w:pStyle w:val="Summarytabletextrightaligned"/>
            </w:pPr>
            <w:r>
              <w:t>..</w:t>
            </w:r>
          </w:p>
        </w:tc>
        <w:tc>
          <w:tcPr>
            <w:tcW w:w="850" w:type="dxa"/>
            <w:vAlign w:val="bottom"/>
          </w:tcPr>
          <w:p w14:paraId="6CB5AA7D" w14:textId="03670757" w:rsidR="00B628FF" w:rsidRDefault="00B31B37">
            <w:pPr>
              <w:pStyle w:val="Summarytabletextrightaligned"/>
            </w:pPr>
            <w:r>
              <w:noBreakHyphen/>
            </w:r>
          </w:p>
        </w:tc>
        <w:tc>
          <w:tcPr>
            <w:tcW w:w="850" w:type="dxa"/>
            <w:vAlign w:val="bottom"/>
          </w:tcPr>
          <w:p w14:paraId="105A5FA5" w14:textId="3870775B" w:rsidR="00B628FF" w:rsidRDefault="00B31B37">
            <w:pPr>
              <w:pStyle w:val="Summarytabletextrightaligned"/>
            </w:pPr>
            <w:r>
              <w:noBreakHyphen/>
            </w:r>
          </w:p>
        </w:tc>
      </w:tr>
      <w:tr w:rsidR="00B628FF" w14:paraId="10DE1703" w14:textId="77777777" w:rsidTr="00997AF2">
        <w:tc>
          <w:tcPr>
            <w:tcW w:w="3471" w:type="dxa"/>
            <w:vAlign w:val="bottom"/>
          </w:tcPr>
          <w:p w14:paraId="76BE81BF" w14:textId="77777777" w:rsidR="00B628FF" w:rsidRDefault="005B2D2F">
            <w:pPr>
              <w:pStyle w:val="SummaryMeasureTitlewithTheme"/>
            </w:pPr>
            <w:r>
              <w:t>Improving Access to Medicines and Pharmacy Programs(b)</w:t>
            </w:r>
          </w:p>
        </w:tc>
        <w:tc>
          <w:tcPr>
            <w:tcW w:w="850" w:type="dxa"/>
            <w:vAlign w:val="bottom"/>
          </w:tcPr>
          <w:p w14:paraId="0584709B" w14:textId="0330C64D" w:rsidR="00B628FF" w:rsidRDefault="00B31B37">
            <w:pPr>
              <w:pStyle w:val="Summarytabletextrightaligned"/>
            </w:pPr>
            <w:r>
              <w:noBreakHyphen/>
            </w:r>
          </w:p>
        </w:tc>
        <w:tc>
          <w:tcPr>
            <w:tcW w:w="850" w:type="dxa"/>
            <w:shd w:val="clear" w:color="auto" w:fill="E6F2FF"/>
            <w:vAlign w:val="bottom"/>
          </w:tcPr>
          <w:p w14:paraId="44E0934B" w14:textId="47C47FDA" w:rsidR="00B628FF" w:rsidRDefault="00B31B37">
            <w:pPr>
              <w:pStyle w:val="Summarytabletextrightaligned"/>
            </w:pPr>
            <w:r>
              <w:noBreakHyphen/>
            </w:r>
          </w:p>
        </w:tc>
        <w:tc>
          <w:tcPr>
            <w:tcW w:w="850" w:type="dxa"/>
            <w:vAlign w:val="bottom"/>
          </w:tcPr>
          <w:p w14:paraId="767F8BCB" w14:textId="66A82D42" w:rsidR="00B628FF" w:rsidRDefault="00B31B37">
            <w:pPr>
              <w:pStyle w:val="Summarytabletextrightaligned"/>
            </w:pPr>
            <w:r>
              <w:noBreakHyphen/>
            </w:r>
          </w:p>
        </w:tc>
        <w:tc>
          <w:tcPr>
            <w:tcW w:w="850" w:type="dxa"/>
            <w:vAlign w:val="bottom"/>
          </w:tcPr>
          <w:p w14:paraId="1622EC00" w14:textId="295C5A9E" w:rsidR="00B628FF" w:rsidRDefault="00B31B37">
            <w:pPr>
              <w:pStyle w:val="Summarytabletextrightaligned"/>
            </w:pPr>
            <w:r>
              <w:noBreakHyphen/>
            </w:r>
          </w:p>
        </w:tc>
        <w:tc>
          <w:tcPr>
            <w:tcW w:w="850" w:type="dxa"/>
            <w:vAlign w:val="bottom"/>
          </w:tcPr>
          <w:p w14:paraId="54C47C36" w14:textId="2CADE0A2" w:rsidR="00B628FF" w:rsidRDefault="00B31B37">
            <w:pPr>
              <w:pStyle w:val="Summarytabletextrightaligned"/>
            </w:pPr>
            <w:r>
              <w:noBreakHyphen/>
            </w:r>
          </w:p>
        </w:tc>
      </w:tr>
      <w:tr w:rsidR="00B628FF" w14:paraId="30C149BB" w14:textId="77777777" w:rsidTr="00997AF2">
        <w:tc>
          <w:tcPr>
            <w:tcW w:w="3471" w:type="dxa"/>
            <w:vAlign w:val="bottom"/>
          </w:tcPr>
          <w:p w14:paraId="33257714" w14:textId="77777777" w:rsidR="00B628FF" w:rsidRDefault="005B2D2F">
            <w:pPr>
              <w:pStyle w:val="SummaryMeasureTitlewithTheme"/>
            </w:pPr>
            <w:r>
              <w:t>Pharmaceutical Benefits Scheme (PBS) New and Amended Listings(b)</w:t>
            </w:r>
          </w:p>
        </w:tc>
        <w:tc>
          <w:tcPr>
            <w:tcW w:w="850" w:type="dxa"/>
            <w:vAlign w:val="bottom"/>
          </w:tcPr>
          <w:p w14:paraId="3F55FB74" w14:textId="77777777" w:rsidR="00B628FF" w:rsidRDefault="005B2D2F">
            <w:pPr>
              <w:pStyle w:val="Summarytabletextrightaligned"/>
            </w:pPr>
            <w:r>
              <w:t>1.1</w:t>
            </w:r>
          </w:p>
        </w:tc>
        <w:tc>
          <w:tcPr>
            <w:tcW w:w="850" w:type="dxa"/>
            <w:shd w:val="clear" w:color="auto" w:fill="E6F2FF"/>
            <w:vAlign w:val="bottom"/>
          </w:tcPr>
          <w:p w14:paraId="609C6C07" w14:textId="77777777" w:rsidR="00B628FF" w:rsidRDefault="005B2D2F">
            <w:pPr>
              <w:pStyle w:val="Summarytabletextrightaligned"/>
            </w:pPr>
            <w:r>
              <w:t>4.8</w:t>
            </w:r>
          </w:p>
        </w:tc>
        <w:tc>
          <w:tcPr>
            <w:tcW w:w="850" w:type="dxa"/>
            <w:vAlign w:val="bottom"/>
          </w:tcPr>
          <w:p w14:paraId="6BE92F0B" w14:textId="77777777" w:rsidR="00B628FF" w:rsidRDefault="005B2D2F">
            <w:pPr>
              <w:pStyle w:val="Summarytabletextrightaligned"/>
            </w:pPr>
            <w:r>
              <w:t>6.7</w:t>
            </w:r>
          </w:p>
        </w:tc>
        <w:tc>
          <w:tcPr>
            <w:tcW w:w="850" w:type="dxa"/>
            <w:vAlign w:val="bottom"/>
          </w:tcPr>
          <w:p w14:paraId="6BBEA56A" w14:textId="77777777" w:rsidR="00B628FF" w:rsidRDefault="005B2D2F">
            <w:pPr>
              <w:pStyle w:val="Summarytabletextrightaligned"/>
            </w:pPr>
            <w:r>
              <w:t>8.0</w:t>
            </w:r>
          </w:p>
        </w:tc>
        <w:tc>
          <w:tcPr>
            <w:tcW w:w="850" w:type="dxa"/>
            <w:vAlign w:val="bottom"/>
          </w:tcPr>
          <w:p w14:paraId="0BDCCD6B" w14:textId="77777777" w:rsidR="00B628FF" w:rsidRDefault="005B2D2F">
            <w:pPr>
              <w:pStyle w:val="Summarytabletextrightaligned"/>
            </w:pPr>
            <w:r>
              <w:t>8.9</w:t>
            </w:r>
          </w:p>
        </w:tc>
      </w:tr>
      <w:tr w:rsidR="00B628FF" w14:paraId="1F383E3F" w14:textId="77777777" w:rsidTr="00997AF2">
        <w:tc>
          <w:tcPr>
            <w:tcW w:w="3471" w:type="dxa"/>
            <w:vAlign w:val="bottom"/>
          </w:tcPr>
          <w:p w14:paraId="023645D5" w14:textId="77777777" w:rsidR="00B628FF" w:rsidRDefault="005B2D2F">
            <w:pPr>
              <w:pStyle w:val="SummaryMeasureTitlewithTheme"/>
            </w:pPr>
            <w:r>
              <w:t>Strengthening Medicare</w:t>
            </w:r>
          </w:p>
        </w:tc>
        <w:tc>
          <w:tcPr>
            <w:tcW w:w="850" w:type="dxa"/>
            <w:vAlign w:val="bottom"/>
          </w:tcPr>
          <w:p w14:paraId="7721A703" w14:textId="0B6BAD72" w:rsidR="00B628FF" w:rsidRDefault="00B31B37">
            <w:pPr>
              <w:pStyle w:val="Summarytabletextrightaligned"/>
            </w:pPr>
            <w:r>
              <w:noBreakHyphen/>
            </w:r>
          </w:p>
        </w:tc>
        <w:tc>
          <w:tcPr>
            <w:tcW w:w="850" w:type="dxa"/>
            <w:shd w:val="clear" w:color="auto" w:fill="E6F2FF"/>
            <w:vAlign w:val="bottom"/>
          </w:tcPr>
          <w:p w14:paraId="6111057E" w14:textId="77777777" w:rsidR="00B628FF" w:rsidRDefault="005B2D2F">
            <w:pPr>
              <w:pStyle w:val="Summarytabletextrightaligned"/>
            </w:pPr>
            <w:r>
              <w:t>0.7</w:t>
            </w:r>
          </w:p>
        </w:tc>
        <w:tc>
          <w:tcPr>
            <w:tcW w:w="850" w:type="dxa"/>
            <w:vAlign w:val="bottom"/>
          </w:tcPr>
          <w:p w14:paraId="650C96CD" w14:textId="77777777" w:rsidR="00B628FF" w:rsidRDefault="005B2D2F">
            <w:pPr>
              <w:pStyle w:val="Summarytabletextrightaligned"/>
            </w:pPr>
            <w:r>
              <w:t>1.2</w:t>
            </w:r>
          </w:p>
        </w:tc>
        <w:tc>
          <w:tcPr>
            <w:tcW w:w="850" w:type="dxa"/>
            <w:vAlign w:val="bottom"/>
          </w:tcPr>
          <w:p w14:paraId="2F02231F" w14:textId="77777777" w:rsidR="00B628FF" w:rsidRDefault="005B2D2F">
            <w:pPr>
              <w:pStyle w:val="Summarytabletextrightaligned"/>
            </w:pPr>
            <w:r>
              <w:t>1.2</w:t>
            </w:r>
          </w:p>
        </w:tc>
        <w:tc>
          <w:tcPr>
            <w:tcW w:w="850" w:type="dxa"/>
            <w:vAlign w:val="bottom"/>
          </w:tcPr>
          <w:p w14:paraId="000A1E47" w14:textId="77777777" w:rsidR="00B628FF" w:rsidRDefault="005B2D2F">
            <w:pPr>
              <w:pStyle w:val="Summarytabletextrightaligned"/>
            </w:pPr>
            <w:r>
              <w:t>1.3</w:t>
            </w:r>
          </w:p>
        </w:tc>
      </w:tr>
      <w:tr w:rsidR="00B628FF" w14:paraId="3C74D80A" w14:textId="77777777" w:rsidTr="00997AF2">
        <w:tc>
          <w:tcPr>
            <w:tcW w:w="3471" w:type="dxa"/>
            <w:vAlign w:val="bottom"/>
          </w:tcPr>
          <w:p w14:paraId="4BB8B00F" w14:textId="77777777" w:rsidR="00B628FF" w:rsidRDefault="005B2D2F">
            <w:pPr>
              <w:pStyle w:val="SummaryMeasureTitlewithTheme"/>
            </w:pPr>
            <w:r>
              <w:t>Strengthening Medicare – Expanding Medicare Urgent Care Clinics</w:t>
            </w:r>
          </w:p>
        </w:tc>
        <w:tc>
          <w:tcPr>
            <w:tcW w:w="850" w:type="dxa"/>
            <w:vAlign w:val="bottom"/>
          </w:tcPr>
          <w:p w14:paraId="07470745" w14:textId="68EC0565" w:rsidR="00B628FF" w:rsidRDefault="00B31B37">
            <w:pPr>
              <w:pStyle w:val="Summarytabletextrightaligned"/>
            </w:pPr>
            <w:r>
              <w:noBreakHyphen/>
            </w:r>
          </w:p>
        </w:tc>
        <w:tc>
          <w:tcPr>
            <w:tcW w:w="850" w:type="dxa"/>
            <w:shd w:val="clear" w:color="auto" w:fill="E6F2FF"/>
            <w:vAlign w:val="bottom"/>
          </w:tcPr>
          <w:p w14:paraId="4AEE910C" w14:textId="77777777" w:rsidR="00B628FF" w:rsidRDefault="005B2D2F">
            <w:pPr>
              <w:pStyle w:val="Summarytabletextrightaligned"/>
            </w:pPr>
            <w:r>
              <w:t>0.1</w:t>
            </w:r>
          </w:p>
        </w:tc>
        <w:tc>
          <w:tcPr>
            <w:tcW w:w="850" w:type="dxa"/>
            <w:vAlign w:val="bottom"/>
          </w:tcPr>
          <w:p w14:paraId="3D3F4EEE" w14:textId="77777777" w:rsidR="00B628FF" w:rsidRDefault="005B2D2F">
            <w:pPr>
              <w:pStyle w:val="Summarytabletextrightaligned"/>
            </w:pPr>
            <w:r>
              <w:t>..</w:t>
            </w:r>
          </w:p>
        </w:tc>
        <w:tc>
          <w:tcPr>
            <w:tcW w:w="850" w:type="dxa"/>
            <w:vAlign w:val="bottom"/>
          </w:tcPr>
          <w:p w14:paraId="40C3C492" w14:textId="7CB6B265" w:rsidR="00B628FF" w:rsidRDefault="00B31B37">
            <w:pPr>
              <w:pStyle w:val="Summarytabletextrightaligned"/>
            </w:pPr>
            <w:r>
              <w:noBreakHyphen/>
            </w:r>
          </w:p>
        </w:tc>
        <w:tc>
          <w:tcPr>
            <w:tcW w:w="850" w:type="dxa"/>
            <w:vAlign w:val="bottom"/>
          </w:tcPr>
          <w:p w14:paraId="3158F326" w14:textId="3CC239C4" w:rsidR="00B628FF" w:rsidRDefault="00B31B37">
            <w:pPr>
              <w:pStyle w:val="Summarytabletextrightaligned"/>
            </w:pPr>
            <w:r>
              <w:noBreakHyphen/>
            </w:r>
          </w:p>
        </w:tc>
      </w:tr>
    </w:tbl>
    <w:p w14:paraId="6990CC4D" w14:textId="77777777" w:rsidR="00997AF2" w:rsidRDefault="00997AF2" w:rsidP="00997AF2">
      <w:pPr>
        <w:sectPr w:rsidR="00997AF2" w:rsidSect="00A06F82">
          <w:pgSz w:w="11906" w:h="16838"/>
          <w:pgMar w:top="2835" w:right="2098" w:bottom="2466" w:left="2098" w:header="1814" w:footer="1814" w:gutter="0"/>
          <w:cols w:space="720"/>
          <w:docGrid w:linePitch="272"/>
        </w:sectPr>
      </w:pPr>
    </w:p>
    <w:p w14:paraId="72FA898D" w14:textId="77777777" w:rsidR="00997AF2" w:rsidRDefault="00997AF2" w:rsidP="00997AF2">
      <w:pPr>
        <w:pStyle w:val="TableHeadingcontinued"/>
      </w:pPr>
      <w:r>
        <w:t>Table 2: Payment measures since the 2024–25 MYEFO</w:t>
      </w:r>
      <w:r>
        <w:rPr>
          <w:rFonts w:ascii="Cambria Math" w:hAnsi="Cambria Math" w:cs="Cambria Math"/>
        </w:rPr>
        <w:t>⁽</w:t>
      </w:r>
      <w:r>
        <w:rPr>
          <w:rFonts w:cs="Arial"/>
        </w:rPr>
        <w:t>ª</w:t>
      </w:r>
      <w:r>
        <w:rPr>
          <w:rFonts w:ascii="Cambria Math" w:hAnsi="Cambria Math" w:cs="Cambria Math"/>
        </w:rPr>
        <w:t>⁾</w:t>
      </w:r>
      <w:r>
        <w:t xml:space="preserve"> (continued)</w:t>
      </w:r>
    </w:p>
    <w:tbl>
      <w:tblPr>
        <w:tblOverlap w:val="never"/>
        <w:tblW w:w="7721" w:type="dxa"/>
        <w:tblBorders>
          <w:top w:val="single" w:sz="4" w:space="0" w:color="000000"/>
          <w:bottom w:val="single" w:sz="4" w:space="0" w:color="000000"/>
        </w:tblBorders>
        <w:tblLayout w:type="fixed"/>
        <w:tblCellMar>
          <w:left w:w="0" w:type="dxa"/>
          <w:right w:w="56" w:type="dxa"/>
        </w:tblCellMar>
        <w:tblLook w:val="04A0" w:firstRow="1" w:lastRow="0" w:firstColumn="1" w:lastColumn="0" w:noHBand="0" w:noVBand="1"/>
      </w:tblPr>
      <w:tblGrid>
        <w:gridCol w:w="3471"/>
        <w:gridCol w:w="850"/>
        <w:gridCol w:w="850"/>
        <w:gridCol w:w="850"/>
        <w:gridCol w:w="850"/>
        <w:gridCol w:w="850"/>
      </w:tblGrid>
      <w:tr w:rsidR="00997AF2" w14:paraId="727C49E0" w14:textId="77777777" w:rsidTr="5FA307DC">
        <w:tc>
          <w:tcPr>
            <w:tcW w:w="3471" w:type="dxa"/>
            <w:vAlign w:val="bottom"/>
          </w:tcPr>
          <w:p w14:paraId="107BCF6D" w14:textId="77777777" w:rsidR="00997AF2" w:rsidRDefault="00997AF2" w:rsidP="00997AF2"/>
        </w:tc>
        <w:tc>
          <w:tcPr>
            <w:tcW w:w="850" w:type="dxa"/>
            <w:tcBorders>
              <w:bottom w:val="nil"/>
            </w:tcBorders>
            <w:vAlign w:val="bottom"/>
          </w:tcPr>
          <w:p w14:paraId="78D13CF8" w14:textId="5CB41613" w:rsidR="00997AF2" w:rsidRDefault="00997AF2" w:rsidP="00997AF2">
            <w:pPr>
              <w:pStyle w:val="Summarytabletextrightaligned"/>
            </w:pPr>
            <w:r>
              <w:t>2024</w:t>
            </w:r>
            <w:r w:rsidR="00B31B37">
              <w:noBreakHyphen/>
            </w:r>
            <w:r>
              <w:t>25</w:t>
            </w:r>
          </w:p>
        </w:tc>
        <w:tc>
          <w:tcPr>
            <w:tcW w:w="850" w:type="dxa"/>
            <w:tcBorders>
              <w:bottom w:val="nil"/>
            </w:tcBorders>
            <w:shd w:val="clear" w:color="auto" w:fill="E6F2FF"/>
            <w:vAlign w:val="bottom"/>
          </w:tcPr>
          <w:p w14:paraId="0E1CF507" w14:textId="6BC133A3" w:rsidR="00997AF2" w:rsidRDefault="00997AF2" w:rsidP="00997AF2">
            <w:pPr>
              <w:pStyle w:val="Summarytabletextrightaligned"/>
            </w:pPr>
            <w:r>
              <w:t>2025</w:t>
            </w:r>
            <w:r w:rsidR="00B31B37">
              <w:noBreakHyphen/>
            </w:r>
            <w:r>
              <w:t>26</w:t>
            </w:r>
          </w:p>
        </w:tc>
        <w:tc>
          <w:tcPr>
            <w:tcW w:w="850" w:type="dxa"/>
            <w:tcBorders>
              <w:bottom w:val="nil"/>
            </w:tcBorders>
            <w:vAlign w:val="bottom"/>
          </w:tcPr>
          <w:p w14:paraId="07F0B5A2" w14:textId="4C9268C7" w:rsidR="00997AF2" w:rsidRDefault="00997AF2" w:rsidP="00997AF2">
            <w:pPr>
              <w:pStyle w:val="Summarytabletextrightaligned"/>
            </w:pPr>
            <w:r>
              <w:t>2026</w:t>
            </w:r>
            <w:r w:rsidR="00B31B37">
              <w:noBreakHyphen/>
            </w:r>
            <w:r>
              <w:t>27</w:t>
            </w:r>
          </w:p>
        </w:tc>
        <w:tc>
          <w:tcPr>
            <w:tcW w:w="850" w:type="dxa"/>
            <w:tcBorders>
              <w:bottom w:val="nil"/>
            </w:tcBorders>
            <w:vAlign w:val="bottom"/>
          </w:tcPr>
          <w:p w14:paraId="3874C226" w14:textId="1DEFC15A" w:rsidR="00997AF2" w:rsidRDefault="00997AF2" w:rsidP="00997AF2">
            <w:pPr>
              <w:pStyle w:val="Summarytabletextrightaligned"/>
            </w:pPr>
            <w:r>
              <w:t>2027</w:t>
            </w:r>
            <w:r w:rsidR="00B31B37">
              <w:noBreakHyphen/>
            </w:r>
            <w:r>
              <w:t>28</w:t>
            </w:r>
          </w:p>
        </w:tc>
        <w:tc>
          <w:tcPr>
            <w:tcW w:w="850" w:type="dxa"/>
            <w:tcBorders>
              <w:bottom w:val="nil"/>
            </w:tcBorders>
            <w:vAlign w:val="bottom"/>
          </w:tcPr>
          <w:p w14:paraId="7248EB6B" w14:textId="5B18C422" w:rsidR="00997AF2" w:rsidRDefault="00997AF2" w:rsidP="00997AF2">
            <w:pPr>
              <w:pStyle w:val="Summarytabletextrightaligned"/>
            </w:pPr>
            <w:r>
              <w:t>2028</w:t>
            </w:r>
            <w:r w:rsidR="00B31B37">
              <w:noBreakHyphen/>
            </w:r>
            <w:r>
              <w:t>29</w:t>
            </w:r>
          </w:p>
        </w:tc>
      </w:tr>
      <w:tr w:rsidR="00997AF2" w14:paraId="5C19FF01" w14:textId="77777777" w:rsidTr="5FA307DC">
        <w:tc>
          <w:tcPr>
            <w:tcW w:w="3471" w:type="dxa"/>
            <w:vAlign w:val="bottom"/>
          </w:tcPr>
          <w:p w14:paraId="252B06B2" w14:textId="77777777" w:rsidR="00997AF2" w:rsidRDefault="00997AF2" w:rsidP="00997AF2"/>
        </w:tc>
        <w:tc>
          <w:tcPr>
            <w:tcW w:w="850" w:type="dxa"/>
            <w:tcBorders>
              <w:top w:val="nil"/>
              <w:bottom w:val="single" w:sz="4" w:space="0" w:color="auto"/>
            </w:tcBorders>
            <w:shd w:val="clear" w:color="auto" w:fill="auto"/>
            <w:vAlign w:val="bottom"/>
          </w:tcPr>
          <w:p w14:paraId="7EAC98ED" w14:textId="77777777" w:rsidR="00997AF2" w:rsidRDefault="00997AF2" w:rsidP="00997AF2">
            <w:pPr>
              <w:pStyle w:val="Summarytabletextrightaligned"/>
            </w:pPr>
            <w:r>
              <w:t>$m</w:t>
            </w:r>
          </w:p>
        </w:tc>
        <w:tc>
          <w:tcPr>
            <w:tcW w:w="850" w:type="dxa"/>
            <w:tcBorders>
              <w:top w:val="nil"/>
              <w:bottom w:val="single" w:sz="4" w:space="0" w:color="auto"/>
            </w:tcBorders>
            <w:shd w:val="clear" w:color="auto" w:fill="E6F2FF"/>
            <w:vAlign w:val="bottom"/>
          </w:tcPr>
          <w:p w14:paraId="3E73BA21" w14:textId="77777777" w:rsidR="00997AF2" w:rsidRDefault="00997AF2" w:rsidP="00997AF2">
            <w:pPr>
              <w:pStyle w:val="Summarytabletextrightaligned"/>
            </w:pPr>
            <w:r>
              <w:t>$m</w:t>
            </w:r>
          </w:p>
        </w:tc>
        <w:tc>
          <w:tcPr>
            <w:tcW w:w="850" w:type="dxa"/>
            <w:tcBorders>
              <w:top w:val="nil"/>
              <w:bottom w:val="single" w:sz="4" w:space="0" w:color="auto"/>
            </w:tcBorders>
            <w:shd w:val="clear" w:color="auto" w:fill="auto"/>
            <w:vAlign w:val="bottom"/>
          </w:tcPr>
          <w:p w14:paraId="78B84B8B" w14:textId="77777777" w:rsidR="00997AF2" w:rsidRDefault="00997AF2" w:rsidP="00997AF2">
            <w:pPr>
              <w:pStyle w:val="Summarytabletextrightaligned"/>
            </w:pPr>
            <w:r>
              <w:t>$m</w:t>
            </w:r>
          </w:p>
        </w:tc>
        <w:tc>
          <w:tcPr>
            <w:tcW w:w="850" w:type="dxa"/>
            <w:tcBorders>
              <w:top w:val="nil"/>
              <w:bottom w:val="single" w:sz="4" w:space="0" w:color="auto"/>
            </w:tcBorders>
            <w:shd w:val="clear" w:color="auto" w:fill="auto"/>
            <w:vAlign w:val="bottom"/>
          </w:tcPr>
          <w:p w14:paraId="5136FF3E" w14:textId="77777777" w:rsidR="00997AF2" w:rsidRDefault="00997AF2" w:rsidP="00997AF2">
            <w:pPr>
              <w:pStyle w:val="Summarytabletextrightaligned"/>
            </w:pPr>
            <w:r>
              <w:t>$m</w:t>
            </w:r>
          </w:p>
        </w:tc>
        <w:tc>
          <w:tcPr>
            <w:tcW w:w="850" w:type="dxa"/>
            <w:tcBorders>
              <w:top w:val="nil"/>
              <w:bottom w:val="single" w:sz="4" w:space="0" w:color="auto"/>
            </w:tcBorders>
            <w:shd w:val="clear" w:color="auto" w:fill="auto"/>
            <w:vAlign w:val="bottom"/>
          </w:tcPr>
          <w:p w14:paraId="45EACF28" w14:textId="77777777" w:rsidR="00997AF2" w:rsidRDefault="00997AF2" w:rsidP="00997AF2">
            <w:pPr>
              <w:pStyle w:val="Summarytabletextrightaligned"/>
            </w:pPr>
            <w:r>
              <w:t>$m</w:t>
            </w:r>
          </w:p>
        </w:tc>
      </w:tr>
      <w:tr w:rsidR="00997AF2" w14:paraId="76FAF8E2" w14:textId="77777777" w:rsidTr="5FA307DC">
        <w:tc>
          <w:tcPr>
            <w:tcW w:w="3471" w:type="dxa"/>
            <w:tcBorders>
              <w:bottom w:val="nil"/>
            </w:tcBorders>
            <w:vAlign w:val="bottom"/>
          </w:tcPr>
          <w:p w14:paraId="6C58C285" w14:textId="77777777" w:rsidR="00997AF2" w:rsidRPr="00997AF2" w:rsidRDefault="00997AF2" w:rsidP="00997AF2">
            <w:pPr>
              <w:pStyle w:val="SummaryMeasureTitlewithTheme"/>
              <w:rPr>
                <w:b/>
              </w:rPr>
            </w:pPr>
            <w:r w:rsidRPr="00997AF2">
              <w:rPr>
                <w:b/>
              </w:rPr>
              <w:t>DEFENCE (continued)</w:t>
            </w:r>
          </w:p>
        </w:tc>
        <w:tc>
          <w:tcPr>
            <w:tcW w:w="850" w:type="dxa"/>
            <w:tcBorders>
              <w:top w:val="single" w:sz="4" w:space="0" w:color="auto"/>
              <w:bottom w:val="nil"/>
            </w:tcBorders>
            <w:vAlign w:val="bottom"/>
          </w:tcPr>
          <w:p w14:paraId="242B5D82" w14:textId="77777777" w:rsidR="00997AF2" w:rsidRDefault="00997AF2">
            <w:pPr>
              <w:pStyle w:val="Summarytabletextrightaligned"/>
            </w:pPr>
          </w:p>
        </w:tc>
        <w:tc>
          <w:tcPr>
            <w:tcW w:w="850" w:type="dxa"/>
            <w:tcBorders>
              <w:top w:val="single" w:sz="4" w:space="0" w:color="auto"/>
              <w:bottom w:val="nil"/>
            </w:tcBorders>
            <w:shd w:val="clear" w:color="auto" w:fill="E6F2FF"/>
            <w:vAlign w:val="bottom"/>
          </w:tcPr>
          <w:p w14:paraId="2EAEFB00" w14:textId="77777777" w:rsidR="00997AF2" w:rsidRDefault="00997AF2">
            <w:pPr>
              <w:pStyle w:val="Summarytabletextrightaligned"/>
            </w:pPr>
          </w:p>
        </w:tc>
        <w:tc>
          <w:tcPr>
            <w:tcW w:w="850" w:type="dxa"/>
            <w:tcBorders>
              <w:top w:val="single" w:sz="4" w:space="0" w:color="auto"/>
              <w:bottom w:val="nil"/>
            </w:tcBorders>
            <w:vAlign w:val="bottom"/>
          </w:tcPr>
          <w:p w14:paraId="09E00060" w14:textId="77777777" w:rsidR="00997AF2" w:rsidRDefault="00997AF2">
            <w:pPr>
              <w:pStyle w:val="Summarytabletextrightaligned"/>
            </w:pPr>
          </w:p>
        </w:tc>
        <w:tc>
          <w:tcPr>
            <w:tcW w:w="850" w:type="dxa"/>
            <w:tcBorders>
              <w:top w:val="single" w:sz="4" w:space="0" w:color="auto"/>
              <w:bottom w:val="nil"/>
            </w:tcBorders>
            <w:vAlign w:val="bottom"/>
          </w:tcPr>
          <w:p w14:paraId="717B2063" w14:textId="77777777" w:rsidR="00997AF2" w:rsidRDefault="00997AF2">
            <w:pPr>
              <w:pStyle w:val="Summarytabletextrightaligned"/>
            </w:pPr>
          </w:p>
        </w:tc>
        <w:tc>
          <w:tcPr>
            <w:tcW w:w="850" w:type="dxa"/>
            <w:tcBorders>
              <w:top w:val="single" w:sz="4" w:space="0" w:color="auto"/>
              <w:bottom w:val="nil"/>
            </w:tcBorders>
            <w:vAlign w:val="bottom"/>
          </w:tcPr>
          <w:p w14:paraId="1B967B0A" w14:textId="77777777" w:rsidR="00997AF2" w:rsidRDefault="00997AF2">
            <w:pPr>
              <w:pStyle w:val="Summarytabletextrightaligned"/>
            </w:pPr>
          </w:p>
        </w:tc>
      </w:tr>
      <w:tr w:rsidR="00B628FF" w14:paraId="45B53C24" w14:textId="77777777" w:rsidTr="5FA307DC">
        <w:tc>
          <w:tcPr>
            <w:tcW w:w="3471" w:type="dxa"/>
            <w:tcBorders>
              <w:top w:val="nil"/>
            </w:tcBorders>
            <w:vAlign w:val="bottom"/>
          </w:tcPr>
          <w:p w14:paraId="152AF688" w14:textId="77777777" w:rsidR="00B628FF" w:rsidRDefault="005B2D2F">
            <w:pPr>
              <w:pStyle w:val="SummaryMeasureTitlewithTheme"/>
            </w:pPr>
            <w:r>
              <w:t>Strengthening Medicare – Health Workforce(b)</w:t>
            </w:r>
          </w:p>
        </w:tc>
        <w:tc>
          <w:tcPr>
            <w:tcW w:w="850" w:type="dxa"/>
            <w:tcBorders>
              <w:top w:val="nil"/>
            </w:tcBorders>
            <w:vAlign w:val="bottom"/>
          </w:tcPr>
          <w:p w14:paraId="2C407FC5" w14:textId="29540D50" w:rsidR="00B628FF" w:rsidRDefault="00B31B37">
            <w:pPr>
              <w:pStyle w:val="Summarytabletextrightaligned"/>
            </w:pPr>
            <w:r>
              <w:noBreakHyphen/>
            </w:r>
          </w:p>
        </w:tc>
        <w:tc>
          <w:tcPr>
            <w:tcW w:w="850" w:type="dxa"/>
            <w:tcBorders>
              <w:top w:val="nil"/>
            </w:tcBorders>
            <w:shd w:val="clear" w:color="auto" w:fill="E6F2FF"/>
            <w:vAlign w:val="bottom"/>
          </w:tcPr>
          <w:p w14:paraId="41728388" w14:textId="77777777" w:rsidR="00B628FF" w:rsidRDefault="005B2D2F">
            <w:pPr>
              <w:pStyle w:val="Summarytabletextrightaligned"/>
            </w:pPr>
            <w:r>
              <w:t>0.1</w:t>
            </w:r>
          </w:p>
        </w:tc>
        <w:tc>
          <w:tcPr>
            <w:tcW w:w="850" w:type="dxa"/>
            <w:tcBorders>
              <w:top w:val="nil"/>
            </w:tcBorders>
            <w:vAlign w:val="bottom"/>
          </w:tcPr>
          <w:p w14:paraId="612CBF83" w14:textId="77777777" w:rsidR="00B628FF" w:rsidRDefault="005B2D2F">
            <w:pPr>
              <w:pStyle w:val="Summarytabletextrightaligned"/>
            </w:pPr>
            <w:r>
              <w:t>0.1</w:t>
            </w:r>
          </w:p>
        </w:tc>
        <w:tc>
          <w:tcPr>
            <w:tcW w:w="850" w:type="dxa"/>
            <w:tcBorders>
              <w:top w:val="nil"/>
            </w:tcBorders>
            <w:vAlign w:val="bottom"/>
          </w:tcPr>
          <w:p w14:paraId="0CBBECE5" w14:textId="77777777" w:rsidR="00B628FF" w:rsidRDefault="005B2D2F">
            <w:pPr>
              <w:pStyle w:val="Summarytabletextrightaligned"/>
            </w:pPr>
            <w:r>
              <w:t>0.1</w:t>
            </w:r>
          </w:p>
        </w:tc>
        <w:tc>
          <w:tcPr>
            <w:tcW w:w="850" w:type="dxa"/>
            <w:tcBorders>
              <w:top w:val="nil"/>
            </w:tcBorders>
            <w:vAlign w:val="bottom"/>
          </w:tcPr>
          <w:p w14:paraId="207BBAAD" w14:textId="77777777" w:rsidR="00B628FF" w:rsidRDefault="005B2D2F">
            <w:pPr>
              <w:pStyle w:val="Summarytabletextrightaligned"/>
            </w:pPr>
            <w:r>
              <w:t>0.1</w:t>
            </w:r>
          </w:p>
        </w:tc>
      </w:tr>
      <w:tr w:rsidR="00B628FF" w14:paraId="5D26B858" w14:textId="77777777" w:rsidTr="5FA307DC">
        <w:tc>
          <w:tcPr>
            <w:tcW w:w="3471" w:type="dxa"/>
            <w:vAlign w:val="bottom"/>
          </w:tcPr>
          <w:p w14:paraId="54D0FAE2" w14:textId="775AA843" w:rsidR="00B628FF" w:rsidRDefault="005B2D2F">
            <w:pPr>
              <w:pStyle w:val="SummaryMeasureTitlewithTheme"/>
            </w:pPr>
            <w:r>
              <w:t>Strengthening Medicare – Women</w:t>
            </w:r>
            <w:r w:rsidR="00B31B37">
              <w:t>’</w:t>
            </w:r>
            <w:r>
              <w:t>s Health</w:t>
            </w:r>
          </w:p>
        </w:tc>
        <w:tc>
          <w:tcPr>
            <w:tcW w:w="850" w:type="dxa"/>
            <w:vAlign w:val="bottom"/>
          </w:tcPr>
          <w:p w14:paraId="703586B7" w14:textId="566264A8" w:rsidR="00B628FF" w:rsidRDefault="00B31B37">
            <w:pPr>
              <w:pStyle w:val="Summarytabletextrightaligned"/>
            </w:pPr>
            <w:r>
              <w:noBreakHyphen/>
            </w:r>
          </w:p>
        </w:tc>
        <w:tc>
          <w:tcPr>
            <w:tcW w:w="850" w:type="dxa"/>
            <w:shd w:val="clear" w:color="auto" w:fill="E6F2FF"/>
            <w:vAlign w:val="bottom"/>
          </w:tcPr>
          <w:p w14:paraId="507E19C8" w14:textId="34077FDE" w:rsidR="00B628FF" w:rsidRDefault="00B31B37">
            <w:pPr>
              <w:pStyle w:val="Summarytabletextrightaligned"/>
            </w:pPr>
            <w:r>
              <w:noBreakHyphen/>
            </w:r>
          </w:p>
        </w:tc>
        <w:tc>
          <w:tcPr>
            <w:tcW w:w="850" w:type="dxa"/>
            <w:vAlign w:val="bottom"/>
          </w:tcPr>
          <w:p w14:paraId="10AFFEE0" w14:textId="778FA35B" w:rsidR="00B628FF" w:rsidRDefault="00B31B37">
            <w:pPr>
              <w:pStyle w:val="Summarytabletextrightaligned"/>
            </w:pPr>
            <w:r>
              <w:noBreakHyphen/>
            </w:r>
          </w:p>
        </w:tc>
        <w:tc>
          <w:tcPr>
            <w:tcW w:w="850" w:type="dxa"/>
            <w:vAlign w:val="bottom"/>
          </w:tcPr>
          <w:p w14:paraId="4AD19C75" w14:textId="6CA475A8" w:rsidR="00B628FF" w:rsidRDefault="00B31B37">
            <w:pPr>
              <w:pStyle w:val="Summarytabletextrightaligned"/>
            </w:pPr>
            <w:r>
              <w:noBreakHyphen/>
            </w:r>
          </w:p>
        </w:tc>
        <w:tc>
          <w:tcPr>
            <w:tcW w:w="850" w:type="dxa"/>
            <w:vAlign w:val="bottom"/>
          </w:tcPr>
          <w:p w14:paraId="666C2079" w14:textId="255F62C1" w:rsidR="00B628FF" w:rsidRDefault="00B31B37">
            <w:pPr>
              <w:pStyle w:val="Summarytabletextrightaligned"/>
            </w:pPr>
            <w:r>
              <w:noBreakHyphen/>
            </w:r>
          </w:p>
        </w:tc>
      </w:tr>
      <w:tr w:rsidR="00B628FF" w14:paraId="308344D8" w14:textId="77777777" w:rsidTr="5FA307DC">
        <w:tc>
          <w:tcPr>
            <w:tcW w:w="3471" w:type="dxa"/>
            <w:vAlign w:val="bottom"/>
          </w:tcPr>
          <w:p w14:paraId="317AE182" w14:textId="77777777" w:rsidR="00B628FF" w:rsidRDefault="005B2D2F">
            <w:pPr>
              <w:pStyle w:val="Summarytabletextleftalignedbold"/>
            </w:pPr>
            <w:r>
              <w:t>Portfolio total</w:t>
            </w:r>
          </w:p>
        </w:tc>
        <w:tc>
          <w:tcPr>
            <w:tcW w:w="850" w:type="dxa"/>
            <w:tcBorders>
              <w:top w:val="single" w:sz="4" w:space="0" w:color="000000" w:themeColor="text1"/>
              <w:bottom w:val="single" w:sz="4" w:space="0" w:color="000000" w:themeColor="text1"/>
            </w:tcBorders>
            <w:vAlign w:val="bottom"/>
          </w:tcPr>
          <w:p w14:paraId="522A1463" w14:textId="77777777" w:rsidR="00B628FF" w:rsidRDefault="005B2D2F">
            <w:pPr>
              <w:pStyle w:val="Summarytabletextrightalignedbold"/>
            </w:pPr>
            <w:r>
              <w:t>1.1</w:t>
            </w:r>
          </w:p>
        </w:tc>
        <w:tc>
          <w:tcPr>
            <w:tcW w:w="850" w:type="dxa"/>
            <w:tcBorders>
              <w:top w:val="single" w:sz="4" w:space="0" w:color="000000" w:themeColor="text1"/>
              <w:bottom w:val="single" w:sz="4" w:space="0" w:color="000000" w:themeColor="text1"/>
            </w:tcBorders>
            <w:shd w:val="clear" w:color="auto" w:fill="E6F2FF"/>
            <w:vAlign w:val="bottom"/>
          </w:tcPr>
          <w:p w14:paraId="335D03D7" w14:textId="0C52F6E7" w:rsidR="00B628FF" w:rsidRDefault="00B31B37">
            <w:pPr>
              <w:pStyle w:val="Summarytabletextrightalignedbold"/>
            </w:pPr>
            <w:r>
              <w:noBreakHyphen/>
            </w:r>
            <w:r w:rsidR="005B2D2F">
              <w:t>39.4</w:t>
            </w:r>
          </w:p>
        </w:tc>
        <w:tc>
          <w:tcPr>
            <w:tcW w:w="850" w:type="dxa"/>
            <w:tcBorders>
              <w:top w:val="single" w:sz="4" w:space="0" w:color="000000" w:themeColor="text1"/>
              <w:bottom w:val="single" w:sz="4" w:space="0" w:color="000000" w:themeColor="text1"/>
            </w:tcBorders>
            <w:vAlign w:val="bottom"/>
          </w:tcPr>
          <w:p w14:paraId="12691BD6" w14:textId="77777777" w:rsidR="00B628FF" w:rsidRDefault="005B2D2F">
            <w:pPr>
              <w:pStyle w:val="Summarytabletextrightalignedbold"/>
            </w:pPr>
            <w:r>
              <w:t>8.1</w:t>
            </w:r>
          </w:p>
        </w:tc>
        <w:tc>
          <w:tcPr>
            <w:tcW w:w="850" w:type="dxa"/>
            <w:tcBorders>
              <w:top w:val="single" w:sz="4" w:space="0" w:color="000000" w:themeColor="text1"/>
              <w:bottom w:val="single" w:sz="4" w:space="0" w:color="000000" w:themeColor="text1"/>
            </w:tcBorders>
            <w:vAlign w:val="bottom"/>
          </w:tcPr>
          <w:p w14:paraId="655D9437" w14:textId="77777777" w:rsidR="00B628FF" w:rsidRDefault="005B2D2F">
            <w:pPr>
              <w:pStyle w:val="Summarytabletextrightalignedbold"/>
            </w:pPr>
            <w:r>
              <w:t>9.2</w:t>
            </w:r>
          </w:p>
        </w:tc>
        <w:tc>
          <w:tcPr>
            <w:tcW w:w="850" w:type="dxa"/>
            <w:tcBorders>
              <w:top w:val="single" w:sz="4" w:space="0" w:color="000000" w:themeColor="text1"/>
              <w:bottom w:val="single" w:sz="4" w:space="0" w:color="000000" w:themeColor="text1"/>
            </w:tcBorders>
            <w:vAlign w:val="bottom"/>
          </w:tcPr>
          <w:p w14:paraId="520BFA04" w14:textId="77777777" w:rsidR="00B628FF" w:rsidRDefault="005B2D2F">
            <w:pPr>
              <w:pStyle w:val="Summarytabletextrightalignedbold"/>
            </w:pPr>
            <w:r>
              <w:t>10.3</w:t>
            </w:r>
          </w:p>
        </w:tc>
      </w:tr>
      <w:tr w:rsidR="00B628FF" w14:paraId="43D1946D" w14:textId="77777777" w:rsidTr="5FA307DC">
        <w:tc>
          <w:tcPr>
            <w:tcW w:w="3471" w:type="dxa"/>
            <w:vAlign w:val="bottom"/>
          </w:tcPr>
          <w:p w14:paraId="36F4E0B2" w14:textId="77777777" w:rsidR="00B628FF" w:rsidRDefault="005B2D2F">
            <w:pPr>
              <w:pStyle w:val="SummaryPortfolioTitle-BP2"/>
            </w:pPr>
            <w:r>
              <w:t>EDUCATION</w:t>
            </w:r>
          </w:p>
        </w:tc>
        <w:tc>
          <w:tcPr>
            <w:tcW w:w="850" w:type="dxa"/>
          </w:tcPr>
          <w:p w14:paraId="6B5CD86A" w14:textId="77777777" w:rsidR="00B628FF" w:rsidRDefault="00B628FF">
            <w:pPr>
              <w:pStyle w:val="MeasureTableTextRightAlignedBefore6ptAfter1pt"/>
            </w:pPr>
          </w:p>
        </w:tc>
        <w:tc>
          <w:tcPr>
            <w:tcW w:w="850" w:type="dxa"/>
            <w:shd w:val="clear" w:color="auto" w:fill="E6F2FF"/>
          </w:tcPr>
          <w:p w14:paraId="63E74CD9" w14:textId="77777777" w:rsidR="00B628FF" w:rsidRDefault="00B628FF">
            <w:pPr>
              <w:pStyle w:val="MeasureTableTextRightAlignedBefore6ptAfter1pt"/>
            </w:pPr>
          </w:p>
        </w:tc>
        <w:tc>
          <w:tcPr>
            <w:tcW w:w="850" w:type="dxa"/>
          </w:tcPr>
          <w:p w14:paraId="3B7C01DD" w14:textId="77777777" w:rsidR="00B628FF" w:rsidRDefault="00B628FF">
            <w:pPr>
              <w:pStyle w:val="MeasureTableTextRightAlignedBefore6ptAfter1pt"/>
            </w:pPr>
          </w:p>
        </w:tc>
        <w:tc>
          <w:tcPr>
            <w:tcW w:w="850" w:type="dxa"/>
          </w:tcPr>
          <w:p w14:paraId="1F605DBE" w14:textId="77777777" w:rsidR="00B628FF" w:rsidRDefault="00B628FF">
            <w:pPr>
              <w:pStyle w:val="MeasureTableTextRightAlignedBefore6ptAfter1pt"/>
            </w:pPr>
          </w:p>
        </w:tc>
        <w:tc>
          <w:tcPr>
            <w:tcW w:w="850" w:type="dxa"/>
          </w:tcPr>
          <w:p w14:paraId="4EF90F6C" w14:textId="77777777" w:rsidR="00B628FF" w:rsidRDefault="00B628FF">
            <w:pPr>
              <w:pStyle w:val="MeasureTableTextRightAlignedBefore6ptAfter1pt"/>
            </w:pPr>
          </w:p>
        </w:tc>
      </w:tr>
      <w:tr w:rsidR="00B628FF" w14:paraId="6ECFBFF8" w14:textId="77777777" w:rsidTr="5FA307DC">
        <w:tc>
          <w:tcPr>
            <w:tcW w:w="3471" w:type="dxa"/>
            <w:vAlign w:val="bottom"/>
          </w:tcPr>
          <w:p w14:paraId="5A37EC8B" w14:textId="77777777" w:rsidR="00B628FF" w:rsidRDefault="005B2D2F">
            <w:pPr>
              <w:pStyle w:val="SummaryAgencyTitle-BP2"/>
            </w:pPr>
            <w:r>
              <w:t>Department of Education</w:t>
            </w:r>
          </w:p>
        </w:tc>
        <w:tc>
          <w:tcPr>
            <w:tcW w:w="850" w:type="dxa"/>
          </w:tcPr>
          <w:p w14:paraId="2E7A6D42" w14:textId="77777777" w:rsidR="00B628FF" w:rsidRDefault="00B628FF">
            <w:pPr>
              <w:pStyle w:val="SummaryAgencyTitle-BP2"/>
            </w:pPr>
          </w:p>
        </w:tc>
        <w:tc>
          <w:tcPr>
            <w:tcW w:w="850" w:type="dxa"/>
            <w:shd w:val="clear" w:color="auto" w:fill="E6F2FF"/>
          </w:tcPr>
          <w:p w14:paraId="29BE51DF" w14:textId="77777777" w:rsidR="00B628FF" w:rsidRDefault="00B628FF">
            <w:pPr>
              <w:pStyle w:val="SummaryAgencyTitle-BP2"/>
            </w:pPr>
          </w:p>
        </w:tc>
        <w:tc>
          <w:tcPr>
            <w:tcW w:w="850" w:type="dxa"/>
          </w:tcPr>
          <w:p w14:paraId="0557AA23" w14:textId="77777777" w:rsidR="00B628FF" w:rsidRDefault="00B628FF">
            <w:pPr>
              <w:pStyle w:val="SummaryAgencyTitle-BP2"/>
            </w:pPr>
          </w:p>
        </w:tc>
        <w:tc>
          <w:tcPr>
            <w:tcW w:w="850" w:type="dxa"/>
          </w:tcPr>
          <w:p w14:paraId="0F26B731" w14:textId="77777777" w:rsidR="00B628FF" w:rsidRDefault="00B628FF">
            <w:pPr>
              <w:pStyle w:val="SummaryAgencyTitle-BP2"/>
            </w:pPr>
          </w:p>
        </w:tc>
        <w:tc>
          <w:tcPr>
            <w:tcW w:w="850" w:type="dxa"/>
          </w:tcPr>
          <w:p w14:paraId="5B4E884C" w14:textId="77777777" w:rsidR="00B628FF" w:rsidRDefault="00B628FF">
            <w:pPr>
              <w:pStyle w:val="SummaryAgencyTitle-BP2"/>
            </w:pPr>
          </w:p>
        </w:tc>
      </w:tr>
      <w:tr w:rsidR="00B628FF" w14:paraId="75345B9D" w14:textId="77777777" w:rsidTr="5FA307DC">
        <w:tc>
          <w:tcPr>
            <w:tcW w:w="3471" w:type="dxa"/>
            <w:vAlign w:val="bottom"/>
          </w:tcPr>
          <w:p w14:paraId="330490AB" w14:textId="56669BF4" w:rsidR="00B628FF" w:rsidRDefault="005B2D2F">
            <w:pPr>
              <w:pStyle w:val="SummaryMeasureTitlewithTheme"/>
            </w:pPr>
            <w:r>
              <w:t>Building Australia</w:t>
            </w:r>
            <w:r w:rsidR="00B31B37">
              <w:t>’</w:t>
            </w:r>
            <w:r>
              <w:t>s Future – Improving Outcomes in Australian Schools</w:t>
            </w:r>
          </w:p>
        </w:tc>
        <w:tc>
          <w:tcPr>
            <w:tcW w:w="850" w:type="dxa"/>
            <w:vAlign w:val="bottom"/>
          </w:tcPr>
          <w:p w14:paraId="512EC876" w14:textId="7B831FC9" w:rsidR="00B628FF" w:rsidRDefault="00B31B37">
            <w:pPr>
              <w:pStyle w:val="Summarytabletextrightaligned"/>
            </w:pPr>
            <w:r>
              <w:noBreakHyphen/>
            </w:r>
          </w:p>
        </w:tc>
        <w:tc>
          <w:tcPr>
            <w:tcW w:w="850" w:type="dxa"/>
            <w:shd w:val="clear" w:color="auto" w:fill="E6F2FF"/>
            <w:vAlign w:val="bottom"/>
          </w:tcPr>
          <w:p w14:paraId="0ACD36A1" w14:textId="77777777" w:rsidR="00B628FF" w:rsidRDefault="005B2D2F">
            <w:pPr>
              <w:pStyle w:val="Summarytabletextrightaligned"/>
            </w:pPr>
            <w:r w:rsidRPr="5FA307DC">
              <w:rPr>
                <w:lang w:val="en-US"/>
              </w:rPr>
              <w:t>nfp</w:t>
            </w:r>
          </w:p>
        </w:tc>
        <w:tc>
          <w:tcPr>
            <w:tcW w:w="850" w:type="dxa"/>
            <w:vAlign w:val="bottom"/>
          </w:tcPr>
          <w:p w14:paraId="7DB57735" w14:textId="77777777" w:rsidR="00B628FF" w:rsidRDefault="005B2D2F">
            <w:pPr>
              <w:pStyle w:val="Summarytabletextrightaligned"/>
            </w:pPr>
            <w:r w:rsidRPr="5FA307DC">
              <w:rPr>
                <w:lang w:val="en-US"/>
              </w:rPr>
              <w:t>nfp</w:t>
            </w:r>
          </w:p>
        </w:tc>
        <w:tc>
          <w:tcPr>
            <w:tcW w:w="850" w:type="dxa"/>
            <w:vAlign w:val="bottom"/>
          </w:tcPr>
          <w:p w14:paraId="35AB195A" w14:textId="77777777" w:rsidR="00B628FF" w:rsidRDefault="005B2D2F">
            <w:pPr>
              <w:pStyle w:val="Summarytabletextrightaligned"/>
            </w:pPr>
            <w:r w:rsidRPr="5FA307DC">
              <w:rPr>
                <w:lang w:val="en-US"/>
              </w:rPr>
              <w:t>nfp</w:t>
            </w:r>
          </w:p>
        </w:tc>
        <w:tc>
          <w:tcPr>
            <w:tcW w:w="850" w:type="dxa"/>
            <w:vAlign w:val="bottom"/>
          </w:tcPr>
          <w:p w14:paraId="7FF85726" w14:textId="77777777" w:rsidR="00B628FF" w:rsidRDefault="005B2D2F">
            <w:pPr>
              <w:pStyle w:val="Summarytabletextrightaligned"/>
            </w:pPr>
            <w:r w:rsidRPr="5FA307DC">
              <w:rPr>
                <w:lang w:val="en-US"/>
              </w:rPr>
              <w:t>nfp</w:t>
            </w:r>
          </w:p>
        </w:tc>
      </w:tr>
      <w:tr w:rsidR="00B628FF" w14:paraId="51B22941" w14:textId="77777777" w:rsidTr="5FA307DC">
        <w:tc>
          <w:tcPr>
            <w:tcW w:w="3471" w:type="dxa"/>
            <w:vAlign w:val="bottom"/>
          </w:tcPr>
          <w:p w14:paraId="74AB9E54" w14:textId="77777777" w:rsidR="00B628FF" w:rsidRDefault="005B2D2F">
            <w:pPr>
              <w:pStyle w:val="SummaryMeasureTitlewithTheme"/>
            </w:pPr>
            <w:r>
              <w:t>Closing the Gap – further investments(b)</w:t>
            </w:r>
          </w:p>
        </w:tc>
        <w:tc>
          <w:tcPr>
            <w:tcW w:w="850" w:type="dxa"/>
            <w:vAlign w:val="bottom"/>
          </w:tcPr>
          <w:p w14:paraId="76E5E5F0" w14:textId="49DC6EB2" w:rsidR="00B628FF" w:rsidRDefault="00B31B37">
            <w:pPr>
              <w:pStyle w:val="Summarytabletextrightaligned"/>
            </w:pPr>
            <w:r>
              <w:noBreakHyphen/>
            </w:r>
          </w:p>
        </w:tc>
        <w:tc>
          <w:tcPr>
            <w:tcW w:w="850" w:type="dxa"/>
            <w:shd w:val="clear" w:color="auto" w:fill="E6F2FF"/>
            <w:vAlign w:val="bottom"/>
          </w:tcPr>
          <w:p w14:paraId="6CB317E7" w14:textId="77777777" w:rsidR="00B628FF" w:rsidRDefault="005B2D2F">
            <w:pPr>
              <w:pStyle w:val="Summarytabletextrightaligned"/>
            </w:pPr>
            <w:r>
              <w:t>18.1</w:t>
            </w:r>
          </w:p>
        </w:tc>
        <w:tc>
          <w:tcPr>
            <w:tcW w:w="850" w:type="dxa"/>
            <w:vAlign w:val="bottom"/>
          </w:tcPr>
          <w:p w14:paraId="2DA8F287" w14:textId="77777777" w:rsidR="00B628FF" w:rsidRDefault="005B2D2F">
            <w:pPr>
              <w:pStyle w:val="Summarytabletextrightaligned"/>
            </w:pPr>
            <w:r>
              <w:t>17.0</w:t>
            </w:r>
          </w:p>
        </w:tc>
        <w:tc>
          <w:tcPr>
            <w:tcW w:w="850" w:type="dxa"/>
            <w:vAlign w:val="bottom"/>
          </w:tcPr>
          <w:p w14:paraId="456CF764" w14:textId="2215C4A5" w:rsidR="00B628FF" w:rsidRDefault="00B31B37">
            <w:pPr>
              <w:pStyle w:val="Summarytabletextrightaligned"/>
            </w:pPr>
            <w:r>
              <w:noBreakHyphen/>
            </w:r>
          </w:p>
        </w:tc>
        <w:tc>
          <w:tcPr>
            <w:tcW w:w="850" w:type="dxa"/>
            <w:vAlign w:val="bottom"/>
          </w:tcPr>
          <w:p w14:paraId="005B82B6" w14:textId="16D695BC" w:rsidR="00B628FF" w:rsidRDefault="00B31B37">
            <w:pPr>
              <w:pStyle w:val="Summarytabletextrightaligned"/>
            </w:pPr>
            <w:r>
              <w:noBreakHyphen/>
            </w:r>
          </w:p>
        </w:tc>
      </w:tr>
      <w:tr w:rsidR="00B628FF" w14:paraId="05B9479A" w14:textId="77777777" w:rsidTr="5FA307DC">
        <w:tc>
          <w:tcPr>
            <w:tcW w:w="3471" w:type="dxa"/>
            <w:vAlign w:val="bottom"/>
          </w:tcPr>
          <w:p w14:paraId="3AE571BD" w14:textId="77777777" w:rsidR="00B628FF" w:rsidRDefault="005B2D2F">
            <w:pPr>
              <w:pStyle w:val="SummaryMeasureTitlewithTheme"/>
            </w:pPr>
            <w:r>
              <w:t>Disaster Support</w:t>
            </w:r>
          </w:p>
        </w:tc>
        <w:tc>
          <w:tcPr>
            <w:tcW w:w="850" w:type="dxa"/>
            <w:vAlign w:val="bottom"/>
          </w:tcPr>
          <w:p w14:paraId="0F4940B2" w14:textId="77777777" w:rsidR="00B628FF" w:rsidRDefault="005B2D2F">
            <w:pPr>
              <w:pStyle w:val="Summarytabletextrightaligned"/>
            </w:pPr>
            <w:r>
              <w:t>2.0</w:t>
            </w:r>
          </w:p>
        </w:tc>
        <w:tc>
          <w:tcPr>
            <w:tcW w:w="850" w:type="dxa"/>
            <w:shd w:val="clear" w:color="auto" w:fill="E6F2FF"/>
            <w:vAlign w:val="bottom"/>
          </w:tcPr>
          <w:p w14:paraId="0843A8C3" w14:textId="77777777" w:rsidR="00B628FF" w:rsidRDefault="005B2D2F">
            <w:pPr>
              <w:pStyle w:val="Summarytabletextrightaligned"/>
            </w:pPr>
            <w:r>
              <w:t>0.5</w:t>
            </w:r>
          </w:p>
        </w:tc>
        <w:tc>
          <w:tcPr>
            <w:tcW w:w="850" w:type="dxa"/>
            <w:vAlign w:val="bottom"/>
          </w:tcPr>
          <w:p w14:paraId="26ADE7E1" w14:textId="12625D88" w:rsidR="00B628FF" w:rsidRDefault="00B31B37">
            <w:pPr>
              <w:pStyle w:val="Summarytabletextrightaligned"/>
            </w:pPr>
            <w:r>
              <w:noBreakHyphen/>
            </w:r>
          </w:p>
        </w:tc>
        <w:tc>
          <w:tcPr>
            <w:tcW w:w="850" w:type="dxa"/>
            <w:vAlign w:val="bottom"/>
          </w:tcPr>
          <w:p w14:paraId="78A56E90" w14:textId="520EA1C1" w:rsidR="00B628FF" w:rsidRDefault="00B31B37">
            <w:pPr>
              <w:pStyle w:val="Summarytabletextrightaligned"/>
            </w:pPr>
            <w:r>
              <w:noBreakHyphen/>
            </w:r>
          </w:p>
        </w:tc>
        <w:tc>
          <w:tcPr>
            <w:tcW w:w="850" w:type="dxa"/>
            <w:vAlign w:val="bottom"/>
          </w:tcPr>
          <w:p w14:paraId="7D8F839E" w14:textId="0531E51C" w:rsidR="00B628FF" w:rsidRDefault="00B31B37">
            <w:pPr>
              <w:pStyle w:val="Summarytabletextrightaligned"/>
            </w:pPr>
            <w:r>
              <w:noBreakHyphen/>
            </w:r>
          </w:p>
        </w:tc>
      </w:tr>
      <w:tr w:rsidR="00B628FF" w14:paraId="2AD6191E" w14:textId="77777777" w:rsidTr="5FA307DC">
        <w:tc>
          <w:tcPr>
            <w:tcW w:w="3471" w:type="dxa"/>
            <w:vAlign w:val="bottom"/>
          </w:tcPr>
          <w:p w14:paraId="2FFC9485" w14:textId="77777777" w:rsidR="00B628FF" w:rsidRDefault="005B2D2F">
            <w:pPr>
              <w:pStyle w:val="SummaryMeasureTitlewithTheme"/>
            </w:pPr>
            <w:r>
              <w:t>Education – savings</w:t>
            </w:r>
          </w:p>
        </w:tc>
        <w:tc>
          <w:tcPr>
            <w:tcW w:w="850" w:type="dxa"/>
            <w:vAlign w:val="bottom"/>
          </w:tcPr>
          <w:p w14:paraId="07DA874A" w14:textId="3933DC94" w:rsidR="00B628FF" w:rsidRDefault="00B31B37">
            <w:pPr>
              <w:pStyle w:val="Summarytabletextrightaligned"/>
            </w:pPr>
            <w:r>
              <w:noBreakHyphen/>
            </w:r>
            <w:r w:rsidR="005B2D2F">
              <w:t>4.5</w:t>
            </w:r>
          </w:p>
        </w:tc>
        <w:tc>
          <w:tcPr>
            <w:tcW w:w="850" w:type="dxa"/>
            <w:shd w:val="clear" w:color="auto" w:fill="E6F2FF"/>
            <w:vAlign w:val="bottom"/>
          </w:tcPr>
          <w:p w14:paraId="6584D49B" w14:textId="77777777" w:rsidR="00B628FF" w:rsidRDefault="005B2D2F">
            <w:pPr>
              <w:pStyle w:val="Summarytabletextrightaligned"/>
            </w:pPr>
            <w:r>
              <w:t>1.5</w:t>
            </w:r>
          </w:p>
        </w:tc>
        <w:tc>
          <w:tcPr>
            <w:tcW w:w="850" w:type="dxa"/>
            <w:vAlign w:val="bottom"/>
          </w:tcPr>
          <w:p w14:paraId="33DD3D63" w14:textId="00535B43" w:rsidR="00B628FF" w:rsidRDefault="00B31B37">
            <w:pPr>
              <w:pStyle w:val="Summarytabletextrightaligned"/>
            </w:pPr>
            <w:r>
              <w:noBreakHyphen/>
            </w:r>
          </w:p>
        </w:tc>
        <w:tc>
          <w:tcPr>
            <w:tcW w:w="850" w:type="dxa"/>
            <w:vAlign w:val="bottom"/>
          </w:tcPr>
          <w:p w14:paraId="4988DB34" w14:textId="025508A8" w:rsidR="00B628FF" w:rsidRDefault="00B31B37">
            <w:pPr>
              <w:pStyle w:val="Summarytabletextrightaligned"/>
            </w:pPr>
            <w:r>
              <w:noBreakHyphen/>
            </w:r>
          </w:p>
        </w:tc>
        <w:tc>
          <w:tcPr>
            <w:tcW w:w="850" w:type="dxa"/>
            <w:vAlign w:val="bottom"/>
          </w:tcPr>
          <w:p w14:paraId="224E245F" w14:textId="2A20C4B2" w:rsidR="00B628FF" w:rsidRDefault="00B31B37">
            <w:pPr>
              <w:pStyle w:val="Summarytabletextrightaligned"/>
            </w:pPr>
            <w:r>
              <w:noBreakHyphen/>
            </w:r>
          </w:p>
        </w:tc>
      </w:tr>
      <w:tr w:rsidR="00B628FF" w14:paraId="221EE7D9" w14:textId="77777777" w:rsidTr="5FA307DC">
        <w:tc>
          <w:tcPr>
            <w:tcW w:w="3471" w:type="dxa"/>
            <w:vAlign w:val="bottom"/>
          </w:tcPr>
          <w:p w14:paraId="728E6E1C" w14:textId="77777777" w:rsidR="00B628FF" w:rsidRDefault="005B2D2F">
            <w:pPr>
              <w:pStyle w:val="SummaryMeasureTitlewithTheme"/>
            </w:pPr>
            <w:r>
              <w:t>Establishment of Additional University Study Hubs</w:t>
            </w:r>
          </w:p>
        </w:tc>
        <w:tc>
          <w:tcPr>
            <w:tcW w:w="850" w:type="dxa"/>
            <w:vAlign w:val="bottom"/>
          </w:tcPr>
          <w:p w14:paraId="5D231CAF" w14:textId="52D64E3D" w:rsidR="00B628FF" w:rsidRDefault="00B31B37">
            <w:pPr>
              <w:pStyle w:val="Summarytabletextrightaligned"/>
            </w:pPr>
            <w:r>
              <w:noBreakHyphen/>
            </w:r>
          </w:p>
        </w:tc>
        <w:tc>
          <w:tcPr>
            <w:tcW w:w="850" w:type="dxa"/>
            <w:shd w:val="clear" w:color="auto" w:fill="E6F2FF"/>
            <w:vAlign w:val="bottom"/>
          </w:tcPr>
          <w:p w14:paraId="271050CC" w14:textId="297A96F8" w:rsidR="00B628FF" w:rsidRDefault="00B31B37">
            <w:pPr>
              <w:pStyle w:val="Summarytabletextrightaligned"/>
            </w:pPr>
            <w:r>
              <w:noBreakHyphen/>
            </w:r>
          </w:p>
        </w:tc>
        <w:tc>
          <w:tcPr>
            <w:tcW w:w="850" w:type="dxa"/>
            <w:vAlign w:val="bottom"/>
          </w:tcPr>
          <w:p w14:paraId="37F8792D" w14:textId="5F67D493" w:rsidR="00B628FF" w:rsidRDefault="00B31B37">
            <w:pPr>
              <w:pStyle w:val="Summarytabletextrightaligned"/>
            </w:pPr>
            <w:r>
              <w:noBreakHyphen/>
            </w:r>
          </w:p>
        </w:tc>
        <w:tc>
          <w:tcPr>
            <w:tcW w:w="850" w:type="dxa"/>
            <w:vAlign w:val="bottom"/>
          </w:tcPr>
          <w:p w14:paraId="524D8FBC" w14:textId="6200185F" w:rsidR="00B628FF" w:rsidRDefault="00B31B37">
            <w:pPr>
              <w:pStyle w:val="Summarytabletextrightaligned"/>
            </w:pPr>
            <w:r>
              <w:noBreakHyphen/>
            </w:r>
          </w:p>
        </w:tc>
        <w:tc>
          <w:tcPr>
            <w:tcW w:w="850" w:type="dxa"/>
            <w:vAlign w:val="bottom"/>
          </w:tcPr>
          <w:p w14:paraId="048FF7B7" w14:textId="68FC9674" w:rsidR="00B628FF" w:rsidRDefault="00B31B37">
            <w:pPr>
              <w:pStyle w:val="Summarytabletextrightaligned"/>
            </w:pPr>
            <w:r>
              <w:noBreakHyphen/>
            </w:r>
          </w:p>
        </w:tc>
      </w:tr>
      <w:tr w:rsidR="00B628FF" w14:paraId="5211ED47" w14:textId="77777777" w:rsidTr="5FA307DC">
        <w:tc>
          <w:tcPr>
            <w:tcW w:w="3471" w:type="dxa"/>
            <w:vAlign w:val="bottom"/>
          </w:tcPr>
          <w:p w14:paraId="16B1246F" w14:textId="77777777" w:rsidR="00B628FF" w:rsidRDefault="005B2D2F">
            <w:pPr>
              <w:pStyle w:val="SummaryMeasureTitlewithTheme"/>
            </w:pPr>
            <w:r>
              <w:t>Strengthening Medicare – Health Workforce(b)</w:t>
            </w:r>
          </w:p>
        </w:tc>
        <w:tc>
          <w:tcPr>
            <w:tcW w:w="850" w:type="dxa"/>
            <w:vAlign w:val="bottom"/>
          </w:tcPr>
          <w:p w14:paraId="24CF7D6F" w14:textId="49E7CB57" w:rsidR="00B628FF" w:rsidRDefault="00B31B37">
            <w:pPr>
              <w:pStyle w:val="Summarytabletextrightaligned"/>
            </w:pPr>
            <w:r>
              <w:noBreakHyphen/>
            </w:r>
          </w:p>
        </w:tc>
        <w:tc>
          <w:tcPr>
            <w:tcW w:w="850" w:type="dxa"/>
            <w:shd w:val="clear" w:color="auto" w:fill="E6F2FF"/>
            <w:vAlign w:val="bottom"/>
          </w:tcPr>
          <w:p w14:paraId="470BCD43" w14:textId="6856DE1C" w:rsidR="00B628FF" w:rsidRDefault="00B31B37">
            <w:pPr>
              <w:pStyle w:val="Summarytabletextrightaligned"/>
            </w:pPr>
            <w:r>
              <w:noBreakHyphen/>
            </w:r>
          </w:p>
        </w:tc>
        <w:tc>
          <w:tcPr>
            <w:tcW w:w="850" w:type="dxa"/>
            <w:vAlign w:val="bottom"/>
          </w:tcPr>
          <w:p w14:paraId="2ACE5730" w14:textId="2B1AAC7E" w:rsidR="00B628FF" w:rsidRDefault="00B31B37">
            <w:pPr>
              <w:pStyle w:val="Summarytabletextrightaligned"/>
            </w:pPr>
            <w:r>
              <w:noBreakHyphen/>
            </w:r>
          </w:p>
        </w:tc>
        <w:tc>
          <w:tcPr>
            <w:tcW w:w="850" w:type="dxa"/>
            <w:vAlign w:val="bottom"/>
          </w:tcPr>
          <w:p w14:paraId="48F389BB" w14:textId="059A1365" w:rsidR="00B628FF" w:rsidRDefault="00B31B37">
            <w:pPr>
              <w:pStyle w:val="Summarytabletextrightaligned"/>
            </w:pPr>
            <w:r>
              <w:noBreakHyphen/>
            </w:r>
          </w:p>
        </w:tc>
        <w:tc>
          <w:tcPr>
            <w:tcW w:w="850" w:type="dxa"/>
            <w:vAlign w:val="bottom"/>
          </w:tcPr>
          <w:p w14:paraId="41F794BD" w14:textId="6AB737FD" w:rsidR="00B628FF" w:rsidRDefault="00B31B37">
            <w:pPr>
              <w:pStyle w:val="Summarytabletextrightaligned"/>
            </w:pPr>
            <w:r>
              <w:noBreakHyphen/>
            </w:r>
          </w:p>
        </w:tc>
      </w:tr>
      <w:tr w:rsidR="00B628FF" w14:paraId="464AAC6A" w14:textId="77777777" w:rsidTr="5FA307DC">
        <w:tc>
          <w:tcPr>
            <w:tcW w:w="3471" w:type="dxa"/>
            <w:vAlign w:val="bottom"/>
          </w:tcPr>
          <w:p w14:paraId="14C895BC" w14:textId="77777777" w:rsidR="00B628FF" w:rsidRDefault="005B2D2F">
            <w:pPr>
              <w:pStyle w:val="Summarytabletextleftalignedbold"/>
            </w:pPr>
            <w:r>
              <w:t>Portfolio total</w:t>
            </w:r>
          </w:p>
        </w:tc>
        <w:tc>
          <w:tcPr>
            <w:tcW w:w="850" w:type="dxa"/>
            <w:tcBorders>
              <w:top w:val="single" w:sz="4" w:space="0" w:color="000000" w:themeColor="text1"/>
              <w:bottom w:val="single" w:sz="4" w:space="0" w:color="000000" w:themeColor="text1"/>
            </w:tcBorders>
            <w:vAlign w:val="bottom"/>
          </w:tcPr>
          <w:p w14:paraId="6E251813" w14:textId="1CB6CC48" w:rsidR="00B628FF" w:rsidRDefault="00B31B37">
            <w:pPr>
              <w:pStyle w:val="Summarytabletextrightalignedbold"/>
            </w:pPr>
            <w:r>
              <w:noBreakHyphen/>
            </w:r>
            <w:r w:rsidR="005B2D2F">
              <w:t>2.5</w:t>
            </w:r>
          </w:p>
        </w:tc>
        <w:tc>
          <w:tcPr>
            <w:tcW w:w="850" w:type="dxa"/>
            <w:tcBorders>
              <w:top w:val="single" w:sz="4" w:space="0" w:color="000000" w:themeColor="text1"/>
              <w:bottom w:val="single" w:sz="4" w:space="0" w:color="000000" w:themeColor="text1"/>
            </w:tcBorders>
            <w:shd w:val="clear" w:color="auto" w:fill="E6F2FF"/>
            <w:vAlign w:val="bottom"/>
          </w:tcPr>
          <w:p w14:paraId="20197562" w14:textId="77777777" w:rsidR="00B628FF" w:rsidRDefault="005B2D2F">
            <w:pPr>
              <w:pStyle w:val="Summarytabletextrightalignedbold"/>
            </w:pPr>
            <w:r>
              <w:t>20.1</w:t>
            </w:r>
          </w:p>
        </w:tc>
        <w:tc>
          <w:tcPr>
            <w:tcW w:w="850" w:type="dxa"/>
            <w:tcBorders>
              <w:top w:val="single" w:sz="4" w:space="0" w:color="000000" w:themeColor="text1"/>
              <w:bottom w:val="single" w:sz="4" w:space="0" w:color="000000" w:themeColor="text1"/>
            </w:tcBorders>
            <w:vAlign w:val="bottom"/>
          </w:tcPr>
          <w:p w14:paraId="0BB8FA69" w14:textId="77777777" w:rsidR="00B628FF" w:rsidRDefault="005B2D2F">
            <w:pPr>
              <w:pStyle w:val="Summarytabletextrightalignedbold"/>
            </w:pPr>
            <w:r>
              <w:t>17.0</w:t>
            </w:r>
          </w:p>
        </w:tc>
        <w:tc>
          <w:tcPr>
            <w:tcW w:w="850" w:type="dxa"/>
            <w:tcBorders>
              <w:top w:val="single" w:sz="4" w:space="0" w:color="000000" w:themeColor="text1"/>
              <w:bottom w:val="single" w:sz="4" w:space="0" w:color="000000" w:themeColor="text1"/>
            </w:tcBorders>
            <w:vAlign w:val="bottom"/>
          </w:tcPr>
          <w:p w14:paraId="526B3E66" w14:textId="2346AE8F" w:rsidR="00B628FF" w:rsidRDefault="00B31B37">
            <w:pPr>
              <w:pStyle w:val="Summarytabletextrightalignedbold"/>
            </w:pPr>
            <w:r>
              <w:noBreakHyphen/>
            </w:r>
          </w:p>
        </w:tc>
        <w:tc>
          <w:tcPr>
            <w:tcW w:w="850" w:type="dxa"/>
            <w:tcBorders>
              <w:top w:val="single" w:sz="4" w:space="0" w:color="000000" w:themeColor="text1"/>
              <w:bottom w:val="single" w:sz="4" w:space="0" w:color="000000" w:themeColor="text1"/>
            </w:tcBorders>
            <w:vAlign w:val="bottom"/>
          </w:tcPr>
          <w:p w14:paraId="7745A7FE" w14:textId="3F3D4A24" w:rsidR="00B628FF" w:rsidRDefault="00B31B37">
            <w:pPr>
              <w:pStyle w:val="Summarytabletextrightalignedbold"/>
            </w:pPr>
            <w:r>
              <w:noBreakHyphen/>
            </w:r>
          </w:p>
        </w:tc>
      </w:tr>
      <w:tr w:rsidR="00B628FF" w14:paraId="7BC70641" w14:textId="77777777" w:rsidTr="5FA307DC">
        <w:tc>
          <w:tcPr>
            <w:tcW w:w="3471" w:type="dxa"/>
            <w:vAlign w:val="bottom"/>
          </w:tcPr>
          <w:p w14:paraId="39C54323" w14:textId="77777777" w:rsidR="00B628FF" w:rsidRDefault="005B2D2F">
            <w:pPr>
              <w:pStyle w:val="SummaryPortfolioTitle-BP2"/>
            </w:pPr>
            <w:r>
              <w:t>EMPLOYMENT AND WORKPLACE RELATIONS</w:t>
            </w:r>
          </w:p>
        </w:tc>
        <w:tc>
          <w:tcPr>
            <w:tcW w:w="850" w:type="dxa"/>
          </w:tcPr>
          <w:p w14:paraId="5FAD6D61" w14:textId="77777777" w:rsidR="00B628FF" w:rsidRDefault="00B628FF">
            <w:pPr>
              <w:pStyle w:val="MeasureTableTextRightAlignedBefore6ptAfter1pt"/>
            </w:pPr>
          </w:p>
        </w:tc>
        <w:tc>
          <w:tcPr>
            <w:tcW w:w="850" w:type="dxa"/>
            <w:shd w:val="clear" w:color="auto" w:fill="E6F2FF"/>
          </w:tcPr>
          <w:p w14:paraId="1B4A1003" w14:textId="77777777" w:rsidR="00B628FF" w:rsidRDefault="00B628FF">
            <w:pPr>
              <w:pStyle w:val="MeasureTableTextRightAlignedBefore6ptAfter1pt"/>
            </w:pPr>
          </w:p>
        </w:tc>
        <w:tc>
          <w:tcPr>
            <w:tcW w:w="850" w:type="dxa"/>
          </w:tcPr>
          <w:p w14:paraId="0354FA8A" w14:textId="77777777" w:rsidR="00B628FF" w:rsidRDefault="00B628FF">
            <w:pPr>
              <w:pStyle w:val="MeasureTableTextRightAlignedBefore6ptAfter1pt"/>
            </w:pPr>
          </w:p>
        </w:tc>
        <w:tc>
          <w:tcPr>
            <w:tcW w:w="850" w:type="dxa"/>
          </w:tcPr>
          <w:p w14:paraId="6E1C437E" w14:textId="77777777" w:rsidR="00B628FF" w:rsidRDefault="00B628FF">
            <w:pPr>
              <w:pStyle w:val="MeasureTableTextRightAlignedBefore6ptAfter1pt"/>
            </w:pPr>
          </w:p>
        </w:tc>
        <w:tc>
          <w:tcPr>
            <w:tcW w:w="850" w:type="dxa"/>
          </w:tcPr>
          <w:p w14:paraId="4D561DEE" w14:textId="77777777" w:rsidR="00B628FF" w:rsidRDefault="00B628FF">
            <w:pPr>
              <w:pStyle w:val="MeasureTableTextRightAlignedBefore6ptAfter1pt"/>
            </w:pPr>
          </w:p>
        </w:tc>
      </w:tr>
      <w:tr w:rsidR="00B628FF" w14:paraId="5A1D88F3" w14:textId="77777777" w:rsidTr="5FA307DC">
        <w:tc>
          <w:tcPr>
            <w:tcW w:w="3471" w:type="dxa"/>
            <w:vAlign w:val="bottom"/>
          </w:tcPr>
          <w:p w14:paraId="1D47E0CE" w14:textId="77777777" w:rsidR="00B628FF" w:rsidRDefault="005B2D2F">
            <w:pPr>
              <w:pStyle w:val="SummaryAgencyTitle-BP2"/>
            </w:pPr>
            <w:r>
              <w:t>Australian Skills Quality Authority</w:t>
            </w:r>
          </w:p>
        </w:tc>
        <w:tc>
          <w:tcPr>
            <w:tcW w:w="850" w:type="dxa"/>
          </w:tcPr>
          <w:p w14:paraId="6987F59B" w14:textId="77777777" w:rsidR="00B628FF" w:rsidRDefault="00B628FF">
            <w:pPr>
              <w:pStyle w:val="SummaryAgencyTitle-BP2"/>
            </w:pPr>
          </w:p>
        </w:tc>
        <w:tc>
          <w:tcPr>
            <w:tcW w:w="850" w:type="dxa"/>
            <w:shd w:val="clear" w:color="auto" w:fill="E6F2FF"/>
          </w:tcPr>
          <w:p w14:paraId="1FE6330C" w14:textId="77777777" w:rsidR="00B628FF" w:rsidRDefault="00B628FF">
            <w:pPr>
              <w:pStyle w:val="SummaryAgencyTitle-BP2"/>
            </w:pPr>
          </w:p>
        </w:tc>
        <w:tc>
          <w:tcPr>
            <w:tcW w:w="850" w:type="dxa"/>
          </w:tcPr>
          <w:p w14:paraId="5D4110E0" w14:textId="77777777" w:rsidR="00B628FF" w:rsidRDefault="00B628FF">
            <w:pPr>
              <w:pStyle w:val="SummaryAgencyTitle-BP2"/>
            </w:pPr>
          </w:p>
        </w:tc>
        <w:tc>
          <w:tcPr>
            <w:tcW w:w="850" w:type="dxa"/>
          </w:tcPr>
          <w:p w14:paraId="24314016" w14:textId="77777777" w:rsidR="00B628FF" w:rsidRDefault="00B628FF">
            <w:pPr>
              <w:pStyle w:val="SummaryAgencyTitle-BP2"/>
            </w:pPr>
          </w:p>
        </w:tc>
        <w:tc>
          <w:tcPr>
            <w:tcW w:w="850" w:type="dxa"/>
          </w:tcPr>
          <w:p w14:paraId="10745640" w14:textId="77777777" w:rsidR="00B628FF" w:rsidRDefault="00B628FF">
            <w:pPr>
              <w:pStyle w:val="SummaryAgencyTitle-BP2"/>
            </w:pPr>
          </w:p>
        </w:tc>
      </w:tr>
      <w:tr w:rsidR="00B628FF" w14:paraId="63BCD16E" w14:textId="77777777" w:rsidTr="5FA307DC">
        <w:tc>
          <w:tcPr>
            <w:tcW w:w="3471" w:type="dxa"/>
            <w:vAlign w:val="bottom"/>
          </w:tcPr>
          <w:p w14:paraId="3A1BB8DB" w14:textId="77777777" w:rsidR="00B628FF" w:rsidRDefault="005B2D2F">
            <w:pPr>
              <w:pStyle w:val="SummaryMeasureTitlewithTheme"/>
            </w:pPr>
            <w:r>
              <w:t>Addressing Integrity Risks</w:t>
            </w:r>
          </w:p>
        </w:tc>
        <w:tc>
          <w:tcPr>
            <w:tcW w:w="850" w:type="dxa"/>
            <w:vAlign w:val="bottom"/>
          </w:tcPr>
          <w:p w14:paraId="548F7695" w14:textId="44E210BB" w:rsidR="00B628FF" w:rsidRDefault="00B31B37">
            <w:pPr>
              <w:pStyle w:val="Summarytabletextrightaligned"/>
            </w:pPr>
            <w:r>
              <w:noBreakHyphen/>
            </w:r>
          </w:p>
        </w:tc>
        <w:tc>
          <w:tcPr>
            <w:tcW w:w="850" w:type="dxa"/>
            <w:shd w:val="clear" w:color="auto" w:fill="E6F2FF"/>
            <w:vAlign w:val="bottom"/>
          </w:tcPr>
          <w:p w14:paraId="1EC527D8" w14:textId="77777777" w:rsidR="00B628FF" w:rsidRDefault="005B2D2F">
            <w:pPr>
              <w:pStyle w:val="Summarytabletextrightaligned"/>
            </w:pPr>
            <w:r>
              <w:t>4.7</w:t>
            </w:r>
          </w:p>
        </w:tc>
        <w:tc>
          <w:tcPr>
            <w:tcW w:w="850" w:type="dxa"/>
            <w:vAlign w:val="bottom"/>
          </w:tcPr>
          <w:p w14:paraId="0C964AA9" w14:textId="743B5E4F" w:rsidR="00B628FF" w:rsidRDefault="00B31B37">
            <w:pPr>
              <w:pStyle w:val="Summarytabletextrightaligned"/>
            </w:pPr>
            <w:r>
              <w:noBreakHyphen/>
            </w:r>
          </w:p>
        </w:tc>
        <w:tc>
          <w:tcPr>
            <w:tcW w:w="850" w:type="dxa"/>
            <w:vAlign w:val="bottom"/>
          </w:tcPr>
          <w:p w14:paraId="7CBAE9EA" w14:textId="5864250C" w:rsidR="00B628FF" w:rsidRDefault="00B31B37">
            <w:pPr>
              <w:pStyle w:val="Summarytabletextrightaligned"/>
            </w:pPr>
            <w:r>
              <w:noBreakHyphen/>
            </w:r>
          </w:p>
        </w:tc>
        <w:tc>
          <w:tcPr>
            <w:tcW w:w="850" w:type="dxa"/>
            <w:vAlign w:val="bottom"/>
          </w:tcPr>
          <w:p w14:paraId="29ACC2E0" w14:textId="101ECD1F" w:rsidR="00B628FF" w:rsidRDefault="00B31B37">
            <w:pPr>
              <w:pStyle w:val="Summarytabletextrightaligned"/>
            </w:pPr>
            <w:r>
              <w:noBreakHyphen/>
            </w:r>
          </w:p>
        </w:tc>
      </w:tr>
      <w:tr w:rsidR="00B628FF" w14:paraId="43C70A1C" w14:textId="77777777" w:rsidTr="5FA307DC">
        <w:tc>
          <w:tcPr>
            <w:tcW w:w="3471" w:type="dxa"/>
            <w:vAlign w:val="bottom"/>
          </w:tcPr>
          <w:p w14:paraId="5DBB62CB" w14:textId="77777777" w:rsidR="00B628FF" w:rsidRDefault="005B2D2F">
            <w:pPr>
              <w:pStyle w:val="SummaryAgencyTitle-BP2"/>
            </w:pPr>
            <w:r>
              <w:t>Department of Employment and Workplace Relations</w:t>
            </w:r>
          </w:p>
        </w:tc>
        <w:tc>
          <w:tcPr>
            <w:tcW w:w="850" w:type="dxa"/>
          </w:tcPr>
          <w:p w14:paraId="78C9ECEB" w14:textId="77777777" w:rsidR="00B628FF" w:rsidRDefault="00B628FF">
            <w:pPr>
              <w:pStyle w:val="SummaryAgencyTitle-BP2"/>
            </w:pPr>
          </w:p>
        </w:tc>
        <w:tc>
          <w:tcPr>
            <w:tcW w:w="850" w:type="dxa"/>
            <w:shd w:val="clear" w:color="auto" w:fill="E6F2FF"/>
          </w:tcPr>
          <w:p w14:paraId="7592F824" w14:textId="77777777" w:rsidR="00B628FF" w:rsidRDefault="00B628FF">
            <w:pPr>
              <w:pStyle w:val="SummaryAgencyTitle-BP2"/>
            </w:pPr>
          </w:p>
        </w:tc>
        <w:tc>
          <w:tcPr>
            <w:tcW w:w="850" w:type="dxa"/>
          </w:tcPr>
          <w:p w14:paraId="22467830" w14:textId="77777777" w:rsidR="00B628FF" w:rsidRDefault="00B628FF">
            <w:pPr>
              <w:pStyle w:val="SummaryAgencyTitle-BP2"/>
            </w:pPr>
          </w:p>
        </w:tc>
        <w:tc>
          <w:tcPr>
            <w:tcW w:w="850" w:type="dxa"/>
          </w:tcPr>
          <w:p w14:paraId="047D8DB3" w14:textId="77777777" w:rsidR="00B628FF" w:rsidRDefault="00B628FF">
            <w:pPr>
              <w:pStyle w:val="SummaryAgencyTitle-BP2"/>
            </w:pPr>
          </w:p>
        </w:tc>
        <w:tc>
          <w:tcPr>
            <w:tcW w:w="850" w:type="dxa"/>
          </w:tcPr>
          <w:p w14:paraId="5FB1D1B6" w14:textId="77777777" w:rsidR="00B628FF" w:rsidRDefault="00B628FF">
            <w:pPr>
              <w:pStyle w:val="SummaryAgencyTitle-BP2"/>
            </w:pPr>
          </w:p>
        </w:tc>
      </w:tr>
      <w:tr w:rsidR="00B628FF" w14:paraId="69702D6C" w14:textId="77777777" w:rsidTr="5FA307DC">
        <w:tc>
          <w:tcPr>
            <w:tcW w:w="3471" w:type="dxa"/>
            <w:vAlign w:val="bottom"/>
          </w:tcPr>
          <w:p w14:paraId="45DBA997" w14:textId="77777777" w:rsidR="00B628FF" w:rsidRDefault="005B2D2F">
            <w:pPr>
              <w:pStyle w:val="SummaryMeasureTitlewithTheme"/>
            </w:pPr>
            <w:r>
              <w:t>Addressing Integrity Risks</w:t>
            </w:r>
          </w:p>
        </w:tc>
        <w:tc>
          <w:tcPr>
            <w:tcW w:w="850" w:type="dxa"/>
            <w:vAlign w:val="bottom"/>
          </w:tcPr>
          <w:p w14:paraId="1705E265" w14:textId="5C27F02B" w:rsidR="00B628FF" w:rsidRDefault="00B31B37">
            <w:pPr>
              <w:pStyle w:val="Summarytabletextrightaligned"/>
            </w:pPr>
            <w:r>
              <w:noBreakHyphen/>
            </w:r>
          </w:p>
        </w:tc>
        <w:tc>
          <w:tcPr>
            <w:tcW w:w="850" w:type="dxa"/>
            <w:shd w:val="clear" w:color="auto" w:fill="E6F2FF"/>
            <w:vAlign w:val="bottom"/>
          </w:tcPr>
          <w:p w14:paraId="57CAFCAE" w14:textId="77777777" w:rsidR="00B628FF" w:rsidRDefault="005B2D2F">
            <w:pPr>
              <w:pStyle w:val="Summarytabletextrightaligned"/>
            </w:pPr>
            <w:r>
              <w:t>0.5</w:t>
            </w:r>
          </w:p>
        </w:tc>
        <w:tc>
          <w:tcPr>
            <w:tcW w:w="850" w:type="dxa"/>
            <w:vAlign w:val="bottom"/>
          </w:tcPr>
          <w:p w14:paraId="214C7DB3" w14:textId="77777777" w:rsidR="00B628FF" w:rsidRDefault="005B2D2F">
            <w:pPr>
              <w:pStyle w:val="Summarytabletextrightaligned"/>
            </w:pPr>
            <w:r>
              <w:t>0.5</w:t>
            </w:r>
          </w:p>
        </w:tc>
        <w:tc>
          <w:tcPr>
            <w:tcW w:w="850" w:type="dxa"/>
            <w:vAlign w:val="bottom"/>
          </w:tcPr>
          <w:p w14:paraId="0E7EF161" w14:textId="77777777" w:rsidR="00B628FF" w:rsidRDefault="005B2D2F">
            <w:pPr>
              <w:pStyle w:val="Summarytabletextrightaligned"/>
            </w:pPr>
            <w:r>
              <w:t>0.2</w:t>
            </w:r>
          </w:p>
        </w:tc>
        <w:tc>
          <w:tcPr>
            <w:tcW w:w="850" w:type="dxa"/>
            <w:vAlign w:val="bottom"/>
          </w:tcPr>
          <w:p w14:paraId="36FED64E" w14:textId="77777777" w:rsidR="00B628FF" w:rsidRDefault="005B2D2F">
            <w:pPr>
              <w:pStyle w:val="Summarytabletextrightaligned"/>
            </w:pPr>
            <w:r>
              <w:t>0.1</w:t>
            </w:r>
          </w:p>
        </w:tc>
      </w:tr>
      <w:tr w:rsidR="00B628FF" w14:paraId="4861E691" w14:textId="77777777" w:rsidTr="5FA307DC">
        <w:tc>
          <w:tcPr>
            <w:tcW w:w="3471" w:type="dxa"/>
            <w:vAlign w:val="bottom"/>
          </w:tcPr>
          <w:p w14:paraId="0F8B8631" w14:textId="1090958B" w:rsidR="00B628FF" w:rsidRDefault="005B2D2F">
            <w:pPr>
              <w:pStyle w:val="SummaryMeasureTitlewithTheme"/>
            </w:pPr>
            <w:r>
              <w:t>Building Australia</w:t>
            </w:r>
            <w:r w:rsidR="00B31B37">
              <w:t>’</w:t>
            </w:r>
            <w:r>
              <w:t>s Future – Increased Support for Apprentices(b)</w:t>
            </w:r>
          </w:p>
        </w:tc>
        <w:tc>
          <w:tcPr>
            <w:tcW w:w="850" w:type="dxa"/>
            <w:vAlign w:val="bottom"/>
          </w:tcPr>
          <w:p w14:paraId="76A7C63C" w14:textId="35EDCE1E" w:rsidR="00B628FF" w:rsidRDefault="00B31B37">
            <w:pPr>
              <w:pStyle w:val="Summarytabletextrightaligned"/>
            </w:pPr>
            <w:r>
              <w:noBreakHyphen/>
            </w:r>
          </w:p>
        </w:tc>
        <w:tc>
          <w:tcPr>
            <w:tcW w:w="850" w:type="dxa"/>
            <w:shd w:val="clear" w:color="auto" w:fill="E6F2FF"/>
            <w:vAlign w:val="bottom"/>
          </w:tcPr>
          <w:p w14:paraId="1D6CF418" w14:textId="1D365E24" w:rsidR="00B628FF" w:rsidRDefault="00B31B37">
            <w:pPr>
              <w:pStyle w:val="Summarytabletextrightaligned"/>
            </w:pPr>
            <w:r>
              <w:noBreakHyphen/>
            </w:r>
          </w:p>
        </w:tc>
        <w:tc>
          <w:tcPr>
            <w:tcW w:w="850" w:type="dxa"/>
            <w:vAlign w:val="bottom"/>
          </w:tcPr>
          <w:p w14:paraId="77DCFFC7" w14:textId="57998564" w:rsidR="00B628FF" w:rsidRDefault="00B31B37">
            <w:pPr>
              <w:pStyle w:val="Summarytabletextrightaligned"/>
            </w:pPr>
            <w:r>
              <w:noBreakHyphen/>
            </w:r>
          </w:p>
        </w:tc>
        <w:tc>
          <w:tcPr>
            <w:tcW w:w="850" w:type="dxa"/>
            <w:vAlign w:val="bottom"/>
          </w:tcPr>
          <w:p w14:paraId="744D64EF" w14:textId="72940CED" w:rsidR="00B628FF" w:rsidRDefault="00B31B37">
            <w:pPr>
              <w:pStyle w:val="Summarytabletextrightaligned"/>
            </w:pPr>
            <w:r>
              <w:noBreakHyphen/>
            </w:r>
          </w:p>
        </w:tc>
        <w:tc>
          <w:tcPr>
            <w:tcW w:w="850" w:type="dxa"/>
            <w:vAlign w:val="bottom"/>
          </w:tcPr>
          <w:p w14:paraId="5826178A" w14:textId="623C6BD4" w:rsidR="00B628FF" w:rsidRDefault="00B31B37">
            <w:pPr>
              <w:pStyle w:val="Summarytabletextrightaligned"/>
            </w:pPr>
            <w:r>
              <w:noBreakHyphen/>
            </w:r>
          </w:p>
        </w:tc>
      </w:tr>
      <w:tr w:rsidR="00B628FF" w14:paraId="7613E682" w14:textId="77777777" w:rsidTr="5FA307DC">
        <w:tc>
          <w:tcPr>
            <w:tcW w:w="3471" w:type="dxa"/>
            <w:vAlign w:val="bottom"/>
          </w:tcPr>
          <w:p w14:paraId="6ED735EB" w14:textId="77777777" w:rsidR="00B628FF" w:rsidRDefault="005B2D2F">
            <w:pPr>
              <w:pStyle w:val="SummaryMeasureTitlewithTheme"/>
            </w:pPr>
            <w:r>
              <w:t>Closing the Gap – further investments(b)</w:t>
            </w:r>
          </w:p>
        </w:tc>
        <w:tc>
          <w:tcPr>
            <w:tcW w:w="850" w:type="dxa"/>
            <w:vAlign w:val="bottom"/>
          </w:tcPr>
          <w:p w14:paraId="513C7221" w14:textId="2C06A391" w:rsidR="00B628FF" w:rsidRDefault="00B31B37">
            <w:pPr>
              <w:pStyle w:val="Summarytabletextrightaligned"/>
            </w:pPr>
            <w:r>
              <w:noBreakHyphen/>
            </w:r>
            <w:r w:rsidR="005B2D2F">
              <w:t>6.1</w:t>
            </w:r>
          </w:p>
        </w:tc>
        <w:tc>
          <w:tcPr>
            <w:tcW w:w="850" w:type="dxa"/>
            <w:shd w:val="clear" w:color="auto" w:fill="E6F2FF"/>
            <w:vAlign w:val="bottom"/>
          </w:tcPr>
          <w:p w14:paraId="16F33C46" w14:textId="77777777" w:rsidR="00B628FF" w:rsidRDefault="005B2D2F">
            <w:pPr>
              <w:pStyle w:val="Summarytabletextrightaligned"/>
            </w:pPr>
            <w:r>
              <w:t>6.6</w:t>
            </w:r>
          </w:p>
        </w:tc>
        <w:tc>
          <w:tcPr>
            <w:tcW w:w="850" w:type="dxa"/>
            <w:vAlign w:val="bottom"/>
          </w:tcPr>
          <w:p w14:paraId="0C5C0C92" w14:textId="2C01C677" w:rsidR="00B628FF" w:rsidRDefault="00B31B37">
            <w:pPr>
              <w:pStyle w:val="Summarytabletextrightaligned"/>
            </w:pPr>
            <w:r>
              <w:noBreakHyphen/>
            </w:r>
          </w:p>
        </w:tc>
        <w:tc>
          <w:tcPr>
            <w:tcW w:w="850" w:type="dxa"/>
            <w:vAlign w:val="bottom"/>
          </w:tcPr>
          <w:p w14:paraId="425AE6ED" w14:textId="16C7CF7C" w:rsidR="00B628FF" w:rsidRDefault="00B31B37">
            <w:pPr>
              <w:pStyle w:val="Summarytabletextrightaligned"/>
            </w:pPr>
            <w:r>
              <w:noBreakHyphen/>
            </w:r>
          </w:p>
        </w:tc>
        <w:tc>
          <w:tcPr>
            <w:tcW w:w="850" w:type="dxa"/>
            <w:vAlign w:val="bottom"/>
          </w:tcPr>
          <w:p w14:paraId="3459DA2E" w14:textId="74805737" w:rsidR="00B628FF" w:rsidRDefault="00B31B37">
            <w:pPr>
              <w:pStyle w:val="Summarytabletextrightaligned"/>
            </w:pPr>
            <w:r>
              <w:noBreakHyphen/>
            </w:r>
          </w:p>
        </w:tc>
      </w:tr>
      <w:tr w:rsidR="00B628FF" w14:paraId="48BABFA5" w14:textId="77777777" w:rsidTr="5FA307DC">
        <w:tc>
          <w:tcPr>
            <w:tcW w:w="3471" w:type="dxa"/>
            <w:vAlign w:val="bottom"/>
          </w:tcPr>
          <w:p w14:paraId="747EF439" w14:textId="77777777" w:rsidR="00B628FF" w:rsidRDefault="005B2D2F">
            <w:pPr>
              <w:pStyle w:val="SummaryMeasureTitlewithTheme"/>
            </w:pPr>
            <w:r>
              <w:t>Employment and Workplace Relations – savings</w:t>
            </w:r>
          </w:p>
        </w:tc>
        <w:tc>
          <w:tcPr>
            <w:tcW w:w="850" w:type="dxa"/>
            <w:vAlign w:val="bottom"/>
          </w:tcPr>
          <w:p w14:paraId="456C173B" w14:textId="3AC2549D" w:rsidR="00B628FF" w:rsidRDefault="00B31B37">
            <w:pPr>
              <w:pStyle w:val="Summarytabletextrightaligned"/>
            </w:pPr>
            <w:r>
              <w:noBreakHyphen/>
            </w:r>
          </w:p>
        </w:tc>
        <w:tc>
          <w:tcPr>
            <w:tcW w:w="850" w:type="dxa"/>
            <w:shd w:val="clear" w:color="auto" w:fill="E6F2FF"/>
            <w:vAlign w:val="bottom"/>
          </w:tcPr>
          <w:p w14:paraId="5EC41B42" w14:textId="21FE50EA" w:rsidR="00B628FF" w:rsidRDefault="00B31B37">
            <w:pPr>
              <w:pStyle w:val="Summarytabletextrightaligned"/>
            </w:pPr>
            <w:r>
              <w:noBreakHyphen/>
            </w:r>
          </w:p>
        </w:tc>
        <w:tc>
          <w:tcPr>
            <w:tcW w:w="850" w:type="dxa"/>
            <w:vAlign w:val="bottom"/>
          </w:tcPr>
          <w:p w14:paraId="2456913D" w14:textId="37060B6C" w:rsidR="00B628FF" w:rsidRDefault="00B31B37">
            <w:pPr>
              <w:pStyle w:val="Summarytabletextrightaligned"/>
            </w:pPr>
            <w:r>
              <w:noBreakHyphen/>
            </w:r>
          </w:p>
        </w:tc>
        <w:tc>
          <w:tcPr>
            <w:tcW w:w="850" w:type="dxa"/>
            <w:vAlign w:val="bottom"/>
          </w:tcPr>
          <w:p w14:paraId="280E97F8" w14:textId="22C41318" w:rsidR="00B628FF" w:rsidRDefault="00B31B37">
            <w:pPr>
              <w:pStyle w:val="Summarytabletextrightaligned"/>
            </w:pPr>
            <w:r>
              <w:noBreakHyphen/>
            </w:r>
          </w:p>
        </w:tc>
        <w:tc>
          <w:tcPr>
            <w:tcW w:w="850" w:type="dxa"/>
            <w:vAlign w:val="bottom"/>
          </w:tcPr>
          <w:p w14:paraId="52E8D185" w14:textId="18AEBAE7" w:rsidR="00B628FF" w:rsidRDefault="00B31B37">
            <w:pPr>
              <w:pStyle w:val="Summarytabletextrightaligned"/>
            </w:pPr>
            <w:r>
              <w:noBreakHyphen/>
            </w:r>
            <w:r w:rsidR="005B2D2F">
              <w:t>7.9</w:t>
            </w:r>
          </w:p>
        </w:tc>
      </w:tr>
      <w:tr w:rsidR="00B628FF" w14:paraId="77BAF2EB" w14:textId="77777777" w:rsidTr="5FA307DC">
        <w:tc>
          <w:tcPr>
            <w:tcW w:w="3471" w:type="dxa"/>
            <w:vAlign w:val="bottom"/>
          </w:tcPr>
          <w:p w14:paraId="3F56FF19" w14:textId="77777777" w:rsidR="00B628FF" w:rsidRDefault="005B2D2F">
            <w:pPr>
              <w:pStyle w:val="SummaryMeasureTitlewithTheme"/>
            </w:pPr>
            <w:r>
              <w:t>Nuclear‑Powered Submarine Program – continuation of whole‑of‑government support</w:t>
            </w:r>
          </w:p>
        </w:tc>
        <w:tc>
          <w:tcPr>
            <w:tcW w:w="850" w:type="dxa"/>
            <w:vAlign w:val="bottom"/>
          </w:tcPr>
          <w:p w14:paraId="078539FA" w14:textId="2C57F760" w:rsidR="00B628FF" w:rsidRDefault="00B31B37">
            <w:pPr>
              <w:pStyle w:val="Summarytabletextrightaligned"/>
            </w:pPr>
            <w:r>
              <w:noBreakHyphen/>
            </w:r>
          </w:p>
        </w:tc>
        <w:tc>
          <w:tcPr>
            <w:tcW w:w="850" w:type="dxa"/>
            <w:shd w:val="clear" w:color="auto" w:fill="E6F2FF"/>
            <w:vAlign w:val="bottom"/>
          </w:tcPr>
          <w:p w14:paraId="1D0DE1C5" w14:textId="77777777" w:rsidR="00B628FF" w:rsidRDefault="005B2D2F">
            <w:pPr>
              <w:pStyle w:val="Summarytabletextrightaligned"/>
            </w:pPr>
            <w:r>
              <w:t>1.9</w:t>
            </w:r>
          </w:p>
        </w:tc>
        <w:tc>
          <w:tcPr>
            <w:tcW w:w="850" w:type="dxa"/>
            <w:vAlign w:val="bottom"/>
          </w:tcPr>
          <w:p w14:paraId="389B1404" w14:textId="09419D17" w:rsidR="00B628FF" w:rsidRDefault="00B31B37">
            <w:pPr>
              <w:pStyle w:val="Summarytabletextrightaligned"/>
            </w:pPr>
            <w:r>
              <w:noBreakHyphen/>
            </w:r>
          </w:p>
        </w:tc>
        <w:tc>
          <w:tcPr>
            <w:tcW w:w="850" w:type="dxa"/>
            <w:vAlign w:val="bottom"/>
          </w:tcPr>
          <w:p w14:paraId="305BA1F0" w14:textId="30CCB255" w:rsidR="00B628FF" w:rsidRDefault="00B31B37">
            <w:pPr>
              <w:pStyle w:val="Summarytabletextrightaligned"/>
            </w:pPr>
            <w:r>
              <w:noBreakHyphen/>
            </w:r>
          </w:p>
        </w:tc>
        <w:tc>
          <w:tcPr>
            <w:tcW w:w="850" w:type="dxa"/>
            <w:vAlign w:val="bottom"/>
          </w:tcPr>
          <w:p w14:paraId="46604EC7" w14:textId="7CC2D10F" w:rsidR="00B628FF" w:rsidRDefault="00B31B37">
            <w:pPr>
              <w:pStyle w:val="Summarytabletextrightaligned"/>
            </w:pPr>
            <w:r>
              <w:noBreakHyphen/>
            </w:r>
          </w:p>
        </w:tc>
      </w:tr>
      <w:tr w:rsidR="00B628FF" w14:paraId="2B5A7403" w14:textId="77777777" w:rsidTr="5FA307DC">
        <w:tc>
          <w:tcPr>
            <w:tcW w:w="3471" w:type="dxa"/>
            <w:vAlign w:val="bottom"/>
          </w:tcPr>
          <w:p w14:paraId="5A061E46" w14:textId="77777777" w:rsidR="00B628FF" w:rsidRDefault="005B2D2F">
            <w:pPr>
              <w:pStyle w:val="SummaryMeasureTitlewithTheme"/>
            </w:pPr>
            <w:r>
              <w:t>Supporting Transport Priorities</w:t>
            </w:r>
          </w:p>
        </w:tc>
        <w:tc>
          <w:tcPr>
            <w:tcW w:w="850" w:type="dxa"/>
            <w:vAlign w:val="bottom"/>
          </w:tcPr>
          <w:p w14:paraId="37C45BD7" w14:textId="77777777" w:rsidR="00B628FF" w:rsidRDefault="005B2D2F">
            <w:pPr>
              <w:pStyle w:val="Summarytabletextrightaligned"/>
            </w:pPr>
            <w:r>
              <w:t>0.7</w:t>
            </w:r>
          </w:p>
        </w:tc>
        <w:tc>
          <w:tcPr>
            <w:tcW w:w="850" w:type="dxa"/>
            <w:shd w:val="clear" w:color="auto" w:fill="E6F2FF"/>
            <w:vAlign w:val="bottom"/>
          </w:tcPr>
          <w:p w14:paraId="03041CFA" w14:textId="77777777" w:rsidR="00B628FF" w:rsidRDefault="005B2D2F">
            <w:pPr>
              <w:pStyle w:val="Summarytabletextrightaligned"/>
            </w:pPr>
            <w:r>
              <w:t>1.8</w:t>
            </w:r>
          </w:p>
        </w:tc>
        <w:tc>
          <w:tcPr>
            <w:tcW w:w="850" w:type="dxa"/>
            <w:vAlign w:val="bottom"/>
          </w:tcPr>
          <w:p w14:paraId="4FD85C71" w14:textId="67E5DB86" w:rsidR="00B628FF" w:rsidRDefault="00B31B37">
            <w:pPr>
              <w:pStyle w:val="Summarytabletextrightaligned"/>
            </w:pPr>
            <w:r>
              <w:noBreakHyphen/>
            </w:r>
          </w:p>
        </w:tc>
        <w:tc>
          <w:tcPr>
            <w:tcW w:w="850" w:type="dxa"/>
            <w:vAlign w:val="bottom"/>
          </w:tcPr>
          <w:p w14:paraId="3A5F28AE" w14:textId="07A9A56D" w:rsidR="00B628FF" w:rsidRDefault="00B31B37">
            <w:pPr>
              <w:pStyle w:val="Summarytabletextrightaligned"/>
            </w:pPr>
            <w:r>
              <w:noBreakHyphen/>
            </w:r>
          </w:p>
        </w:tc>
        <w:tc>
          <w:tcPr>
            <w:tcW w:w="850" w:type="dxa"/>
            <w:vAlign w:val="bottom"/>
          </w:tcPr>
          <w:p w14:paraId="6FA86C95" w14:textId="248A9ED5" w:rsidR="00B628FF" w:rsidRDefault="00B31B37">
            <w:pPr>
              <w:pStyle w:val="Summarytabletextrightaligned"/>
            </w:pPr>
            <w:r>
              <w:noBreakHyphen/>
            </w:r>
          </w:p>
        </w:tc>
      </w:tr>
      <w:tr w:rsidR="00B628FF" w14:paraId="24E47E62" w14:textId="77777777" w:rsidTr="5FA307DC">
        <w:tc>
          <w:tcPr>
            <w:tcW w:w="3471" w:type="dxa"/>
            <w:vAlign w:val="bottom"/>
          </w:tcPr>
          <w:p w14:paraId="48214F83" w14:textId="77777777" w:rsidR="00B628FF" w:rsidRDefault="005B2D2F">
            <w:pPr>
              <w:pStyle w:val="Summarytabletextleftalignedbold"/>
            </w:pPr>
            <w:r>
              <w:t>Portfolio total</w:t>
            </w:r>
          </w:p>
        </w:tc>
        <w:tc>
          <w:tcPr>
            <w:tcW w:w="850" w:type="dxa"/>
            <w:tcBorders>
              <w:top w:val="single" w:sz="4" w:space="0" w:color="000000" w:themeColor="text1"/>
              <w:bottom w:val="single" w:sz="4" w:space="0" w:color="000000" w:themeColor="text1"/>
            </w:tcBorders>
            <w:vAlign w:val="bottom"/>
          </w:tcPr>
          <w:p w14:paraId="40F425D0" w14:textId="04F1049D" w:rsidR="00B628FF" w:rsidRDefault="00B31B37">
            <w:pPr>
              <w:pStyle w:val="Summarytabletextrightalignedbold"/>
            </w:pPr>
            <w:r>
              <w:noBreakHyphen/>
            </w:r>
            <w:r w:rsidR="005B2D2F">
              <w:t>5.4</w:t>
            </w:r>
          </w:p>
        </w:tc>
        <w:tc>
          <w:tcPr>
            <w:tcW w:w="850" w:type="dxa"/>
            <w:tcBorders>
              <w:top w:val="single" w:sz="4" w:space="0" w:color="000000" w:themeColor="text1"/>
              <w:bottom w:val="single" w:sz="4" w:space="0" w:color="000000" w:themeColor="text1"/>
            </w:tcBorders>
            <w:shd w:val="clear" w:color="auto" w:fill="E6F2FF"/>
            <w:vAlign w:val="bottom"/>
          </w:tcPr>
          <w:p w14:paraId="715B7281" w14:textId="77777777" w:rsidR="00B628FF" w:rsidRDefault="005B2D2F">
            <w:pPr>
              <w:pStyle w:val="Summarytabletextrightalignedbold"/>
            </w:pPr>
            <w:r>
              <w:t>15.4</w:t>
            </w:r>
          </w:p>
        </w:tc>
        <w:tc>
          <w:tcPr>
            <w:tcW w:w="850" w:type="dxa"/>
            <w:tcBorders>
              <w:top w:val="single" w:sz="4" w:space="0" w:color="000000" w:themeColor="text1"/>
              <w:bottom w:val="single" w:sz="4" w:space="0" w:color="000000" w:themeColor="text1"/>
            </w:tcBorders>
            <w:vAlign w:val="bottom"/>
          </w:tcPr>
          <w:p w14:paraId="5C44A5D0" w14:textId="77777777" w:rsidR="00B628FF" w:rsidRDefault="005B2D2F">
            <w:pPr>
              <w:pStyle w:val="Summarytabletextrightalignedbold"/>
            </w:pPr>
            <w:r>
              <w:t>0.5</w:t>
            </w:r>
          </w:p>
        </w:tc>
        <w:tc>
          <w:tcPr>
            <w:tcW w:w="850" w:type="dxa"/>
            <w:tcBorders>
              <w:top w:val="single" w:sz="4" w:space="0" w:color="000000" w:themeColor="text1"/>
              <w:bottom w:val="single" w:sz="4" w:space="0" w:color="000000" w:themeColor="text1"/>
            </w:tcBorders>
            <w:vAlign w:val="bottom"/>
          </w:tcPr>
          <w:p w14:paraId="509A0C94" w14:textId="77777777" w:rsidR="00B628FF" w:rsidRDefault="005B2D2F">
            <w:pPr>
              <w:pStyle w:val="Summarytabletextrightalignedbold"/>
            </w:pPr>
            <w:r>
              <w:t>0.2</w:t>
            </w:r>
          </w:p>
        </w:tc>
        <w:tc>
          <w:tcPr>
            <w:tcW w:w="850" w:type="dxa"/>
            <w:tcBorders>
              <w:top w:val="single" w:sz="4" w:space="0" w:color="000000" w:themeColor="text1"/>
              <w:bottom w:val="single" w:sz="4" w:space="0" w:color="000000" w:themeColor="text1"/>
            </w:tcBorders>
            <w:vAlign w:val="bottom"/>
          </w:tcPr>
          <w:p w14:paraId="40E178CF" w14:textId="225848D2" w:rsidR="00B628FF" w:rsidRDefault="00B31B37">
            <w:pPr>
              <w:pStyle w:val="Summarytabletextrightalignedbold"/>
            </w:pPr>
            <w:r>
              <w:noBreakHyphen/>
            </w:r>
            <w:r w:rsidR="005B2D2F">
              <w:t>7.8</w:t>
            </w:r>
          </w:p>
        </w:tc>
      </w:tr>
      <w:tr w:rsidR="00B628FF" w14:paraId="430B110F" w14:textId="77777777" w:rsidTr="5FA307DC">
        <w:tc>
          <w:tcPr>
            <w:tcW w:w="3471" w:type="dxa"/>
            <w:vAlign w:val="bottom"/>
          </w:tcPr>
          <w:p w14:paraId="6CD13FA1" w14:textId="77777777" w:rsidR="00B628FF" w:rsidRDefault="005B2D2F">
            <w:pPr>
              <w:pStyle w:val="SummaryPortfolioTitle-BP2"/>
            </w:pPr>
            <w:r>
              <w:t>FINANCE</w:t>
            </w:r>
          </w:p>
        </w:tc>
        <w:tc>
          <w:tcPr>
            <w:tcW w:w="850" w:type="dxa"/>
          </w:tcPr>
          <w:p w14:paraId="3282EF03" w14:textId="77777777" w:rsidR="00B628FF" w:rsidRDefault="00B628FF">
            <w:pPr>
              <w:pStyle w:val="MeasureTableTextRightAlignedBefore6ptAfter1pt"/>
            </w:pPr>
          </w:p>
        </w:tc>
        <w:tc>
          <w:tcPr>
            <w:tcW w:w="850" w:type="dxa"/>
            <w:shd w:val="clear" w:color="auto" w:fill="E6F2FF"/>
          </w:tcPr>
          <w:p w14:paraId="641812BD" w14:textId="77777777" w:rsidR="00B628FF" w:rsidRDefault="00B628FF">
            <w:pPr>
              <w:pStyle w:val="MeasureTableTextRightAlignedBefore6ptAfter1pt"/>
            </w:pPr>
          </w:p>
        </w:tc>
        <w:tc>
          <w:tcPr>
            <w:tcW w:w="850" w:type="dxa"/>
          </w:tcPr>
          <w:p w14:paraId="0A93D5E6" w14:textId="77777777" w:rsidR="00B628FF" w:rsidRDefault="00B628FF">
            <w:pPr>
              <w:pStyle w:val="MeasureTableTextRightAlignedBefore6ptAfter1pt"/>
            </w:pPr>
          </w:p>
        </w:tc>
        <w:tc>
          <w:tcPr>
            <w:tcW w:w="850" w:type="dxa"/>
          </w:tcPr>
          <w:p w14:paraId="648187FB" w14:textId="77777777" w:rsidR="00B628FF" w:rsidRDefault="00B628FF">
            <w:pPr>
              <w:pStyle w:val="MeasureTableTextRightAlignedBefore6ptAfter1pt"/>
            </w:pPr>
          </w:p>
        </w:tc>
        <w:tc>
          <w:tcPr>
            <w:tcW w:w="850" w:type="dxa"/>
          </w:tcPr>
          <w:p w14:paraId="584AA78F" w14:textId="77777777" w:rsidR="00B628FF" w:rsidRDefault="00B628FF">
            <w:pPr>
              <w:pStyle w:val="MeasureTableTextRightAlignedBefore6ptAfter1pt"/>
            </w:pPr>
          </w:p>
        </w:tc>
      </w:tr>
      <w:tr w:rsidR="00B628FF" w14:paraId="5CC5BCCD" w14:textId="77777777" w:rsidTr="5FA307DC">
        <w:tc>
          <w:tcPr>
            <w:tcW w:w="3471" w:type="dxa"/>
            <w:vAlign w:val="bottom"/>
          </w:tcPr>
          <w:p w14:paraId="1A9A4CCF" w14:textId="77777777" w:rsidR="00B628FF" w:rsidRDefault="005B2D2F">
            <w:pPr>
              <w:pStyle w:val="SummaryAgencyTitle-BP2"/>
            </w:pPr>
            <w:r>
              <w:t>Department of Finance</w:t>
            </w:r>
          </w:p>
        </w:tc>
        <w:tc>
          <w:tcPr>
            <w:tcW w:w="850" w:type="dxa"/>
          </w:tcPr>
          <w:p w14:paraId="2C816B4E" w14:textId="77777777" w:rsidR="00B628FF" w:rsidRDefault="00B628FF">
            <w:pPr>
              <w:pStyle w:val="SummaryAgencyTitle-BP2"/>
            </w:pPr>
          </w:p>
        </w:tc>
        <w:tc>
          <w:tcPr>
            <w:tcW w:w="850" w:type="dxa"/>
            <w:shd w:val="clear" w:color="auto" w:fill="E6F2FF"/>
          </w:tcPr>
          <w:p w14:paraId="7BFE5B76" w14:textId="77777777" w:rsidR="00B628FF" w:rsidRDefault="00B628FF">
            <w:pPr>
              <w:pStyle w:val="SummaryAgencyTitle-BP2"/>
            </w:pPr>
          </w:p>
        </w:tc>
        <w:tc>
          <w:tcPr>
            <w:tcW w:w="850" w:type="dxa"/>
          </w:tcPr>
          <w:p w14:paraId="6807ACAF" w14:textId="77777777" w:rsidR="00B628FF" w:rsidRDefault="00B628FF">
            <w:pPr>
              <w:pStyle w:val="SummaryAgencyTitle-BP2"/>
            </w:pPr>
          </w:p>
        </w:tc>
        <w:tc>
          <w:tcPr>
            <w:tcW w:w="850" w:type="dxa"/>
          </w:tcPr>
          <w:p w14:paraId="0978A84B" w14:textId="77777777" w:rsidR="00B628FF" w:rsidRDefault="00B628FF">
            <w:pPr>
              <w:pStyle w:val="SummaryAgencyTitle-BP2"/>
            </w:pPr>
          </w:p>
        </w:tc>
        <w:tc>
          <w:tcPr>
            <w:tcW w:w="850" w:type="dxa"/>
          </w:tcPr>
          <w:p w14:paraId="74DCFC3E" w14:textId="77777777" w:rsidR="00B628FF" w:rsidRDefault="00B628FF">
            <w:pPr>
              <w:pStyle w:val="SummaryAgencyTitle-BP2"/>
            </w:pPr>
          </w:p>
        </w:tc>
      </w:tr>
      <w:tr w:rsidR="00B628FF" w14:paraId="3253396D" w14:textId="77777777" w:rsidTr="5FA307DC">
        <w:tc>
          <w:tcPr>
            <w:tcW w:w="3471" w:type="dxa"/>
            <w:vAlign w:val="bottom"/>
          </w:tcPr>
          <w:p w14:paraId="28E8DC11" w14:textId="5E2C04E2" w:rsidR="00B628FF" w:rsidRDefault="005B2D2F">
            <w:pPr>
              <w:pStyle w:val="SummaryMeasureTitlewithTheme"/>
            </w:pPr>
            <w:r>
              <w:t>Attorney‑General</w:t>
            </w:r>
            <w:r w:rsidR="00B31B37">
              <w:t>’</w:t>
            </w:r>
            <w:r>
              <w:t>s Portfolio – additional resourcing</w:t>
            </w:r>
          </w:p>
        </w:tc>
        <w:tc>
          <w:tcPr>
            <w:tcW w:w="850" w:type="dxa"/>
            <w:vAlign w:val="bottom"/>
          </w:tcPr>
          <w:p w14:paraId="084F389E" w14:textId="66358AAF" w:rsidR="00B628FF" w:rsidRDefault="00B31B37">
            <w:pPr>
              <w:pStyle w:val="Summarytabletextrightaligned"/>
            </w:pPr>
            <w:r>
              <w:noBreakHyphen/>
            </w:r>
          </w:p>
        </w:tc>
        <w:tc>
          <w:tcPr>
            <w:tcW w:w="850" w:type="dxa"/>
            <w:shd w:val="clear" w:color="auto" w:fill="E6F2FF"/>
            <w:vAlign w:val="bottom"/>
          </w:tcPr>
          <w:p w14:paraId="623BC0F7" w14:textId="77777777" w:rsidR="00B628FF" w:rsidRDefault="005B2D2F">
            <w:pPr>
              <w:pStyle w:val="Summarytabletextrightaligned"/>
            </w:pPr>
            <w:r>
              <w:t>0.1</w:t>
            </w:r>
          </w:p>
        </w:tc>
        <w:tc>
          <w:tcPr>
            <w:tcW w:w="850" w:type="dxa"/>
            <w:vAlign w:val="bottom"/>
          </w:tcPr>
          <w:p w14:paraId="2966AD15" w14:textId="0239F31D" w:rsidR="00B628FF" w:rsidRDefault="00B31B37">
            <w:pPr>
              <w:pStyle w:val="Summarytabletextrightaligned"/>
            </w:pPr>
            <w:r>
              <w:noBreakHyphen/>
            </w:r>
          </w:p>
        </w:tc>
        <w:tc>
          <w:tcPr>
            <w:tcW w:w="850" w:type="dxa"/>
            <w:vAlign w:val="bottom"/>
          </w:tcPr>
          <w:p w14:paraId="630AC0F0" w14:textId="4E7A19EB" w:rsidR="00B628FF" w:rsidRDefault="00B31B37">
            <w:pPr>
              <w:pStyle w:val="Summarytabletextrightaligned"/>
            </w:pPr>
            <w:r>
              <w:noBreakHyphen/>
            </w:r>
          </w:p>
        </w:tc>
        <w:tc>
          <w:tcPr>
            <w:tcW w:w="850" w:type="dxa"/>
            <w:vAlign w:val="bottom"/>
          </w:tcPr>
          <w:p w14:paraId="2E98ADE0" w14:textId="06078AEE" w:rsidR="00B628FF" w:rsidRDefault="00B31B37">
            <w:pPr>
              <w:pStyle w:val="Summarytabletextrightaligned"/>
            </w:pPr>
            <w:r>
              <w:noBreakHyphen/>
            </w:r>
          </w:p>
        </w:tc>
      </w:tr>
      <w:tr w:rsidR="00B628FF" w14:paraId="5E8079FD" w14:textId="77777777" w:rsidTr="5FA307DC">
        <w:tc>
          <w:tcPr>
            <w:tcW w:w="3471" w:type="dxa"/>
            <w:vAlign w:val="bottom"/>
          </w:tcPr>
          <w:p w14:paraId="3DCED647" w14:textId="56214ADC" w:rsidR="00B628FF" w:rsidRDefault="005B2D2F">
            <w:pPr>
              <w:pStyle w:val="SummaryMeasureTitlewithTheme"/>
            </w:pPr>
            <w:r>
              <w:t>Building Australia</w:t>
            </w:r>
            <w:r w:rsidR="00B31B37">
              <w:t>’</w:t>
            </w:r>
            <w:r>
              <w:t>s Future – Support for Australian Made Metals</w:t>
            </w:r>
          </w:p>
        </w:tc>
        <w:tc>
          <w:tcPr>
            <w:tcW w:w="850" w:type="dxa"/>
            <w:vAlign w:val="bottom"/>
          </w:tcPr>
          <w:p w14:paraId="42FF26CD" w14:textId="6BF95062" w:rsidR="00B628FF" w:rsidRDefault="00B31B37">
            <w:pPr>
              <w:pStyle w:val="Summarytabletextrightaligned"/>
            </w:pPr>
            <w:r>
              <w:noBreakHyphen/>
            </w:r>
          </w:p>
        </w:tc>
        <w:tc>
          <w:tcPr>
            <w:tcW w:w="850" w:type="dxa"/>
            <w:shd w:val="clear" w:color="auto" w:fill="E6F2FF"/>
            <w:vAlign w:val="bottom"/>
          </w:tcPr>
          <w:p w14:paraId="51806B7A" w14:textId="77777777" w:rsidR="00B628FF" w:rsidRDefault="005B2D2F">
            <w:pPr>
              <w:pStyle w:val="Summarytabletextrightaligned"/>
            </w:pPr>
            <w:r>
              <w:t>0.7</w:t>
            </w:r>
          </w:p>
        </w:tc>
        <w:tc>
          <w:tcPr>
            <w:tcW w:w="850" w:type="dxa"/>
            <w:vAlign w:val="bottom"/>
          </w:tcPr>
          <w:p w14:paraId="46A7FB77" w14:textId="15914458" w:rsidR="00B628FF" w:rsidRDefault="00B31B37">
            <w:pPr>
              <w:pStyle w:val="Summarytabletextrightaligned"/>
            </w:pPr>
            <w:r>
              <w:noBreakHyphen/>
            </w:r>
          </w:p>
        </w:tc>
        <w:tc>
          <w:tcPr>
            <w:tcW w:w="850" w:type="dxa"/>
            <w:vAlign w:val="bottom"/>
          </w:tcPr>
          <w:p w14:paraId="3566DD65" w14:textId="36AD5440" w:rsidR="00B628FF" w:rsidRDefault="00B31B37">
            <w:pPr>
              <w:pStyle w:val="Summarytabletextrightaligned"/>
            </w:pPr>
            <w:r>
              <w:noBreakHyphen/>
            </w:r>
          </w:p>
        </w:tc>
        <w:tc>
          <w:tcPr>
            <w:tcW w:w="850" w:type="dxa"/>
            <w:vAlign w:val="bottom"/>
          </w:tcPr>
          <w:p w14:paraId="46484B60" w14:textId="552FD1FC" w:rsidR="00B628FF" w:rsidRDefault="00B31B37">
            <w:pPr>
              <w:pStyle w:val="Summarytabletextrightaligned"/>
            </w:pPr>
            <w:r>
              <w:noBreakHyphen/>
            </w:r>
          </w:p>
        </w:tc>
      </w:tr>
      <w:tr w:rsidR="00B628FF" w14:paraId="21437170" w14:textId="77777777" w:rsidTr="5FA307DC">
        <w:tc>
          <w:tcPr>
            <w:tcW w:w="3471" w:type="dxa"/>
            <w:vAlign w:val="bottom"/>
          </w:tcPr>
          <w:p w14:paraId="01D4D022" w14:textId="77777777" w:rsidR="00B628FF" w:rsidRDefault="005B2D2F">
            <w:pPr>
              <w:pStyle w:val="SummaryMeasureTitlewithTheme"/>
            </w:pPr>
            <w:r>
              <w:t>Nuclear‑Powered Submarine Program – continuation of whole‑of‑government support</w:t>
            </w:r>
          </w:p>
        </w:tc>
        <w:tc>
          <w:tcPr>
            <w:tcW w:w="850" w:type="dxa"/>
            <w:vAlign w:val="bottom"/>
          </w:tcPr>
          <w:p w14:paraId="5C414712" w14:textId="221A21CE" w:rsidR="00B628FF" w:rsidRDefault="00B31B37">
            <w:pPr>
              <w:pStyle w:val="Summarytabletextrightaligned"/>
            </w:pPr>
            <w:r>
              <w:noBreakHyphen/>
            </w:r>
          </w:p>
        </w:tc>
        <w:tc>
          <w:tcPr>
            <w:tcW w:w="850" w:type="dxa"/>
            <w:shd w:val="clear" w:color="auto" w:fill="E6F2FF"/>
            <w:vAlign w:val="bottom"/>
          </w:tcPr>
          <w:p w14:paraId="4F506983" w14:textId="77777777" w:rsidR="00B628FF" w:rsidRDefault="005B2D2F">
            <w:pPr>
              <w:pStyle w:val="Summarytabletextrightaligned"/>
            </w:pPr>
            <w:r>
              <w:t>2.4</w:t>
            </w:r>
          </w:p>
        </w:tc>
        <w:tc>
          <w:tcPr>
            <w:tcW w:w="850" w:type="dxa"/>
            <w:vAlign w:val="bottom"/>
          </w:tcPr>
          <w:p w14:paraId="5AECAD9D" w14:textId="26A9C5FD" w:rsidR="00B628FF" w:rsidRDefault="00B31B37">
            <w:pPr>
              <w:pStyle w:val="Summarytabletextrightaligned"/>
            </w:pPr>
            <w:r>
              <w:noBreakHyphen/>
            </w:r>
          </w:p>
        </w:tc>
        <w:tc>
          <w:tcPr>
            <w:tcW w:w="850" w:type="dxa"/>
            <w:vAlign w:val="bottom"/>
          </w:tcPr>
          <w:p w14:paraId="44CD56DF" w14:textId="2E9A45D8" w:rsidR="00B628FF" w:rsidRDefault="00B31B37">
            <w:pPr>
              <w:pStyle w:val="Summarytabletextrightaligned"/>
            </w:pPr>
            <w:r>
              <w:noBreakHyphen/>
            </w:r>
          </w:p>
        </w:tc>
        <w:tc>
          <w:tcPr>
            <w:tcW w:w="850" w:type="dxa"/>
            <w:vAlign w:val="bottom"/>
          </w:tcPr>
          <w:p w14:paraId="148A8600" w14:textId="236F20D8" w:rsidR="00B628FF" w:rsidRDefault="00B31B37">
            <w:pPr>
              <w:pStyle w:val="Summarytabletextrightaligned"/>
            </w:pPr>
            <w:r>
              <w:noBreakHyphen/>
            </w:r>
          </w:p>
        </w:tc>
      </w:tr>
      <w:tr w:rsidR="00B628FF" w14:paraId="1A96B30A" w14:textId="77777777" w:rsidTr="5FA307DC">
        <w:tc>
          <w:tcPr>
            <w:tcW w:w="3471" w:type="dxa"/>
            <w:vAlign w:val="bottom"/>
          </w:tcPr>
          <w:p w14:paraId="33639B72" w14:textId="77777777" w:rsidR="00B628FF" w:rsidRDefault="005B2D2F">
            <w:pPr>
              <w:pStyle w:val="SummaryMeasureTitlewithTheme"/>
            </w:pPr>
            <w:r>
              <w:t>Prime Minister and Cabinet – additional resourcing</w:t>
            </w:r>
          </w:p>
        </w:tc>
        <w:tc>
          <w:tcPr>
            <w:tcW w:w="850" w:type="dxa"/>
            <w:vAlign w:val="bottom"/>
          </w:tcPr>
          <w:p w14:paraId="0F4F4261" w14:textId="6C3AB171" w:rsidR="00B628FF" w:rsidRDefault="00B31B37">
            <w:pPr>
              <w:pStyle w:val="Summarytabletextrightaligned"/>
            </w:pPr>
            <w:r>
              <w:noBreakHyphen/>
            </w:r>
          </w:p>
        </w:tc>
        <w:tc>
          <w:tcPr>
            <w:tcW w:w="850" w:type="dxa"/>
            <w:shd w:val="clear" w:color="auto" w:fill="E6F2FF"/>
            <w:vAlign w:val="bottom"/>
          </w:tcPr>
          <w:p w14:paraId="6EB22E2B" w14:textId="77777777" w:rsidR="00B628FF" w:rsidRDefault="005B2D2F">
            <w:pPr>
              <w:pStyle w:val="Summarytabletextrightaligned"/>
            </w:pPr>
            <w:r w:rsidRPr="5FA307DC">
              <w:rPr>
                <w:lang w:val="en-US"/>
              </w:rPr>
              <w:t>nfp</w:t>
            </w:r>
          </w:p>
        </w:tc>
        <w:tc>
          <w:tcPr>
            <w:tcW w:w="850" w:type="dxa"/>
            <w:vAlign w:val="bottom"/>
          </w:tcPr>
          <w:p w14:paraId="44A22AE5" w14:textId="77777777" w:rsidR="00B628FF" w:rsidRDefault="005B2D2F">
            <w:pPr>
              <w:pStyle w:val="Summarytabletextrightaligned"/>
            </w:pPr>
            <w:r w:rsidRPr="5FA307DC">
              <w:rPr>
                <w:lang w:val="en-US"/>
              </w:rPr>
              <w:t>nfp</w:t>
            </w:r>
          </w:p>
        </w:tc>
        <w:tc>
          <w:tcPr>
            <w:tcW w:w="850" w:type="dxa"/>
            <w:vAlign w:val="bottom"/>
          </w:tcPr>
          <w:p w14:paraId="1C547606" w14:textId="77777777" w:rsidR="00B628FF" w:rsidRDefault="005B2D2F">
            <w:pPr>
              <w:pStyle w:val="Summarytabletextrightaligned"/>
            </w:pPr>
            <w:r w:rsidRPr="5FA307DC">
              <w:rPr>
                <w:lang w:val="en-US"/>
              </w:rPr>
              <w:t>nfp</w:t>
            </w:r>
          </w:p>
        </w:tc>
        <w:tc>
          <w:tcPr>
            <w:tcW w:w="850" w:type="dxa"/>
            <w:vAlign w:val="bottom"/>
          </w:tcPr>
          <w:p w14:paraId="6F408E0E" w14:textId="3F6F9232" w:rsidR="00B628FF" w:rsidRDefault="00B31B37">
            <w:pPr>
              <w:pStyle w:val="Summarytabletextrightaligned"/>
            </w:pPr>
            <w:r>
              <w:noBreakHyphen/>
            </w:r>
          </w:p>
        </w:tc>
      </w:tr>
    </w:tbl>
    <w:p w14:paraId="225F352A" w14:textId="77777777" w:rsidR="00997AF2" w:rsidRDefault="00997AF2" w:rsidP="00997AF2">
      <w:pPr>
        <w:sectPr w:rsidR="00997AF2" w:rsidSect="00A06F82">
          <w:pgSz w:w="11906" w:h="16838"/>
          <w:pgMar w:top="2835" w:right="2098" w:bottom="2466" w:left="2098" w:header="1814" w:footer="1814" w:gutter="0"/>
          <w:cols w:space="720"/>
          <w:docGrid w:linePitch="272"/>
        </w:sectPr>
      </w:pPr>
    </w:p>
    <w:p w14:paraId="39875E61" w14:textId="77777777" w:rsidR="00997AF2" w:rsidRDefault="00997AF2" w:rsidP="00997AF2">
      <w:pPr>
        <w:pStyle w:val="TableHeadingcontinued"/>
      </w:pPr>
      <w:r>
        <w:t>Table 2: Payment measures since the 2024–25 MYEFO</w:t>
      </w:r>
      <w:r>
        <w:rPr>
          <w:rFonts w:ascii="Cambria Math" w:hAnsi="Cambria Math" w:cs="Cambria Math"/>
        </w:rPr>
        <w:t>⁽</w:t>
      </w:r>
      <w:r>
        <w:rPr>
          <w:rFonts w:cs="Arial"/>
        </w:rPr>
        <w:t>ª</w:t>
      </w:r>
      <w:r>
        <w:rPr>
          <w:rFonts w:ascii="Cambria Math" w:hAnsi="Cambria Math" w:cs="Cambria Math"/>
        </w:rPr>
        <w:t>⁾</w:t>
      </w:r>
      <w:r>
        <w:t xml:space="preserve"> (continued)</w:t>
      </w:r>
    </w:p>
    <w:tbl>
      <w:tblPr>
        <w:tblOverlap w:val="never"/>
        <w:tblW w:w="7721" w:type="dxa"/>
        <w:tblBorders>
          <w:top w:val="single" w:sz="4" w:space="0" w:color="000000"/>
          <w:bottom w:val="single" w:sz="4" w:space="0" w:color="000000"/>
        </w:tblBorders>
        <w:tblLayout w:type="fixed"/>
        <w:tblCellMar>
          <w:left w:w="0" w:type="dxa"/>
          <w:right w:w="56" w:type="dxa"/>
        </w:tblCellMar>
        <w:tblLook w:val="04A0" w:firstRow="1" w:lastRow="0" w:firstColumn="1" w:lastColumn="0" w:noHBand="0" w:noVBand="1"/>
      </w:tblPr>
      <w:tblGrid>
        <w:gridCol w:w="3471"/>
        <w:gridCol w:w="850"/>
        <w:gridCol w:w="850"/>
        <w:gridCol w:w="850"/>
        <w:gridCol w:w="850"/>
        <w:gridCol w:w="850"/>
      </w:tblGrid>
      <w:tr w:rsidR="00997AF2" w14:paraId="34BEB161" w14:textId="77777777" w:rsidTr="5FA307DC">
        <w:tc>
          <w:tcPr>
            <w:tcW w:w="3471" w:type="dxa"/>
            <w:vAlign w:val="bottom"/>
          </w:tcPr>
          <w:p w14:paraId="193C8C14" w14:textId="77777777" w:rsidR="00997AF2" w:rsidRDefault="00997AF2" w:rsidP="00997AF2"/>
        </w:tc>
        <w:tc>
          <w:tcPr>
            <w:tcW w:w="850" w:type="dxa"/>
            <w:tcBorders>
              <w:bottom w:val="nil"/>
            </w:tcBorders>
          </w:tcPr>
          <w:p w14:paraId="42D690C4" w14:textId="1043C4CA" w:rsidR="00997AF2" w:rsidRDefault="00997AF2" w:rsidP="00997AF2">
            <w:pPr>
              <w:pStyle w:val="Summarytabletextrightaligned"/>
            </w:pPr>
            <w:r>
              <w:t>2024</w:t>
            </w:r>
            <w:r w:rsidR="00B31B37">
              <w:noBreakHyphen/>
            </w:r>
            <w:r>
              <w:t>25</w:t>
            </w:r>
          </w:p>
        </w:tc>
        <w:tc>
          <w:tcPr>
            <w:tcW w:w="850" w:type="dxa"/>
            <w:tcBorders>
              <w:bottom w:val="nil"/>
            </w:tcBorders>
            <w:shd w:val="clear" w:color="auto" w:fill="E6F2FF"/>
          </w:tcPr>
          <w:p w14:paraId="3C7C7D34" w14:textId="66C18037" w:rsidR="00997AF2" w:rsidRDefault="00997AF2" w:rsidP="00997AF2">
            <w:pPr>
              <w:pStyle w:val="Summarytabletextrightaligned"/>
            </w:pPr>
            <w:r>
              <w:t>2025</w:t>
            </w:r>
            <w:r w:rsidR="00B31B37">
              <w:noBreakHyphen/>
            </w:r>
            <w:r>
              <w:t>26</w:t>
            </w:r>
          </w:p>
        </w:tc>
        <w:tc>
          <w:tcPr>
            <w:tcW w:w="850" w:type="dxa"/>
            <w:tcBorders>
              <w:bottom w:val="nil"/>
            </w:tcBorders>
          </w:tcPr>
          <w:p w14:paraId="0EDC111B" w14:textId="22198680" w:rsidR="00997AF2" w:rsidRDefault="00997AF2" w:rsidP="00997AF2">
            <w:pPr>
              <w:pStyle w:val="Summarytabletextrightaligned"/>
            </w:pPr>
            <w:r>
              <w:t>2026</w:t>
            </w:r>
            <w:r w:rsidR="00B31B37">
              <w:noBreakHyphen/>
            </w:r>
            <w:r>
              <w:t>27</w:t>
            </w:r>
          </w:p>
        </w:tc>
        <w:tc>
          <w:tcPr>
            <w:tcW w:w="850" w:type="dxa"/>
            <w:tcBorders>
              <w:bottom w:val="nil"/>
            </w:tcBorders>
          </w:tcPr>
          <w:p w14:paraId="2B88EACA" w14:textId="49BD94A3" w:rsidR="00997AF2" w:rsidRDefault="00997AF2" w:rsidP="00997AF2">
            <w:pPr>
              <w:pStyle w:val="Summarytabletextrightaligned"/>
            </w:pPr>
            <w:r>
              <w:t>2027</w:t>
            </w:r>
            <w:r w:rsidR="00B31B37">
              <w:noBreakHyphen/>
            </w:r>
            <w:r>
              <w:t>28</w:t>
            </w:r>
          </w:p>
        </w:tc>
        <w:tc>
          <w:tcPr>
            <w:tcW w:w="850" w:type="dxa"/>
            <w:tcBorders>
              <w:bottom w:val="nil"/>
            </w:tcBorders>
          </w:tcPr>
          <w:p w14:paraId="3EA400C7" w14:textId="49F2F63B" w:rsidR="00997AF2" w:rsidRDefault="00997AF2" w:rsidP="00997AF2">
            <w:pPr>
              <w:pStyle w:val="Summarytabletextrightaligned"/>
            </w:pPr>
            <w:r>
              <w:t>2028</w:t>
            </w:r>
            <w:r w:rsidR="00B31B37">
              <w:noBreakHyphen/>
            </w:r>
            <w:r>
              <w:t>29</w:t>
            </w:r>
          </w:p>
        </w:tc>
      </w:tr>
      <w:tr w:rsidR="00997AF2" w14:paraId="0DFC12D1" w14:textId="77777777" w:rsidTr="5FA307DC">
        <w:tc>
          <w:tcPr>
            <w:tcW w:w="3471" w:type="dxa"/>
            <w:vAlign w:val="bottom"/>
          </w:tcPr>
          <w:p w14:paraId="12A79CF9" w14:textId="77777777" w:rsidR="00997AF2" w:rsidRDefault="00997AF2" w:rsidP="00997AF2"/>
        </w:tc>
        <w:tc>
          <w:tcPr>
            <w:tcW w:w="850" w:type="dxa"/>
            <w:tcBorders>
              <w:top w:val="nil"/>
              <w:bottom w:val="single" w:sz="4" w:space="0" w:color="auto"/>
            </w:tcBorders>
            <w:shd w:val="clear" w:color="auto" w:fill="auto"/>
          </w:tcPr>
          <w:p w14:paraId="433DC1EA" w14:textId="77777777" w:rsidR="00997AF2" w:rsidRDefault="00997AF2" w:rsidP="00997AF2">
            <w:pPr>
              <w:pStyle w:val="Summarytabletextrightaligned"/>
            </w:pPr>
            <w:r>
              <w:t>$m</w:t>
            </w:r>
          </w:p>
        </w:tc>
        <w:tc>
          <w:tcPr>
            <w:tcW w:w="850" w:type="dxa"/>
            <w:tcBorders>
              <w:top w:val="nil"/>
              <w:bottom w:val="single" w:sz="4" w:space="0" w:color="auto"/>
            </w:tcBorders>
            <w:shd w:val="clear" w:color="auto" w:fill="E6F2FF"/>
          </w:tcPr>
          <w:p w14:paraId="33451675" w14:textId="77777777" w:rsidR="00997AF2" w:rsidRDefault="00997AF2" w:rsidP="00997AF2">
            <w:pPr>
              <w:pStyle w:val="Summarytabletextrightaligned"/>
            </w:pPr>
            <w:r>
              <w:t>$m</w:t>
            </w:r>
          </w:p>
        </w:tc>
        <w:tc>
          <w:tcPr>
            <w:tcW w:w="850" w:type="dxa"/>
            <w:tcBorders>
              <w:top w:val="nil"/>
              <w:bottom w:val="single" w:sz="4" w:space="0" w:color="auto"/>
            </w:tcBorders>
            <w:shd w:val="clear" w:color="auto" w:fill="auto"/>
          </w:tcPr>
          <w:p w14:paraId="7C7B6848" w14:textId="77777777" w:rsidR="00997AF2" w:rsidRDefault="00997AF2" w:rsidP="00997AF2">
            <w:pPr>
              <w:pStyle w:val="Summarytabletextrightaligned"/>
            </w:pPr>
            <w:r>
              <w:t>$m</w:t>
            </w:r>
          </w:p>
        </w:tc>
        <w:tc>
          <w:tcPr>
            <w:tcW w:w="850" w:type="dxa"/>
            <w:tcBorders>
              <w:top w:val="nil"/>
              <w:bottom w:val="single" w:sz="4" w:space="0" w:color="auto"/>
            </w:tcBorders>
            <w:shd w:val="clear" w:color="auto" w:fill="auto"/>
          </w:tcPr>
          <w:p w14:paraId="255C93EF" w14:textId="77777777" w:rsidR="00997AF2" w:rsidRDefault="00997AF2" w:rsidP="00997AF2">
            <w:pPr>
              <w:pStyle w:val="Summarytabletextrightaligned"/>
            </w:pPr>
            <w:r>
              <w:t>$m</w:t>
            </w:r>
          </w:p>
        </w:tc>
        <w:tc>
          <w:tcPr>
            <w:tcW w:w="850" w:type="dxa"/>
            <w:tcBorders>
              <w:top w:val="nil"/>
              <w:bottom w:val="single" w:sz="4" w:space="0" w:color="auto"/>
            </w:tcBorders>
            <w:shd w:val="clear" w:color="auto" w:fill="auto"/>
          </w:tcPr>
          <w:p w14:paraId="6BA40260" w14:textId="77777777" w:rsidR="00997AF2" w:rsidRDefault="00997AF2" w:rsidP="00997AF2">
            <w:pPr>
              <w:pStyle w:val="Summarytabletextrightaligned"/>
            </w:pPr>
            <w:r>
              <w:t>$m</w:t>
            </w:r>
          </w:p>
        </w:tc>
      </w:tr>
      <w:tr w:rsidR="00997AF2" w14:paraId="555DC8E4" w14:textId="77777777" w:rsidTr="5FA307DC">
        <w:tc>
          <w:tcPr>
            <w:tcW w:w="3471" w:type="dxa"/>
            <w:tcBorders>
              <w:bottom w:val="nil"/>
            </w:tcBorders>
            <w:vAlign w:val="bottom"/>
          </w:tcPr>
          <w:p w14:paraId="1A6A8BCF" w14:textId="77777777" w:rsidR="00997AF2" w:rsidRPr="00997AF2" w:rsidRDefault="00997AF2" w:rsidP="00997AF2">
            <w:pPr>
              <w:pStyle w:val="SummaryMeasureTitlewithTheme"/>
              <w:rPr>
                <w:b/>
              </w:rPr>
            </w:pPr>
            <w:r w:rsidRPr="00997AF2">
              <w:rPr>
                <w:b/>
              </w:rPr>
              <w:t>FINANCE (continued)</w:t>
            </w:r>
          </w:p>
        </w:tc>
        <w:tc>
          <w:tcPr>
            <w:tcW w:w="850" w:type="dxa"/>
            <w:tcBorders>
              <w:top w:val="single" w:sz="4" w:space="0" w:color="auto"/>
              <w:bottom w:val="nil"/>
            </w:tcBorders>
          </w:tcPr>
          <w:p w14:paraId="04823A4D" w14:textId="77777777" w:rsidR="00997AF2" w:rsidRDefault="00997AF2">
            <w:pPr>
              <w:pStyle w:val="SummaryAgencyTitle-BP2"/>
            </w:pPr>
          </w:p>
        </w:tc>
        <w:tc>
          <w:tcPr>
            <w:tcW w:w="850" w:type="dxa"/>
            <w:tcBorders>
              <w:top w:val="single" w:sz="4" w:space="0" w:color="auto"/>
              <w:bottom w:val="nil"/>
            </w:tcBorders>
            <w:shd w:val="clear" w:color="auto" w:fill="E6F2FF"/>
          </w:tcPr>
          <w:p w14:paraId="130354FF" w14:textId="77777777" w:rsidR="00997AF2" w:rsidRDefault="00997AF2">
            <w:pPr>
              <w:pStyle w:val="SummaryAgencyTitle-BP2"/>
            </w:pPr>
          </w:p>
        </w:tc>
        <w:tc>
          <w:tcPr>
            <w:tcW w:w="850" w:type="dxa"/>
            <w:tcBorders>
              <w:top w:val="single" w:sz="4" w:space="0" w:color="auto"/>
              <w:bottom w:val="nil"/>
            </w:tcBorders>
          </w:tcPr>
          <w:p w14:paraId="01E076E2" w14:textId="77777777" w:rsidR="00997AF2" w:rsidRDefault="00997AF2">
            <w:pPr>
              <w:pStyle w:val="SummaryAgencyTitle-BP2"/>
            </w:pPr>
          </w:p>
        </w:tc>
        <w:tc>
          <w:tcPr>
            <w:tcW w:w="850" w:type="dxa"/>
            <w:tcBorders>
              <w:top w:val="single" w:sz="4" w:space="0" w:color="auto"/>
              <w:bottom w:val="nil"/>
            </w:tcBorders>
          </w:tcPr>
          <w:p w14:paraId="1B3D7114" w14:textId="77777777" w:rsidR="00997AF2" w:rsidRDefault="00997AF2">
            <w:pPr>
              <w:pStyle w:val="SummaryAgencyTitle-BP2"/>
            </w:pPr>
          </w:p>
        </w:tc>
        <w:tc>
          <w:tcPr>
            <w:tcW w:w="850" w:type="dxa"/>
            <w:tcBorders>
              <w:top w:val="single" w:sz="4" w:space="0" w:color="auto"/>
              <w:bottom w:val="nil"/>
            </w:tcBorders>
          </w:tcPr>
          <w:p w14:paraId="1F27CFDB" w14:textId="77777777" w:rsidR="00997AF2" w:rsidRDefault="00997AF2">
            <w:pPr>
              <w:pStyle w:val="SummaryAgencyTitle-BP2"/>
            </w:pPr>
          </w:p>
        </w:tc>
      </w:tr>
      <w:tr w:rsidR="00B628FF" w14:paraId="37FE590C" w14:textId="77777777" w:rsidTr="5FA307DC">
        <w:tc>
          <w:tcPr>
            <w:tcW w:w="3471" w:type="dxa"/>
            <w:tcBorders>
              <w:top w:val="nil"/>
            </w:tcBorders>
            <w:vAlign w:val="bottom"/>
          </w:tcPr>
          <w:p w14:paraId="09F0C5D9" w14:textId="77777777" w:rsidR="00B628FF" w:rsidRDefault="005B2D2F">
            <w:pPr>
              <w:pStyle w:val="SummaryAgencyTitle-BP2"/>
            </w:pPr>
            <w:r>
              <w:t>Digital Transformation Agency</w:t>
            </w:r>
          </w:p>
        </w:tc>
        <w:tc>
          <w:tcPr>
            <w:tcW w:w="850" w:type="dxa"/>
            <w:tcBorders>
              <w:top w:val="nil"/>
            </w:tcBorders>
          </w:tcPr>
          <w:p w14:paraId="74E2C256" w14:textId="77777777" w:rsidR="00B628FF" w:rsidRDefault="00B628FF">
            <w:pPr>
              <w:pStyle w:val="SummaryAgencyTitle-BP2"/>
            </w:pPr>
          </w:p>
        </w:tc>
        <w:tc>
          <w:tcPr>
            <w:tcW w:w="850" w:type="dxa"/>
            <w:tcBorders>
              <w:top w:val="nil"/>
            </w:tcBorders>
            <w:shd w:val="clear" w:color="auto" w:fill="E6F2FF"/>
          </w:tcPr>
          <w:p w14:paraId="3A465966" w14:textId="77777777" w:rsidR="00B628FF" w:rsidRDefault="00B628FF">
            <w:pPr>
              <w:pStyle w:val="SummaryAgencyTitle-BP2"/>
            </w:pPr>
          </w:p>
        </w:tc>
        <w:tc>
          <w:tcPr>
            <w:tcW w:w="850" w:type="dxa"/>
            <w:tcBorders>
              <w:top w:val="nil"/>
            </w:tcBorders>
          </w:tcPr>
          <w:p w14:paraId="37E07725" w14:textId="77777777" w:rsidR="00B628FF" w:rsidRDefault="00B628FF">
            <w:pPr>
              <w:pStyle w:val="SummaryAgencyTitle-BP2"/>
            </w:pPr>
          </w:p>
        </w:tc>
        <w:tc>
          <w:tcPr>
            <w:tcW w:w="850" w:type="dxa"/>
            <w:tcBorders>
              <w:top w:val="nil"/>
            </w:tcBorders>
          </w:tcPr>
          <w:p w14:paraId="39479F28" w14:textId="77777777" w:rsidR="00B628FF" w:rsidRDefault="00B628FF">
            <w:pPr>
              <w:pStyle w:val="SummaryAgencyTitle-BP2"/>
            </w:pPr>
          </w:p>
        </w:tc>
        <w:tc>
          <w:tcPr>
            <w:tcW w:w="850" w:type="dxa"/>
            <w:tcBorders>
              <w:top w:val="nil"/>
            </w:tcBorders>
          </w:tcPr>
          <w:p w14:paraId="0BB19DC6" w14:textId="77777777" w:rsidR="00B628FF" w:rsidRDefault="00B628FF">
            <w:pPr>
              <w:pStyle w:val="SummaryAgencyTitle-BP2"/>
            </w:pPr>
          </w:p>
        </w:tc>
      </w:tr>
      <w:tr w:rsidR="00B628FF" w14:paraId="110630A3" w14:textId="77777777" w:rsidTr="5FA307DC">
        <w:tc>
          <w:tcPr>
            <w:tcW w:w="3471" w:type="dxa"/>
            <w:vAlign w:val="bottom"/>
          </w:tcPr>
          <w:p w14:paraId="33AAE9F7" w14:textId="77777777" w:rsidR="00B628FF" w:rsidRDefault="005B2D2F">
            <w:pPr>
              <w:pStyle w:val="SummaryMeasureTitlewithTheme"/>
            </w:pPr>
            <w:r>
              <w:t>Prime Minister and Cabinet – additional resourcing</w:t>
            </w:r>
          </w:p>
        </w:tc>
        <w:tc>
          <w:tcPr>
            <w:tcW w:w="850" w:type="dxa"/>
            <w:vAlign w:val="bottom"/>
          </w:tcPr>
          <w:p w14:paraId="3EDE82F2" w14:textId="2249B17E" w:rsidR="00B628FF" w:rsidRDefault="00B31B37">
            <w:pPr>
              <w:pStyle w:val="Summarytabletextrightaligned"/>
            </w:pPr>
            <w:r>
              <w:noBreakHyphen/>
            </w:r>
          </w:p>
        </w:tc>
        <w:tc>
          <w:tcPr>
            <w:tcW w:w="850" w:type="dxa"/>
            <w:shd w:val="clear" w:color="auto" w:fill="E6F2FF"/>
            <w:vAlign w:val="bottom"/>
          </w:tcPr>
          <w:p w14:paraId="79524C10" w14:textId="77777777" w:rsidR="00B628FF" w:rsidRDefault="005B2D2F">
            <w:pPr>
              <w:pStyle w:val="Summarytabletextrightaligned"/>
            </w:pPr>
            <w:r w:rsidRPr="5FA307DC">
              <w:rPr>
                <w:lang w:val="en-US"/>
              </w:rPr>
              <w:t>nfp</w:t>
            </w:r>
          </w:p>
        </w:tc>
        <w:tc>
          <w:tcPr>
            <w:tcW w:w="850" w:type="dxa"/>
            <w:vAlign w:val="bottom"/>
          </w:tcPr>
          <w:p w14:paraId="653CECF5" w14:textId="77777777" w:rsidR="00B628FF" w:rsidRDefault="005B2D2F">
            <w:pPr>
              <w:pStyle w:val="Summarytabletextrightaligned"/>
            </w:pPr>
            <w:r w:rsidRPr="5FA307DC">
              <w:rPr>
                <w:lang w:val="en-US"/>
              </w:rPr>
              <w:t>nfp</w:t>
            </w:r>
          </w:p>
        </w:tc>
        <w:tc>
          <w:tcPr>
            <w:tcW w:w="850" w:type="dxa"/>
            <w:vAlign w:val="bottom"/>
          </w:tcPr>
          <w:p w14:paraId="6D5B699D" w14:textId="77777777" w:rsidR="00B628FF" w:rsidRDefault="005B2D2F">
            <w:pPr>
              <w:pStyle w:val="Summarytabletextrightaligned"/>
            </w:pPr>
            <w:r w:rsidRPr="5FA307DC">
              <w:rPr>
                <w:lang w:val="en-US"/>
              </w:rPr>
              <w:t>nfp</w:t>
            </w:r>
          </w:p>
        </w:tc>
        <w:tc>
          <w:tcPr>
            <w:tcW w:w="850" w:type="dxa"/>
            <w:vAlign w:val="bottom"/>
          </w:tcPr>
          <w:p w14:paraId="66EF9A7A" w14:textId="0CA5EFD7" w:rsidR="00B628FF" w:rsidRDefault="00B31B37">
            <w:pPr>
              <w:pStyle w:val="Summarytabletextrightaligned"/>
            </w:pPr>
            <w:r>
              <w:noBreakHyphen/>
            </w:r>
          </w:p>
        </w:tc>
      </w:tr>
      <w:tr w:rsidR="00B628FF" w14:paraId="306D2A8D" w14:textId="77777777" w:rsidTr="5FA307DC">
        <w:tc>
          <w:tcPr>
            <w:tcW w:w="3471" w:type="dxa"/>
            <w:vAlign w:val="bottom"/>
          </w:tcPr>
          <w:p w14:paraId="3584896C" w14:textId="77777777" w:rsidR="00B628FF" w:rsidRDefault="005B2D2F">
            <w:pPr>
              <w:pStyle w:val="SummaryMeasureTitlewithTheme"/>
            </w:pPr>
            <w:r>
              <w:t>Treasury Portfolio – additional resourcing</w:t>
            </w:r>
          </w:p>
        </w:tc>
        <w:tc>
          <w:tcPr>
            <w:tcW w:w="850" w:type="dxa"/>
            <w:vAlign w:val="bottom"/>
          </w:tcPr>
          <w:p w14:paraId="3898D485" w14:textId="69457551" w:rsidR="00B628FF" w:rsidRDefault="00B31B37">
            <w:pPr>
              <w:pStyle w:val="Summarytabletextrightaligned"/>
            </w:pPr>
            <w:r>
              <w:noBreakHyphen/>
            </w:r>
          </w:p>
        </w:tc>
        <w:tc>
          <w:tcPr>
            <w:tcW w:w="850" w:type="dxa"/>
            <w:shd w:val="clear" w:color="auto" w:fill="E6F2FF"/>
            <w:vAlign w:val="bottom"/>
          </w:tcPr>
          <w:p w14:paraId="5A1DB573" w14:textId="77777777" w:rsidR="00B628FF" w:rsidRDefault="005B2D2F">
            <w:pPr>
              <w:pStyle w:val="Summarytabletextrightaligned"/>
            </w:pPr>
            <w:r>
              <w:t>0.1</w:t>
            </w:r>
          </w:p>
        </w:tc>
        <w:tc>
          <w:tcPr>
            <w:tcW w:w="850" w:type="dxa"/>
            <w:vAlign w:val="bottom"/>
          </w:tcPr>
          <w:p w14:paraId="40C6F364" w14:textId="77777777" w:rsidR="00B628FF" w:rsidRDefault="005B2D2F">
            <w:pPr>
              <w:pStyle w:val="Summarytabletextrightaligned"/>
            </w:pPr>
            <w:r>
              <w:t>0.1</w:t>
            </w:r>
          </w:p>
        </w:tc>
        <w:tc>
          <w:tcPr>
            <w:tcW w:w="850" w:type="dxa"/>
            <w:vAlign w:val="bottom"/>
          </w:tcPr>
          <w:p w14:paraId="2B740B69" w14:textId="6785301E" w:rsidR="00B628FF" w:rsidRDefault="00B31B37">
            <w:pPr>
              <w:pStyle w:val="Summarytabletextrightaligned"/>
            </w:pPr>
            <w:r>
              <w:noBreakHyphen/>
            </w:r>
          </w:p>
        </w:tc>
        <w:tc>
          <w:tcPr>
            <w:tcW w:w="850" w:type="dxa"/>
            <w:vAlign w:val="bottom"/>
          </w:tcPr>
          <w:p w14:paraId="1DE68AF2" w14:textId="71071B21" w:rsidR="00B628FF" w:rsidRDefault="00B31B37">
            <w:pPr>
              <w:pStyle w:val="Summarytabletextrightaligned"/>
            </w:pPr>
            <w:r>
              <w:noBreakHyphen/>
            </w:r>
          </w:p>
        </w:tc>
      </w:tr>
      <w:tr w:rsidR="00B628FF" w14:paraId="5C0B1E33" w14:textId="77777777" w:rsidTr="5FA307DC">
        <w:tc>
          <w:tcPr>
            <w:tcW w:w="3471" w:type="dxa"/>
            <w:vAlign w:val="bottom"/>
          </w:tcPr>
          <w:p w14:paraId="67062562" w14:textId="77777777" w:rsidR="00B628FF" w:rsidRDefault="005B2D2F">
            <w:pPr>
              <w:pStyle w:val="Summarytabletextleftalignedbold"/>
            </w:pPr>
            <w:r>
              <w:t>Portfolio total</w:t>
            </w:r>
          </w:p>
        </w:tc>
        <w:tc>
          <w:tcPr>
            <w:tcW w:w="850" w:type="dxa"/>
            <w:tcBorders>
              <w:top w:val="single" w:sz="4" w:space="0" w:color="000000" w:themeColor="text1"/>
              <w:bottom w:val="single" w:sz="4" w:space="0" w:color="000000" w:themeColor="text1"/>
            </w:tcBorders>
            <w:vAlign w:val="bottom"/>
          </w:tcPr>
          <w:p w14:paraId="71D50959" w14:textId="3B535A35" w:rsidR="00B628FF" w:rsidRDefault="00B31B37">
            <w:pPr>
              <w:pStyle w:val="Summarytabletextrightalignedbold"/>
            </w:pPr>
            <w:r>
              <w:noBreakHyphen/>
            </w:r>
          </w:p>
        </w:tc>
        <w:tc>
          <w:tcPr>
            <w:tcW w:w="850" w:type="dxa"/>
            <w:tcBorders>
              <w:top w:val="single" w:sz="4" w:space="0" w:color="000000" w:themeColor="text1"/>
              <w:bottom w:val="single" w:sz="4" w:space="0" w:color="000000" w:themeColor="text1"/>
            </w:tcBorders>
            <w:shd w:val="clear" w:color="auto" w:fill="E6F2FF"/>
            <w:vAlign w:val="bottom"/>
          </w:tcPr>
          <w:p w14:paraId="14D498FD" w14:textId="77777777" w:rsidR="00B628FF" w:rsidRDefault="005B2D2F">
            <w:pPr>
              <w:pStyle w:val="Summarytabletextrightalignedbold"/>
            </w:pPr>
            <w:r>
              <w:t>3.3</w:t>
            </w:r>
          </w:p>
        </w:tc>
        <w:tc>
          <w:tcPr>
            <w:tcW w:w="850" w:type="dxa"/>
            <w:tcBorders>
              <w:top w:val="single" w:sz="4" w:space="0" w:color="000000" w:themeColor="text1"/>
              <w:bottom w:val="single" w:sz="4" w:space="0" w:color="000000" w:themeColor="text1"/>
            </w:tcBorders>
            <w:vAlign w:val="bottom"/>
          </w:tcPr>
          <w:p w14:paraId="3AFDECEA" w14:textId="77777777" w:rsidR="00B628FF" w:rsidRDefault="005B2D2F">
            <w:pPr>
              <w:pStyle w:val="Summarytabletextrightalignedbold"/>
            </w:pPr>
            <w:r>
              <w:t>0.1</w:t>
            </w:r>
          </w:p>
        </w:tc>
        <w:tc>
          <w:tcPr>
            <w:tcW w:w="850" w:type="dxa"/>
            <w:tcBorders>
              <w:top w:val="single" w:sz="4" w:space="0" w:color="000000" w:themeColor="text1"/>
              <w:bottom w:val="single" w:sz="4" w:space="0" w:color="000000" w:themeColor="text1"/>
            </w:tcBorders>
            <w:vAlign w:val="bottom"/>
          </w:tcPr>
          <w:p w14:paraId="3A76A007" w14:textId="48C114A1" w:rsidR="00B628FF" w:rsidRDefault="00B31B37">
            <w:pPr>
              <w:pStyle w:val="Summarytabletextrightalignedbold"/>
            </w:pPr>
            <w:r>
              <w:noBreakHyphen/>
            </w:r>
          </w:p>
        </w:tc>
        <w:tc>
          <w:tcPr>
            <w:tcW w:w="850" w:type="dxa"/>
            <w:tcBorders>
              <w:top w:val="single" w:sz="4" w:space="0" w:color="000000" w:themeColor="text1"/>
              <w:bottom w:val="single" w:sz="4" w:space="0" w:color="000000" w:themeColor="text1"/>
            </w:tcBorders>
            <w:vAlign w:val="bottom"/>
          </w:tcPr>
          <w:p w14:paraId="73E61045" w14:textId="09ADE8F6" w:rsidR="00B628FF" w:rsidRDefault="00B31B37">
            <w:pPr>
              <w:pStyle w:val="Summarytabletextrightalignedbold"/>
            </w:pPr>
            <w:r>
              <w:noBreakHyphen/>
            </w:r>
          </w:p>
        </w:tc>
      </w:tr>
      <w:tr w:rsidR="00B628FF" w14:paraId="033975AF" w14:textId="77777777" w:rsidTr="5FA307DC">
        <w:tc>
          <w:tcPr>
            <w:tcW w:w="3471" w:type="dxa"/>
            <w:vAlign w:val="bottom"/>
          </w:tcPr>
          <w:p w14:paraId="3192838A" w14:textId="77777777" w:rsidR="00B628FF" w:rsidRDefault="005B2D2F">
            <w:pPr>
              <w:pStyle w:val="SummaryPortfolioTitle-BP2"/>
            </w:pPr>
            <w:r>
              <w:t>FOREIGN AFFAIRS AND TRADE</w:t>
            </w:r>
          </w:p>
        </w:tc>
        <w:tc>
          <w:tcPr>
            <w:tcW w:w="850" w:type="dxa"/>
          </w:tcPr>
          <w:p w14:paraId="5CCD0605" w14:textId="77777777" w:rsidR="00B628FF" w:rsidRDefault="00B628FF">
            <w:pPr>
              <w:pStyle w:val="MeasureTableTextRightAlignedBefore6ptAfter1pt"/>
            </w:pPr>
          </w:p>
        </w:tc>
        <w:tc>
          <w:tcPr>
            <w:tcW w:w="850" w:type="dxa"/>
            <w:shd w:val="clear" w:color="auto" w:fill="E6F2FF"/>
          </w:tcPr>
          <w:p w14:paraId="406CD332" w14:textId="77777777" w:rsidR="00B628FF" w:rsidRDefault="00B628FF">
            <w:pPr>
              <w:pStyle w:val="MeasureTableTextRightAlignedBefore6ptAfter1pt"/>
            </w:pPr>
          </w:p>
        </w:tc>
        <w:tc>
          <w:tcPr>
            <w:tcW w:w="850" w:type="dxa"/>
          </w:tcPr>
          <w:p w14:paraId="29EEF5CA" w14:textId="77777777" w:rsidR="00B628FF" w:rsidRDefault="00B628FF">
            <w:pPr>
              <w:pStyle w:val="MeasureTableTextRightAlignedBefore6ptAfter1pt"/>
            </w:pPr>
          </w:p>
        </w:tc>
        <w:tc>
          <w:tcPr>
            <w:tcW w:w="850" w:type="dxa"/>
          </w:tcPr>
          <w:p w14:paraId="4F580AF1" w14:textId="77777777" w:rsidR="00B628FF" w:rsidRDefault="00B628FF">
            <w:pPr>
              <w:pStyle w:val="MeasureTableTextRightAlignedBefore6ptAfter1pt"/>
            </w:pPr>
          </w:p>
        </w:tc>
        <w:tc>
          <w:tcPr>
            <w:tcW w:w="850" w:type="dxa"/>
          </w:tcPr>
          <w:p w14:paraId="7FA8A11B" w14:textId="77777777" w:rsidR="00B628FF" w:rsidRDefault="00B628FF">
            <w:pPr>
              <w:pStyle w:val="MeasureTableTextRightAlignedBefore6ptAfter1pt"/>
            </w:pPr>
          </w:p>
        </w:tc>
      </w:tr>
      <w:tr w:rsidR="00B628FF" w14:paraId="2A33B856" w14:textId="77777777" w:rsidTr="5FA307DC">
        <w:tc>
          <w:tcPr>
            <w:tcW w:w="3471" w:type="dxa"/>
            <w:vAlign w:val="bottom"/>
          </w:tcPr>
          <w:p w14:paraId="4E646B34" w14:textId="77777777" w:rsidR="00B628FF" w:rsidRDefault="005B2D2F">
            <w:pPr>
              <w:pStyle w:val="SummaryAgencyTitle-BP2"/>
            </w:pPr>
            <w:r>
              <w:t>Australian Trade and Investment Commission</w:t>
            </w:r>
          </w:p>
        </w:tc>
        <w:tc>
          <w:tcPr>
            <w:tcW w:w="850" w:type="dxa"/>
          </w:tcPr>
          <w:p w14:paraId="7D717F4F" w14:textId="77777777" w:rsidR="00B628FF" w:rsidRDefault="00B628FF">
            <w:pPr>
              <w:pStyle w:val="SummaryAgencyTitle-BP2"/>
            </w:pPr>
          </w:p>
        </w:tc>
        <w:tc>
          <w:tcPr>
            <w:tcW w:w="850" w:type="dxa"/>
            <w:shd w:val="clear" w:color="auto" w:fill="E6F2FF"/>
          </w:tcPr>
          <w:p w14:paraId="062DED3E" w14:textId="77777777" w:rsidR="00B628FF" w:rsidRDefault="00B628FF">
            <w:pPr>
              <w:pStyle w:val="SummaryAgencyTitle-BP2"/>
            </w:pPr>
          </w:p>
        </w:tc>
        <w:tc>
          <w:tcPr>
            <w:tcW w:w="850" w:type="dxa"/>
          </w:tcPr>
          <w:p w14:paraId="2AF31A99" w14:textId="77777777" w:rsidR="00B628FF" w:rsidRDefault="00B628FF">
            <w:pPr>
              <w:pStyle w:val="SummaryAgencyTitle-BP2"/>
            </w:pPr>
          </w:p>
        </w:tc>
        <w:tc>
          <w:tcPr>
            <w:tcW w:w="850" w:type="dxa"/>
          </w:tcPr>
          <w:p w14:paraId="4B502677" w14:textId="77777777" w:rsidR="00B628FF" w:rsidRDefault="00B628FF">
            <w:pPr>
              <w:pStyle w:val="SummaryAgencyTitle-BP2"/>
            </w:pPr>
          </w:p>
        </w:tc>
        <w:tc>
          <w:tcPr>
            <w:tcW w:w="850" w:type="dxa"/>
          </w:tcPr>
          <w:p w14:paraId="5CE076A0" w14:textId="77777777" w:rsidR="00B628FF" w:rsidRDefault="00B628FF">
            <w:pPr>
              <w:pStyle w:val="SummaryAgencyTitle-BP2"/>
            </w:pPr>
          </w:p>
        </w:tc>
      </w:tr>
      <w:tr w:rsidR="00B628FF" w14:paraId="3AD04A01" w14:textId="77777777" w:rsidTr="5FA307DC">
        <w:tc>
          <w:tcPr>
            <w:tcW w:w="3471" w:type="dxa"/>
            <w:vAlign w:val="bottom"/>
          </w:tcPr>
          <w:p w14:paraId="1D337769" w14:textId="77777777" w:rsidR="00B628FF" w:rsidRDefault="005B2D2F">
            <w:pPr>
              <w:pStyle w:val="SummaryMeasureTitlewithTheme"/>
            </w:pPr>
            <w:r>
              <w:t>Supporting the Giant Pandas at Adelaide Zoo</w:t>
            </w:r>
          </w:p>
        </w:tc>
        <w:tc>
          <w:tcPr>
            <w:tcW w:w="850" w:type="dxa"/>
            <w:vAlign w:val="bottom"/>
          </w:tcPr>
          <w:p w14:paraId="5A78CB83" w14:textId="6EAC3944" w:rsidR="00B628FF" w:rsidRDefault="00B31B37">
            <w:pPr>
              <w:pStyle w:val="Summarytabletextrightaligned"/>
            </w:pPr>
            <w:r>
              <w:noBreakHyphen/>
            </w:r>
          </w:p>
        </w:tc>
        <w:tc>
          <w:tcPr>
            <w:tcW w:w="850" w:type="dxa"/>
            <w:shd w:val="clear" w:color="auto" w:fill="E6F2FF"/>
            <w:vAlign w:val="bottom"/>
          </w:tcPr>
          <w:p w14:paraId="67244EA8" w14:textId="73F31F14" w:rsidR="00B628FF" w:rsidRDefault="00B31B37">
            <w:pPr>
              <w:pStyle w:val="Summarytabletextrightaligned"/>
            </w:pPr>
            <w:r>
              <w:noBreakHyphen/>
            </w:r>
          </w:p>
        </w:tc>
        <w:tc>
          <w:tcPr>
            <w:tcW w:w="850" w:type="dxa"/>
            <w:vAlign w:val="bottom"/>
          </w:tcPr>
          <w:p w14:paraId="76EA7CB6" w14:textId="796C1D4E" w:rsidR="00B628FF" w:rsidRDefault="00B31B37">
            <w:pPr>
              <w:pStyle w:val="Summarytabletextrightaligned"/>
            </w:pPr>
            <w:r>
              <w:noBreakHyphen/>
            </w:r>
          </w:p>
        </w:tc>
        <w:tc>
          <w:tcPr>
            <w:tcW w:w="850" w:type="dxa"/>
            <w:vAlign w:val="bottom"/>
          </w:tcPr>
          <w:p w14:paraId="1CBF51B9" w14:textId="65E467B4" w:rsidR="00B628FF" w:rsidRDefault="00B31B37">
            <w:pPr>
              <w:pStyle w:val="Summarytabletextrightaligned"/>
            </w:pPr>
            <w:r>
              <w:noBreakHyphen/>
            </w:r>
          </w:p>
        </w:tc>
        <w:tc>
          <w:tcPr>
            <w:tcW w:w="850" w:type="dxa"/>
            <w:vAlign w:val="bottom"/>
          </w:tcPr>
          <w:p w14:paraId="72AEE691" w14:textId="609491AD" w:rsidR="00B628FF" w:rsidRDefault="00B31B37">
            <w:pPr>
              <w:pStyle w:val="Summarytabletextrightaligned"/>
            </w:pPr>
            <w:r>
              <w:noBreakHyphen/>
            </w:r>
          </w:p>
        </w:tc>
      </w:tr>
      <w:tr w:rsidR="00B628FF" w14:paraId="49184768" w14:textId="77777777" w:rsidTr="5FA307DC">
        <w:tc>
          <w:tcPr>
            <w:tcW w:w="3471" w:type="dxa"/>
            <w:vAlign w:val="bottom"/>
          </w:tcPr>
          <w:p w14:paraId="63B3CF9E" w14:textId="77777777" w:rsidR="00B628FF" w:rsidRDefault="005B2D2F">
            <w:pPr>
              <w:pStyle w:val="SummaryAgencyTitle-BP2"/>
            </w:pPr>
            <w:r>
              <w:t>Department of Foreign Affairs and Trade</w:t>
            </w:r>
          </w:p>
        </w:tc>
        <w:tc>
          <w:tcPr>
            <w:tcW w:w="850" w:type="dxa"/>
          </w:tcPr>
          <w:p w14:paraId="0430D6A4" w14:textId="77777777" w:rsidR="00B628FF" w:rsidRDefault="00B628FF">
            <w:pPr>
              <w:pStyle w:val="SummaryAgencyTitle-BP2"/>
            </w:pPr>
          </w:p>
        </w:tc>
        <w:tc>
          <w:tcPr>
            <w:tcW w:w="850" w:type="dxa"/>
            <w:shd w:val="clear" w:color="auto" w:fill="E6F2FF"/>
          </w:tcPr>
          <w:p w14:paraId="60A6F6D1" w14:textId="77777777" w:rsidR="00B628FF" w:rsidRDefault="00B628FF">
            <w:pPr>
              <w:pStyle w:val="SummaryAgencyTitle-BP2"/>
            </w:pPr>
          </w:p>
        </w:tc>
        <w:tc>
          <w:tcPr>
            <w:tcW w:w="850" w:type="dxa"/>
          </w:tcPr>
          <w:p w14:paraId="00579455" w14:textId="77777777" w:rsidR="00B628FF" w:rsidRDefault="00B628FF">
            <w:pPr>
              <w:pStyle w:val="SummaryAgencyTitle-BP2"/>
            </w:pPr>
          </w:p>
        </w:tc>
        <w:tc>
          <w:tcPr>
            <w:tcW w:w="850" w:type="dxa"/>
          </w:tcPr>
          <w:p w14:paraId="3AE243A4" w14:textId="77777777" w:rsidR="00B628FF" w:rsidRDefault="00B628FF">
            <w:pPr>
              <w:pStyle w:val="SummaryAgencyTitle-BP2"/>
            </w:pPr>
          </w:p>
        </w:tc>
        <w:tc>
          <w:tcPr>
            <w:tcW w:w="850" w:type="dxa"/>
          </w:tcPr>
          <w:p w14:paraId="1549BE5A" w14:textId="77777777" w:rsidR="00B628FF" w:rsidRDefault="00B628FF">
            <w:pPr>
              <w:pStyle w:val="SummaryAgencyTitle-BP2"/>
            </w:pPr>
          </w:p>
        </w:tc>
      </w:tr>
      <w:tr w:rsidR="00B628FF" w14:paraId="6A57EF79" w14:textId="77777777" w:rsidTr="5FA307DC">
        <w:tc>
          <w:tcPr>
            <w:tcW w:w="3471" w:type="dxa"/>
            <w:vAlign w:val="bottom"/>
          </w:tcPr>
          <w:p w14:paraId="437829E9" w14:textId="32B98495" w:rsidR="00B628FF" w:rsidRDefault="005B2D2F">
            <w:pPr>
              <w:pStyle w:val="SummaryMeasureTitlewithTheme"/>
            </w:pPr>
            <w:r>
              <w:t>Australia</w:t>
            </w:r>
            <w:r w:rsidR="00B31B37">
              <w:t>’</w:t>
            </w:r>
            <w:r>
              <w:t>s Embassy in Kyiv</w:t>
            </w:r>
          </w:p>
        </w:tc>
        <w:tc>
          <w:tcPr>
            <w:tcW w:w="850" w:type="dxa"/>
            <w:vAlign w:val="bottom"/>
          </w:tcPr>
          <w:p w14:paraId="73ECB445" w14:textId="6C1D5B10" w:rsidR="00B628FF" w:rsidRDefault="00B31B37">
            <w:pPr>
              <w:pStyle w:val="Summarytabletextrightaligned"/>
            </w:pPr>
            <w:r>
              <w:noBreakHyphen/>
            </w:r>
          </w:p>
        </w:tc>
        <w:tc>
          <w:tcPr>
            <w:tcW w:w="850" w:type="dxa"/>
            <w:shd w:val="clear" w:color="auto" w:fill="E6F2FF"/>
            <w:vAlign w:val="bottom"/>
          </w:tcPr>
          <w:p w14:paraId="5ACCB918" w14:textId="2D300A56" w:rsidR="00B628FF" w:rsidRDefault="00B31B37">
            <w:pPr>
              <w:pStyle w:val="Summarytabletextrightaligned"/>
            </w:pPr>
            <w:r>
              <w:noBreakHyphen/>
            </w:r>
          </w:p>
        </w:tc>
        <w:tc>
          <w:tcPr>
            <w:tcW w:w="850" w:type="dxa"/>
            <w:vAlign w:val="bottom"/>
          </w:tcPr>
          <w:p w14:paraId="7AE5BBA3" w14:textId="2C132B81" w:rsidR="00B628FF" w:rsidRDefault="00B31B37">
            <w:pPr>
              <w:pStyle w:val="Summarytabletextrightaligned"/>
            </w:pPr>
            <w:r>
              <w:noBreakHyphen/>
            </w:r>
          </w:p>
        </w:tc>
        <w:tc>
          <w:tcPr>
            <w:tcW w:w="850" w:type="dxa"/>
            <w:vAlign w:val="bottom"/>
          </w:tcPr>
          <w:p w14:paraId="5A5C47F6" w14:textId="0F4DD40C" w:rsidR="00B628FF" w:rsidRDefault="00B31B37">
            <w:pPr>
              <w:pStyle w:val="Summarytabletextrightaligned"/>
            </w:pPr>
            <w:r>
              <w:noBreakHyphen/>
            </w:r>
          </w:p>
        </w:tc>
        <w:tc>
          <w:tcPr>
            <w:tcW w:w="850" w:type="dxa"/>
            <w:vAlign w:val="bottom"/>
          </w:tcPr>
          <w:p w14:paraId="21418A00" w14:textId="3B0484C3" w:rsidR="00B628FF" w:rsidRDefault="00B31B37">
            <w:pPr>
              <w:pStyle w:val="Summarytabletextrightaligned"/>
            </w:pPr>
            <w:r>
              <w:noBreakHyphen/>
            </w:r>
          </w:p>
        </w:tc>
      </w:tr>
      <w:tr w:rsidR="00B628FF" w14:paraId="3344BABB" w14:textId="77777777" w:rsidTr="5FA307DC">
        <w:tc>
          <w:tcPr>
            <w:tcW w:w="3471" w:type="dxa"/>
            <w:vAlign w:val="bottom"/>
          </w:tcPr>
          <w:p w14:paraId="4A8AEE1E" w14:textId="716E6AAF" w:rsidR="00B628FF" w:rsidRDefault="005B2D2F">
            <w:pPr>
              <w:pStyle w:val="SummaryMeasureTitlewithTheme"/>
            </w:pPr>
            <w:r>
              <w:t>Boosting Australia</w:t>
            </w:r>
            <w:r w:rsidR="00B31B37">
              <w:t>’</w:t>
            </w:r>
            <w:r>
              <w:t>s Economic Ties with India</w:t>
            </w:r>
          </w:p>
        </w:tc>
        <w:tc>
          <w:tcPr>
            <w:tcW w:w="850" w:type="dxa"/>
            <w:vAlign w:val="bottom"/>
          </w:tcPr>
          <w:p w14:paraId="4EDDC3B9" w14:textId="5DB3EE8F" w:rsidR="00B628FF" w:rsidRDefault="00B31B37">
            <w:pPr>
              <w:pStyle w:val="Summarytabletextrightaligned"/>
            </w:pPr>
            <w:r>
              <w:noBreakHyphen/>
            </w:r>
          </w:p>
        </w:tc>
        <w:tc>
          <w:tcPr>
            <w:tcW w:w="850" w:type="dxa"/>
            <w:shd w:val="clear" w:color="auto" w:fill="E6F2FF"/>
            <w:vAlign w:val="bottom"/>
          </w:tcPr>
          <w:p w14:paraId="2CAA6D58" w14:textId="77777777" w:rsidR="00B628FF" w:rsidRDefault="005B2D2F">
            <w:pPr>
              <w:pStyle w:val="Summarytabletextrightaligned"/>
            </w:pPr>
            <w:r>
              <w:t>2.3</w:t>
            </w:r>
          </w:p>
        </w:tc>
        <w:tc>
          <w:tcPr>
            <w:tcW w:w="850" w:type="dxa"/>
            <w:vAlign w:val="bottom"/>
          </w:tcPr>
          <w:p w14:paraId="21319A58" w14:textId="77777777" w:rsidR="00B628FF" w:rsidRDefault="005B2D2F">
            <w:pPr>
              <w:pStyle w:val="Summarytabletextrightaligned"/>
            </w:pPr>
            <w:r>
              <w:t>5.3</w:t>
            </w:r>
          </w:p>
        </w:tc>
        <w:tc>
          <w:tcPr>
            <w:tcW w:w="850" w:type="dxa"/>
            <w:vAlign w:val="bottom"/>
          </w:tcPr>
          <w:p w14:paraId="06FADF7D" w14:textId="77777777" w:rsidR="00B628FF" w:rsidRDefault="005B2D2F">
            <w:pPr>
              <w:pStyle w:val="Summarytabletextrightaligned"/>
            </w:pPr>
            <w:r>
              <w:t>5.3</w:t>
            </w:r>
          </w:p>
        </w:tc>
        <w:tc>
          <w:tcPr>
            <w:tcW w:w="850" w:type="dxa"/>
            <w:vAlign w:val="bottom"/>
          </w:tcPr>
          <w:p w14:paraId="615C76C1" w14:textId="77777777" w:rsidR="00B628FF" w:rsidRDefault="005B2D2F">
            <w:pPr>
              <w:pStyle w:val="Summarytabletextrightaligned"/>
            </w:pPr>
            <w:r>
              <w:t>3.3</w:t>
            </w:r>
          </w:p>
        </w:tc>
      </w:tr>
      <w:tr w:rsidR="00B628FF" w14:paraId="74681C69" w14:textId="77777777" w:rsidTr="5FA307DC">
        <w:tc>
          <w:tcPr>
            <w:tcW w:w="3471" w:type="dxa"/>
            <w:vAlign w:val="bottom"/>
          </w:tcPr>
          <w:p w14:paraId="6EBC71FF" w14:textId="77777777" w:rsidR="00B628FF" w:rsidRDefault="005B2D2F">
            <w:pPr>
              <w:pStyle w:val="SummaryMeasureTitlewithTheme"/>
            </w:pPr>
            <w:r>
              <w:t>Nuclear‑Powered Submarine Program – continuation of whole‑of‑government support</w:t>
            </w:r>
          </w:p>
        </w:tc>
        <w:tc>
          <w:tcPr>
            <w:tcW w:w="850" w:type="dxa"/>
            <w:vAlign w:val="bottom"/>
          </w:tcPr>
          <w:p w14:paraId="4E6E2A37" w14:textId="0802419C" w:rsidR="00B628FF" w:rsidRDefault="00B31B37">
            <w:pPr>
              <w:pStyle w:val="Summarytabletextrightaligned"/>
            </w:pPr>
            <w:r>
              <w:noBreakHyphen/>
            </w:r>
          </w:p>
        </w:tc>
        <w:tc>
          <w:tcPr>
            <w:tcW w:w="850" w:type="dxa"/>
            <w:shd w:val="clear" w:color="auto" w:fill="E6F2FF"/>
            <w:vAlign w:val="bottom"/>
          </w:tcPr>
          <w:p w14:paraId="73564D14" w14:textId="77777777" w:rsidR="00B628FF" w:rsidRDefault="005B2D2F">
            <w:pPr>
              <w:pStyle w:val="Summarytabletextrightaligned"/>
            </w:pPr>
            <w:r>
              <w:t>39.0</w:t>
            </w:r>
          </w:p>
        </w:tc>
        <w:tc>
          <w:tcPr>
            <w:tcW w:w="850" w:type="dxa"/>
            <w:vAlign w:val="bottom"/>
          </w:tcPr>
          <w:p w14:paraId="50D7F4F2" w14:textId="467FFE1D" w:rsidR="00B628FF" w:rsidRDefault="00B31B37">
            <w:pPr>
              <w:pStyle w:val="Summarytabletextrightaligned"/>
            </w:pPr>
            <w:r>
              <w:noBreakHyphen/>
            </w:r>
          </w:p>
        </w:tc>
        <w:tc>
          <w:tcPr>
            <w:tcW w:w="850" w:type="dxa"/>
            <w:vAlign w:val="bottom"/>
          </w:tcPr>
          <w:p w14:paraId="07DCCB59" w14:textId="5743DE22" w:rsidR="00B628FF" w:rsidRDefault="00B31B37">
            <w:pPr>
              <w:pStyle w:val="Summarytabletextrightaligned"/>
            </w:pPr>
            <w:r>
              <w:noBreakHyphen/>
            </w:r>
          </w:p>
        </w:tc>
        <w:tc>
          <w:tcPr>
            <w:tcW w:w="850" w:type="dxa"/>
            <w:vAlign w:val="bottom"/>
          </w:tcPr>
          <w:p w14:paraId="3C71CA3B" w14:textId="5F23F9E6" w:rsidR="00B628FF" w:rsidRDefault="00B31B37">
            <w:pPr>
              <w:pStyle w:val="Summarytabletextrightaligned"/>
            </w:pPr>
            <w:r>
              <w:noBreakHyphen/>
            </w:r>
          </w:p>
        </w:tc>
      </w:tr>
      <w:tr w:rsidR="00B628FF" w14:paraId="22E4C4D8" w14:textId="77777777" w:rsidTr="5FA307DC">
        <w:tc>
          <w:tcPr>
            <w:tcW w:w="3471" w:type="dxa"/>
            <w:vAlign w:val="bottom"/>
          </w:tcPr>
          <w:p w14:paraId="5916E653" w14:textId="77777777" w:rsidR="00B628FF" w:rsidRDefault="005B2D2F">
            <w:pPr>
              <w:pStyle w:val="SummaryMeasureTitlewithTheme"/>
            </w:pPr>
            <w:r>
              <w:t>Support for Royal Solomon Islands Police Force Expansion</w:t>
            </w:r>
          </w:p>
        </w:tc>
        <w:tc>
          <w:tcPr>
            <w:tcW w:w="850" w:type="dxa"/>
            <w:vAlign w:val="bottom"/>
          </w:tcPr>
          <w:p w14:paraId="5E8ED37E" w14:textId="0B125A9B" w:rsidR="00B628FF" w:rsidRDefault="00B31B37">
            <w:pPr>
              <w:pStyle w:val="Summarytabletextrightaligned"/>
            </w:pPr>
            <w:r>
              <w:noBreakHyphen/>
            </w:r>
          </w:p>
        </w:tc>
        <w:tc>
          <w:tcPr>
            <w:tcW w:w="850" w:type="dxa"/>
            <w:shd w:val="clear" w:color="auto" w:fill="E6F2FF"/>
            <w:vAlign w:val="bottom"/>
          </w:tcPr>
          <w:p w14:paraId="285484B5" w14:textId="335FE6BC" w:rsidR="00B628FF" w:rsidRDefault="00B31B37">
            <w:pPr>
              <w:pStyle w:val="Summarytabletextrightaligned"/>
            </w:pPr>
            <w:r>
              <w:noBreakHyphen/>
            </w:r>
          </w:p>
        </w:tc>
        <w:tc>
          <w:tcPr>
            <w:tcW w:w="850" w:type="dxa"/>
            <w:vAlign w:val="bottom"/>
          </w:tcPr>
          <w:p w14:paraId="4D73D7DD" w14:textId="4A089624" w:rsidR="00B628FF" w:rsidRDefault="00B31B37">
            <w:pPr>
              <w:pStyle w:val="Summarytabletextrightaligned"/>
            </w:pPr>
            <w:r>
              <w:noBreakHyphen/>
            </w:r>
          </w:p>
        </w:tc>
        <w:tc>
          <w:tcPr>
            <w:tcW w:w="850" w:type="dxa"/>
            <w:vAlign w:val="bottom"/>
          </w:tcPr>
          <w:p w14:paraId="702D1764" w14:textId="07A5BED4" w:rsidR="00B628FF" w:rsidRDefault="00B31B37">
            <w:pPr>
              <w:pStyle w:val="Summarytabletextrightaligned"/>
            </w:pPr>
            <w:r>
              <w:noBreakHyphen/>
            </w:r>
          </w:p>
        </w:tc>
        <w:tc>
          <w:tcPr>
            <w:tcW w:w="850" w:type="dxa"/>
            <w:vAlign w:val="bottom"/>
          </w:tcPr>
          <w:p w14:paraId="0CE75CEE" w14:textId="36B2E019" w:rsidR="00B628FF" w:rsidRDefault="00B31B37">
            <w:pPr>
              <w:pStyle w:val="Summarytabletextrightaligned"/>
            </w:pPr>
            <w:r>
              <w:noBreakHyphen/>
            </w:r>
          </w:p>
        </w:tc>
      </w:tr>
      <w:tr w:rsidR="00B628FF" w14:paraId="48DBDF52" w14:textId="77777777" w:rsidTr="5FA307DC">
        <w:tc>
          <w:tcPr>
            <w:tcW w:w="3471" w:type="dxa"/>
            <w:vAlign w:val="bottom"/>
          </w:tcPr>
          <w:p w14:paraId="3D6056A7" w14:textId="77777777" w:rsidR="00B628FF" w:rsidRDefault="005B2D2F">
            <w:pPr>
              <w:pStyle w:val="Summarytabletextleftalignedbold"/>
            </w:pPr>
            <w:r>
              <w:t>Portfolio total</w:t>
            </w:r>
          </w:p>
        </w:tc>
        <w:tc>
          <w:tcPr>
            <w:tcW w:w="850" w:type="dxa"/>
            <w:tcBorders>
              <w:top w:val="single" w:sz="4" w:space="0" w:color="000000" w:themeColor="text1"/>
              <w:bottom w:val="single" w:sz="4" w:space="0" w:color="000000" w:themeColor="text1"/>
            </w:tcBorders>
            <w:vAlign w:val="bottom"/>
          </w:tcPr>
          <w:p w14:paraId="33E929BF" w14:textId="083D4B8C" w:rsidR="00B628FF" w:rsidRDefault="00B31B37">
            <w:pPr>
              <w:pStyle w:val="Summarytabletextrightalignedbold"/>
            </w:pPr>
            <w:r>
              <w:noBreakHyphen/>
            </w:r>
          </w:p>
        </w:tc>
        <w:tc>
          <w:tcPr>
            <w:tcW w:w="850" w:type="dxa"/>
            <w:tcBorders>
              <w:top w:val="single" w:sz="4" w:space="0" w:color="000000" w:themeColor="text1"/>
              <w:bottom w:val="single" w:sz="4" w:space="0" w:color="000000" w:themeColor="text1"/>
            </w:tcBorders>
            <w:shd w:val="clear" w:color="auto" w:fill="E6F2FF"/>
            <w:vAlign w:val="bottom"/>
          </w:tcPr>
          <w:p w14:paraId="12F35F81" w14:textId="77777777" w:rsidR="00B628FF" w:rsidRDefault="005B2D2F">
            <w:pPr>
              <w:pStyle w:val="Summarytabletextrightalignedbold"/>
            </w:pPr>
            <w:r>
              <w:t>41.3</w:t>
            </w:r>
          </w:p>
        </w:tc>
        <w:tc>
          <w:tcPr>
            <w:tcW w:w="850" w:type="dxa"/>
            <w:tcBorders>
              <w:top w:val="single" w:sz="4" w:space="0" w:color="000000" w:themeColor="text1"/>
              <w:bottom w:val="single" w:sz="4" w:space="0" w:color="000000" w:themeColor="text1"/>
            </w:tcBorders>
            <w:vAlign w:val="bottom"/>
          </w:tcPr>
          <w:p w14:paraId="1DA3868C" w14:textId="77777777" w:rsidR="00B628FF" w:rsidRDefault="005B2D2F">
            <w:pPr>
              <w:pStyle w:val="Summarytabletextrightalignedbold"/>
            </w:pPr>
            <w:r>
              <w:t>5.3</w:t>
            </w:r>
          </w:p>
        </w:tc>
        <w:tc>
          <w:tcPr>
            <w:tcW w:w="850" w:type="dxa"/>
            <w:tcBorders>
              <w:top w:val="single" w:sz="4" w:space="0" w:color="000000" w:themeColor="text1"/>
              <w:bottom w:val="single" w:sz="4" w:space="0" w:color="000000" w:themeColor="text1"/>
            </w:tcBorders>
            <w:vAlign w:val="bottom"/>
          </w:tcPr>
          <w:p w14:paraId="256D628E" w14:textId="77777777" w:rsidR="00B628FF" w:rsidRDefault="005B2D2F">
            <w:pPr>
              <w:pStyle w:val="Summarytabletextrightalignedbold"/>
            </w:pPr>
            <w:r>
              <w:t>5.3</w:t>
            </w:r>
          </w:p>
        </w:tc>
        <w:tc>
          <w:tcPr>
            <w:tcW w:w="850" w:type="dxa"/>
            <w:tcBorders>
              <w:top w:val="single" w:sz="4" w:space="0" w:color="000000" w:themeColor="text1"/>
              <w:bottom w:val="single" w:sz="4" w:space="0" w:color="000000" w:themeColor="text1"/>
            </w:tcBorders>
            <w:vAlign w:val="bottom"/>
          </w:tcPr>
          <w:p w14:paraId="706AB62D" w14:textId="77777777" w:rsidR="00B628FF" w:rsidRDefault="005B2D2F">
            <w:pPr>
              <w:pStyle w:val="Summarytabletextrightalignedbold"/>
            </w:pPr>
            <w:r>
              <w:t>3.3</w:t>
            </w:r>
          </w:p>
        </w:tc>
      </w:tr>
      <w:tr w:rsidR="00B628FF" w14:paraId="61CCC646" w14:textId="77777777" w:rsidTr="5FA307DC">
        <w:tc>
          <w:tcPr>
            <w:tcW w:w="3471" w:type="dxa"/>
            <w:vAlign w:val="bottom"/>
          </w:tcPr>
          <w:p w14:paraId="36133A1C" w14:textId="77777777" w:rsidR="00B628FF" w:rsidRDefault="005B2D2F">
            <w:pPr>
              <w:pStyle w:val="SummaryPortfolioTitle-BP2"/>
            </w:pPr>
            <w:r>
              <w:t>HEALTH AND AGED CARE</w:t>
            </w:r>
          </w:p>
        </w:tc>
        <w:tc>
          <w:tcPr>
            <w:tcW w:w="850" w:type="dxa"/>
          </w:tcPr>
          <w:p w14:paraId="1AA91E8A" w14:textId="77777777" w:rsidR="00B628FF" w:rsidRDefault="00B628FF">
            <w:pPr>
              <w:pStyle w:val="MeasureTableTextRightAlignedBefore6ptAfter1pt"/>
            </w:pPr>
          </w:p>
        </w:tc>
        <w:tc>
          <w:tcPr>
            <w:tcW w:w="850" w:type="dxa"/>
            <w:shd w:val="clear" w:color="auto" w:fill="E6F2FF"/>
          </w:tcPr>
          <w:p w14:paraId="650549DB" w14:textId="77777777" w:rsidR="00B628FF" w:rsidRDefault="00B628FF">
            <w:pPr>
              <w:pStyle w:val="MeasureTableTextRightAlignedBefore6ptAfter1pt"/>
            </w:pPr>
          </w:p>
        </w:tc>
        <w:tc>
          <w:tcPr>
            <w:tcW w:w="850" w:type="dxa"/>
          </w:tcPr>
          <w:p w14:paraId="16EF3977" w14:textId="77777777" w:rsidR="00B628FF" w:rsidRDefault="00B628FF">
            <w:pPr>
              <w:pStyle w:val="MeasureTableTextRightAlignedBefore6ptAfter1pt"/>
            </w:pPr>
          </w:p>
        </w:tc>
        <w:tc>
          <w:tcPr>
            <w:tcW w:w="850" w:type="dxa"/>
          </w:tcPr>
          <w:p w14:paraId="727C5B13" w14:textId="77777777" w:rsidR="00B628FF" w:rsidRDefault="00B628FF">
            <w:pPr>
              <w:pStyle w:val="MeasureTableTextRightAlignedBefore6ptAfter1pt"/>
            </w:pPr>
          </w:p>
        </w:tc>
        <w:tc>
          <w:tcPr>
            <w:tcW w:w="850" w:type="dxa"/>
          </w:tcPr>
          <w:p w14:paraId="27BEE7BB" w14:textId="77777777" w:rsidR="00B628FF" w:rsidRDefault="00B628FF">
            <w:pPr>
              <w:pStyle w:val="MeasureTableTextRightAlignedBefore6ptAfter1pt"/>
            </w:pPr>
          </w:p>
        </w:tc>
      </w:tr>
      <w:tr w:rsidR="00B628FF" w14:paraId="13A36257" w14:textId="77777777" w:rsidTr="5FA307DC">
        <w:tc>
          <w:tcPr>
            <w:tcW w:w="3471" w:type="dxa"/>
            <w:vAlign w:val="bottom"/>
          </w:tcPr>
          <w:p w14:paraId="07DF675D" w14:textId="77777777" w:rsidR="00B628FF" w:rsidRDefault="005B2D2F">
            <w:pPr>
              <w:pStyle w:val="SummaryAgencyTitle-BP2"/>
            </w:pPr>
            <w:r>
              <w:t>Aged Care Quality and Safety Commission</w:t>
            </w:r>
          </w:p>
        </w:tc>
        <w:tc>
          <w:tcPr>
            <w:tcW w:w="850" w:type="dxa"/>
          </w:tcPr>
          <w:p w14:paraId="208D1EE6" w14:textId="77777777" w:rsidR="00B628FF" w:rsidRDefault="00B628FF">
            <w:pPr>
              <w:pStyle w:val="SummaryAgencyTitle-BP2"/>
            </w:pPr>
          </w:p>
        </w:tc>
        <w:tc>
          <w:tcPr>
            <w:tcW w:w="850" w:type="dxa"/>
            <w:shd w:val="clear" w:color="auto" w:fill="E6F2FF"/>
          </w:tcPr>
          <w:p w14:paraId="60E7154D" w14:textId="77777777" w:rsidR="00B628FF" w:rsidRDefault="00B628FF">
            <w:pPr>
              <w:pStyle w:val="SummaryAgencyTitle-BP2"/>
            </w:pPr>
          </w:p>
        </w:tc>
        <w:tc>
          <w:tcPr>
            <w:tcW w:w="850" w:type="dxa"/>
          </w:tcPr>
          <w:p w14:paraId="1C290A36" w14:textId="77777777" w:rsidR="00B628FF" w:rsidRDefault="00B628FF">
            <w:pPr>
              <w:pStyle w:val="SummaryAgencyTitle-BP2"/>
            </w:pPr>
          </w:p>
        </w:tc>
        <w:tc>
          <w:tcPr>
            <w:tcW w:w="850" w:type="dxa"/>
          </w:tcPr>
          <w:p w14:paraId="6D7967EC" w14:textId="77777777" w:rsidR="00B628FF" w:rsidRDefault="00B628FF">
            <w:pPr>
              <w:pStyle w:val="SummaryAgencyTitle-BP2"/>
            </w:pPr>
          </w:p>
        </w:tc>
        <w:tc>
          <w:tcPr>
            <w:tcW w:w="850" w:type="dxa"/>
          </w:tcPr>
          <w:p w14:paraId="6594AC50" w14:textId="77777777" w:rsidR="00B628FF" w:rsidRDefault="00B628FF">
            <w:pPr>
              <w:pStyle w:val="SummaryAgencyTitle-BP2"/>
            </w:pPr>
          </w:p>
        </w:tc>
      </w:tr>
      <w:tr w:rsidR="00B628FF" w14:paraId="3FF59116" w14:textId="77777777" w:rsidTr="5FA307DC">
        <w:tc>
          <w:tcPr>
            <w:tcW w:w="3471" w:type="dxa"/>
            <w:vAlign w:val="bottom"/>
          </w:tcPr>
          <w:p w14:paraId="7E005EF2" w14:textId="77777777" w:rsidR="00B628FF" w:rsidRDefault="005B2D2F">
            <w:pPr>
              <w:pStyle w:val="SummaryMeasureTitlewithTheme"/>
            </w:pPr>
            <w:r>
              <w:t>Implementation of Aged Care Reforms(b)</w:t>
            </w:r>
          </w:p>
        </w:tc>
        <w:tc>
          <w:tcPr>
            <w:tcW w:w="850" w:type="dxa"/>
            <w:vAlign w:val="bottom"/>
          </w:tcPr>
          <w:p w14:paraId="6F4764B8" w14:textId="261B71B9" w:rsidR="00B628FF" w:rsidRDefault="00B31B37">
            <w:pPr>
              <w:pStyle w:val="Summarytabletextrightaligned"/>
            </w:pPr>
            <w:r>
              <w:noBreakHyphen/>
            </w:r>
          </w:p>
        </w:tc>
        <w:tc>
          <w:tcPr>
            <w:tcW w:w="850" w:type="dxa"/>
            <w:shd w:val="clear" w:color="auto" w:fill="E6F2FF"/>
            <w:vAlign w:val="bottom"/>
          </w:tcPr>
          <w:p w14:paraId="20EFDBF5" w14:textId="77777777" w:rsidR="00B628FF" w:rsidRDefault="005B2D2F">
            <w:pPr>
              <w:pStyle w:val="Summarytabletextrightaligned"/>
            </w:pPr>
            <w:r>
              <w:t>116.1</w:t>
            </w:r>
          </w:p>
        </w:tc>
        <w:tc>
          <w:tcPr>
            <w:tcW w:w="850" w:type="dxa"/>
            <w:vAlign w:val="bottom"/>
          </w:tcPr>
          <w:p w14:paraId="2CD61C3F" w14:textId="791E5A7B" w:rsidR="00B628FF" w:rsidRDefault="00B31B37">
            <w:pPr>
              <w:pStyle w:val="Summarytabletextrightaligned"/>
            </w:pPr>
            <w:r>
              <w:noBreakHyphen/>
            </w:r>
          </w:p>
        </w:tc>
        <w:tc>
          <w:tcPr>
            <w:tcW w:w="850" w:type="dxa"/>
            <w:vAlign w:val="bottom"/>
          </w:tcPr>
          <w:p w14:paraId="2D06795A" w14:textId="4506CF4D" w:rsidR="00B628FF" w:rsidRDefault="00B31B37">
            <w:pPr>
              <w:pStyle w:val="Summarytabletextrightaligned"/>
            </w:pPr>
            <w:r>
              <w:noBreakHyphen/>
            </w:r>
          </w:p>
        </w:tc>
        <w:tc>
          <w:tcPr>
            <w:tcW w:w="850" w:type="dxa"/>
            <w:vAlign w:val="bottom"/>
          </w:tcPr>
          <w:p w14:paraId="6C6A2AB7" w14:textId="3BF3DA97" w:rsidR="00B628FF" w:rsidRDefault="00B31B37">
            <w:pPr>
              <w:pStyle w:val="Summarytabletextrightaligned"/>
            </w:pPr>
            <w:r>
              <w:noBreakHyphen/>
            </w:r>
          </w:p>
        </w:tc>
      </w:tr>
      <w:tr w:rsidR="00B628FF" w14:paraId="774FB248" w14:textId="77777777" w:rsidTr="5FA307DC">
        <w:tc>
          <w:tcPr>
            <w:tcW w:w="3471" w:type="dxa"/>
            <w:vAlign w:val="bottom"/>
          </w:tcPr>
          <w:p w14:paraId="4ACBD454" w14:textId="77777777" w:rsidR="00B628FF" w:rsidRDefault="005B2D2F">
            <w:pPr>
              <w:pStyle w:val="SummaryAgencyTitle-BP2"/>
            </w:pPr>
            <w:r>
              <w:t>Australian Digital Health Agency</w:t>
            </w:r>
          </w:p>
        </w:tc>
        <w:tc>
          <w:tcPr>
            <w:tcW w:w="850" w:type="dxa"/>
          </w:tcPr>
          <w:p w14:paraId="089D8478" w14:textId="77777777" w:rsidR="00B628FF" w:rsidRDefault="00B628FF">
            <w:pPr>
              <w:pStyle w:val="SummaryAgencyTitle-BP2"/>
            </w:pPr>
          </w:p>
        </w:tc>
        <w:tc>
          <w:tcPr>
            <w:tcW w:w="850" w:type="dxa"/>
            <w:shd w:val="clear" w:color="auto" w:fill="E6F2FF"/>
          </w:tcPr>
          <w:p w14:paraId="1DEF9CEE" w14:textId="77777777" w:rsidR="00B628FF" w:rsidRDefault="00B628FF">
            <w:pPr>
              <w:pStyle w:val="SummaryAgencyTitle-BP2"/>
            </w:pPr>
          </w:p>
        </w:tc>
        <w:tc>
          <w:tcPr>
            <w:tcW w:w="850" w:type="dxa"/>
          </w:tcPr>
          <w:p w14:paraId="0C6405D2" w14:textId="77777777" w:rsidR="00B628FF" w:rsidRDefault="00B628FF">
            <w:pPr>
              <w:pStyle w:val="SummaryAgencyTitle-BP2"/>
            </w:pPr>
          </w:p>
        </w:tc>
        <w:tc>
          <w:tcPr>
            <w:tcW w:w="850" w:type="dxa"/>
          </w:tcPr>
          <w:p w14:paraId="743FF4F8" w14:textId="77777777" w:rsidR="00B628FF" w:rsidRDefault="00B628FF">
            <w:pPr>
              <w:pStyle w:val="SummaryAgencyTitle-BP2"/>
            </w:pPr>
          </w:p>
        </w:tc>
        <w:tc>
          <w:tcPr>
            <w:tcW w:w="850" w:type="dxa"/>
          </w:tcPr>
          <w:p w14:paraId="54A5CA53" w14:textId="77777777" w:rsidR="00B628FF" w:rsidRDefault="00B628FF">
            <w:pPr>
              <w:pStyle w:val="SummaryAgencyTitle-BP2"/>
            </w:pPr>
          </w:p>
        </w:tc>
      </w:tr>
      <w:tr w:rsidR="00B628FF" w14:paraId="187DEE99" w14:textId="77777777" w:rsidTr="5FA307DC">
        <w:tc>
          <w:tcPr>
            <w:tcW w:w="3471" w:type="dxa"/>
            <w:vAlign w:val="bottom"/>
          </w:tcPr>
          <w:p w14:paraId="47777615" w14:textId="77777777" w:rsidR="00B628FF" w:rsidRDefault="005B2D2F">
            <w:pPr>
              <w:pStyle w:val="SummaryMeasureTitlewithTheme"/>
            </w:pPr>
            <w:r>
              <w:t>Improving Access to Medicines and Pharmacy Programs(b)</w:t>
            </w:r>
          </w:p>
        </w:tc>
        <w:tc>
          <w:tcPr>
            <w:tcW w:w="850" w:type="dxa"/>
            <w:vAlign w:val="bottom"/>
          </w:tcPr>
          <w:p w14:paraId="4CF9DC45" w14:textId="78673EAC" w:rsidR="00B628FF" w:rsidRDefault="00B31B37">
            <w:pPr>
              <w:pStyle w:val="Summarytabletextrightaligned"/>
            </w:pPr>
            <w:r>
              <w:noBreakHyphen/>
            </w:r>
          </w:p>
        </w:tc>
        <w:tc>
          <w:tcPr>
            <w:tcW w:w="850" w:type="dxa"/>
            <w:shd w:val="clear" w:color="auto" w:fill="E6F2FF"/>
            <w:vAlign w:val="bottom"/>
          </w:tcPr>
          <w:p w14:paraId="28841856" w14:textId="77777777" w:rsidR="00B628FF" w:rsidRDefault="005B2D2F">
            <w:pPr>
              <w:pStyle w:val="Summarytabletextrightaligned"/>
            </w:pPr>
            <w:r>
              <w:t>2.4</w:t>
            </w:r>
          </w:p>
        </w:tc>
        <w:tc>
          <w:tcPr>
            <w:tcW w:w="850" w:type="dxa"/>
            <w:vAlign w:val="bottom"/>
          </w:tcPr>
          <w:p w14:paraId="6EA669D7" w14:textId="3E76A21A" w:rsidR="00B628FF" w:rsidRDefault="00B31B37">
            <w:pPr>
              <w:pStyle w:val="Summarytabletextrightaligned"/>
            </w:pPr>
            <w:r>
              <w:noBreakHyphen/>
            </w:r>
          </w:p>
        </w:tc>
        <w:tc>
          <w:tcPr>
            <w:tcW w:w="850" w:type="dxa"/>
            <w:vAlign w:val="bottom"/>
          </w:tcPr>
          <w:p w14:paraId="01374BB4" w14:textId="67FC1D15" w:rsidR="00B628FF" w:rsidRDefault="00B31B37">
            <w:pPr>
              <w:pStyle w:val="Summarytabletextrightaligned"/>
            </w:pPr>
            <w:r>
              <w:noBreakHyphen/>
            </w:r>
          </w:p>
        </w:tc>
        <w:tc>
          <w:tcPr>
            <w:tcW w:w="850" w:type="dxa"/>
            <w:vAlign w:val="bottom"/>
          </w:tcPr>
          <w:p w14:paraId="415FEFC3" w14:textId="3BCD769E" w:rsidR="00B628FF" w:rsidRDefault="00B31B37">
            <w:pPr>
              <w:pStyle w:val="Summarytabletextrightaligned"/>
            </w:pPr>
            <w:r>
              <w:noBreakHyphen/>
            </w:r>
          </w:p>
        </w:tc>
      </w:tr>
      <w:tr w:rsidR="00B628FF" w14:paraId="5ED4F029" w14:textId="77777777" w:rsidTr="5FA307DC">
        <w:tc>
          <w:tcPr>
            <w:tcW w:w="3471" w:type="dxa"/>
            <w:vAlign w:val="bottom"/>
          </w:tcPr>
          <w:p w14:paraId="323731F5" w14:textId="77777777" w:rsidR="00B628FF" w:rsidRDefault="005B2D2F">
            <w:pPr>
              <w:pStyle w:val="SummaryMeasureTitlewithTheme"/>
            </w:pPr>
            <w:r>
              <w:t>Strengthening Medicare</w:t>
            </w:r>
          </w:p>
        </w:tc>
        <w:tc>
          <w:tcPr>
            <w:tcW w:w="850" w:type="dxa"/>
            <w:vAlign w:val="bottom"/>
          </w:tcPr>
          <w:p w14:paraId="0A845DB2" w14:textId="0F1FE601" w:rsidR="00B628FF" w:rsidRDefault="00B31B37">
            <w:pPr>
              <w:pStyle w:val="Summarytabletextrightaligned"/>
            </w:pPr>
            <w:r>
              <w:noBreakHyphen/>
            </w:r>
          </w:p>
        </w:tc>
        <w:tc>
          <w:tcPr>
            <w:tcW w:w="850" w:type="dxa"/>
            <w:shd w:val="clear" w:color="auto" w:fill="E6F2FF"/>
            <w:vAlign w:val="bottom"/>
          </w:tcPr>
          <w:p w14:paraId="130B3967" w14:textId="77777777" w:rsidR="00B628FF" w:rsidRDefault="005B2D2F">
            <w:pPr>
              <w:pStyle w:val="Summarytabletextrightaligned"/>
            </w:pPr>
            <w:r>
              <w:t>218.2</w:t>
            </w:r>
          </w:p>
        </w:tc>
        <w:tc>
          <w:tcPr>
            <w:tcW w:w="850" w:type="dxa"/>
            <w:vAlign w:val="bottom"/>
          </w:tcPr>
          <w:p w14:paraId="30A5DFB0" w14:textId="5D325CEC" w:rsidR="00B628FF" w:rsidRDefault="00B31B37">
            <w:pPr>
              <w:pStyle w:val="Summarytabletextrightaligned"/>
            </w:pPr>
            <w:r>
              <w:noBreakHyphen/>
            </w:r>
          </w:p>
        </w:tc>
        <w:tc>
          <w:tcPr>
            <w:tcW w:w="850" w:type="dxa"/>
            <w:vAlign w:val="bottom"/>
          </w:tcPr>
          <w:p w14:paraId="66833069" w14:textId="269F7E07" w:rsidR="00B628FF" w:rsidRDefault="00B31B37">
            <w:pPr>
              <w:pStyle w:val="Summarytabletextrightaligned"/>
            </w:pPr>
            <w:r>
              <w:noBreakHyphen/>
            </w:r>
          </w:p>
        </w:tc>
        <w:tc>
          <w:tcPr>
            <w:tcW w:w="850" w:type="dxa"/>
            <w:vAlign w:val="bottom"/>
          </w:tcPr>
          <w:p w14:paraId="51E5254E" w14:textId="113363D1" w:rsidR="00B628FF" w:rsidRDefault="00B31B37">
            <w:pPr>
              <w:pStyle w:val="Summarytabletextrightaligned"/>
            </w:pPr>
            <w:r>
              <w:noBreakHyphen/>
            </w:r>
          </w:p>
        </w:tc>
      </w:tr>
      <w:tr w:rsidR="00B628FF" w14:paraId="0FB7AF9B" w14:textId="77777777" w:rsidTr="5FA307DC">
        <w:tc>
          <w:tcPr>
            <w:tcW w:w="3471" w:type="dxa"/>
            <w:vAlign w:val="bottom"/>
          </w:tcPr>
          <w:p w14:paraId="2A0E3208" w14:textId="77777777" w:rsidR="00B628FF" w:rsidRDefault="005B2D2F">
            <w:pPr>
              <w:pStyle w:val="SummaryAgencyTitle-BP2"/>
            </w:pPr>
            <w:r>
              <w:t>Australian Radiation Protection and Nuclear Safety Agency</w:t>
            </w:r>
          </w:p>
        </w:tc>
        <w:tc>
          <w:tcPr>
            <w:tcW w:w="850" w:type="dxa"/>
          </w:tcPr>
          <w:p w14:paraId="7DA22E46" w14:textId="77777777" w:rsidR="00B628FF" w:rsidRDefault="00B628FF">
            <w:pPr>
              <w:pStyle w:val="SummaryAgencyTitle-BP2"/>
            </w:pPr>
          </w:p>
        </w:tc>
        <w:tc>
          <w:tcPr>
            <w:tcW w:w="850" w:type="dxa"/>
            <w:shd w:val="clear" w:color="auto" w:fill="E6F2FF"/>
          </w:tcPr>
          <w:p w14:paraId="51D63DAC" w14:textId="77777777" w:rsidR="00B628FF" w:rsidRDefault="00B628FF">
            <w:pPr>
              <w:pStyle w:val="SummaryAgencyTitle-BP2"/>
            </w:pPr>
          </w:p>
        </w:tc>
        <w:tc>
          <w:tcPr>
            <w:tcW w:w="850" w:type="dxa"/>
          </w:tcPr>
          <w:p w14:paraId="2308CE45" w14:textId="77777777" w:rsidR="00B628FF" w:rsidRDefault="00B628FF">
            <w:pPr>
              <w:pStyle w:val="SummaryAgencyTitle-BP2"/>
            </w:pPr>
          </w:p>
        </w:tc>
        <w:tc>
          <w:tcPr>
            <w:tcW w:w="850" w:type="dxa"/>
          </w:tcPr>
          <w:p w14:paraId="23DDFE4A" w14:textId="77777777" w:rsidR="00B628FF" w:rsidRDefault="00B628FF">
            <w:pPr>
              <w:pStyle w:val="SummaryAgencyTitle-BP2"/>
            </w:pPr>
          </w:p>
        </w:tc>
        <w:tc>
          <w:tcPr>
            <w:tcW w:w="850" w:type="dxa"/>
          </w:tcPr>
          <w:p w14:paraId="167132D4" w14:textId="77777777" w:rsidR="00B628FF" w:rsidRDefault="00B628FF">
            <w:pPr>
              <w:pStyle w:val="SummaryAgencyTitle-BP2"/>
            </w:pPr>
          </w:p>
        </w:tc>
      </w:tr>
      <w:tr w:rsidR="00B628FF" w14:paraId="0BDC994A" w14:textId="77777777" w:rsidTr="5FA307DC">
        <w:tc>
          <w:tcPr>
            <w:tcW w:w="3471" w:type="dxa"/>
            <w:vAlign w:val="bottom"/>
          </w:tcPr>
          <w:p w14:paraId="14D896D1" w14:textId="77777777" w:rsidR="00B628FF" w:rsidRDefault="005B2D2F">
            <w:pPr>
              <w:pStyle w:val="SummaryMeasureTitlewithTheme"/>
            </w:pPr>
            <w:r>
              <w:t>Critical Health Infrastructure and Systems(b)</w:t>
            </w:r>
          </w:p>
        </w:tc>
        <w:tc>
          <w:tcPr>
            <w:tcW w:w="850" w:type="dxa"/>
            <w:vAlign w:val="bottom"/>
          </w:tcPr>
          <w:p w14:paraId="541E8AAB" w14:textId="5147CD17" w:rsidR="00B628FF" w:rsidRDefault="00B31B37">
            <w:pPr>
              <w:pStyle w:val="Summarytabletextrightaligned"/>
            </w:pPr>
            <w:r>
              <w:noBreakHyphen/>
            </w:r>
          </w:p>
        </w:tc>
        <w:tc>
          <w:tcPr>
            <w:tcW w:w="850" w:type="dxa"/>
            <w:shd w:val="clear" w:color="auto" w:fill="E6F2FF"/>
            <w:vAlign w:val="bottom"/>
          </w:tcPr>
          <w:p w14:paraId="32BAAB8C" w14:textId="21F5615B" w:rsidR="00B628FF" w:rsidRDefault="00B31B37">
            <w:pPr>
              <w:pStyle w:val="Summarytabletextrightaligned"/>
            </w:pPr>
            <w:r>
              <w:noBreakHyphen/>
            </w:r>
          </w:p>
        </w:tc>
        <w:tc>
          <w:tcPr>
            <w:tcW w:w="850" w:type="dxa"/>
            <w:vAlign w:val="bottom"/>
          </w:tcPr>
          <w:p w14:paraId="3E53E324" w14:textId="1023E4C5" w:rsidR="00B628FF" w:rsidRDefault="00B31B37">
            <w:pPr>
              <w:pStyle w:val="Summarytabletextrightaligned"/>
            </w:pPr>
            <w:r>
              <w:noBreakHyphen/>
            </w:r>
          </w:p>
        </w:tc>
        <w:tc>
          <w:tcPr>
            <w:tcW w:w="850" w:type="dxa"/>
            <w:vAlign w:val="bottom"/>
          </w:tcPr>
          <w:p w14:paraId="333DA848" w14:textId="055D30AC" w:rsidR="00B628FF" w:rsidRDefault="00B31B37">
            <w:pPr>
              <w:pStyle w:val="Summarytabletextrightaligned"/>
            </w:pPr>
            <w:r>
              <w:noBreakHyphen/>
            </w:r>
          </w:p>
        </w:tc>
        <w:tc>
          <w:tcPr>
            <w:tcW w:w="850" w:type="dxa"/>
            <w:vAlign w:val="bottom"/>
          </w:tcPr>
          <w:p w14:paraId="5F6DA194" w14:textId="00AB14D2" w:rsidR="00B628FF" w:rsidRDefault="00B31B37">
            <w:pPr>
              <w:pStyle w:val="Summarytabletextrightaligned"/>
            </w:pPr>
            <w:r>
              <w:noBreakHyphen/>
            </w:r>
          </w:p>
        </w:tc>
      </w:tr>
      <w:tr w:rsidR="00B628FF" w14:paraId="5B9FBBC9" w14:textId="77777777" w:rsidTr="5FA307DC">
        <w:tc>
          <w:tcPr>
            <w:tcW w:w="3471" w:type="dxa"/>
            <w:vAlign w:val="bottom"/>
          </w:tcPr>
          <w:p w14:paraId="28F15C4A" w14:textId="77777777" w:rsidR="00B628FF" w:rsidRDefault="005B2D2F">
            <w:pPr>
              <w:pStyle w:val="SummaryMeasureTitlewithTheme"/>
            </w:pPr>
            <w:r>
              <w:t>Nuclear‑Powered Submarine Program – continuation of whole‑of‑government support</w:t>
            </w:r>
          </w:p>
        </w:tc>
        <w:tc>
          <w:tcPr>
            <w:tcW w:w="850" w:type="dxa"/>
            <w:vAlign w:val="bottom"/>
          </w:tcPr>
          <w:p w14:paraId="4E6E4365" w14:textId="46921C30" w:rsidR="00B628FF" w:rsidRDefault="00B31B37">
            <w:pPr>
              <w:pStyle w:val="Summarytabletextrightaligned"/>
            </w:pPr>
            <w:r>
              <w:noBreakHyphen/>
            </w:r>
          </w:p>
        </w:tc>
        <w:tc>
          <w:tcPr>
            <w:tcW w:w="850" w:type="dxa"/>
            <w:shd w:val="clear" w:color="auto" w:fill="E6F2FF"/>
            <w:vAlign w:val="bottom"/>
          </w:tcPr>
          <w:p w14:paraId="771C6297" w14:textId="77777777" w:rsidR="00B628FF" w:rsidRDefault="005B2D2F">
            <w:pPr>
              <w:pStyle w:val="Summarytabletextrightaligned"/>
            </w:pPr>
            <w:r>
              <w:t>6.9</w:t>
            </w:r>
          </w:p>
        </w:tc>
        <w:tc>
          <w:tcPr>
            <w:tcW w:w="850" w:type="dxa"/>
            <w:vAlign w:val="bottom"/>
          </w:tcPr>
          <w:p w14:paraId="16FF2016" w14:textId="192B7086" w:rsidR="00B628FF" w:rsidRDefault="00B31B37">
            <w:pPr>
              <w:pStyle w:val="Summarytabletextrightaligned"/>
            </w:pPr>
            <w:r>
              <w:noBreakHyphen/>
            </w:r>
          </w:p>
        </w:tc>
        <w:tc>
          <w:tcPr>
            <w:tcW w:w="850" w:type="dxa"/>
            <w:vAlign w:val="bottom"/>
          </w:tcPr>
          <w:p w14:paraId="547EAEC1" w14:textId="3B1709F1" w:rsidR="00B628FF" w:rsidRDefault="00B31B37">
            <w:pPr>
              <w:pStyle w:val="Summarytabletextrightaligned"/>
            </w:pPr>
            <w:r>
              <w:noBreakHyphen/>
            </w:r>
          </w:p>
        </w:tc>
        <w:tc>
          <w:tcPr>
            <w:tcW w:w="850" w:type="dxa"/>
            <w:vAlign w:val="bottom"/>
          </w:tcPr>
          <w:p w14:paraId="1B02F5E3" w14:textId="5D7023D4" w:rsidR="00B628FF" w:rsidRDefault="00B31B37">
            <w:pPr>
              <w:pStyle w:val="Summarytabletextrightaligned"/>
            </w:pPr>
            <w:r>
              <w:noBreakHyphen/>
            </w:r>
          </w:p>
        </w:tc>
      </w:tr>
      <w:tr w:rsidR="00B628FF" w14:paraId="5DF06340" w14:textId="77777777" w:rsidTr="5FA307DC">
        <w:tc>
          <w:tcPr>
            <w:tcW w:w="3471" w:type="dxa"/>
            <w:vAlign w:val="bottom"/>
          </w:tcPr>
          <w:p w14:paraId="19F40250" w14:textId="77777777" w:rsidR="00B628FF" w:rsidRDefault="005B2D2F">
            <w:pPr>
              <w:pStyle w:val="SummaryAgencyTitle-BP2"/>
            </w:pPr>
            <w:r>
              <w:t>Australian Sports Commission</w:t>
            </w:r>
          </w:p>
        </w:tc>
        <w:tc>
          <w:tcPr>
            <w:tcW w:w="850" w:type="dxa"/>
          </w:tcPr>
          <w:p w14:paraId="410966F1" w14:textId="77777777" w:rsidR="00B628FF" w:rsidRDefault="00B628FF">
            <w:pPr>
              <w:pStyle w:val="SummaryAgencyTitle-BP2"/>
            </w:pPr>
          </w:p>
        </w:tc>
        <w:tc>
          <w:tcPr>
            <w:tcW w:w="850" w:type="dxa"/>
            <w:shd w:val="clear" w:color="auto" w:fill="E6F2FF"/>
          </w:tcPr>
          <w:p w14:paraId="20BF0804" w14:textId="77777777" w:rsidR="00B628FF" w:rsidRDefault="00B628FF">
            <w:pPr>
              <w:pStyle w:val="SummaryAgencyTitle-BP2"/>
            </w:pPr>
          </w:p>
        </w:tc>
        <w:tc>
          <w:tcPr>
            <w:tcW w:w="850" w:type="dxa"/>
          </w:tcPr>
          <w:p w14:paraId="5BA33A79" w14:textId="77777777" w:rsidR="00B628FF" w:rsidRDefault="00B628FF">
            <w:pPr>
              <w:pStyle w:val="SummaryAgencyTitle-BP2"/>
            </w:pPr>
          </w:p>
        </w:tc>
        <w:tc>
          <w:tcPr>
            <w:tcW w:w="850" w:type="dxa"/>
          </w:tcPr>
          <w:p w14:paraId="20071691" w14:textId="77777777" w:rsidR="00B628FF" w:rsidRDefault="00B628FF">
            <w:pPr>
              <w:pStyle w:val="SummaryAgencyTitle-BP2"/>
            </w:pPr>
          </w:p>
        </w:tc>
        <w:tc>
          <w:tcPr>
            <w:tcW w:w="850" w:type="dxa"/>
          </w:tcPr>
          <w:p w14:paraId="4AF96DA6" w14:textId="77777777" w:rsidR="00B628FF" w:rsidRDefault="00B628FF">
            <w:pPr>
              <w:pStyle w:val="SummaryAgencyTitle-BP2"/>
            </w:pPr>
          </w:p>
        </w:tc>
      </w:tr>
      <w:tr w:rsidR="00B628FF" w14:paraId="1E868FAF" w14:textId="77777777" w:rsidTr="5FA307DC">
        <w:tc>
          <w:tcPr>
            <w:tcW w:w="3471" w:type="dxa"/>
            <w:vAlign w:val="bottom"/>
          </w:tcPr>
          <w:p w14:paraId="6A1C884E" w14:textId="77777777" w:rsidR="00B628FF" w:rsidRDefault="005B2D2F">
            <w:pPr>
              <w:pStyle w:val="SummaryMeasureTitlewithTheme"/>
            </w:pPr>
            <w:r>
              <w:t>Preventive Health, Wellbeing and Sport</w:t>
            </w:r>
          </w:p>
        </w:tc>
        <w:tc>
          <w:tcPr>
            <w:tcW w:w="850" w:type="dxa"/>
            <w:vAlign w:val="bottom"/>
          </w:tcPr>
          <w:p w14:paraId="63A6146A" w14:textId="5E9F79E2" w:rsidR="00B628FF" w:rsidRDefault="00B31B37">
            <w:pPr>
              <w:pStyle w:val="Summarytabletextrightaligned"/>
            </w:pPr>
            <w:r>
              <w:noBreakHyphen/>
            </w:r>
          </w:p>
        </w:tc>
        <w:tc>
          <w:tcPr>
            <w:tcW w:w="850" w:type="dxa"/>
            <w:shd w:val="clear" w:color="auto" w:fill="E6F2FF"/>
            <w:vAlign w:val="bottom"/>
          </w:tcPr>
          <w:p w14:paraId="756A1EEA" w14:textId="3B231119" w:rsidR="00B628FF" w:rsidRDefault="00B31B37">
            <w:pPr>
              <w:pStyle w:val="Summarytabletextrightaligned"/>
            </w:pPr>
            <w:r>
              <w:noBreakHyphen/>
            </w:r>
          </w:p>
        </w:tc>
        <w:tc>
          <w:tcPr>
            <w:tcW w:w="850" w:type="dxa"/>
            <w:vAlign w:val="bottom"/>
          </w:tcPr>
          <w:p w14:paraId="0330F33E" w14:textId="69862D44" w:rsidR="00B628FF" w:rsidRDefault="00B31B37">
            <w:pPr>
              <w:pStyle w:val="Summarytabletextrightaligned"/>
            </w:pPr>
            <w:r>
              <w:noBreakHyphen/>
            </w:r>
          </w:p>
        </w:tc>
        <w:tc>
          <w:tcPr>
            <w:tcW w:w="850" w:type="dxa"/>
            <w:vAlign w:val="bottom"/>
          </w:tcPr>
          <w:p w14:paraId="07F04B4C" w14:textId="5B12D738" w:rsidR="00B628FF" w:rsidRDefault="00B31B37">
            <w:pPr>
              <w:pStyle w:val="Summarytabletextrightaligned"/>
            </w:pPr>
            <w:r>
              <w:noBreakHyphen/>
            </w:r>
          </w:p>
        </w:tc>
        <w:tc>
          <w:tcPr>
            <w:tcW w:w="850" w:type="dxa"/>
            <w:vAlign w:val="bottom"/>
          </w:tcPr>
          <w:p w14:paraId="288557D0" w14:textId="6CCA2EA4" w:rsidR="00B628FF" w:rsidRDefault="00B31B37">
            <w:pPr>
              <w:pStyle w:val="Summarytabletextrightaligned"/>
            </w:pPr>
            <w:r>
              <w:noBreakHyphen/>
            </w:r>
          </w:p>
        </w:tc>
      </w:tr>
      <w:tr w:rsidR="00B628FF" w14:paraId="4E206F9A" w14:textId="77777777" w:rsidTr="5FA307DC">
        <w:tc>
          <w:tcPr>
            <w:tcW w:w="3471" w:type="dxa"/>
            <w:vAlign w:val="bottom"/>
          </w:tcPr>
          <w:p w14:paraId="2B4301F5" w14:textId="77777777" w:rsidR="00B628FF" w:rsidRDefault="005B2D2F">
            <w:pPr>
              <w:pStyle w:val="SummaryAgencyTitle-BP2"/>
            </w:pPr>
            <w:r>
              <w:t>Department of Health and Aged Care</w:t>
            </w:r>
          </w:p>
        </w:tc>
        <w:tc>
          <w:tcPr>
            <w:tcW w:w="850" w:type="dxa"/>
          </w:tcPr>
          <w:p w14:paraId="44AED9E0" w14:textId="77777777" w:rsidR="00B628FF" w:rsidRDefault="00B628FF">
            <w:pPr>
              <w:pStyle w:val="SummaryAgencyTitle-BP2"/>
            </w:pPr>
          </w:p>
        </w:tc>
        <w:tc>
          <w:tcPr>
            <w:tcW w:w="850" w:type="dxa"/>
            <w:shd w:val="clear" w:color="auto" w:fill="E6F2FF"/>
          </w:tcPr>
          <w:p w14:paraId="02E93B9C" w14:textId="77777777" w:rsidR="00B628FF" w:rsidRDefault="00B628FF">
            <w:pPr>
              <w:pStyle w:val="SummaryAgencyTitle-BP2"/>
            </w:pPr>
          </w:p>
        </w:tc>
        <w:tc>
          <w:tcPr>
            <w:tcW w:w="850" w:type="dxa"/>
          </w:tcPr>
          <w:p w14:paraId="48A08791" w14:textId="77777777" w:rsidR="00B628FF" w:rsidRDefault="00B628FF">
            <w:pPr>
              <w:pStyle w:val="SummaryAgencyTitle-BP2"/>
            </w:pPr>
          </w:p>
        </w:tc>
        <w:tc>
          <w:tcPr>
            <w:tcW w:w="850" w:type="dxa"/>
          </w:tcPr>
          <w:p w14:paraId="517DB2D9" w14:textId="77777777" w:rsidR="00B628FF" w:rsidRDefault="00B628FF">
            <w:pPr>
              <w:pStyle w:val="SummaryAgencyTitle-BP2"/>
            </w:pPr>
          </w:p>
        </w:tc>
        <w:tc>
          <w:tcPr>
            <w:tcW w:w="850" w:type="dxa"/>
          </w:tcPr>
          <w:p w14:paraId="5E431243" w14:textId="77777777" w:rsidR="00B628FF" w:rsidRDefault="00B628FF">
            <w:pPr>
              <w:pStyle w:val="SummaryAgencyTitle-BP2"/>
            </w:pPr>
          </w:p>
        </w:tc>
      </w:tr>
      <w:tr w:rsidR="00B628FF" w14:paraId="4BC33EB8" w14:textId="77777777" w:rsidTr="5FA307DC">
        <w:tc>
          <w:tcPr>
            <w:tcW w:w="3471" w:type="dxa"/>
            <w:vAlign w:val="bottom"/>
          </w:tcPr>
          <w:p w14:paraId="4D6649ED" w14:textId="77777777" w:rsidR="00B628FF" w:rsidRDefault="005B2D2F">
            <w:pPr>
              <w:pStyle w:val="SummaryMeasureTitlewithTheme"/>
            </w:pPr>
            <w:r>
              <w:t>Closing the Gap – further investments(b)</w:t>
            </w:r>
          </w:p>
        </w:tc>
        <w:tc>
          <w:tcPr>
            <w:tcW w:w="850" w:type="dxa"/>
            <w:vAlign w:val="bottom"/>
          </w:tcPr>
          <w:p w14:paraId="682EE0E9" w14:textId="08F8F634" w:rsidR="00B628FF" w:rsidRDefault="00B31B37">
            <w:pPr>
              <w:pStyle w:val="Summarytabletextrightaligned"/>
            </w:pPr>
            <w:r>
              <w:noBreakHyphen/>
            </w:r>
          </w:p>
        </w:tc>
        <w:tc>
          <w:tcPr>
            <w:tcW w:w="850" w:type="dxa"/>
            <w:shd w:val="clear" w:color="auto" w:fill="E6F2FF"/>
            <w:vAlign w:val="bottom"/>
          </w:tcPr>
          <w:p w14:paraId="69774659" w14:textId="619F5991" w:rsidR="00B628FF" w:rsidRDefault="00B31B37">
            <w:pPr>
              <w:pStyle w:val="Summarytabletextrightaligned"/>
            </w:pPr>
            <w:r>
              <w:noBreakHyphen/>
            </w:r>
          </w:p>
        </w:tc>
        <w:tc>
          <w:tcPr>
            <w:tcW w:w="850" w:type="dxa"/>
            <w:vAlign w:val="bottom"/>
          </w:tcPr>
          <w:p w14:paraId="1FD2C044" w14:textId="4B859299" w:rsidR="00B628FF" w:rsidRDefault="00B31B37">
            <w:pPr>
              <w:pStyle w:val="Summarytabletextrightaligned"/>
            </w:pPr>
            <w:r>
              <w:noBreakHyphen/>
            </w:r>
          </w:p>
        </w:tc>
        <w:tc>
          <w:tcPr>
            <w:tcW w:w="850" w:type="dxa"/>
            <w:vAlign w:val="bottom"/>
          </w:tcPr>
          <w:p w14:paraId="7326B4CF" w14:textId="1D4D0E0A" w:rsidR="00B628FF" w:rsidRDefault="00B31B37">
            <w:pPr>
              <w:pStyle w:val="Summarytabletextrightaligned"/>
            </w:pPr>
            <w:r>
              <w:noBreakHyphen/>
            </w:r>
          </w:p>
        </w:tc>
        <w:tc>
          <w:tcPr>
            <w:tcW w:w="850" w:type="dxa"/>
            <w:vAlign w:val="bottom"/>
          </w:tcPr>
          <w:p w14:paraId="2EF36DAC" w14:textId="622E6281" w:rsidR="00B628FF" w:rsidRDefault="00B31B37">
            <w:pPr>
              <w:pStyle w:val="Summarytabletextrightaligned"/>
            </w:pPr>
            <w:r>
              <w:noBreakHyphen/>
            </w:r>
          </w:p>
        </w:tc>
      </w:tr>
      <w:tr w:rsidR="00B628FF" w14:paraId="6092E06B" w14:textId="77777777" w:rsidTr="5FA307DC">
        <w:tc>
          <w:tcPr>
            <w:tcW w:w="3471" w:type="dxa"/>
            <w:vAlign w:val="bottom"/>
          </w:tcPr>
          <w:p w14:paraId="1C49ED84" w14:textId="77777777" w:rsidR="00B628FF" w:rsidRDefault="005B2D2F">
            <w:pPr>
              <w:pStyle w:val="SummaryMeasureTitlewithTheme"/>
            </w:pPr>
            <w:r>
              <w:t>Critical Health Infrastructure and Systems(b)</w:t>
            </w:r>
          </w:p>
        </w:tc>
        <w:tc>
          <w:tcPr>
            <w:tcW w:w="850" w:type="dxa"/>
            <w:vAlign w:val="bottom"/>
          </w:tcPr>
          <w:p w14:paraId="5B299E2B" w14:textId="339BE315" w:rsidR="00B628FF" w:rsidRDefault="00B31B37">
            <w:pPr>
              <w:pStyle w:val="Summarytabletextrightaligned"/>
            </w:pPr>
            <w:r>
              <w:noBreakHyphen/>
            </w:r>
          </w:p>
        </w:tc>
        <w:tc>
          <w:tcPr>
            <w:tcW w:w="850" w:type="dxa"/>
            <w:shd w:val="clear" w:color="auto" w:fill="E6F2FF"/>
            <w:vAlign w:val="bottom"/>
          </w:tcPr>
          <w:p w14:paraId="66A5C0D2" w14:textId="77777777" w:rsidR="00B628FF" w:rsidRDefault="005B2D2F">
            <w:pPr>
              <w:pStyle w:val="Summarytabletextrightaligned"/>
            </w:pPr>
            <w:r>
              <w:t>0.6</w:t>
            </w:r>
          </w:p>
        </w:tc>
        <w:tc>
          <w:tcPr>
            <w:tcW w:w="850" w:type="dxa"/>
            <w:vAlign w:val="bottom"/>
          </w:tcPr>
          <w:p w14:paraId="7FE31306" w14:textId="77777777" w:rsidR="00B628FF" w:rsidRDefault="005B2D2F">
            <w:pPr>
              <w:pStyle w:val="Summarytabletextrightaligned"/>
            </w:pPr>
            <w:r>
              <w:t>0.6</w:t>
            </w:r>
          </w:p>
        </w:tc>
        <w:tc>
          <w:tcPr>
            <w:tcW w:w="850" w:type="dxa"/>
            <w:vAlign w:val="bottom"/>
          </w:tcPr>
          <w:p w14:paraId="455DCC1C" w14:textId="77777777" w:rsidR="00B628FF" w:rsidRDefault="005B2D2F">
            <w:pPr>
              <w:pStyle w:val="Summarytabletextrightaligned"/>
            </w:pPr>
            <w:r>
              <w:t>0.6</w:t>
            </w:r>
          </w:p>
        </w:tc>
        <w:tc>
          <w:tcPr>
            <w:tcW w:w="850" w:type="dxa"/>
            <w:vAlign w:val="bottom"/>
          </w:tcPr>
          <w:p w14:paraId="3A6C1C9F" w14:textId="77777777" w:rsidR="00B628FF" w:rsidRDefault="005B2D2F">
            <w:pPr>
              <w:pStyle w:val="Summarytabletextrightaligned"/>
            </w:pPr>
            <w:r>
              <w:t>0.6</w:t>
            </w:r>
          </w:p>
        </w:tc>
      </w:tr>
      <w:tr w:rsidR="00B628FF" w14:paraId="3CB5050B" w14:textId="77777777" w:rsidTr="5FA307DC">
        <w:tc>
          <w:tcPr>
            <w:tcW w:w="3471" w:type="dxa"/>
            <w:vAlign w:val="bottom"/>
          </w:tcPr>
          <w:p w14:paraId="7DB84ED8" w14:textId="77777777" w:rsidR="00B628FF" w:rsidRDefault="005B2D2F">
            <w:pPr>
              <w:pStyle w:val="SummaryMeasureTitlewithTheme"/>
            </w:pPr>
            <w:r>
              <w:t>Digital Mental Health</w:t>
            </w:r>
          </w:p>
        </w:tc>
        <w:tc>
          <w:tcPr>
            <w:tcW w:w="850" w:type="dxa"/>
            <w:vAlign w:val="bottom"/>
          </w:tcPr>
          <w:p w14:paraId="22B5BCD7" w14:textId="498B0258" w:rsidR="00B628FF" w:rsidRDefault="00B31B37">
            <w:pPr>
              <w:pStyle w:val="Summarytabletextrightaligned"/>
            </w:pPr>
            <w:r>
              <w:noBreakHyphen/>
            </w:r>
          </w:p>
        </w:tc>
        <w:tc>
          <w:tcPr>
            <w:tcW w:w="850" w:type="dxa"/>
            <w:shd w:val="clear" w:color="auto" w:fill="E6F2FF"/>
            <w:vAlign w:val="bottom"/>
          </w:tcPr>
          <w:p w14:paraId="311A4E10" w14:textId="77777777" w:rsidR="00B628FF" w:rsidRDefault="005B2D2F">
            <w:pPr>
              <w:pStyle w:val="Summarytabletextrightaligned"/>
            </w:pPr>
            <w:r>
              <w:t>14.8</w:t>
            </w:r>
          </w:p>
        </w:tc>
        <w:tc>
          <w:tcPr>
            <w:tcW w:w="850" w:type="dxa"/>
            <w:vAlign w:val="bottom"/>
          </w:tcPr>
          <w:p w14:paraId="59317A00" w14:textId="77777777" w:rsidR="00B628FF" w:rsidRDefault="005B2D2F">
            <w:pPr>
              <w:pStyle w:val="Summarytabletextrightaligned"/>
            </w:pPr>
            <w:r>
              <w:t>15.2</w:t>
            </w:r>
          </w:p>
        </w:tc>
        <w:tc>
          <w:tcPr>
            <w:tcW w:w="850" w:type="dxa"/>
            <w:vAlign w:val="bottom"/>
          </w:tcPr>
          <w:p w14:paraId="5A22490F" w14:textId="77777777" w:rsidR="00B628FF" w:rsidRDefault="005B2D2F">
            <w:pPr>
              <w:pStyle w:val="Summarytabletextrightaligned"/>
            </w:pPr>
            <w:r>
              <w:t>15.5</w:t>
            </w:r>
          </w:p>
        </w:tc>
        <w:tc>
          <w:tcPr>
            <w:tcW w:w="850" w:type="dxa"/>
            <w:vAlign w:val="bottom"/>
          </w:tcPr>
          <w:p w14:paraId="7059B656" w14:textId="2B28C9CF" w:rsidR="00B628FF" w:rsidRDefault="00B31B37">
            <w:pPr>
              <w:pStyle w:val="Summarytabletextrightaligned"/>
            </w:pPr>
            <w:r>
              <w:noBreakHyphen/>
            </w:r>
          </w:p>
        </w:tc>
      </w:tr>
      <w:tr w:rsidR="00B628FF" w14:paraId="3940A639" w14:textId="77777777" w:rsidTr="5FA307DC">
        <w:tc>
          <w:tcPr>
            <w:tcW w:w="3471" w:type="dxa"/>
            <w:vAlign w:val="bottom"/>
          </w:tcPr>
          <w:p w14:paraId="078F3DF5" w14:textId="77777777" w:rsidR="00B628FF" w:rsidRDefault="005B2D2F">
            <w:pPr>
              <w:pStyle w:val="SummaryMeasureTitlewithTheme"/>
            </w:pPr>
            <w:r>
              <w:t>Disaster Support</w:t>
            </w:r>
          </w:p>
        </w:tc>
        <w:tc>
          <w:tcPr>
            <w:tcW w:w="850" w:type="dxa"/>
            <w:vAlign w:val="bottom"/>
          </w:tcPr>
          <w:p w14:paraId="1D489402" w14:textId="6EE2DA96" w:rsidR="00B628FF" w:rsidRDefault="00B31B37">
            <w:pPr>
              <w:pStyle w:val="Summarytabletextrightaligned"/>
            </w:pPr>
            <w:r>
              <w:noBreakHyphen/>
            </w:r>
          </w:p>
        </w:tc>
        <w:tc>
          <w:tcPr>
            <w:tcW w:w="850" w:type="dxa"/>
            <w:shd w:val="clear" w:color="auto" w:fill="E6F2FF"/>
            <w:vAlign w:val="bottom"/>
          </w:tcPr>
          <w:p w14:paraId="0462C674" w14:textId="77777777" w:rsidR="00B628FF" w:rsidRDefault="005B2D2F">
            <w:pPr>
              <w:pStyle w:val="Summarytabletextrightaligned"/>
            </w:pPr>
            <w:r>
              <w:t>1.4</w:t>
            </w:r>
          </w:p>
        </w:tc>
        <w:tc>
          <w:tcPr>
            <w:tcW w:w="850" w:type="dxa"/>
            <w:vAlign w:val="bottom"/>
          </w:tcPr>
          <w:p w14:paraId="5C640CAE" w14:textId="67E06C54" w:rsidR="00B628FF" w:rsidRDefault="00B31B37">
            <w:pPr>
              <w:pStyle w:val="Summarytabletextrightaligned"/>
            </w:pPr>
            <w:r>
              <w:noBreakHyphen/>
            </w:r>
          </w:p>
        </w:tc>
        <w:tc>
          <w:tcPr>
            <w:tcW w:w="850" w:type="dxa"/>
            <w:vAlign w:val="bottom"/>
          </w:tcPr>
          <w:p w14:paraId="0547666D" w14:textId="108F26B4" w:rsidR="00B628FF" w:rsidRDefault="00B31B37">
            <w:pPr>
              <w:pStyle w:val="Summarytabletextrightaligned"/>
            </w:pPr>
            <w:r>
              <w:noBreakHyphen/>
            </w:r>
          </w:p>
        </w:tc>
        <w:tc>
          <w:tcPr>
            <w:tcW w:w="850" w:type="dxa"/>
            <w:vAlign w:val="bottom"/>
          </w:tcPr>
          <w:p w14:paraId="1F3116B3" w14:textId="66028346" w:rsidR="00B628FF" w:rsidRDefault="00B31B37">
            <w:pPr>
              <w:pStyle w:val="Summarytabletextrightaligned"/>
            </w:pPr>
            <w:r>
              <w:noBreakHyphen/>
            </w:r>
          </w:p>
        </w:tc>
      </w:tr>
      <w:tr w:rsidR="00B628FF" w14:paraId="4968F951" w14:textId="77777777" w:rsidTr="5FA307DC">
        <w:tc>
          <w:tcPr>
            <w:tcW w:w="3471" w:type="dxa"/>
            <w:vAlign w:val="bottom"/>
          </w:tcPr>
          <w:p w14:paraId="0035A058" w14:textId="77777777" w:rsidR="00B628FF" w:rsidRDefault="005B2D2F">
            <w:pPr>
              <w:pStyle w:val="SummaryMeasureTitlewithTheme"/>
            </w:pPr>
            <w:r>
              <w:t>Even Cheaper Medicines(b)</w:t>
            </w:r>
          </w:p>
        </w:tc>
        <w:tc>
          <w:tcPr>
            <w:tcW w:w="850" w:type="dxa"/>
            <w:vAlign w:val="bottom"/>
          </w:tcPr>
          <w:p w14:paraId="2454F5F6" w14:textId="1DC349D9" w:rsidR="00B628FF" w:rsidRDefault="00B31B37">
            <w:pPr>
              <w:pStyle w:val="Summarytabletextrightaligned"/>
            </w:pPr>
            <w:r>
              <w:noBreakHyphen/>
            </w:r>
          </w:p>
        </w:tc>
        <w:tc>
          <w:tcPr>
            <w:tcW w:w="850" w:type="dxa"/>
            <w:shd w:val="clear" w:color="auto" w:fill="E6F2FF"/>
            <w:vAlign w:val="bottom"/>
          </w:tcPr>
          <w:p w14:paraId="6A6C955D" w14:textId="77777777" w:rsidR="00B628FF" w:rsidRDefault="005B2D2F">
            <w:pPr>
              <w:pStyle w:val="Summarytabletextrightaligned"/>
            </w:pPr>
            <w:r>
              <w:t>107.7</w:t>
            </w:r>
          </w:p>
        </w:tc>
        <w:tc>
          <w:tcPr>
            <w:tcW w:w="850" w:type="dxa"/>
            <w:vAlign w:val="bottom"/>
          </w:tcPr>
          <w:p w14:paraId="62AB0572" w14:textId="77777777" w:rsidR="00B628FF" w:rsidRDefault="005B2D2F">
            <w:pPr>
              <w:pStyle w:val="Summarytabletextrightaligned"/>
            </w:pPr>
            <w:r>
              <w:t>214.9</w:t>
            </w:r>
          </w:p>
        </w:tc>
        <w:tc>
          <w:tcPr>
            <w:tcW w:w="850" w:type="dxa"/>
            <w:vAlign w:val="bottom"/>
          </w:tcPr>
          <w:p w14:paraId="55FCDF7F" w14:textId="77777777" w:rsidR="00B628FF" w:rsidRDefault="005B2D2F">
            <w:pPr>
              <w:pStyle w:val="Summarytabletextrightaligned"/>
            </w:pPr>
            <w:r>
              <w:t>225.5</w:t>
            </w:r>
          </w:p>
        </w:tc>
        <w:tc>
          <w:tcPr>
            <w:tcW w:w="850" w:type="dxa"/>
            <w:vAlign w:val="bottom"/>
          </w:tcPr>
          <w:p w14:paraId="6116F95B" w14:textId="77777777" w:rsidR="00B628FF" w:rsidRDefault="005B2D2F">
            <w:pPr>
              <w:pStyle w:val="Summarytabletextrightaligned"/>
            </w:pPr>
            <w:r>
              <w:t>236.4</w:t>
            </w:r>
          </w:p>
        </w:tc>
      </w:tr>
      <w:tr w:rsidR="00B628FF" w14:paraId="1241DEAA" w14:textId="77777777" w:rsidTr="5FA307DC">
        <w:tc>
          <w:tcPr>
            <w:tcW w:w="3471" w:type="dxa"/>
            <w:vAlign w:val="bottom"/>
          </w:tcPr>
          <w:p w14:paraId="5B31696C" w14:textId="77777777" w:rsidR="00B628FF" w:rsidRDefault="005B2D2F">
            <w:pPr>
              <w:pStyle w:val="SummaryMeasureTitlewithTheme"/>
            </w:pPr>
            <w:r>
              <w:t>Funding Pay Increases for Aged Care Workers – nurses</w:t>
            </w:r>
          </w:p>
        </w:tc>
        <w:tc>
          <w:tcPr>
            <w:tcW w:w="850" w:type="dxa"/>
            <w:vAlign w:val="bottom"/>
          </w:tcPr>
          <w:p w14:paraId="11A63BA3" w14:textId="77777777" w:rsidR="00B628FF" w:rsidRDefault="005B2D2F">
            <w:pPr>
              <w:pStyle w:val="Summarytabletextrightaligned"/>
            </w:pPr>
            <w:r>
              <w:t>3.5</w:t>
            </w:r>
          </w:p>
        </w:tc>
        <w:tc>
          <w:tcPr>
            <w:tcW w:w="850" w:type="dxa"/>
            <w:shd w:val="clear" w:color="auto" w:fill="E6F2FF"/>
            <w:vAlign w:val="bottom"/>
          </w:tcPr>
          <w:p w14:paraId="314AA92B" w14:textId="77777777" w:rsidR="00B628FF" w:rsidRDefault="005B2D2F">
            <w:pPr>
              <w:pStyle w:val="Summarytabletextrightaligned"/>
            </w:pPr>
            <w:r>
              <w:t>36.3</w:t>
            </w:r>
          </w:p>
        </w:tc>
        <w:tc>
          <w:tcPr>
            <w:tcW w:w="850" w:type="dxa"/>
            <w:vAlign w:val="bottom"/>
          </w:tcPr>
          <w:p w14:paraId="18489F01" w14:textId="77777777" w:rsidR="00B628FF" w:rsidRDefault="005B2D2F">
            <w:pPr>
              <w:pStyle w:val="Summarytabletextrightaligned"/>
            </w:pPr>
            <w:r>
              <w:t>41.4</w:t>
            </w:r>
          </w:p>
        </w:tc>
        <w:tc>
          <w:tcPr>
            <w:tcW w:w="850" w:type="dxa"/>
            <w:vAlign w:val="bottom"/>
          </w:tcPr>
          <w:p w14:paraId="3508AEAC" w14:textId="77777777" w:rsidR="00B628FF" w:rsidRDefault="005B2D2F">
            <w:pPr>
              <w:pStyle w:val="Summarytabletextrightaligned"/>
            </w:pPr>
            <w:r>
              <w:t>0.3</w:t>
            </w:r>
          </w:p>
        </w:tc>
        <w:tc>
          <w:tcPr>
            <w:tcW w:w="850" w:type="dxa"/>
            <w:vAlign w:val="bottom"/>
          </w:tcPr>
          <w:p w14:paraId="2921D700" w14:textId="77777777" w:rsidR="00B628FF" w:rsidRDefault="005B2D2F">
            <w:pPr>
              <w:pStyle w:val="Summarytabletextrightaligned"/>
            </w:pPr>
            <w:r>
              <w:t>0.3</w:t>
            </w:r>
          </w:p>
        </w:tc>
      </w:tr>
    </w:tbl>
    <w:p w14:paraId="0407D410" w14:textId="77777777" w:rsidR="00997AF2" w:rsidRDefault="00997AF2" w:rsidP="00997AF2">
      <w:pPr>
        <w:sectPr w:rsidR="00997AF2" w:rsidSect="00A06F82">
          <w:pgSz w:w="11906" w:h="16838"/>
          <w:pgMar w:top="2835" w:right="2098" w:bottom="2466" w:left="2098" w:header="1814" w:footer="1814" w:gutter="0"/>
          <w:cols w:space="720"/>
          <w:docGrid w:linePitch="272"/>
        </w:sectPr>
      </w:pPr>
    </w:p>
    <w:p w14:paraId="3B5F150C" w14:textId="77777777" w:rsidR="00997AF2" w:rsidRDefault="00997AF2" w:rsidP="00997AF2">
      <w:pPr>
        <w:pStyle w:val="TableHeadingcontinued"/>
      </w:pPr>
      <w:r>
        <w:t>Table 2: Payment measures since the 2024–25 MYEFO</w:t>
      </w:r>
      <w:r>
        <w:rPr>
          <w:rFonts w:ascii="Cambria Math" w:hAnsi="Cambria Math" w:cs="Cambria Math"/>
        </w:rPr>
        <w:t>⁽</w:t>
      </w:r>
      <w:r>
        <w:rPr>
          <w:rFonts w:cs="Arial"/>
        </w:rPr>
        <w:t>ª</w:t>
      </w:r>
      <w:r>
        <w:rPr>
          <w:rFonts w:ascii="Cambria Math" w:hAnsi="Cambria Math" w:cs="Cambria Math"/>
        </w:rPr>
        <w:t>⁾</w:t>
      </w:r>
      <w:r>
        <w:t xml:space="preserve"> (continued)</w:t>
      </w:r>
    </w:p>
    <w:tbl>
      <w:tblPr>
        <w:tblOverlap w:val="never"/>
        <w:tblW w:w="7721" w:type="dxa"/>
        <w:tblBorders>
          <w:top w:val="single" w:sz="4" w:space="0" w:color="000000"/>
          <w:bottom w:val="single" w:sz="4" w:space="0" w:color="000000"/>
        </w:tblBorders>
        <w:tblLayout w:type="fixed"/>
        <w:tblCellMar>
          <w:left w:w="0" w:type="dxa"/>
          <w:right w:w="56" w:type="dxa"/>
        </w:tblCellMar>
        <w:tblLook w:val="04A0" w:firstRow="1" w:lastRow="0" w:firstColumn="1" w:lastColumn="0" w:noHBand="0" w:noVBand="1"/>
      </w:tblPr>
      <w:tblGrid>
        <w:gridCol w:w="3471"/>
        <w:gridCol w:w="850"/>
        <w:gridCol w:w="850"/>
        <w:gridCol w:w="850"/>
        <w:gridCol w:w="850"/>
        <w:gridCol w:w="850"/>
      </w:tblGrid>
      <w:tr w:rsidR="00997AF2" w14:paraId="3F5186D3" w14:textId="77777777" w:rsidTr="5FA307DC">
        <w:tc>
          <w:tcPr>
            <w:tcW w:w="3471" w:type="dxa"/>
            <w:vAlign w:val="bottom"/>
          </w:tcPr>
          <w:p w14:paraId="49B73FC8" w14:textId="77777777" w:rsidR="00997AF2" w:rsidRDefault="00997AF2" w:rsidP="00997AF2"/>
        </w:tc>
        <w:tc>
          <w:tcPr>
            <w:tcW w:w="850" w:type="dxa"/>
            <w:tcBorders>
              <w:bottom w:val="nil"/>
            </w:tcBorders>
            <w:vAlign w:val="bottom"/>
          </w:tcPr>
          <w:p w14:paraId="1616AE01" w14:textId="335CEDE1" w:rsidR="00997AF2" w:rsidRDefault="00997AF2" w:rsidP="00997AF2">
            <w:pPr>
              <w:pStyle w:val="Summarytabletextrightaligned"/>
            </w:pPr>
            <w:r>
              <w:t>2024</w:t>
            </w:r>
            <w:r w:rsidR="00B31B37">
              <w:noBreakHyphen/>
            </w:r>
            <w:r>
              <w:t>25</w:t>
            </w:r>
          </w:p>
        </w:tc>
        <w:tc>
          <w:tcPr>
            <w:tcW w:w="850" w:type="dxa"/>
            <w:tcBorders>
              <w:bottom w:val="nil"/>
            </w:tcBorders>
            <w:shd w:val="clear" w:color="auto" w:fill="E6F2FF"/>
            <w:vAlign w:val="bottom"/>
          </w:tcPr>
          <w:p w14:paraId="7F1E27BD" w14:textId="27041B9F" w:rsidR="00997AF2" w:rsidRDefault="00997AF2" w:rsidP="00997AF2">
            <w:pPr>
              <w:pStyle w:val="Summarytabletextrightaligned"/>
            </w:pPr>
            <w:r>
              <w:t>2025</w:t>
            </w:r>
            <w:r w:rsidR="00B31B37">
              <w:noBreakHyphen/>
            </w:r>
            <w:r>
              <w:t>26</w:t>
            </w:r>
          </w:p>
        </w:tc>
        <w:tc>
          <w:tcPr>
            <w:tcW w:w="850" w:type="dxa"/>
            <w:tcBorders>
              <w:bottom w:val="nil"/>
            </w:tcBorders>
            <w:vAlign w:val="bottom"/>
          </w:tcPr>
          <w:p w14:paraId="42E77386" w14:textId="3370499E" w:rsidR="00997AF2" w:rsidRDefault="00997AF2" w:rsidP="00997AF2">
            <w:pPr>
              <w:pStyle w:val="Summarytabletextrightaligned"/>
            </w:pPr>
            <w:r>
              <w:t>2026</w:t>
            </w:r>
            <w:r w:rsidR="00B31B37">
              <w:noBreakHyphen/>
            </w:r>
            <w:r>
              <w:t>27</w:t>
            </w:r>
          </w:p>
        </w:tc>
        <w:tc>
          <w:tcPr>
            <w:tcW w:w="850" w:type="dxa"/>
            <w:tcBorders>
              <w:bottom w:val="nil"/>
            </w:tcBorders>
            <w:vAlign w:val="bottom"/>
          </w:tcPr>
          <w:p w14:paraId="4447AAE1" w14:textId="209652D0" w:rsidR="00997AF2" w:rsidRDefault="00997AF2" w:rsidP="00997AF2">
            <w:pPr>
              <w:pStyle w:val="Summarytabletextrightaligned"/>
            </w:pPr>
            <w:r>
              <w:t>2027</w:t>
            </w:r>
            <w:r w:rsidR="00B31B37">
              <w:noBreakHyphen/>
            </w:r>
            <w:r>
              <w:t>28</w:t>
            </w:r>
          </w:p>
        </w:tc>
        <w:tc>
          <w:tcPr>
            <w:tcW w:w="850" w:type="dxa"/>
            <w:tcBorders>
              <w:bottom w:val="nil"/>
            </w:tcBorders>
            <w:vAlign w:val="bottom"/>
          </w:tcPr>
          <w:p w14:paraId="0C73535B" w14:textId="3DDC1CF5" w:rsidR="00997AF2" w:rsidRDefault="00997AF2" w:rsidP="00997AF2">
            <w:pPr>
              <w:pStyle w:val="Summarytabletextrightaligned"/>
            </w:pPr>
            <w:r>
              <w:t>2028</w:t>
            </w:r>
            <w:r w:rsidR="00B31B37">
              <w:noBreakHyphen/>
            </w:r>
            <w:r>
              <w:t>29</w:t>
            </w:r>
          </w:p>
        </w:tc>
      </w:tr>
      <w:tr w:rsidR="00997AF2" w14:paraId="4274831C" w14:textId="77777777" w:rsidTr="5FA307DC">
        <w:tc>
          <w:tcPr>
            <w:tcW w:w="3471" w:type="dxa"/>
            <w:vAlign w:val="bottom"/>
          </w:tcPr>
          <w:p w14:paraId="35AE3268" w14:textId="77777777" w:rsidR="00997AF2" w:rsidRDefault="00997AF2" w:rsidP="00997AF2"/>
        </w:tc>
        <w:tc>
          <w:tcPr>
            <w:tcW w:w="850" w:type="dxa"/>
            <w:tcBorders>
              <w:top w:val="nil"/>
              <w:bottom w:val="single" w:sz="4" w:space="0" w:color="auto"/>
            </w:tcBorders>
            <w:shd w:val="clear" w:color="auto" w:fill="auto"/>
            <w:vAlign w:val="bottom"/>
          </w:tcPr>
          <w:p w14:paraId="76D08CE1" w14:textId="77777777" w:rsidR="00997AF2" w:rsidRDefault="00997AF2" w:rsidP="00997AF2">
            <w:pPr>
              <w:pStyle w:val="Summarytabletextrightaligned"/>
            </w:pPr>
            <w:r>
              <w:t>$m</w:t>
            </w:r>
          </w:p>
        </w:tc>
        <w:tc>
          <w:tcPr>
            <w:tcW w:w="850" w:type="dxa"/>
            <w:tcBorders>
              <w:top w:val="nil"/>
              <w:bottom w:val="single" w:sz="4" w:space="0" w:color="auto"/>
            </w:tcBorders>
            <w:shd w:val="clear" w:color="auto" w:fill="E6F2FF"/>
            <w:vAlign w:val="bottom"/>
          </w:tcPr>
          <w:p w14:paraId="39B9906B" w14:textId="77777777" w:rsidR="00997AF2" w:rsidRDefault="00997AF2" w:rsidP="00997AF2">
            <w:pPr>
              <w:pStyle w:val="Summarytabletextrightaligned"/>
            </w:pPr>
            <w:r>
              <w:t>$m</w:t>
            </w:r>
          </w:p>
        </w:tc>
        <w:tc>
          <w:tcPr>
            <w:tcW w:w="850" w:type="dxa"/>
            <w:tcBorders>
              <w:top w:val="nil"/>
              <w:bottom w:val="single" w:sz="4" w:space="0" w:color="auto"/>
            </w:tcBorders>
            <w:shd w:val="clear" w:color="auto" w:fill="auto"/>
            <w:vAlign w:val="bottom"/>
          </w:tcPr>
          <w:p w14:paraId="1EE63C4E" w14:textId="77777777" w:rsidR="00997AF2" w:rsidRDefault="00997AF2" w:rsidP="00997AF2">
            <w:pPr>
              <w:pStyle w:val="Summarytabletextrightaligned"/>
            </w:pPr>
            <w:r>
              <w:t>$m</w:t>
            </w:r>
          </w:p>
        </w:tc>
        <w:tc>
          <w:tcPr>
            <w:tcW w:w="850" w:type="dxa"/>
            <w:tcBorders>
              <w:top w:val="nil"/>
              <w:bottom w:val="single" w:sz="4" w:space="0" w:color="auto"/>
            </w:tcBorders>
            <w:shd w:val="clear" w:color="auto" w:fill="auto"/>
            <w:vAlign w:val="bottom"/>
          </w:tcPr>
          <w:p w14:paraId="01A4313D" w14:textId="77777777" w:rsidR="00997AF2" w:rsidRDefault="00997AF2" w:rsidP="00997AF2">
            <w:pPr>
              <w:pStyle w:val="Summarytabletextrightaligned"/>
            </w:pPr>
            <w:r>
              <w:t>$m</w:t>
            </w:r>
          </w:p>
        </w:tc>
        <w:tc>
          <w:tcPr>
            <w:tcW w:w="850" w:type="dxa"/>
            <w:tcBorders>
              <w:top w:val="nil"/>
              <w:bottom w:val="single" w:sz="4" w:space="0" w:color="auto"/>
            </w:tcBorders>
            <w:shd w:val="clear" w:color="auto" w:fill="auto"/>
            <w:vAlign w:val="bottom"/>
          </w:tcPr>
          <w:p w14:paraId="1301ADC8" w14:textId="77777777" w:rsidR="00997AF2" w:rsidRDefault="00997AF2" w:rsidP="00997AF2">
            <w:pPr>
              <w:pStyle w:val="Summarytabletextrightaligned"/>
            </w:pPr>
            <w:r>
              <w:t>$m</w:t>
            </w:r>
          </w:p>
        </w:tc>
      </w:tr>
      <w:tr w:rsidR="00997AF2" w14:paraId="4C11B36F" w14:textId="77777777" w:rsidTr="5FA307DC">
        <w:tc>
          <w:tcPr>
            <w:tcW w:w="3471" w:type="dxa"/>
            <w:tcBorders>
              <w:bottom w:val="nil"/>
            </w:tcBorders>
            <w:vAlign w:val="bottom"/>
          </w:tcPr>
          <w:p w14:paraId="0AD6AA05" w14:textId="77777777" w:rsidR="00997AF2" w:rsidRPr="00997AF2" w:rsidRDefault="00997AF2" w:rsidP="00997AF2">
            <w:pPr>
              <w:pStyle w:val="SummaryMeasureTitlewithTheme"/>
              <w:rPr>
                <w:b/>
              </w:rPr>
            </w:pPr>
            <w:r w:rsidRPr="00997AF2">
              <w:rPr>
                <w:b/>
              </w:rPr>
              <w:t>HEALTH AND AGED CARE (continued)</w:t>
            </w:r>
          </w:p>
        </w:tc>
        <w:tc>
          <w:tcPr>
            <w:tcW w:w="850" w:type="dxa"/>
            <w:tcBorders>
              <w:top w:val="single" w:sz="4" w:space="0" w:color="auto"/>
              <w:bottom w:val="nil"/>
            </w:tcBorders>
            <w:vAlign w:val="bottom"/>
          </w:tcPr>
          <w:p w14:paraId="68453FB4" w14:textId="77777777" w:rsidR="00997AF2" w:rsidRDefault="00997AF2">
            <w:pPr>
              <w:pStyle w:val="Summarytabletextrightaligned"/>
            </w:pPr>
          </w:p>
        </w:tc>
        <w:tc>
          <w:tcPr>
            <w:tcW w:w="850" w:type="dxa"/>
            <w:tcBorders>
              <w:top w:val="single" w:sz="4" w:space="0" w:color="auto"/>
              <w:bottom w:val="nil"/>
            </w:tcBorders>
            <w:shd w:val="clear" w:color="auto" w:fill="E6F2FF"/>
            <w:vAlign w:val="bottom"/>
          </w:tcPr>
          <w:p w14:paraId="43A9DDF1" w14:textId="77777777" w:rsidR="00997AF2" w:rsidRDefault="00997AF2">
            <w:pPr>
              <w:pStyle w:val="Summarytabletextrightaligned"/>
            </w:pPr>
          </w:p>
        </w:tc>
        <w:tc>
          <w:tcPr>
            <w:tcW w:w="850" w:type="dxa"/>
            <w:tcBorders>
              <w:top w:val="single" w:sz="4" w:space="0" w:color="auto"/>
              <w:bottom w:val="nil"/>
            </w:tcBorders>
            <w:vAlign w:val="bottom"/>
          </w:tcPr>
          <w:p w14:paraId="66B44290" w14:textId="77777777" w:rsidR="00997AF2" w:rsidRDefault="00997AF2">
            <w:pPr>
              <w:pStyle w:val="Summarytabletextrightaligned"/>
            </w:pPr>
          </w:p>
        </w:tc>
        <w:tc>
          <w:tcPr>
            <w:tcW w:w="850" w:type="dxa"/>
            <w:tcBorders>
              <w:top w:val="single" w:sz="4" w:space="0" w:color="auto"/>
              <w:bottom w:val="nil"/>
            </w:tcBorders>
            <w:vAlign w:val="bottom"/>
          </w:tcPr>
          <w:p w14:paraId="2C6A6A40" w14:textId="77777777" w:rsidR="00997AF2" w:rsidRDefault="00997AF2">
            <w:pPr>
              <w:pStyle w:val="Summarytabletextrightaligned"/>
            </w:pPr>
          </w:p>
        </w:tc>
        <w:tc>
          <w:tcPr>
            <w:tcW w:w="850" w:type="dxa"/>
            <w:tcBorders>
              <w:top w:val="single" w:sz="4" w:space="0" w:color="auto"/>
              <w:bottom w:val="nil"/>
            </w:tcBorders>
            <w:vAlign w:val="bottom"/>
          </w:tcPr>
          <w:p w14:paraId="097AEE39" w14:textId="77777777" w:rsidR="00997AF2" w:rsidRDefault="00997AF2">
            <w:pPr>
              <w:pStyle w:val="Summarytabletextrightaligned"/>
            </w:pPr>
          </w:p>
        </w:tc>
      </w:tr>
      <w:tr w:rsidR="00B628FF" w14:paraId="3DE1B508" w14:textId="77777777" w:rsidTr="5FA307DC">
        <w:tc>
          <w:tcPr>
            <w:tcW w:w="3471" w:type="dxa"/>
            <w:tcBorders>
              <w:top w:val="nil"/>
            </w:tcBorders>
            <w:vAlign w:val="bottom"/>
          </w:tcPr>
          <w:p w14:paraId="5E1D820A" w14:textId="77777777" w:rsidR="00B628FF" w:rsidRDefault="005B2D2F">
            <w:pPr>
              <w:pStyle w:val="SummaryMeasureTitlewithTheme"/>
            </w:pPr>
            <w:r>
              <w:t>Health – savings</w:t>
            </w:r>
          </w:p>
        </w:tc>
        <w:tc>
          <w:tcPr>
            <w:tcW w:w="850" w:type="dxa"/>
            <w:tcBorders>
              <w:top w:val="nil"/>
            </w:tcBorders>
            <w:vAlign w:val="bottom"/>
          </w:tcPr>
          <w:p w14:paraId="2D1295DF" w14:textId="4DAAC08A" w:rsidR="00B628FF" w:rsidRDefault="00B31B37">
            <w:pPr>
              <w:pStyle w:val="Summarytabletextrightaligned"/>
            </w:pPr>
            <w:r>
              <w:noBreakHyphen/>
            </w:r>
          </w:p>
        </w:tc>
        <w:tc>
          <w:tcPr>
            <w:tcW w:w="850" w:type="dxa"/>
            <w:tcBorders>
              <w:top w:val="nil"/>
            </w:tcBorders>
            <w:shd w:val="clear" w:color="auto" w:fill="E6F2FF"/>
            <w:vAlign w:val="bottom"/>
          </w:tcPr>
          <w:p w14:paraId="3D0C567E" w14:textId="392A04ED" w:rsidR="00B628FF" w:rsidRDefault="00B31B37">
            <w:pPr>
              <w:pStyle w:val="Summarytabletextrightaligned"/>
            </w:pPr>
            <w:r>
              <w:noBreakHyphen/>
            </w:r>
            <w:r w:rsidR="005B2D2F">
              <w:t>3.7</w:t>
            </w:r>
          </w:p>
        </w:tc>
        <w:tc>
          <w:tcPr>
            <w:tcW w:w="850" w:type="dxa"/>
            <w:tcBorders>
              <w:top w:val="nil"/>
            </w:tcBorders>
            <w:vAlign w:val="bottom"/>
          </w:tcPr>
          <w:p w14:paraId="1D5EE862" w14:textId="0B178628" w:rsidR="00B628FF" w:rsidRDefault="00B31B37">
            <w:pPr>
              <w:pStyle w:val="Summarytabletextrightaligned"/>
            </w:pPr>
            <w:r>
              <w:noBreakHyphen/>
            </w:r>
          </w:p>
        </w:tc>
        <w:tc>
          <w:tcPr>
            <w:tcW w:w="850" w:type="dxa"/>
            <w:tcBorders>
              <w:top w:val="nil"/>
            </w:tcBorders>
            <w:vAlign w:val="bottom"/>
          </w:tcPr>
          <w:p w14:paraId="5D05AB73" w14:textId="47AC5BBD" w:rsidR="00B628FF" w:rsidRDefault="00B31B37">
            <w:pPr>
              <w:pStyle w:val="Summarytabletextrightaligned"/>
            </w:pPr>
            <w:r>
              <w:noBreakHyphen/>
            </w:r>
          </w:p>
        </w:tc>
        <w:tc>
          <w:tcPr>
            <w:tcW w:w="850" w:type="dxa"/>
            <w:tcBorders>
              <w:top w:val="nil"/>
            </w:tcBorders>
            <w:vAlign w:val="bottom"/>
          </w:tcPr>
          <w:p w14:paraId="3D8F4F4B" w14:textId="0144A1FC" w:rsidR="00B628FF" w:rsidRDefault="00B31B37">
            <w:pPr>
              <w:pStyle w:val="Summarytabletextrightaligned"/>
            </w:pPr>
            <w:r>
              <w:noBreakHyphen/>
            </w:r>
          </w:p>
        </w:tc>
      </w:tr>
      <w:tr w:rsidR="00B628FF" w14:paraId="242A8FC0" w14:textId="77777777" w:rsidTr="5FA307DC">
        <w:tc>
          <w:tcPr>
            <w:tcW w:w="3471" w:type="dxa"/>
            <w:vAlign w:val="bottom"/>
          </w:tcPr>
          <w:p w14:paraId="16EAC402" w14:textId="77777777" w:rsidR="00B628FF" w:rsidRDefault="005B2D2F">
            <w:pPr>
              <w:pStyle w:val="SummaryMeasureTitlewithTheme"/>
            </w:pPr>
            <w:r>
              <w:t>Illicit Tobacco Compliance and Enforcement Package – direct and targeted enforcement to counter profits from illicit tobacco</w:t>
            </w:r>
          </w:p>
        </w:tc>
        <w:tc>
          <w:tcPr>
            <w:tcW w:w="850" w:type="dxa"/>
            <w:vAlign w:val="bottom"/>
          </w:tcPr>
          <w:p w14:paraId="476E3ADF" w14:textId="42FA59C9" w:rsidR="00B628FF" w:rsidRDefault="00B31B37">
            <w:pPr>
              <w:pStyle w:val="Summarytabletextrightaligned"/>
            </w:pPr>
            <w:r>
              <w:noBreakHyphen/>
            </w:r>
          </w:p>
        </w:tc>
        <w:tc>
          <w:tcPr>
            <w:tcW w:w="850" w:type="dxa"/>
            <w:shd w:val="clear" w:color="auto" w:fill="E6F2FF"/>
            <w:vAlign w:val="bottom"/>
          </w:tcPr>
          <w:p w14:paraId="6AD5550D" w14:textId="77777777" w:rsidR="00B628FF" w:rsidRDefault="005B2D2F">
            <w:pPr>
              <w:pStyle w:val="Summarytabletextrightaligned"/>
            </w:pPr>
            <w:r>
              <w:t>17.9</w:t>
            </w:r>
          </w:p>
        </w:tc>
        <w:tc>
          <w:tcPr>
            <w:tcW w:w="850" w:type="dxa"/>
            <w:vAlign w:val="bottom"/>
          </w:tcPr>
          <w:p w14:paraId="152CBDF9" w14:textId="77777777" w:rsidR="00B628FF" w:rsidRDefault="005B2D2F">
            <w:pPr>
              <w:pStyle w:val="Summarytabletextrightaligned"/>
            </w:pPr>
            <w:r>
              <w:t>17.7</w:t>
            </w:r>
          </w:p>
        </w:tc>
        <w:tc>
          <w:tcPr>
            <w:tcW w:w="850" w:type="dxa"/>
            <w:vAlign w:val="bottom"/>
          </w:tcPr>
          <w:p w14:paraId="7080C2CF" w14:textId="29637F2D" w:rsidR="00B628FF" w:rsidRDefault="00B31B37">
            <w:pPr>
              <w:pStyle w:val="Summarytabletextrightaligned"/>
            </w:pPr>
            <w:r>
              <w:noBreakHyphen/>
            </w:r>
          </w:p>
        </w:tc>
        <w:tc>
          <w:tcPr>
            <w:tcW w:w="850" w:type="dxa"/>
            <w:vAlign w:val="bottom"/>
          </w:tcPr>
          <w:p w14:paraId="16BE78BC" w14:textId="0D146417" w:rsidR="00B628FF" w:rsidRDefault="00B31B37">
            <w:pPr>
              <w:pStyle w:val="Summarytabletextrightaligned"/>
            </w:pPr>
            <w:r>
              <w:noBreakHyphen/>
            </w:r>
          </w:p>
        </w:tc>
      </w:tr>
      <w:tr w:rsidR="00B628FF" w14:paraId="590001C8" w14:textId="77777777" w:rsidTr="5FA307DC">
        <w:tc>
          <w:tcPr>
            <w:tcW w:w="3471" w:type="dxa"/>
            <w:vAlign w:val="bottom"/>
          </w:tcPr>
          <w:p w14:paraId="0FD98F38" w14:textId="77777777" w:rsidR="00B628FF" w:rsidRDefault="005B2D2F">
            <w:pPr>
              <w:pStyle w:val="SummaryMeasureTitlewithTheme"/>
            </w:pPr>
            <w:r>
              <w:t>Implementation of Aged Care Reforms(b)</w:t>
            </w:r>
          </w:p>
        </w:tc>
        <w:tc>
          <w:tcPr>
            <w:tcW w:w="850" w:type="dxa"/>
            <w:vAlign w:val="bottom"/>
          </w:tcPr>
          <w:p w14:paraId="28582259" w14:textId="43E8D75A" w:rsidR="00B628FF" w:rsidRDefault="00B31B37">
            <w:pPr>
              <w:pStyle w:val="Summarytabletextrightaligned"/>
            </w:pPr>
            <w:r>
              <w:noBreakHyphen/>
            </w:r>
            <w:r w:rsidR="005B2D2F">
              <w:t>0.2</w:t>
            </w:r>
          </w:p>
        </w:tc>
        <w:tc>
          <w:tcPr>
            <w:tcW w:w="850" w:type="dxa"/>
            <w:shd w:val="clear" w:color="auto" w:fill="E6F2FF"/>
            <w:vAlign w:val="bottom"/>
          </w:tcPr>
          <w:p w14:paraId="582A835A" w14:textId="77777777" w:rsidR="00B628FF" w:rsidRDefault="005B2D2F">
            <w:pPr>
              <w:pStyle w:val="Summarytabletextrightaligned"/>
            </w:pPr>
            <w:r>
              <w:t>24.5</w:t>
            </w:r>
          </w:p>
        </w:tc>
        <w:tc>
          <w:tcPr>
            <w:tcW w:w="850" w:type="dxa"/>
            <w:vAlign w:val="bottom"/>
          </w:tcPr>
          <w:p w14:paraId="71FDF76C" w14:textId="77777777" w:rsidR="00B628FF" w:rsidRDefault="005B2D2F">
            <w:pPr>
              <w:pStyle w:val="Summarytabletextrightaligned"/>
            </w:pPr>
            <w:r>
              <w:t>10.6</w:t>
            </w:r>
          </w:p>
        </w:tc>
        <w:tc>
          <w:tcPr>
            <w:tcW w:w="850" w:type="dxa"/>
            <w:vAlign w:val="bottom"/>
          </w:tcPr>
          <w:p w14:paraId="3709E15F" w14:textId="77777777" w:rsidR="00B628FF" w:rsidRDefault="005B2D2F">
            <w:pPr>
              <w:pStyle w:val="Summarytabletextrightaligned"/>
            </w:pPr>
            <w:r>
              <w:t>11.7</w:t>
            </w:r>
          </w:p>
        </w:tc>
        <w:tc>
          <w:tcPr>
            <w:tcW w:w="850" w:type="dxa"/>
            <w:vAlign w:val="bottom"/>
          </w:tcPr>
          <w:p w14:paraId="1117CC29" w14:textId="77777777" w:rsidR="00B628FF" w:rsidRDefault="005B2D2F">
            <w:pPr>
              <w:pStyle w:val="Summarytabletextrightaligned"/>
            </w:pPr>
            <w:r>
              <w:t>12.8</w:t>
            </w:r>
          </w:p>
        </w:tc>
      </w:tr>
      <w:tr w:rsidR="00B628FF" w14:paraId="091AC3A4" w14:textId="77777777" w:rsidTr="5FA307DC">
        <w:tc>
          <w:tcPr>
            <w:tcW w:w="3471" w:type="dxa"/>
            <w:vAlign w:val="bottom"/>
          </w:tcPr>
          <w:p w14:paraId="70513B08" w14:textId="77777777" w:rsidR="00B628FF" w:rsidRDefault="005B2D2F">
            <w:pPr>
              <w:pStyle w:val="SummaryMeasureTitlewithTheme"/>
            </w:pPr>
            <w:r>
              <w:t>Improving Access to Medicines and Pharmacy Programs(b)</w:t>
            </w:r>
          </w:p>
        </w:tc>
        <w:tc>
          <w:tcPr>
            <w:tcW w:w="850" w:type="dxa"/>
            <w:vAlign w:val="bottom"/>
          </w:tcPr>
          <w:p w14:paraId="775298E4" w14:textId="00442C73" w:rsidR="00B628FF" w:rsidRDefault="00B31B37">
            <w:pPr>
              <w:pStyle w:val="Summarytabletextrightaligned"/>
            </w:pPr>
            <w:r>
              <w:noBreakHyphen/>
            </w:r>
          </w:p>
        </w:tc>
        <w:tc>
          <w:tcPr>
            <w:tcW w:w="850" w:type="dxa"/>
            <w:shd w:val="clear" w:color="auto" w:fill="E6F2FF"/>
            <w:vAlign w:val="bottom"/>
          </w:tcPr>
          <w:p w14:paraId="36C04DC0" w14:textId="77777777" w:rsidR="00B628FF" w:rsidRDefault="005B2D2F">
            <w:pPr>
              <w:pStyle w:val="Summarytabletextrightaligned"/>
            </w:pPr>
            <w:r>
              <w:t>4.2</w:t>
            </w:r>
          </w:p>
        </w:tc>
        <w:tc>
          <w:tcPr>
            <w:tcW w:w="850" w:type="dxa"/>
            <w:vAlign w:val="bottom"/>
          </w:tcPr>
          <w:p w14:paraId="0A73A063" w14:textId="77777777" w:rsidR="00B628FF" w:rsidRDefault="005B2D2F">
            <w:pPr>
              <w:pStyle w:val="Summarytabletextrightaligned"/>
            </w:pPr>
            <w:r>
              <w:t>3.1</w:t>
            </w:r>
          </w:p>
        </w:tc>
        <w:tc>
          <w:tcPr>
            <w:tcW w:w="850" w:type="dxa"/>
            <w:vAlign w:val="bottom"/>
          </w:tcPr>
          <w:p w14:paraId="10DC9D15" w14:textId="77777777" w:rsidR="00B628FF" w:rsidRDefault="005B2D2F">
            <w:pPr>
              <w:pStyle w:val="Summarytabletextrightaligned"/>
            </w:pPr>
            <w:r>
              <w:t>3.9</w:t>
            </w:r>
          </w:p>
        </w:tc>
        <w:tc>
          <w:tcPr>
            <w:tcW w:w="850" w:type="dxa"/>
            <w:vAlign w:val="bottom"/>
          </w:tcPr>
          <w:p w14:paraId="7A82DB0F" w14:textId="77777777" w:rsidR="00B628FF" w:rsidRDefault="005B2D2F">
            <w:pPr>
              <w:pStyle w:val="Summarytabletextrightaligned"/>
            </w:pPr>
            <w:r>
              <w:t>4.5</w:t>
            </w:r>
          </w:p>
        </w:tc>
      </w:tr>
      <w:tr w:rsidR="00B628FF" w14:paraId="57685E68" w14:textId="77777777" w:rsidTr="5FA307DC">
        <w:tc>
          <w:tcPr>
            <w:tcW w:w="3471" w:type="dxa"/>
            <w:vAlign w:val="bottom"/>
          </w:tcPr>
          <w:p w14:paraId="62D02159" w14:textId="77777777" w:rsidR="00B628FF" w:rsidRDefault="005B2D2F">
            <w:pPr>
              <w:pStyle w:val="SummaryMeasureTitlewithTheme"/>
            </w:pPr>
            <w:r>
              <w:t>Medical Research and Clinical Trials</w:t>
            </w:r>
          </w:p>
        </w:tc>
        <w:tc>
          <w:tcPr>
            <w:tcW w:w="850" w:type="dxa"/>
            <w:vAlign w:val="bottom"/>
          </w:tcPr>
          <w:p w14:paraId="659C4B11" w14:textId="46BA7409" w:rsidR="00B628FF" w:rsidRDefault="00B31B37">
            <w:pPr>
              <w:pStyle w:val="Summarytabletextrightaligned"/>
            </w:pPr>
            <w:r>
              <w:noBreakHyphen/>
            </w:r>
            <w:r w:rsidR="005B2D2F">
              <w:t>7.8</w:t>
            </w:r>
          </w:p>
        </w:tc>
        <w:tc>
          <w:tcPr>
            <w:tcW w:w="850" w:type="dxa"/>
            <w:shd w:val="clear" w:color="auto" w:fill="E6F2FF"/>
            <w:vAlign w:val="bottom"/>
          </w:tcPr>
          <w:p w14:paraId="37F8AF0E" w14:textId="44481C33" w:rsidR="00B628FF" w:rsidRDefault="00B31B37">
            <w:pPr>
              <w:pStyle w:val="Summarytabletextrightaligned"/>
            </w:pPr>
            <w:r>
              <w:noBreakHyphen/>
            </w:r>
          </w:p>
        </w:tc>
        <w:tc>
          <w:tcPr>
            <w:tcW w:w="850" w:type="dxa"/>
            <w:vAlign w:val="bottom"/>
          </w:tcPr>
          <w:p w14:paraId="5A608ACB" w14:textId="3BB290FE" w:rsidR="00B628FF" w:rsidRDefault="00B31B37">
            <w:pPr>
              <w:pStyle w:val="Summarytabletextrightaligned"/>
            </w:pPr>
            <w:r>
              <w:noBreakHyphen/>
            </w:r>
          </w:p>
        </w:tc>
        <w:tc>
          <w:tcPr>
            <w:tcW w:w="850" w:type="dxa"/>
            <w:vAlign w:val="bottom"/>
          </w:tcPr>
          <w:p w14:paraId="44B97E5D" w14:textId="2B26265E" w:rsidR="00B628FF" w:rsidRDefault="00B31B37">
            <w:pPr>
              <w:pStyle w:val="Summarytabletextrightaligned"/>
            </w:pPr>
            <w:r>
              <w:noBreakHyphen/>
            </w:r>
          </w:p>
        </w:tc>
        <w:tc>
          <w:tcPr>
            <w:tcW w:w="850" w:type="dxa"/>
            <w:vAlign w:val="bottom"/>
          </w:tcPr>
          <w:p w14:paraId="1B318FDA" w14:textId="5882E410" w:rsidR="00B628FF" w:rsidRDefault="00B31B37">
            <w:pPr>
              <w:pStyle w:val="Summarytabletextrightaligned"/>
            </w:pPr>
            <w:r>
              <w:noBreakHyphen/>
            </w:r>
          </w:p>
        </w:tc>
      </w:tr>
      <w:tr w:rsidR="00B628FF" w14:paraId="105447AA" w14:textId="77777777" w:rsidTr="5FA307DC">
        <w:tc>
          <w:tcPr>
            <w:tcW w:w="3471" w:type="dxa"/>
            <w:vAlign w:val="bottom"/>
          </w:tcPr>
          <w:p w14:paraId="59FAAF2B" w14:textId="77777777" w:rsidR="00B628FF" w:rsidRDefault="005B2D2F">
            <w:pPr>
              <w:pStyle w:val="SummaryMeasureTitlewithTheme"/>
            </w:pPr>
            <w:r>
              <w:t>Northern Territory Remote Aboriginal Investment – future arrangements</w:t>
            </w:r>
          </w:p>
        </w:tc>
        <w:tc>
          <w:tcPr>
            <w:tcW w:w="850" w:type="dxa"/>
            <w:vAlign w:val="bottom"/>
          </w:tcPr>
          <w:p w14:paraId="011EFA56" w14:textId="735E9A17" w:rsidR="00B628FF" w:rsidRDefault="00B31B37">
            <w:pPr>
              <w:pStyle w:val="Summarytabletextrightaligned"/>
            </w:pPr>
            <w:r>
              <w:noBreakHyphen/>
            </w:r>
          </w:p>
        </w:tc>
        <w:tc>
          <w:tcPr>
            <w:tcW w:w="850" w:type="dxa"/>
            <w:shd w:val="clear" w:color="auto" w:fill="E6F2FF"/>
            <w:vAlign w:val="bottom"/>
          </w:tcPr>
          <w:p w14:paraId="1C76766F" w14:textId="344B5056" w:rsidR="00B628FF" w:rsidRDefault="00B31B37">
            <w:pPr>
              <w:pStyle w:val="Summarytabletextrightaligned"/>
            </w:pPr>
            <w:r>
              <w:noBreakHyphen/>
            </w:r>
          </w:p>
        </w:tc>
        <w:tc>
          <w:tcPr>
            <w:tcW w:w="850" w:type="dxa"/>
            <w:vAlign w:val="bottom"/>
          </w:tcPr>
          <w:p w14:paraId="07AA34DB" w14:textId="1B14798F" w:rsidR="00B628FF" w:rsidRDefault="00B31B37">
            <w:pPr>
              <w:pStyle w:val="Summarytabletextrightaligned"/>
            </w:pPr>
            <w:r>
              <w:noBreakHyphen/>
            </w:r>
          </w:p>
        </w:tc>
        <w:tc>
          <w:tcPr>
            <w:tcW w:w="850" w:type="dxa"/>
            <w:vAlign w:val="bottom"/>
          </w:tcPr>
          <w:p w14:paraId="27BA5AD6" w14:textId="3049B454" w:rsidR="00B628FF" w:rsidRDefault="00B31B37">
            <w:pPr>
              <w:pStyle w:val="Summarytabletextrightaligned"/>
            </w:pPr>
            <w:r>
              <w:noBreakHyphen/>
            </w:r>
          </w:p>
        </w:tc>
        <w:tc>
          <w:tcPr>
            <w:tcW w:w="850" w:type="dxa"/>
            <w:vAlign w:val="bottom"/>
          </w:tcPr>
          <w:p w14:paraId="333B9873" w14:textId="5941BE29" w:rsidR="00B628FF" w:rsidRDefault="00B31B37">
            <w:pPr>
              <w:pStyle w:val="Summarytabletextrightaligned"/>
            </w:pPr>
            <w:r>
              <w:noBreakHyphen/>
            </w:r>
          </w:p>
        </w:tc>
      </w:tr>
      <w:tr w:rsidR="00B628FF" w14:paraId="427019F1" w14:textId="77777777" w:rsidTr="5FA307DC">
        <w:tc>
          <w:tcPr>
            <w:tcW w:w="3471" w:type="dxa"/>
            <w:vAlign w:val="bottom"/>
          </w:tcPr>
          <w:p w14:paraId="0C4DF25B" w14:textId="77777777" w:rsidR="00B628FF" w:rsidRDefault="005B2D2F">
            <w:pPr>
              <w:pStyle w:val="SummaryMeasureTitlewithTheme"/>
            </w:pPr>
            <w:r>
              <w:t>Nuclear‑Powered Submarine Program – continuation of whole‑of‑government support</w:t>
            </w:r>
          </w:p>
        </w:tc>
        <w:tc>
          <w:tcPr>
            <w:tcW w:w="850" w:type="dxa"/>
            <w:vAlign w:val="bottom"/>
          </w:tcPr>
          <w:p w14:paraId="2557419F" w14:textId="258750DD" w:rsidR="00B628FF" w:rsidRDefault="00B31B37">
            <w:pPr>
              <w:pStyle w:val="Summarytabletextrightaligned"/>
            </w:pPr>
            <w:r>
              <w:noBreakHyphen/>
            </w:r>
          </w:p>
        </w:tc>
        <w:tc>
          <w:tcPr>
            <w:tcW w:w="850" w:type="dxa"/>
            <w:shd w:val="clear" w:color="auto" w:fill="E6F2FF"/>
            <w:vAlign w:val="bottom"/>
          </w:tcPr>
          <w:p w14:paraId="1F7D4792" w14:textId="77777777" w:rsidR="00B628FF" w:rsidRDefault="005B2D2F">
            <w:pPr>
              <w:pStyle w:val="Summarytabletextrightaligned"/>
            </w:pPr>
            <w:r>
              <w:t>1.2</w:t>
            </w:r>
          </w:p>
        </w:tc>
        <w:tc>
          <w:tcPr>
            <w:tcW w:w="850" w:type="dxa"/>
            <w:vAlign w:val="bottom"/>
          </w:tcPr>
          <w:p w14:paraId="242F5CDB" w14:textId="57F1672E" w:rsidR="00B628FF" w:rsidRDefault="00B31B37">
            <w:pPr>
              <w:pStyle w:val="Summarytabletextrightaligned"/>
            </w:pPr>
            <w:r>
              <w:noBreakHyphen/>
            </w:r>
          </w:p>
        </w:tc>
        <w:tc>
          <w:tcPr>
            <w:tcW w:w="850" w:type="dxa"/>
            <w:vAlign w:val="bottom"/>
          </w:tcPr>
          <w:p w14:paraId="480A1137" w14:textId="7EDA4F19" w:rsidR="00B628FF" w:rsidRDefault="00B31B37">
            <w:pPr>
              <w:pStyle w:val="Summarytabletextrightaligned"/>
            </w:pPr>
            <w:r>
              <w:noBreakHyphen/>
            </w:r>
          </w:p>
        </w:tc>
        <w:tc>
          <w:tcPr>
            <w:tcW w:w="850" w:type="dxa"/>
            <w:vAlign w:val="bottom"/>
          </w:tcPr>
          <w:p w14:paraId="45435065" w14:textId="21708138" w:rsidR="00B628FF" w:rsidRDefault="00B31B37">
            <w:pPr>
              <w:pStyle w:val="Summarytabletextrightaligned"/>
            </w:pPr>
            <w:r>
              <w:noBreakHyphen/>
            </w:r>
          </w:p>
        </w:tc>
      </w:tr>
      <w:tr w:rsidR="00B628FF" w14:paraId="68F515CC" w14:textId="77777777" w:rsidTr="5FA307DC">
        <w:tc>
          <w:tcPr>
            <w:tcW w:w="3471" w:type="dxa"/>
            <w:vAlign w:val="bottom"/>
          </w:tcPr>
          <w:p w14:paraId="61A017ED" w14:textId="77777777" w:rsidR="00B628FF" w:rsidRDefault="005B2D2F">
            <w:pPr>
              <w:pStyle w:val="SummaryMeasureTitlewithTheme"/>
            </w:pPr>
            <w:r>
              <w:t>Pharmaceutical Benefits Scheme (PBS) New and Amended Listings(b)</w:t>
            </w:r>
          </w:p>
        </w:tc>
        <w:tc>
          <w:tcPr>
            <w:tcW w:w="850" w:type="dxa"/>
            <w:vAlign w:val="bottom"/>
          </w:tcPr>
          <w:p w14:paraId="55C2D615" w14:textId="77777777" w:rsidR="00B628FF" w:rsidRDefault="005B2D2F">
            <w:pPr>
              <w:pStyle w:val="Summarytabletextrightaligned"/>
            </w:pPr>
            <w:r>
              <w:t>74.7</w:t>
            </w:r>
          </w:p>
        </w:tc>
        <w:tc>
          <w:tcPr>
            <w:tcW w:w="850" w:type="dxa"/>
            <w:shd w:val="clear" w:color="auto" w:fill="E6F2FF"/>
            <w:vAlign w:val="bottom"/>
          </w:tcPr>
          <w:p w14:paraId="2E9BCE8E" w14:textId="77777777" w:rsidR="00B628FF" w:rsidRDefault="005B2D2F">
            <w:pPr>
              <w:pStyle w:val="Summarytabletextrightaligned"/>
            </w:pPr>
            <w:r>
              <w:t>307.2</w:t>
            </w:r>
          </w:p>
        </w:tc>
        <w:tc>
          <w:tcPr>
            <w:tcW w:w="850" w:type="dxa"/>
            <w:vAlign w:val="bottom"/>
          </w:tcPr>
          <w:p w14:paraId="2A4FD8C8" w14:textId="77777777" w:rsidR="00B628FF" w:rsidRDefault="005B2D2F">
            <w:pPr>
              <w:pStyle w:val="Summarytabletextrightaligned"/>
            </w:pPr>
            <w:r>
              <w:t>411.1</w:t>
            </w:r>
          </w:p>
        </w:tc>
        <w:tc>
          <w:tcPr>
            <w:tcW w:w="850" w:type="dxa"/>
            <w:vAlign w:val="bottom"/>
          </w:tcPr>
          <w:p w14:paraId="543C372A" w14:textId="77777777" w:rsidR="00B628FF" w:rsidRDefault="005B2D2F">
            <w:pPr>
              <w:pStyle w:val="Summarytabletextrightaligned"/>
            </w:pPr>
            <w:r>
              <w:t>471.5</w:t>
            </w:r>
          </w:p>
        </w:tc>
        <w:tc>
          <w:tcPr>
            <w:tcW w:w="850" w:type="dxa"/>
            <w:vAlign w:val="bottom"/>
          </w:tcPr>
          <w:p w14:paraId="251D1D2D" w14:textId="77777777" w:rsidR="00B628FF" w:rsidRDefault="005B2D2F">
            <w:pPr>
              <w:pStyle w:val="Summarytabletextrightaligned"/>
            </w:pPr>
            <w:r>
              <w:t>502.3</w:t>
            </w:r>
          </w:p>
        </w:tc>
      </w:tr>
      <w:tr w:rsidR="00B628FF" w14:paraId="51FB0A08" w14:textId="77777777" w:rsidTr="5FA307DC">
        <w:tc>
          <w:tcPr>
            <w:tcW w:w="3471" w:type="dxa"/>
            <w:vAlign w:val="bottom"/>
          </w:tcPr>
          <w:p w14:paraId="1D5213C5" w14:textId="77777777" w:rsidR="00B628FF" w:rsidRDefault="005B2D2F">
            <w:pPr>
              <w:pStyle w:val="SummaryMeasureTitlewithTheme"/>
            </w:pPr>
            <w:r>
              <w:t>Preventive Health, Wellbeing and Sport</w:t>
            </w:r>
          </w:p>
        </w:tc>
        <w:tc>
          <w:tcPr>
            <w:tcW w:w="850" w:type="dxa"/>
            <w:vAlign w:val="bottom"/>
          </w:tcPr>
          <w:p w14:paraId="70CD2C2E" w14:textId="261C2812" w:rsidR="00B628FF" w:rsidRDefault="00B31B37">
            <w:pPr>
              <w:pStyle w:val="Summarytabletextrightaligned"/>
            </w:pPr>
            <w:r>
              <w:noBreakHyphen/>
            </w:r>
          </w:p>
        </w:tc>
        <w:tc>
          <w:tcPr>
            <w:tcW w:w="850" w:type="dxa"/>
            <w:shd w:val="clear" w:color="auto" w:fill="E6F2FF"/>
            <w:vAlign w:val="bottom"/>
          </w:tcPr>
          <w:p w14:paraId="0A24C2B9" w14:textId="77777777" w:rsidR="00B628FF" w:rsidRDefault="005B2D2F">
            <w:pPr>
              <w:pStyle w:val="Summarytabletextrightaligned"/>
            </w:pPr>
            <w:r>
              <w:t>5.4</w:t>
            </w:r>
          </w:p>
        </w:tc>
        <w:tc>
          <w:tcPr>
            <w:tcW w:w="850" w:type="dxa"/>
            <w:vAlign w:val="bottom"/>
          </w:tcPr>
          <w:p w14:paraId="3F4ED6CC" w14:textId="4963BEFC" w:rsidR="00B628FF" w:rsidRDefault="00B31B37">
            <w:pPr>
              <w:pStyle w:val="Summarytabletextrightaligned"/>
            </w:pPr>
            <w:r>
              <w:noBreakHyphen/>
            </w:r>
          </w:p>
        </w:tc>
        <w:tc>
          <w:tcPr>
            <w:tcW w:w="850" w:type="dxa"/>
            <w:vAlign w:val="bottom"/>
          </w:tcPr>
          <w:p w14:paraId="4E9334AA" w14:textId="0240B736" w:rsidR="00B628FF" w:rsidRDefault="00B31B37">
            <w:pPr>
              <w:pStyle w:val="Summarytabletextrightaligned"/>
            </w:pPr>
            <w:r>
              <w:noBreakHyphen/>
            </w:r>
          </w:p>
        </w:tc>
        <w:tc>
          <w:tcPr>
            <w:tcW w:w="850" w:type="dxa"/>
            <w:vAlign w:val="bottom"/>
          </w:tcPr>
          <w:p w14:paraId="00582E76" w14:textId="1EF53E03" w:rsidR="00B628FF" w:rsidRDefault="00B31B37">
            <w:pPr>
              <w:pStyle w:val="Summarytabletextrightaligned"/>
            </w:pPr>
            <w:r>
              <w:noBreakHyphen/>
            </w:r>
          </w:p>
        </w:tc>
      </w:tr>
      <w:tr w:rsidR="00B628FF" w14:paraId="200C7E5A" w14:textId="77777777" w:rsidTr="5FA307DC">
        <w:tc>
          <w:tcPr>
            <w:tcW w:w="3471" w:type="dxa"/>
            <w:vAlign w:val="bottom"/>
          </w:tcPr>
          <w:p w14:paraId="26BCB258" w14:textId="77777777" w:rsidR="00B628FF" w:rsidRDefault="005B2D2F">
            <w:pPr>
              <w:pStyle w:val="SummaryMeasureTitlewithTheme"/>
            </w:pPr>
            <w:r>
              <w:t>Strengthening Medicare</w:t>
            </w:r>
          </w:p>
        </w:tc>
        <w:tc>
          <w:tcPr>
            <w:tcW w:w="850" w:type="dxa"/>
            <w:vAlign w:val="bottom"/>
          </w:tcPr>
          <w:p w14:paraId="3012AF3D" w14:textId="05C05FC2" w:rsidR="00B628FF" w:rsidRDefault="00B31B37">
            <w:pPr>
              <w:pStyle w:val="Summarytabletextrightaligned"/>
            </w:pPr>
            <w:r>
              <w:noBreakHyphen/>
            </w:r>
          </w:p>
        </w:tc>
        <w:tc>
          <w:tcPr>
            <w:tcW w:w="850" w:type="dxa"/>
            <w:shd w:val="clear" w:color="auto" w:fill="E6F2FF"/>
            <w:vAlign w:val="bottom"/>
          </w:tcPr>
          <w:p w14:paraId="57D985C2" w14:textId="77777777" w:rsidR="00B628FF" w:rsidRDefault="005B2D2F">
            <w:pPr>
              <w:pStyle w:val="Summarytabletextrightaligned"/>
            </w:pPr>
            <w:r>
              <w:t>1,168.0</w:t>
            </w:r>
          </w:p>
        </w:tc>
        <w:tc>
          <w:tcPr>
            <w:tcW w:w="850" w:type="dxa"/>
            <w:vAlign w:val="bottom"/>
          </w:tcPr>
          <w:p w14:paraId="4EED5212" w14:textId="77777777" w:rsidR="00B628FF" w:rsidRDefault="005B2D2F">
            <w:pPr>
              <w:pStyle w:val="Summarytabletextrightaligned"/>
            </w:pPr>
            <w:r>
              <w:t>2,011.7</w:t>
            </w:r>
          </w:p>
        </w:tc>
        <w:tc>
          <w:tcPr>
            <w:tcW w:w="850" w:type="dxa"/>
            <w:vAlign w:val="bottom"/>
          </w:tcPr>
          <w:p w14:paraId="01725A47" w14:textId="77777777" w:rsidR="00B628FF" w:rsidRDefault="005B2D2F">
            <w:pPr>
              <w:pStyle w:val="Summarytabletextrightaligned"/>
            </w:pPr>
            <w:r>
              <w:t>2,323.8</w:t>
            </w:r>
          </w:p>
        </w:tc>
        <w:tc>
          <w:tcPr>
            <w:tcW w:w="850" w:type="dxa"/>
            <w:vAlign w:val="bottom"/>
          </w:tcPr>
          <w:p w14:paraId="1AFE1230" w14:textId="77777777" w:rsidR="00B628FF" w:rsidRDefault="005B2D2F">
            <w:pPr>
              <w:pStyle w:val="Summarytabletextrightaligned"/>
            </w:pPr>
            <w:r>
              <w:t>2,446.0</w:t>
            </w:r>
          </w:p>
        </w:tc>
      </w:tr>
      <w:tr w:rsidR="00B628FF" w14:paraId="3217B25F" w14:textId="77777777" w:rsidTr="5FA307DC">
        <w:tc>
          <w:tcPr>
            <w:tcW w:w="3471" w:type="dxa"/>
            <w:vAlign w:val="bottom"/>
          </w:tcPr>
          <w:p w14:paraId="1A58098B" w14:textId="77777777" w:rsidR="00B628FF" w:rsidRDefault="005B2D2F">
            <w:pPr>
              <w:pStyle w:val="SummaryMeasureTitlewithTheme"/>
            </w:pPr>
            <w:r>
              <w:t>Strengthening Medicare – Expanding Medicare Urgent Care Clinics</w:t>
            </w:r>
          </w:p>
        </w:tc>
        <w:tc>
          <w:tcPr>
            <w:tcW w:w="850" w:type="dxa"/>
            <w:vAlign w:val="bottom"/>
          </w:tcPr>
          <w:p w14:paraId="3E72D63A" w14:textId="1A72CBAA" w:rsidR="00B628FF" w:rsidRDefault="00B31B37">
            <w:pPr>
              <w:pStyle w:val="Summarytabletextrightaligned"/>
            </w:pPr>
            <w:r>
              <w:noBreakHyphen/>
            </w:r>
          </w:p>
        </w:tc>
        <w:tc>
          <w:tcPr>
            <w:tcW w:w="850" w:type="dxa"/>
            <w:shd w:val="clear" w:color="auto" w:fill="E6F2FF"/>
            <w:vAlign w:val="bottom"/>
          </w:tcPr>
          <w:p w14:paraId="56913E28" w14:textId="77777777" w:rsidR="00B628FF" w:rsidRDefault="005B2D2F">
            <w:pPr>
              <w:pStyle w:val="Summarytabletextrightaligned"/>
            </w:pPr>
            <w:r>
              <w:t>0.4</w:t>
            </w:r>
          </w:p>
        </w:tc>
        <w:tc>
          <w:tcPr>
            <w:tcW w:w="850" w:type="dxa"/>
            <w:vAlign w:val="bottom"/>
          </w:tcPr>
          <w:p w14:paraId="1D0A66D7" w14:textId="77777777" w:rsidR="00B628FF" w:rsidRDefault="005B2D2F">
            <w:pPr>
              <w:pStyle w:val="Summarytabletextrightaligned"/>
            </w:pPr>
            <w:r>
              <w:t>4.4</w:t>
            </w:r>
          </w:p>
        </w:tc>
        <w:tc>
          <w:tcPr>
            <w:tcW w:w="850" w:type="dxa"/>
            <w:vAlign w:val="bottom"/>
          </w:tcPr>
          <w:p w14:paraId="33180592" w14:textId="77777777" w:rsidR="00B628FF" w:rsidRDefault="005B2D2F">
            <w:pPr>
              <w:pStyle w:val="Summarytabletextrightaligned"/>
            </w:pPr>
            <w:r>
              <w:t>4.5</w:t>
            </w:r>
          </w:p>
        </w:tc>
        <w:tc>
          <w:tcPr>
            <w:tcW w:w="850" w:type="dxa"/>
            <w:vAlign w:val="bottom"/>
          </w:tcPr>
          <w:p w14:paraId="3B9A861C" w14:textId="1EAD886C" w:rsidR="00B628FF" w:rsidRDefault="00B31B37">
            <w:pPr>
              <w:pStyle w:val="Summarytabletextrightaligned"/>
            </w:pPr>
            <w:r>
              <w:noBreakHyphen/>
            </w:r>
          </w:p>
        </w:tc>
      </w:tr>
      <w:tr w:rsidR="00B628FF" w14:paraId="4AD3C042" w14:textId="77777777" w:rsidTr="5FA307DC">
        <w:tc>
          <w:tcPr>
            <w:tcW w:w="3471" w:type="dxa"/>
            <w:vAlign w:val="bottom"/>
          </w:tcPr>
          <w:p w14:paraId="5222A3F4" w14:textId="77777777" w:rsidR="00B628FF" w:rsidRDefault="005B2D2F">
            <w:pPr>
              <w:pStyle w:val="SummaryMeasureTitlewithTheme"/>
            </w:pPr>
            <w:r>
              <w:t>Strengthening Medicare – Health Workforce(b)</w:t>
            </w:r>
          </w:p>
        </w:tc>
        <w:tc>
          <w:tcPr>
            <w:tcW w:w="850" w:type="dxa"/>
            <w:vAlign w:val="bottom"/>
          </w:tcPr>
          <w:p w14:paraId="15F89F62" w14:textId="77777777" w:rsidR="00B628FF" w:rsidRDefault="005B2D2F">
            <w:pPr>
              <w:pStyle w:val="Summarytabletextrightaligned"/>
            </w:pPr>
            <w:r>
              <w:t>0.2</w:t>
            </w:r>
          </w:p>
        </w:tc>
        <w:tc>
          <w:tcPr>
            <w:tcW w:w="850" w:type="dxa"/>
            <w:shd w:val="clear" w:color="auto" w:fill="E6F2FF"/>
            <w:vAlign w:val="bottom"/>
          </w:tcPr>
          <w:p w14:paraId="7E0740F9" w14:textId="77777777" w:rsidR="00B628FF" w:rsidRDefault="005B2D2F">
            <w:pPr>
              <w:pStyle w:val="Summarytabletextrightaligned"/>
            </w:pPr>
            <w:r>
              <w:t>8.5</w:t>
            </w:r>
          </w:p>
        </w:tc>
        <w:tc>
          <w:tcPr>
            <w:tcW w:w="850" w:type="dxa"/>
            <w:vAlign w:val="bottom"/>
          </w:tcPr>
          <w:p w14:paraId="77549082" w14:textId="77777777" w:rsidR="00B628FF" w:rsidRDefault="005B2D2F">
            <w:pPr>
              <w:pStyle w:val="Summarytabletextrightaligned"/>
            </w:pPr>
            <w:r>
              <w:t>8.9</w:t>
            </w:r>
          </w:p>
        </w:tc>
        <w:tc>
          <w:tcPr>
            <w:tcW w:w="850" w:type="dxa"/>
            <w:vAlign w:val="bottom"/>
          </w:tcPr>
          <w:p w14:paraId="0238B567" w14:textId="77777777" w:rsidR="00B628FF" w:rsidRDefault="005B2D2F">
            <w:pPr>
              <w:pStyle w:val="Summarytabletextrightaligned"/>
            </w:pPr>
            <w:r>
              <w:t>3.8</w:t>
            </w:r>
          </w:p>
        </w:tc>
        <w:tc>
          <w:tcPr>
            <w:tcW w:w="850" w:type="dxa"/>
            <w:vAlign w:val="bottom"/>
          </w:tcPr>
          <w:p w14:paraId="5493F2BB" w14:textId="77777777" w:rsidR="00B628FF" w:rsidRDefault="005B2D2F">
            <w:pPr>
              <w:pStyle w:val="Summarytabletextrightaligned"/>
            </w:pPr>
            <w:r>
              <w:t>4.1</w:t>
            </w:r>
          </w:p>
        </w:tc>
      </w:tr>
      <w:tr w:rsidR="00B628FF" w14:paraId="3CF5E4B9" w14:textId="77777777" w:rsidTr="5FA307DC">
        <w:tc>
          <w:tcPr>
            <w:tcW w:w="3471" w:type="dxa"/>
            <w:vAlign w:val="bottom"/>
          </w:tcPr>
          <w:p w14:paraId="38838A08" w14:textId="71AEB740" w:rsidR="00B628FF" w:rsidRDefault="005B2D2F">
            <w:pPr>
              <w:pStyle w:val="SummaryMeasureTitlewithTheme"/>
            </w:pPr>
            <w:r>
              <w:t>Strengthening Medicare – Women</w:t>
            </w:r>
            <w:r w:rsidR="00B31B37">
              <w:t>’</w:t>
            </w:r>
            <w:r>
              <w:t>s Health</w:t>
            </w:r>
          </w:p>
        </w:tc>
        <w:tc>
          <w:tcPr>
            <w:tcW w:w="850" w:type="dxa"/>
            <w:vAlign w:val="bottom"/>
          </w:tcPr>
          <w:p w14:paraId="29531785" w14:textId="6EE49FB8" w:rsidR="00B628FF" w:rsidRDefault="00B31B37">
            <w:pPr>
              <w:pStyle w:val="Summarytabletextrightaligned"/>
            </w:pPr>
            <w:r>
              <w:noBreakHyphen/>
            </w:r>
            <w:r w:rsidR="005B2D2F">
              <w:t>4.0</w:t>
            </w:r>
          </w:p>
        </w:tc>
        <w:tc>
          <w:tcPr>
            <w:tcW w:w="850" w:type="dxa"/>
            <w:shd w:val="clear" w:color="auto" w:fill="E6F2FF"/>
            <w:vAlign w:val="bottom"/>
          </w:tcPr>
          <w:p w14:paraId="73BA0F26" w14:textId="791AA346" w:rsidR="00B628FF" w:rsidRDefault="00B31B37">
            <w:pPr>
              <w:pStyle w:val="Summarytabletextrightaligned"/>
            </w:pPr>
            <w:r>
              <w:noBreakHyphen/>
            </w:r>
            <w:r w:rsidR="005B2D2F">
              <w:t>2.0</w:t>
            </w:r>
          </w:p>
        </w:tc>
        <w:tc>
          <w:tcPr>
            <w:tcW w:w="850" w:type="dxa"/>
            <w:vAlign w:val="bottom"/>
          </w:tcPr>
          <w:p w14:paraId="43E409BC" w14:textId="48D086D0" w:rsidR="00B628FF" w:rsidRDefault="00B31B37">
            <w:pPr>
              <w:pStyle w:val="Summarytabletextrightaligned"/>
            </w:pPr>
            <w:r>
              <w:noBreakHyphen/>
            </w:r>
          </w:p>
        </w:tc>
        <w:tc>
          <w:tcPr>
            <w:tcW w:w="850" w:type="dxa"/>
            <w:vAlign w:val="bottom"/>
          </w:tcPr>
          <w:p w14:paraId="1E563E8D" w14:textId="1C28E076" w:rsidR="00B628FF" w:rsidRDefault="00B31B37">
            <w:pPr>
              <w:pStyle w:val="Summarytabletextrightaligned"/>
            </w:pPr>
            <w:r>
              <w:noBreakHyphen/>
            </w:r>
          </w:p>
        </w:tc>
        <w:tc>
          <w:tcPr>
            <w:tcW w:w="850" w:type="dxa"/>
            <w:vAlign w:val="bottom"/>
          </w:tcPr>
          <w:p w14:paraId="6DAA651C" w14:textId="64E4C793" w:rsidR="00B628FF" w:rsidRDefault="00B31B37">
            <w:pPr>
              <w:pStyle w:val="Summarytabletextrightaligned"/>
            </w:pPr>
            <w:r>
              <w:noBreakHyphen/>
            </w:r>
          </w:p>
        </w:tc>
      </w:tr>
      <w:tr w:rsidR="00B628FF" w14:paraId="2CAF4B34" w14:textId="77777777" w:rsidTr="5FA307DC">
        <w:tc>
          <w:tcPr>
            <w:tcW w:w="3471" w:type="dxa"/>
            <w:vAlign w:val="bottom"/>
          </w:tcPr>
          <w:p w14:paraId="4054694B" w14:textId="77777777" w:rsidR="00B628FF" w:rsidRDefault="005B2D2F">
            <w:pPr>
              <w:pStyle w:val="SummaryMeasureTitlewithTheme"/>
            </w:pPr>
            <w:r>
              <w:t>Supporting Australian Communities Affected by the Hamas‑Israel Conflict</w:t>
            </w:r>
          </w:p>
        </w:tc>
        <w:tc>
          <w:tcPr>
            <w:tcW w:w="850" w:type="dxa"/>
            <w:vAlign w:val="bottom"/>
          </w:tcPr>
          <w:p w14:paraId="01584528" w14:textId="41561746" w:rsidR="00B628FF" w:rsidRDefault="00B31B37">
            <w:pPr>
              <w:pStyle w:val="Summarytabletextrightaligned"/>
            </w:pPr>
            <w:r>
              <w:noBreakHyphen/>
            </w:r>
          </w:p>
        </w:tc>
        <w:tc>
          <w:tcPr>
            <w:tcW w:w="850" w:type="dxa"/>
            <w:shd w:val="clear" w:color="auto" w:fill="E6F2FF"/>
            <w:vAlign w:val="bottom"/>
          </w:tcPr>
          <w:p w14:paraId="3261BA04" w14:textId="77777777" w:rsidR="00B628FF" w:rsidRDefault="005B2D2F">
            <w:pPr>
              <w:pStyle w:val="Summarytabletextrightaligned"/>
            </w:pPr>
            <w:r>
              <w:t>1.5</w:t>
            </w:r>
          </w:p>
        </w:tc>
        <w:tc>
          <w:tcPr>
            <w:tcW w:w="850" w:type="dxa"/>
            <w:vAlign w:val="bottom"/>
          </w:tcPr>
          <w:p w14:paraId="6A2A04EB" w14:textId="6E6ACE99" w:rsidR="00B628FF" w:rsidRDefault="00B31B37">
            <w:pPr>
              <w:pStyle w:val="Summarytabletextrightaligned"/>
            </w:pPr>
            <w:r>
              <w:noBreakHyphen/>
            </w:r>
          </w:p>
        </w:tc>
        <w:tc>
          <w:tcPr>
            <w:tcW w:w="850" w:type="dxa"/>
            <w:vAlign w:val="bottom"/>
          </w:tcPr>
          <w:p w14:paraId="690B8C10" w14:textId="07C2A584" w:rsidR="00B628FF" w:rsidRDefault="00B31B37">
            <w:pPr>
              <w:pStyle w:val="Summarytabletextrightaligned"/>
            </w:pPr>
            <w:r>
              <w:noBreakHyphen/>
            </w:r>
          </w:p>
        </w:tc>
        <w:tc>
          <w:tcPr>
            <w:tcW w:w="850" w:type="dxa"/>
            <w:vAlign w:val="bottom"/>
          </w:tcPr>
          <w:p w14:paraId="7B093E7D" w14:textId="2E1B71C8" w:rsidR="00B628FF" w:rsidRDefault="00B31B37">
            <w:pPr>
              <w:pStyle w:val="Summarytabletextrightaligned"/>
            </w:pPr>
            <w:r>
              <w:noBreakHyphen/>
            </w:r>
          </w:p>
        </w:tc>
      </w:tr>
      <w:tr w:rsidR="00B628FF" w14:paraId="134788CD" w14:textId="77777777" w:rsidTr="5FA307DC">
        <w:tc>
          <w:tcPr>
            <w:tcW w:w="3471" w:type="dxa"/>
            <w:vAlign w:val="bottom"/>
          </w:tcPr>
          <w:p w14:paraId="5BE4E53A" w14:textId="77777777" w:rsidR="00B628FF" w:rsidRDefault="005B2D2F">
            <w:pPr>
              <w:pStyle w:val="SummaryAgencyTitle-BP2"/>
            </w:pPr>
            <w:r>
              <w:t>National Health and Medical Research Council</w:t>
            </w:r>
          </w:p>
        </w:tc>
        <w:tc>
          <w:tcPr>
            <w:tcW w:w="850" w:type="dxa"/>
          </w:tcPr>
          <w:p w14:paraId="773ACC04" w14:textId="77777777" w:rsidR="00B628FF" w:rsidRDefault="00B628FF">
            <w:pPr>
              <w:pStyle w:val="SummaryAgencyTitle-BP2"/>
            </w:pPr>
          </w:p>
        </w:tc>
        <w:tc>
          <w:tcPr>
            <w:tcW w:w="850" w:type="dxa"/>
            <w:shd w:val="clear" w:color="auto" w:fill="E6F2FF"/>
          </w:tcPr>
          <w:p w14:paraId="25B1AF83" w14:textId="77777777" w:rsidR="00B628FF" w:rsidRDefault="00B628FF">
            <w:pPr>
              <w:pStyle w:val="SummaryAgencyTitle-BP2"/>
            </w:pPr>
          </w:p>
        </w:tc>
        <w:tc>
          <w:tcPr>
            <w:tcW w:w="850" w:type="dxa"/>
          </w:tcPr>
          <w:p w14:paraId="2CA70A62" w14:textId="77777777" w:rsidR="00B628FF" w:rsidRDefault="00B628FF">
            <w:pPr>
              <w:pStyle w:val="SummaryAgencyTitle-BP2"/>
            </w:pPr>
          </w:p>
        </w:tc>
        <w:tc>
          <w:tcPr>
            <w:tcW w:w="850" w:type="dxa"/>
          </w:tcPr>
          <w:p w14:paraId="1F462A9E" w14:textId="77777777" w:rsidR="00B628FF" w:rsidRDefault="00B628FF">
            <w:pPr>
              <w:pStyle w:val="SummaryAgencyTitle-BP2"/>
            </w:pPr>
          </w:p>
        </w:tc>
        <w:tc>
          <w:tcPr>
            <w:tcW w:w="850" w:type="dxa"/>
          </w:tcPr>
          <w:p w14:paraId="61DDC125" w14:textId="77777777" w:rsidR="00B628FF" w:rsidRDefault="00B628FF">
            <w:pPr>
              <w:pStyle w:val="SummaryAgencyTitle-BP2"/>
            </w:pPr>
          </w:p>
        </w:tc>
      </w:tr>
      <w:tr w:rsidR="00B628FF" w14:paraId="0AE2AD68" w14:textId="77777777" w:rsidTr="5FA307DC">
        <w:tc>
          <w:tcPr>
            <w:tcW w:w="3471" w:type="dxa"/>
            <w:vAlign w:val="bottom"/>
          </w:tcPr>
          <w:p w14:paraId="3A57EA94" w14:textId="77777777" w:rsidR="00B628FF" w:rsidRDefault="005B2D2F">
            <w:pPr>
              <w:pStyle w:val="SummaryMeasureTitlewithTheme"/>
            </w:pPr>
            <w:r>
              <w:t>Medical Research and Clinical Trials</w:t>
            </w:r>
          </w:p>
        </w:tc>
        <w:tc>
          <w:tcPr>
            <w:tcW w:w="850" w:type="dxa"/>
            <w:vAlign w:val="bottom"/>
          </w:tcPr>
          <w:p w14:paraId="59CEFBE4" w14:textId="77777777" w:rsidR="00B628FF" w:rsidRDefault="005B2D2F">
            <w:pPr>
              <w:pStyle w:val="Summarytabletextrightaligned"/>
            </w:pPr>
            <w:r>
              <w:t>7.8</w:t>
            </w:r>
          </w:p>
        </w:tc>
        <w:tc>
          <w:tcPr>
            <w:tcW w:w="850" w:type="dxa"/>
            <w:shd w:val="clear" w:color="auto" w:fill="E6F2FF"/>
            <w:vAlign w:val="bottom"/>
          </w:tcPr>
          <w:p w14:paraId="74A248A5" w14:textId="186B8CFA" w:rsidR="00B628FF" w:rsidRDefault="00B31B37">
            <w:pPr>
              <w:pStyle w:val="Summarytabletextrightaligned"/>
            </w:pPr>
            <w:r>
              <w:noBreakHyphen/>
            </w:r>
          </w:p>
        </w:tc>
        <w:tc>
          <w:tcPr>
            <w:tcW w:w="850" w:type="dxa"/>
            <w:vAlign w:val="bottom"/>
          </w:tcPr>
          <w:p w14:paraId="10C9D496" w14:textId="77C1879A" w:rsidR="00B628FF" w:rsidRDefault="00B31B37">
            <w:pPr>
              <w:pStyle w:val="Summarytabletextrightaligned"/>
            </w:pPr>
            <w:r>
              <w:noBreakHyphen/>
            </w:r>
          </w:p>
        </w:tc>
        <w:tc>
          <w:tcPr>
            <w:tcW w:w="850" w:type="dxa"/>
            <w:vAlign w:val="bottom"/>
          </w:tcPr>
          <w:p w14:paraId="29ED2EAC" w14:textId="72C3C68C" w:rsidR="00B628FF" w:rsidRDefault="00B31B37">
            <w:pPr>
              <w:pStyle w:val="Summarytabletextrightaligned"/>
            </w:pPr>
            <w:r>
              <w:noBreakHyphen/>
            </w:r>
          </w:p>
        </w:tc>
        <w:tc>
          <w:tcPr>
            <w:tcW w:w="850" w:type="dxa"/>
            <w:vAlign w:val="bottom"/>
          </w:tcPr>
          <w:p w14:paraId="0B244E76" w14:textId="6187F162" w:rsidR="00B628FF" w:rsidRDefault="00B31B37">
            <w:pPr>
              <w:pStyle w:val="Summarytabletextrightaligned"/>
            </w:pPr>
            <w:r>
              <w:noBreakHyphen/>
            </w:r>
          </w:p>
        </w:tc>
      </w:tr>
      <w:tr w:rsidR="00B628FF" w14:paraId="2A7BD5DA" w14:textId="77777777" w:rsidTr="5FA307DC">
        <w:tc>
          <w:tcPr>
            <w:tcW w:w="3471" w:type="dxa"/>
            <w:vAlign w:val="bottom"/>
          </w:tcPr>
          <w:p w14:paraId="35232C86" w14:textId="77777777" w:rsidR="00B628FF" w:rsidRDefault="005B2D2F">
            <w:pPr>
              <w:pStyle w:val="Summarytabletextleftalignedbold"/>
            </w:pPr>
            <w:r>
              <w:t>Portfolio total</w:t>
            </w:r>
          </w:p>
        </w:tc>
        <w:tc>
          <w:tcPr>
            <w:tcW w:w="850" w:type="dxa"/>
            <w:tcBorders>
              <w:top w:val="single" w:sz="4" w:space="0" w:color="000000" w:themeColor="text1"/>
              <w:bottom w:val="single" w:sz="4" w:space="0" w:color="000000" w:themeColor="text1"/>
            </w:tcBorders>
            <w:vAlign w:val="bottom"/>
          </w:tcPr>
          <w:p w14:paraId="216FDDEF" w14:textId="77777777" w:rsidR="00B628FF" w:rsidRDefault="005B2D2F">
            <w:pPr>
              <w:pStyle w:val="Summarytabletextrightalignedbold"/>
            </w:pPr>
            <w:r>
              <w:t>74.2</w:t>
            </w:r>
          </w:p>
        </w:tc>
        <w:tc>
          <w:tcPr>
            <w:tcW w:w="850" w:type="dxa"/>
            <w:tcBorders>
              <w:top w:val="single" w:sz="4" w:space="0" w:color="000000" w:themeColor="text1"/>
              <w:bottom w:val="single" w:sz="4" w:space="0" w:color="000000" w:themeColor="text1"/>
            </w:tcBorders>
            <w:shd w:val="clear" w:color="auto" w:fill="E6F2FF"/>
            <w:vAlign w:val="bottom"/>
          </w:tcPr>
          <w:p w14:paraId="5BA1D7B7" w14:textId="77777777" w:rsidR="00B628FF" w:rsidRDefault="005B2D2F">
            <w:pPr>
              <w:pStyle w:val="Summarytabletextrightalignedbold"/>
            </w:pPr>
            <w:r>
              <w:t>2,037.7</w:t>
            </w:r>
          </w:p>
        </w:tc>
        <w:tc>
          <w:tcPr>
            <w:tcW w:w="850" w:type="dxa"/>
            <w:tcBorders>
              <w:top w:val="single" w:sz="4" w:space="0" w:color="000000" w:themeColor="text1"/>
              <w:bottom w:val="single" w:sz="4" w:space="0" w:color="000000" w:themeColor="text1"/>
            </w:tcBorders>
            <w:vAlign w:val="bottom"/>
          </w:tcPr>
          <w:p w14:paraId="6ADD62AA" w14:textId="77777777" w:rsidR="00B628FF" w:rsidRDefault="005B2D2F">
            <w:pPr>
              <w:pStyle w:val="Summarytabletextrightalignedbold"/>
            </w:pPr>
            <w:r>
              <w:t>2,739.6</w:t>
            </w:r>
          </w:p>
        </w:tc>
        <w:tc>
          <w:tcPr>
            <w:tcW w:w="850" w:type="dxa"/>
            <w:tcBorders>
              <w:top w:val="single" w:sz="4" w:space="0" w:color="000000" w:themeColor="text1"/>
              <w:bottom w:val="single" w:sz="4" w:space="0" w:color="000000" w:themeColor="text1"/>
            </w:tcBorders>
            <w:vAlign w:val="bottom"/>
          </w:tcPr>
          <w:p w14:paraId="4A1F1622" w14:textId="77777777" w:rsidR="00B628FF" w:rsidRDefault="005B2D2F">
            <w:pPr>
              <w:pStyle w:val="Summarytabletextrightalignedbold"/>
            </w:pPr>
            <w:r>
              <w:t>3,061.1</w:t>
            </w:r>
          </w:p>
        </w:tc>
        <w:tc>
          <w:tcPr>
            <w:tcW w:w="850" w:type="dxa"/>
            <w:tcBorders>
              <w:top w:val="single" w:sz="4" w:space="0" w:color="000000" w:themeColor="text1"/>
              <w:bottom w:val="single" w:sz="4" w:space="0" w:color="000000" w:themeColor="text1"/>
            </w:tcBorders>
            <w:vAlign w:val="bottom"/>
          </w:tcPr>
          <w:p w14:paraId="25A0F24A" w14:textId="77777777" w:rsidR="00B628FF" w:rsidRDefault="005B2D2F">
            <w:pPr>
              <w:pStyle w:val="Summarytabletextrightalignedbold"/>
            </w:pPr>
            <w:r>
              <w:t>3,207.1</w:t>
            </w:r>
          </w:p>
        </w:tc>
      </w:tr>
      <w:tr w:rsidR="00B628FF" w14:paraId="0069A940" w14:textId="77777777" w:rsidTr="5FA307DC">
        <w:tc>
          <w:tcPr>
            <w:tcW w:w="3471" w:type="dxa"/>
            <w:vAlign w:val="bottom"/>
          </w:tcPr>
          <w:p w14:paraId="6BC7E548" w14:textId="77777777" w:rsidR="00B628FF" w:rsidRDefault="005B2D2F">
            <w:pPr>
              <w:pStyle w:val="SummaryPortfolioTitle-BP2"/>
            </w:pPr>
            <w:r>
              <w:t>HOME AFFAIRS</w:t>
            </w:r>
          </w:p>
        </w:tc>
        <w:tc>
          <w:tcPr>
            <w:tcW w:w="850" w:type="dxa"/>
          </w:tcPr>
          <w:p w14:paraId="6EB3FA3B" w14:textId="77777777" w:rsidR="00B628FF" w:rsidRDefault="00B628FF">
            <w:pPr>
              <w:pStyle w:val="MeasureTableTextRightAlignedBefore6ptAfter1pt"/>
            </w:pPr>
          </w:p>
        </w:tc>
        <w:tc>
          <w:tcPr>
            <w:tcW w:w="850" w:type="dxa"/>
            <w:shd w:val="clear" w:color="auto" w:fill="E6F2FF"/>
          </w:tcPr>
          <w:p w14:paraId="0993AC0A" w14:textId="77777777" w:rsidR="00B628FF" w:rsidRDefault="00B628FF">
            <w:pPr>
              <w:pStyle w:val="MeasureTableTextRightAlignedBefore6ptAfter1pt"/>
            </w:pPr>
          </w:p>
        </w:tc>
        <w:tc>
          <w:tcPr>
            <w:tcW w:w="850" w:type="dxa"/>
          </w:tcPr>
          <w:p w14:paraId="013B9FD4" w14:textId="77777777" w:rsidR="00B628FF" w:rsidRDefault="00B628FF">
            <w:pPr>
              <w:pStyle w:val="MeasureTableTextRightAlignedBefore6ptAfter1pt"/>
            </w:pPr>
          </w:p>
        </w:tc>
        <w:tc>
          <w:tcPr>
            <w:tcW w:w="850" w:type="dxa"/>
          </w:tcPr>
          <w:p w14:paraId="676F3139" w14:textId="77777777" w:rsidR="00B628FF" w:rsidRDefault="00B628FF">
            <w:pPr>
              <w:pStyle w:val="MeasureTableTextRightAlignedBefore6ptAfter1pt"/>
            </w:pPr>
          </w:p>
        </w:tc>
        <w:tc>
          <w:tcPr>
            <w:tcW w:w="850" w:type="dxa"/>
          </w:tcPr>
          <w:p w14:paraId="2FC0542A" w14:textId="77777777" w:rsidR="00B628FF" w:rsidRDefault="00B628FF">
            <w:pPr>
              <w:pStyle w:val="MeasureTableTextRightAlignedBefore6ptAfter1pt"/>
            </w:pPr>
          </w:p>
        </w:tc>
      </w:tr>
      <w:tr w:rsidR="00B628FF" w14:paraId="7D384F4C" w14:textId="77777777" w:rsidTr="5FA307DC">
        <w:tc>
          <w:tcPr>
            <w:tcW w:w="3471" w:type="dxa"/>
            <w:vAlign w:val="bottom"/>
          </w:tcPr>
          <w:p w14:paraId="708EB57E" w14:textId="77777777" w:rsidR="00B628FF" w:rsidRDefault="005B2D2F">
            <w:pPr>
              <w:pStyle w:val="SummaryAgencyTitle-BP2"/>
            </w:pPr>
            <w:r>
              <w:t>Department of Home Affairs</w:t>
            </w:r>
          </w:p>
        </w:tc>
        <w:tc>
          <w:tcPr>
            <w:tcW w:w="850" w:type="dxa"/>
          </w:tcPr>
          <w:p w14:paraId="2DD59A49" w14:textId="77777777" w:rsidR="00B628FF" w:rsidRDefault="00B628FF">
            <w:pPr>
              <w:pStyle w:val="SummaryAgencyTitle-BP2"/>
            </w:pPr>
          </w:p>
        </w:tc>
        <w:tc>
          <w:tcPr>
            <w:tcW w:w="850" w:type="dxa"/>
            <w:shd w:val="clear" w:color="auto" w:fill="E6F2FF"/>
          </w:tcPr>
          <w:p w14:paraId="768CBFF4" w14:textId="77777777" w:rsidR="00B628FF" w:rsidRDefault="00B628FF">
            <w:pPr>
              <w:pStyle w:val="SummaryAgencyTitle-BP2"/>
            </w:pPr>
          </w:p>
        </w:tc>
        <w:tc>
          <w:tcPr>
            <w:tcW w:w="850" w:type="dxa"/>
          </w:tcPr>
          <w:p w14:paraId="10ACE0E4" w14:textId="77777777" w:rsidR="00B628FF" w:rsidRDefault="00B628FF">
            <w:pPr>
              <w:pStyle w:val="SummaryAgencyTitle-BP2"/>
            </w:pPr>
          </w:p>
        </w:tc>
        <w:tc>
          <w:tcPr>
            <w:tcW w:w="850" w:type="dxa"/>
          </w:tcPr>
          <w:p w14:paraId="533C3802" w14:textId="77777777" w:rsidR="00B628FF" w:rsidRDefault="00B628FF">
            <w:pPr>
              <w:pStyle w:val="SummaryAgencyTitle-BP2"/>
            </w:pPr>
          </w:p>
        </w:tc>
        <w:tc>
          <w:tcPr>
            <w:tcW w:w="850" w:type="dxa"/>
          </w:tcPr>
          <w:p w14:paraId="483D92DF" w14:textId="77777777" w:rsidR="00B628FF" w:rsidRDefault="00B628FF">
            <w:pPr>
              <w:pStyle w:val="SummaryAgencyTitle-BP2"/>
            </w:pPr>
          </w:p>
        </w:tc>
      </w:tr>
      <w:tr w:rsidR="00B628FF" w14:paraId="1FE2D033" w14:textId="77777777" w:rsidTr="5FA307DC">
        <w:tc>
          <w:tcPr>
            <w:tcW w:w="3471" w:type="dxa"/>
            <w:vAlign w:val="bottom"/>
          </w:tcPr>
          <w:p w14:paraId="74471217" w14:textId="10B30FC2" w:rsidR="00B628FF" w:rsidRDefault="005B2D2F">
            <w:pPr>
              <w:pStyle w:val="SummaryMeasureTitlewithTheme"/>
            </w:pPr>
            <w:r>
              <w:t>Attorney‑General</w:t>
            </w:r>
            <w:r w:rsidR="00B31B37">
              <w:t>’</w:t>
            </w:r>
            <w:r>
              <w:t>s Portfolio – additional resourcing</w:t>
            </w:r>
          </w:p>
        </w:tc>
        <w:tc>
          <w:tcPr>
            <w:tcW w:w="850" w:type="dxa"/>
            <w:vAlign w:val="bottom"/>
          </w:tcPr>
          <w:p w14:paraId="658DE361" w14:textId="4A265E56" w:rsidR="00B628FF" w:rsidRDefault="00B31B37">
            <w:pPr>
              <w:pStyle w:val="Summarytabletextrightaligned"/>
            </w:pPr>
            <w:r>
              <w:noBreakHyphen/>
            </w:r>
          </w:p>
        </w:tc>
        <w:tc>
          <w:tcPr>
            <w:tcW w:w="850" w:type="dxa"/>
            <w:shd w:val="clear" w:color="auto" w:fill="E6F2FF"/>
            <w:vAlign w:val="bottom"/>
          </w:tcPr>
          <w:p w14:paraId="0F58F727" w14:textId="77777777" w:rsidR="00B628FF" w:rsidRDefault="005B2D2F">
            <w:pPr>
              <w:pStyle w:val="Summarytabletextrightaligned"/>
            </w:pPr>
            <w:r>
              <w:t>0.5</w:t>
            </w:r>
          </w:p>
        </w:tc>
        <w:tc>
          <w:tcPr>
            <w:tcW w:w="850" w:type="dxa"/>
            <w:vAlign w:val="bottom"/>
          </w:tcPr>
          <w:p w14:paraId="630E50C2" w14:textId="7111E46A" w:rsidR="00B628FF" w:rsidRDefault="00B31B37">
            <w:pPr>
              <w:pStyle w:val="Summarytabletextrightaligned"/>
            </w:pPr>
            <w:r>
              <w:noBreakHyphen/>
            </w:r>
          </w:p>
        </w:tc>
        <w:tc>
          <w:tcPr>
            <w:tcW w:w="850" w:type="dxa"/>
            <w:vAlign w:val="bottom"/>
          </w:tcPr>
          <w:p w14:paraId="373D0828" w14:textId="52E0807C" w:rsidR="00B628FF" w:rsidRDefault="00B31B37">
            <w:pPr>
              <w:pStyle w:val="Summarytabletextrightaligned"/>
            </w:pPr>
            <w:r>
              <w:noBreakHyphen/>
            </w:r>
          </w:p>
        </w:tc>
        <w:tc>
          <w:tcPr>
            <w:tcW w:w="850" w:type="dxa"/>
            <w:vAlign w:val="bottom"/>
          </w:tcPr>
          <w:p w14:paraId="3B6EACAA" w14:textId="74AEBE39" w:rsidR="00B628FF" w:rsidRDefault="00B31B37">
            <w:pPr>
              <w:pStyle w:val="Summarytabletextrightaligned"/>
            </w:pPr>
            <w:r>
              <w:noBreakHyphen/>
            </w:r>
          </w:p>
        </w:tc>
      </w:tr>
      <w:tr w:rsidR="00B628FF" w14:paraId="1B98D358" w14:textId="77777777" w:rsidTr="5FA307DC">
        <w:tc>
          <w:tcPr>
            <w:tcW w:w="3471" w:type="dxa"/>
            <w:vAlign w:val="bottom"/>
          </w:tcPr>
          <w:p w14:paraId="5B59F138" w14:textId="77777777" w:rsidR="00B628FF" w:rsidRDefault="005B2D2F">
            <w:pPr>
              <w:pStyle w:val="SummaryMeasureTitlewithTheme"/>
            </w:pPr>
            <w:r>
              <w:t>Illicit Tobacco Compliance and Enforcement Package – direct and targeted enforcement to counter profits from illicit tobacco</w:t>
            </w:r>
          </w:p>
        </w:tc>
        <w:tc>
          <w:tcPr>
            <w:tcW w:w="850" w:type="dxa"/>
            <w:vAlign w:val="bottom"/>
          </w:tcPr>
          <w:p w14:paraId="2487D021" w14:textId="05207605" w:rsidR="00B628FF" w:rsidRDefault="00B31B37">
            <w:pPr>
              <w:pStyle w:val="Summarytabletextrightaligned"/>
            </w:pPr>
            <w:r>
              <w:noBreakHyphen/>
            </w:r>
          </w:p>
        </w:tc>
        <w:tc>
          <w:tcPr>
            <w:tcW w:w="850" w:type="dxa"/>
            <w:shd w:val="clear" w:color="auto" w:fill="E6F2FF"/>
            <w:vAlign w:val="bottom"/>
          </w:tcPr>
          <w:p w14:paraId="09485337" w14:textId="77777777" w:rsidR="00B628FF" w:rsidRDefault="005B2D2F">
            <w:pPr>
              <w:pStyle w:val="Summarytabletextrightaligned"/>
            </w:pPr>
            <w:r>
              <w:t>17.9</w:t>
            </w:r>
          </w:p>
        </w:tc>
        <w:tc>
          <w:tcPr>
            <w:tcW w:w="850" w:type="dxa"/>
            <w:vAlign w:val="bottom"/>
          </w:tcPr>
          <w:p w14:paraId="36AD1490" w14:textId="77777777" w:rsidR="00B628FF" w:rsidRDefault="005B2D2F">
            <w:pPr>
              <w:pStyle w:val="Summarytabletextrightaligned"/>
            </w:pPr>
            <w:r>
              <w:t>15.1</w:t>
            </w:r>
          </w:p>
        </w:tc>
        <w:tc>
          <w:tcPr>
            <w:tcW w:w="850" w:type="dxa"/>
            <w:vAlign w:val="bottom"/>
          </w:tcPr>
          <w:p w14:paraId="28FA98E7" w14:textId="75EC78D0" w:rsidR="00B628FF" w:rsidRDefault="00B31B37">
            <w:pPr>
              <w:pStyle w:val="Summarytabletextrightaligned"/>
            </w:pPr>
            <w:r>
              <w:noBreakHyphen/>
            </w:r>
          </w:p>
        </w:tc>
        <w:tc>
          <w:tcPr>
            <w:tcW w:w="850" w:type="dxa"/>
            <w:vAlign w:val="bottom"/>
          </w:tcPr>
          <w:p w14:paraId="30C89F6D" w14:textId="3875EF02" w:rsidR="00B628FF" w:rsidRDefault="00B31B37">
            <w:pPr>
              <w:pStyle w:val="Summarytabletextrightaligned"/>
            </w:pPr>
            <w:r>
              <w:noBreakHyphen/>
            </w:r>
          </w:p>
        </w:tc>
      </w:tr>
      <w:tr w:rsidR="00B628FF" w14:paraId="49E62D60" w14:textId="77777777" w:rsidTr="5FA307DC">
        <w:tc>
          <w:tcPr>
            <w:tcW w:w="3471" w:type="dxa"/>
            <w:vAlign w:val="bottom"/>
          </w:tcPr>
          <w:p w14:paraId="50F09A07" w14:textId="77777777" w:rsidR="00B628FF" w:rsidRDefault="005B2D2F">
            <w:pPr>
              <w:pStyle w:val="SummaryMeasureTitlewithTheme"/>
            </w:pPr>
            <w:r>
              <w:t>Supporting Border Security(b)</w:t>
            </w:r>
          </w:p>
        </w:tc>
        <w:tc>
          <w:tcPr>
            <w:tcW w:w="850" w:type="dxa"/>
            <w:vAlign w:val="bottom"/>
          </w:tcPr>
          <w:p w14:paraId="3951EE30" w14:textId="175CFB16" w:rsidR="00B628FF" w:rsidRDefault="00B31B37">
            <w:pPr>
              <w:pStyle w:val="Summarytabletextrightaligned"/>
            </w:pPr>
            <w:r>
              <w:noBreakHyphen/>
            </w:r>
            <w:r w:rsidR="005B2D2F">
              <w:t>10.0</w:t>
            </w:r>
          </w:p>
        </w:tc>
        <w:tc>
          <w:tcPr>
            <w:tcW w:w="850" w:type="dxa"/>
            <w:shd w:val="clear" w:color="auto" w:fill="E6F2FF"/>
            <w:vAlign w:val="bottom"/>
          </w:tcPr>
          <w:p w14:paraId="172B73A4" w14:textId="77777777" w:rsidR="00B628FF" w:rsidRDefault="005B2D2F">
            <w:pPr>
              <w:pStyle w:val="Summarytabletextrightaligned"/>
            </w:pPr>
            <w:r>
              <w:t>68.3</w:t>
            </w:r>
          </w:p>
        </w:tc>
        <w:tc>
          <w:tcPr>
            <w:tcW w:w="850" w:type="dxa"/>
            <w:vAlign w:val="bottom"/>
          </w:tcPr>
          <w:p w14:paraId="79002A00" w14:textId="14320B16" w:rsidR="00B628FF" w:rsidRDefault="00B31B37">
            <w:pPr>
              <w:pStyle w:val="Summarytabletextrightaligned"/>
            </w:pPr>
            <w:r>
              <w:noBreakHyphen/>
            </w:r>
          </w:p>
        </w:tc>
        <w:tc>
          <w:tcPr>
            <w:tcW w:w="850" w:type="dxa"/>
            <w:vAlign w:val="bottom"/>
          </w:tcPr>
          <w:p w14:paraId="16583086" w14:textId="519F79DC" w:rsidR="00B628FF" w:rsidRDefault="00B31B37">
            <w:pPr>
              <w:pStyle w:val="Summarytabletextrightaligned"/>
            </w:pPr>
            <w:r>
              <w:noBreakHyphen/>
            </w:r>
          </w:p>
        </w:tc>
        <w:tc>
          <w:tcPr>
            <w:tcW w:w="850" w:type="dxa"/>
            <w:vAlign w:val="bottom"/>
          </w:tcPr>
          <w:p w14:paraId="504A3528" w14:textId="640EF99A" w:rsidR="00B628FF" w:rsidRDefault="00B31B37">
            <w:pPr>
              <w:pStyle w:val="Summarytabletextrightaligned"/>
            </w:pPr>
            <w:r>
              <w:noBreakHyphen/>
            </w:r>
          </w:p>
        </w:tc>
      </w:tr>
      <w:tr w:rsidR="00B628FF" w14:paraId="1B7DEDAC" w14:textId="77777777" w:rsidTr="5FA307DC">
        <w:tc>
          <w:tcPr>
            <w:tcW w:w="3471" w:type="dxa"/>
            <w:vAlign w:val="bottom"/>
          </w:tcPr>
          <w:p w14:paraId="1E67A0A8" w14:textId="77777777" w:rsidR="00B628FF" w:rsidRDefault="005B2D2F">
            <w:pPr>
              <w:pStyle w:val="SummaryMeasureTitlewithTheme"/>
            </w:pPr>
            <w:r>
              <w:t>Supporting Community Safety</w:t>
            </w:r>
          </w:p>
        </w:tc>
        <w:tc>
          <w:tcPr>
            <w:tcW w:w="850" w:type="dxa"/>
            <w:vAlign w:val="bottom"/>
          </w:tcPr>
          <w:p w14:paraId="088B0C46" w14:textId="77777777" w:rsidR="00B628FF" w:rsidRDefault="005B2D2F">
            <w:pPr>
              <w:pStyle w:val="Summarytabletextrightaligned"/>
            </w:pPr>
            <w:r w:rsidRPr="5FA307DC">
              <w:rPr>
                <w:lang w:val="en-US"/>
              </w:rPr>
              <w:t>nfp</w:t>
            </w:r>
          </w:p>
        </w:tc>
        <w:tc>
          <w:tcPr>
            <w:tcW w:w="850" w:type="dxa"/>
            <w:shd w:val="clear" w:color="auto" w:fill="E6F2FF"/>
            <w:vAlign w:val="bottom"/>
          </w:tcPr>
          <w:p w14:paraId="59629898" w14:textId="77777777" w:rsidR="00B628FF" w:rsidRDefault="005B2D2F">
            <w:pPr>
              <w:pStyle w:val="Summarytabletextrightaligned"/>
            </w:pPr>
            <w:r w:rsidRPr="5FA307DC">
              <w:rPr>
                <w:lang w:val="en-US"/>
              </w:rPr>
              <w:t>nfp</w:t>
            </w:r>
          </w:p>
        </w:tc>
        <w:tc>
          <w:tcPr>
            <w:tcW w:w="850" w:type="dxa"/>
            <w:vAlign w:val="bottom"/>
          </w:tcPr>
          <w:p w14:paraId="3684DDC7" w14:textId="77777777" w:rsidR="00B628FF" w:rsidRDefault="005B2D2F">
            <w:pPr>
              <w:pStyle w:val="Summarytabletextrightaligned"/>
            </w:pPr>
            <w:r w:rsidRPr="5FA307DC">
              <w:rPr>
                <w:lang w:val="en-US"/>
              </w:rPr>
              <w:t>nfp</w:t>
            </w:r>
          </w:p>
        </w:tc>
        <w:tc>
          <w:tcPr>
            <w:tcW w:w="850" w:type="dxa"/>
            <w:vAlign w:val="bottom"/>
          </w:tcPr>
          <w:p w14:paraId="223CFDFA" w14:textId="77777777" w:rsidR="00B628FF" w:rsidRDefault="005B2D2F">
            <w:pPr>
              <w:pStyle w:val="Summarytabletextrightaligned"/>
            </w:pPr>
            <w:r w:rsidRPr="5FA307DC">
              <w:rPr>
                <w:lang w:val="en-US"/>
              </w:rPr>
              <w:t>nfp</w:t>
            </w:r>
          </w:p>
        </w:tc>
        <w:tc>
          <w:tcPr>
            <w:tcW w:w="850" w:type="dxa"/>
            <w:vAlign w:val="bottom"/>
          </w:tcPr>
          <w:p w14:paraId="18E81BC4" w14:textId="77777777" w:rsidR="00B628FF" w:rsidRDefault="005B2D2F">
            <w:pPr>
              <w:pStyle w:val="Summarytabletextrightaligned"/>
            </w:pPr>
            <w:r w:rsidRPr="5FA307DC">
              <w:rPr>
                <w:lang w:val="en-US"/>
              </w:rPr>
              <w:t>nfp</w:t>
            </w:r>
          </w:p>
        </w:tc>
      </w:tr>
      <w:tr w:rsidR="00B628FF" w14:paraId="00FAE045" w14:textId="77777777" w:rsidTr="5FA307DC">
        <w:tc>
          <w:tcPr>
            <w:tcW w:w="3471" w:type="dxa"/>
            <w:vAlign w:val="bottom"/>
          </w:tcPr>
          <w:p w14:paraId="49138D31" w14:textId="77777777" w:rsidR="00B628FF" w:rsidRDefault="005B2D2F">
            <w:pPr>
              <w:pStyle w:val="SummaryMeasureTitlewithTheme"/>
            </w:pPr>
            <w:r>
              <w:t>Supporting Social Cohesion</w:t>
            </w:r>
          </w:p>
        </w:tc>
        <w:tc>
          <w:tcPr>
            <w:tcW w:w="850" w:type="dxa"/>
            <w:vAlign w:val="bottom"/>
          </w:tcPr>
          <w:p w14:paraId="0E1C6300" w14:textId="77777777" w:rsidR="00B628FF" w:rsidRDefault="005B2D2F">
            <w:pPr>
              <w:pStyle w:val="Summarytabletextrightaligned"/>
            </w:pPr>
            <w:r>
              <w:t>5.6</w:t>
            </w:r>
          </w:p>
        </w:tc>
        <w:tc>
          <w:tcPr>
            <w:tcW w:w="850" w:type="dxa"/>
            <w:shd w:val="clear" w:color="auto" w:fill="E6F2FF"/>
            <w:vAlign w:val="bottom"/>
          </w:tcPr>
          <w:p w14:paraId="720EB470" w14:textId="77777777" w:rsidR="00B628FF" w:rsidRDefault="005B2D2F">
            <w:pPr>
              <w:pStyle w:val="Summarytabletextrightaligned"/>
            </w:pPr>
            <w:r>
              <w:t>38.1</w:t>
            </w:r>
          </w:p>
        </w:tc>
        <w:tc>
          <w:tcPr>
            <w:tcW w:w="850" w:type="dxa"/>
            <w:vAlign w:val="bottom"/>
          </w:tcPr>
          <w:p w14:paraId="392D2ACB" w14:textId="77777777" w:rsidR="00B628FF" w:rsidRDefault="005B2D2F">
            <w:pPr>
              <w:pStyle w:val="Summarytabletextrightaligned"/>
            </w:pPr>
            <w:r>
              <w:t>26.4</w:t>
            </w:r>
          </w:p>
        </w:tc>
        <w:tc>
          <w:tcPr>
            <w:tcW w:w="850" w:type="dxa"/>
            <w:vAlign w:val="bottom"/>
          </w:tcPr>
          <w:p w14:paraId="14CF7C33" w14:textId="77777777" w:rsidR="00B628FF" w:rsidRDefault="005B2D2F">
            <w:pPr>
              <w:pStyle w:val="Summarytabletextrightaligned"/>
            </w:pPr>
            <w:r>
              <w:t>15.4</w:t>
            </w:r>
          </w:p>
        </w:tc>
        <w:tc>
          <w:tcPr>
            <w:tcW w:w="850" w:type="dxa"/>
            <w:vAlign w:val="bottom"/>
          </w:tcPr>
          <w:p w14:paraId="76DC6AD2" w14:textId="77777777" w:rsidR="00B628FF" w:rsidRDefault="005B2D2F">
            <w:pPr>
              <w:pStyle w:val="Summarytabletextrightaligned"/>
            </w:pPr>
            <w:r>
              <w:t>6.3</w:t>
            </w:r>
          </w:p>
        </w:tc>
      </w:tr>
      <w:tr w:rsidR="00B628FF" w14:paraId="68DD8C54" w14:textId="77777777" w:rsidTr="5FA307DC">
        <w:tc>
          <w:tcPr>
            <w:tcW w:w="3471" w:type="dxa"/>
            <w:vAlign w:val="bottom"/>
          </w:tcPr>
          <w:p w14:paraId="337A72C9" w14:textId="77777777" w:rsidR="00B628FF" w:rsidRDefault="005B2D2F">
            <w:pPr>
              <w:pStyle w:val="SummaryAgencyTitle-BP2"/>
            </w:pPr>
            <w:r>
              <w:t>National Emergency Management Agency</w:t>
            </w:r>
          </w:p>
        </w:tc>
        <w:tc>
          <w:tcPr>
            <w:tcW w:w="850" w:type="dxa"/>
          </w:tcPr>
          <w:p w14:paraId="7B9259F1" w14:textId="77777777" w:rsidR="00B628FF" w:rsidRDefault="00B628FF">
            <w:pPr>
              <w:pStyle w:val="SummaryAgencyTitle-BP2"/>
            </w:pPr>
          </w:p>
        </w:tc>
        <w:tc>
          <w:tcPr>
            <w:tcW w:w="850" w:type="dxa"/>
            <w:shd w:val="clear" w:color="auto" w:fill="E6F2FF"/>
          </w:tcPr>
          <w:p w14:paraId="38915E7C" w14:textId="77777777" w:rsidR="00B628FF" w:rsidRDefault="00B628FF">
            <w:pPr>
              <w:pStyle w:val="SummaryAgencyTitle-BP2"/>
            </w:pPr>
          </w:p>
        </w:tc>
        <w:tc>
          <w:tcPr>
            <w:tcW w:w="850" w:type="dxa"/>
          </w:tcPr>
          <w:p w14:paraId="3BE29AE1" w14:textId="77777777" w:rsidR="00B628FF" w:rsidRDefault="00B628FF">
            <w:pPr>
              <w:pStyle w:val="SummaryAgencyTitle-BP2"/>
            </w:pPr>
          </w:p>
        </w:tc>
        <w:tc>
          <w:tcPr>
            <w:tcW w:w="850" w:type="dxa"/>
          </w:tcPr>
          <w:p w14:paraId="7F5C8FC9" w14:textId="77777777" w:rsidR="00B628FF" w:rsidRDefault="00B628FF">
            <w:pPr>
              <w:pStyle w:val="SummaryAgencyTitle-BP2"/>
            </w:pPr>
          </w:p>
        </w:tc>
        <w:tc>
          <w:tcPr>
            <w:tcW w:w="850" w:type="dxa"/>
          </w:tcPr>
          <w:p w14:paraId="1D05215C" w14:textId="77777777" w:rsidR="00B628FF" w:rsidRDefault="00B628FF">
            <w:pPr>
              <w:pStyle w:val="SummaryAgencyTitle-BP2"/>
            </w:pPr>
          </w:p>
        </w:tc>
      </w:tr>
      <w:tr w:rsidR="00B628FF" w14:paraId="36C9525B" w14:textId="77777777" w:rsidTr="5FA307DC">
        <w:tc>
          <w:tcPr>
            <w:tcW w:w="3471" w:type="dxa"/>
            <w:vAlign w:val="bottom"/>
          </w:tcPr>
          <w:p w14:paraId="165D5E6A" w14:textId="77777777" w:rsidR="00B628FF" w:rsidRDefault="005B2D2F">
            <w:pPr>
              <w:pStyle w:val="SummaryMeasureTitlewithTheme"/>
            </w:pPr>
            <w:r>
              <w:t>Disaster Support</w:t>
            </w:r>
          </w:p>
        </w:tc>
        <w:tc>
          <w:tcPr>
            <w:tcW w:w="850" w:type="dxa"/>
            <w:vAlign w:val="bottom"/>
          </w:tcPr>
          <w:p w14:paraId="16FBD191" w14:textId="32CE35BE" w:rsidR="00B628FF" w:rsidRDefault="00B31B37">
            <w:pPr>
              <w:pStyle w:val="Summarytabletextrightaligned"/>
            </w:pPr>
            <w:r>
              <w:noBreakHyphen/>
            </w:r>
          </w:p>
        </w:tc>
        <w:tc>
          <w:tcPr>
            <w:tcW w:w="850" w:type="dxa"/>
            <w:shd w:val="clear" w:color="auto" w:fill="E6F2FF"/>
            <w:vAlign w:val="bottom"/>
          </w:tcPr>
          <w:p w14:paraId="55A35EF9" w14:textId="77777777" w:rsidR="00B628FF" w:rsidRDefault="005B2D2F">
            <w:pPr>
              <w:pStyle w:val="Summarytabletextrightaligned"/>
            </w:pPr>
            <w:r>
              <w:t>7.2</w:t>
            </w:r>
          </w:p>
        </w:tc>
        <w:tc>
          <w:tcPr>
            <w:tcW w:w="850" w:type="dxa"/>
            <w:vAlign w:val="bottom"/>
          </w:tcPr>
          <w:p w14:paraId="777F523E" w14:textId="4503F260" w:rsidR="00B628FF" w:rsidRDefault="00B31B37">
            <w:pPr>
              <w:pStyle w:val="Summarytabletextrightaligned"/>
            </w:pPr>
            <w:r>
              <w:noBreakHyphen/>
            </w:r>
          </w:p>
        </w:tc>
        <w:tc>
          <w:tcPr>
            <w:tcW w:w="850" w:type="dxa"/>
            <w:vAlign w:val="bottom"/>
          </w:tcPr>
          <w:p w14:paraId="6A8301EB" w14:textId="25595BEF" w:rsidR="00B628FF" w:rsidRDefault="00B31B37">
            <w:pPr>
              <w:pStyle w:val="Summarytabletextrightaligned"/>
            </w:pPr>
            <w:r>
              <w:noBreakHyphen/>
            </w:r>
          </w:p>
        </w:tc>
        <w:tc>
          <w:tcPr>
            <w:tcW w:w="850" w:type="dxa"/>
            <w:vAlign w:val="bottom"/>
          </w:tcPr>
          <w:p w14:paraId="3EED75B4" w14:textId="6031BC6F" w:rsidR="00B628FF" w:rsidRDefault="00B31B37">
            <w:pPr>
              <w:pStyle w:val="Summarytabletextrightaligned"/>
            </w:pPr>
            <w:r>
              <w:noBreakHyphen/>
            </w:r>
          </w:p>
        </w:tc>
      </w:tr>
      <w:tr w:rsidR="00B628FF" w14:paraId="356A682B" w14:textId="77777777" w:rsidTr="5FA307DC">
        <w:tc>
          <w:tcPr>
            <w:tcW w:w="3471" w:type="dxa"/>
            <w:vAlign w:val="bottom"/>
          </w:tcPr>
          <w:p w14:paraId="64695056" w14:textId="77777777" w:rsidR="00B628FF" w:rsidRDefault="005B2D2F">
            <w:pPr>
              <w:pStyle w:val="Summarytabletextleftalignedbold"/>
            </w:pPr>
            <w:r>
              <w:t>Portfolio total</w:t>
            </w:r>
          </w:p>
        </w:tc>
        <w:tc>
          <w:tcPr>
            <w:tcW w:w="850" w:type="dxa"/>
            <w:tcBorders>
              <w:top w:val="single" w:sz="4" w:space="0" w:color="000000" w:themeColor="text1"/>
              <w:bottom w:val="single" w:sz="4" w:space="0" w:color="000000" w:themeColor="text1"/>
            </w:tcBorders>
            <w:vAlign w:val="bottom"/>
          </w:tcPr>
          <w:p w14:paraId="373BE6EF" w14:textId="5CD80D94" w:rsidR="00B628FF" w:rsidRDefault="00B31B37">
            <w:pPr>
              <w:pStyle w:val="Summarytabletextrightalignedbold"/>
            </w:pPr>
            <w:r>
              <w:noBreakHyphen/>
            </w:r>
            <w:r w:rsidR="005B2D2F">
              <w:t>4.4</w:t>
            </w:r>
          </w:p>
        </w:tc>
        <w:tc>
          <w:tcPr>
            <w:tcW w:w="850" w:type="dxa"/>
            <w:tcBorders>
              <w:top w:val="single" w:sz="4" w:space="0" w:color="000000" w:themeColor="text1"/>
              <w:bottom w:val="single" w:sz="4" w:space="0" w:color="000000" w:themeColor="text1"/>
            </w:tcBorders>
            <w:shd w:val="clear" w:color="auto" w:fill="E6F2FF"/>
            <w:vAlign w:val="bottom"/>
          </w:tcPr>
          <w:p w14:paraId="101723B0" w14:textId="77777777" w:rsidR="00B628FF" w:rsidRDefault="005B2D2F">
            <w:pPr>
              <w:pStyle w:val="Summarytabletextrightalignedbold"/>
            </w:pPr>
            <w:r>
              <w:t>132.0</w:t>
            </w:r>
          </w:p>
        </w:tc>
        <w:tc>
          <w:tcPr>
            <w:tcW w:w="850" w:type="dxa"/>
            <w:tcBorders>
              <w:top w:val="single" w:sz="4" w:space="0" w:color="000000" w:themeColor="text1"/>
              <w:bottom w:val="single" w:sz="4" w:space="0" w:color="000000" w:themeColor="text1"/>
            </w:tcBorders>
            <w:vAlign w:val="bottom"/>
          </w:tcPr>
          <w:p w14:paraId="62C0C7A4" w14:textId="77777777" w:rsidR="00B628FF" w:rsidRDefault="005B2D2F">
            <w:pPr>
              <w:pStyle w:val="Summarytabletextrightalignedbold"/>
            </w:pPr>
            <w:r>
              <w:t>41.4</w:t>
            </w:r>
          </w:p>
        </w:tc>
        <w:tc>
          <w:tcPr>
            <w:tcW w:w="850" w:type="dxa"/>
            <w:tcBorders>
              <w:top w:val="single" w:sz="4" w:space="0" w:color="000000" w:themeColor="text1"/>
              <w:bottom w:val="single" w:sz="4" w:space="0" w:color="000000" w:themeColor="text1"/>
            </w:tcBorders>
            <w:vAlign w:val="bottom"/>
          </w:tcPr>
          <w:p w14:paraId="18B7BAF8" w14:textId="77777777" w:rsidR="00B628FF" w:rsidRDefault="005B2D2F">
            <w:pPr>
              <w:pStyle w:val="Summarytabletextrightalignedbold"/>
            </w:pPr>
            <w:r>
              <w:t>15.4</w:t>
            </w:r>
          </w:p>
        </w:tc>
        <w:tc>
          <w:tcPr>
            <w:tcW w:w="850" w:type="dxa"/>
            <w:tcBorders>
              <w:top w:val="single" w:sz="4" w:space="0" w:color="000000" w:themeColor="text1"/>
              <w:bottom w:val="single" w:sz="4" w:space="0" w:color="000000" w:themeColor="text1"/>
            </w:tcBorders>
            <w:vAlign w:val="bottom"/>
          </w:tcPr>
          <w:p w14:paraId="5B8C6E25" w14:textId="77777777" w:rsidR="00B628FF" w:rsidRDefault="005B2D2F">
            <w:pPr>
              <w:pStyle w:val="Summarytabletextrightalignedbold"/>
            </w:pPr>
            <w:r>
              <w:t>6.3</w:t>
            </w:r>
          </w:p>
        </w:tc>
      </w:tr>
    </w:tbl>
    <w:p w14:paraId="4E2B1495" w14:textId="77777777" w:rsidR="00997AF2" w:rsidRDefault="00997AF2" w:rsidP="00997AF2">
      <w:pPr>
        <w:sectPr w:rsidR="00997AF2" w:rsidSect="00A06F82">
          <w:pgSz w:w="11906" w:h="16838"/>
          <w:pgMar w:top="2835" w:right="2098" w:bottom="2466" w:left="2098" w:header="1814" w:footer="1814" w:gutter="0"/>
          <w:cols w:space="720"/>
          <w:docGrid w:linePitch="272"/>
        </w:sectPr>
      </w:pPr>
    </w:p>
    <w:p w14:paraId="65C18599" w14:textId="77777777" w:rsidR="00997AF2" w:rsidRDefault="00997AF2" w:rsidP="00997AF2">
      <w:pPr>
        <w:pStyle w:val="TableHeadingcontinued"/>
      </w:pPr>
      <w:r>
        <w:t>Table 2: Payment measures since the 2024–25 MYEFO</w:t>
      </w:r>
      <w:r>
        <w:rPr>
          <w:rFonts w:ascii="Cambria Math" w:hAnsi="Cambria Math" w:cs="Cambria Math"/>
        </w:rPr>
        <w:t>⁽</w:t>
      </w:r>
      <w:r>
        <w:rPr>
          <w:rFonts w:cs="Arial"/>
        </w:rPr>
        <w:t>ª</w:t>
      </w:r>
      <w:r>
        <w:rPr>
          <w:rFonts w:ascii="Cambria Math" w:hAnsi="Cambria Math" w:cs="Cambria Math"/>
        </w:rPr>
        <w:t>⁾</w:t>
      </w:r>
      <w:r>
        <w:t xml:space="preserve"> (continued)</w:t>
      </w:r>
    </w:p>
    <w:tbl>
      <w:tblPr>
        <w:tblOverlap w:val="never"/>
        <w:tblW w:w="7721" w:type="dxa"/>
        <w:tblBorders>
          <w:top w:val="single" w:sz="4" w:space="0" w:color="000000"/>
          <w:bottom w:val="single" w:sz="4" w:space="0" w:color="000000"/>
        </w:tblBorders>
        <w:tblLayout w:type="fixed"/>
        <w:tblCellMar>
          <w:left w:w="0" w:type="dxa"/>
          <w:right w:w="56" w:type="dxa"/>
        </w:tblCellMar>
        <w:tblLook w:val="04A0" w:firstRow="1" w:lastRow="0" w:firstColumn="1" w:lastColumn="0" w:noHBand="0" w:noVBand="1"/>
      </w:tblPr>
      <w:tblGrid>
        <w:gridCol w:w="3471"/>
        <w:gridCol w:w="850"/>
        <w:gridCol w:w="850"/>
        <w:gridCol w:w="850"/>
        <w:gridCol w:w="850"/>
        <w:gridCol w:w="850"/>
      </w:tblGrid>
      <w:tr w:rsidR="00997AF2" w14:paraId="6B05089A" w14:textId="77777777" w:rsidTr="5FA307DC">
        <w:tc>
          <w:tcPr>
            <w:tcW w:w="3471" w:type="dxa"/>
            <w:vAlign w:val="bottom"/>
          </w:tcPr>
          <w:p w14:paraId="4C2F26E2" w14:textId="77777777" w:rsidR="00997AF2" w:rsidRDefault="00997AF2" w:rsidP="00997AF2"/>
        </w:tc>
        <w:tc>
          <w:tcPr>
            <w:tcW w:w="850" w:type="dxa"/>
            <w:tcBorders>
              <w:bottom w:val="nil"/>
            </w:tcBorders>
          </w:tcPr>
          <w:p w14:paraId="47F37FF2" w14:textId="4439CAF2" w:rsidR="00997AF2" w:rsidRDefault="00997AF2" w:rsidP="00997AF2">
            <w:pPr>
              <w:pStyle w:val="Summarytabletextrightaligned"/>
            </w:pPr>
            <w:r>
              <w:t>2024</w:t>
            </w:r>
            <w:r w:rsidR="00B31B37">
              <w:noBreakHyphen/>
            </w:r>
            <w:r>
              <w:t>25</w:t>
            </w:r>
          </w:p>
        </w:tc>
        <w:tc>
          <w:tcPr>
            <w:tcW w:w="850" w:type="dxa"/>
            <w:tcBorders>
              <w:bottom w:val="nil"/>
            </w:tcBorders>
            <w:shd w:val="clear" w:color="auto" w:fill="E6F2FF"/>
          </w:tcPr>
          <w:p w14:paraId="63804A91" w14:textId="388E9840" w:rsidR="00997AF2" w:rsidRDefault="00997AF2" w:rsidP="00997AF2">
            <w:pPr>
              <w:pStyle w:val="Summarytabletextrightaligned"/>
            </w:pPr>
            <w:r>
              <w:t>2025</w:t>
            </w:r>
            <w:r w:rsidR="00B31B37">
              <w:noBreakHyphen/>
            </w:r>
            <w:r>
              <w:t>26</w:t>
            </w:r>
          </w:p>
        </w:tc>
        <w:tc>
          <w:tcPr>
            <w:tcW w:w="850" w:type="dxa"/>
            <w:tcBorders>
              <w:bottom w:val="nil"/>
            </w:tcBorders>
          </w:tcPr>
          <w:p w14:paraId="4BB98CD8" w14:textId="5C952FC0" w:rsidR="00997AF2" w:rsidRDefault="00997AF2" w:rsidP="00997AF2">
            <w:pPr>
              <w:pStyle w:val="Summarytabletextrightaligned"/>
            </w:pPr>
            <w:r>
              <w:t>2026</w:t>
            </w:r>
            <w:r w:rsidR="00B31B37">
              <w:noBreakHyphen/>
            </w:r>
            <w:r>
              <w:t>27</w:t>
            </w:r>
          </w:p>
        </w:tc>
        <w:tc>
          <w:tcPr>
            <w:tcW w:w="850" w:type="dxa"/>
            <w:tcBorders>
              <w:bottom w:val="nil"/>
            </w:tcBorders>
          </w:tcPr>
          <w:p w14:paraId="285D1116" w14:textId="0FFE3682" w:rsidR="00997AF2" w:rsidRDefault="00997AF2" w:rsidP="00997AF2">
            <w:pPr>
              <w:pStyle w:val="Summarytabletextrightaligned"/>
            </w:pPr>
            <w:r>
              <w:t>2027</w:t>
            </w:r>
            <w:r w:rsidR="00B31B37">
              <w:noBreakHyphen/>
            </w:r>
            <w:r>
              <w:t>28</w:t>
            </w:r>
          </w:p>
        </w:tc>
        <w:tc>
          <w:tcPr>
            <w:tcW w:w="850" w:type="dxa"/>
            <w:tcBorders>
              <w:bottom w:val="nil"/>
            </w:tcBorders>
          </w:tcPr>
          <w:p w14:paraId="156551EF" w14:textId="4578CC2A" w:rsidR="00997AF2" w:rsidRDefault="00997AF2" w:rsidP="00997AF2">
            <w:pPr>
              <w:pStyle w:val="Summarytabletextrightaligned"/>
            </w:pPr>
            <w:r>
              <w:t>2028</w:t>
            </w:r>
            <w:r w:rsidR="00B31B37">
              <w:noBreakHyphen/>
            </w:r>
            <w:r>
              <w:t>29</w:t>
            </w:r>
          </w:p>
        </w:tc>
      </w:tr>
      <w:tr w:rsidR="00997AF2" w14:paraId="1BC02015" w14:textId="77777777" w:rsidTr="5FA307DC">
        <w:tc>
          <w:tcPr>
            <w:tcW w:w="3471" w:type="dxa"/>
            <w:vAlign w:val="bottom"/>
          </w:tcPr>
          <w:p w14:paraId="3B27E06D" w14:textId="77777777" w:rsidR="00997AF2" w:rsidRDefault="00997AF2" w:rsidP="00997AF2"/>
        </w:tc>
        <w:tc>
          <w:tcPr>
            <w:tcW w:w="850" w:type="dxa"/>
            <w:tcBorders>
              <w:top w:val="nil"/>
              <w:bottom w:val="single" w:sz="4" w:space="0" w:color="auto"/>
            </w:tcBorders>
            <w:shd w:val="clear" w:color="auto" w:fill="auto"/>
          </w:tcPr>
          <w:p w14:paraId="03D97F68" w14:textId="77777777" w:rsidR="00997AF2" w:rsidRDefault="00997AF2" w:rsidP="00997AF2">
            <w:pPr>
              <w:pStyle w:val="Summarytabletextrightaligned"/>
            </w:pPr>
            <w:r>
              <w:t>$m</w:t>
            </w:r>
          </w:p>
        </w:tc>
        <w:tc>
          <w:tcPr>
            <w:tcW w:w="850" w:type="dxa"/>
            <w:tcBorders>
              <w:top w:val="nil"/>
              <w:bottom w:val="single" w:sz="4" w:space="0" w:color="auto"/>
            </w:tcBorders>
            <w:shd w:val="clear" w:color="auto" w:fill="E6F2FF"/>
          </w:tcPr>
          <w:p w14:paraId="49F96909" w14:textId="77777777" w:rsidR="00997AF2" w:rsidRDefault="00997AF2" w:rsidP="00997AF2">
            <w:pPr>
              <w:pStyle w:val="Summarytabletextrightaligned"/>
            </w:pPr>
            <w:r>
              <w:t>$m</w:t>
            </w:r>
          </w:p>
        </w:tc>
        <w:tc>
          <w:tcPr>
            <w:tcW w:w="850" w:type="dxa"/>
            <w:tcBorders>
              <w:top w:val="nil"/>
              <w:bottom w:val="single" w:sz="4" w:space="0" w:color="auto"/>
            </w:tcBorders>
            <w:shd w:val="clear" w:color="auto" w:fill="auto"/>
          </w:tcPr>
          <w:p w14:paraId="003F5737" w14:textId="77777777" w:rsidR="00997AF2" w:rsidRDefault="00997AF2" w:rsidP="00997AF2">
            <w:pPr>
              <w:pStyle w:val="Summarytabletextrightaligned"/>
            </w:pPr>
            <w:r>
              <w:t>$m</w:t>
            </w:r>
          </w:p>
        </w:tc>
        <w:tc>
          <w:tcPr>
            <w:tcW w:w="850" w:type="dxa"/>
            <w:tcBorders>
              <w:top w:val="nil"/>
              <w:bottom w:val="single" w:sz="4" w:space="0" w:color="auto"/>
            </w:tcBorders>
            <w:shd w:val="clear" w:color="auto" w:fill="auto"/>
          </w:tcPr>
          <w:p w14:paraId="19017D66" w14:textId="77777777" w:rsidR="00997AF2" w:rsidRDefault="00997AF2" w:rsidP="00997AF2">
            <w:pPr>
              <w:pStyle w:val="Summarytabletextrightaligned"/>
            </w:pPr>
            <w:r>
              <w:t>$m</w:t>
            </w:r>
          </w:p>
        </w:tc>
        <w:tc>
          <w:tcPr>
            <w:tcW w:w="850" w:type="dxa"/>
            <w:tcBorders>
              <w:top w:val="nil"/>
              <w:bottom w:val="single" w:sz="4" w:space="0" w:color="auto"/>
            </w:tcBorders>
            <w:shd w:val="clear" w:color="auto" w:fill="auto"/>
          </w:tcPr>
          <w:p w14:paraId="6934702B" w14:textId="77777777" w:rsidR="00997AF2" w:rsidRDefault="00997AF2" w:rsidP="00997AF2">
            <w:pPr>
              <w:pStyle w:val="Summarytabletextrightaligned"/>
            </w:pPr>
            <w:r>
              <w:t>$m</w:t>
            </w:r>
          </w:p>
        </w:tc>
      </w:tr>
      <w:tr w:rsidR="00B628FF" w14:paraId="7B82362E" w14:textId="77777777" w:rsidTr="5FA307DC">
        <w:tc>
          <w:tcPr>
            <w:tcW w:w="3471" w:type="dxa"/>
            <w:vAlign w:val="bottom"/>
          </w:tcPr>
          <w:p w14:paraId="349B985A" w14:textId="77777777" w:rsidR="00B628FF" w:rsidRDefault="005B2D2F">
            <w:pPr>
              <w:pStyle w:val="SummaryPortfolioTitle-BP2"/>
            </w:pPr>
            <w:r>
              <w:t>INDUSTRY, SCIENCE AND RESOURCES</w:t>
            </w:r>
          </w:p>
        </w:tc>
        <w:tc>
          <w:tcPr>
            <w:tcW w:w="850" w:type="dxa"/>
            <w:tcBorders>
              <w:top w:val="single" w:sz="4" w:space="0" w:color="auto"/>
            </w:tcBorders>
          </w:tcPr>
          <w:p w14:paraId="50307C8D" w14:textId="77777777" w:rsidR="00B628FF" w:rsidRDefault="00B628FF">
            <w:pPr>
              <w:pStyle w:val="MeasureTableTextRightAlignedBefore6ptAfter1pt"/>
            </w:pPr>
          </w:p>
        </w:tc>
        <w:tc>
          <w:tcPr>
            <w:tcW w:w="850" w:type="dxa"/>
            <w:tcBorders>
              <w:top w:val="single" w:sz="4" w:space="0" w:color="auto"/>
            </w:tcBorders>
            <w:shd w:val="clear" w:color="auto" w:fill="E6F2FF"/>
          </w:tcPr>
          <w:p w14:paraId="6F270E7A" w14:textId="77777777" w:rsidR="00B628FF" w:rsidRDefault="00B628FF">
            <w:pPr>
              <w:pStyle w:val="MeasureTableTextRightAlignedBefore6ptAfter1pt"/>
            </w:pPr>
          </w:p>
        </w:tc>
        <w:tc>
          <w:tcPr>
            <w:tcW w:w="850" w:type="dxa"/>
            <w:tcBorders>
              <w:top w:val="single" w:sz="4" w:space="0" w:color="auto"/>
            </w:tcBorders>
          </w:tcPr>
          <w:p w14:paraId="486355AE" w14:textId="77777777" w:rsidR="00B628FF" w:rsidRDefault="00B628FF">
            <w:pPr>
              <w:pStyle w:val="MeasureTableTextRightAlignedBefore6ptAfter1pt"/>
            </w:pPr>
          </w:p>
        </w:tc>
        <w:tc>
          <w:tcPr>
            <w:tcW w:w="850" w:type="dxa"/>
            <w:tcBorders>
              <w:top w:val="single" w:sz="4" w:space="0" w:color="auto"/>
            </w:tcBorders>
          </w:tcPr>
          <w:p w14:paraId="25DADBB0" w14:textId="77777777" w:rsidR="00B628FF" w:rsidRDefault="00B628FF">
            <w:pPr>
              <w:pStyle w:val="MeasureTableTextRightAlignedBefore6ptAfter1pt"/>
            </w:pPr>
          </w:p>
        </w:tc>
        <w:tc>
          <w:tcPr>
            <w:tcW w:w="850" w:type="dxa"/>
            <w:tcBorders>
              <w:top w:val="single" w:sz="4" w:space="0" w:color="auto"/>
            </w:tcBorders>
          </w:tcPr>
          <w:p w14:paraId="582AC2DB" w14:textId="77777777" w:rsidR="00B628FF" w:rsidRDefault="00B628FF">
            <w:pPr>
              <w:pStyle w:val="MeasureTableTextRightAlignedBefore6ptAfter1pt"/>
            </w:pPr>
          </w:p>
        </w:tc>
      </w:tr>
      <w:tr w:rsidR="00B628FF" w14:paraId="5AF4D732" w14:textId="77777777" w:rsidTr="5FA307DC">
        <w:tc>
          <w:tcPr>
            <w:tcW w:w="3471" w:type="dxa"/>
            <w:vAlign w:val="bottom"/>
          </w:tcPr>
          <w:p w14:paraId="4D656EC2" w14:textId="77777777" w:rsidR="00B628FF" w:rsidRDefault="005B2D2F">
            <w:pPr>
              <w:pStyle w:val="SummaryAgencyTitle-BP2"/>
            </w:pPr>
            <w:r>
              <w:t>Australian Nuclear Science and Technology Organisation</w:t>
            </w:r>
          </w:p>
        </w:tc>
        <w:tc>
          <w:tcPr>
            <w:tcW w:w="850" w:type="dxa"/>
          </w:tcPr>
          <w:p w14:paraId="4756DF9E" w14:textId="77777777" w:rsidR="00B628FF" w:rsidRDefault="00B628FF">
            <w:pPr>
              <w:pStyle w:val="SummaryAgencyTitle-BP2"/>
            </w:pPr>
          </w:p>
        </w:tc>
        <w:tc>
          <w:tcPr>
            <w:tcW w:w="850" w:type="dxa"/>
            <w:shd w:val="clear" w:color="auto" w:fill="E6F2FF"/>
          </w:tcPr>
          <w:p w14:paraId="6ACD93C0" w14:textId="77777777" w:rsidR="00B628FF" w:rsidRDefault="00B628FF">
            <w:pPr>
              <w:pStyle w:val="SummaryAgencyTitle-BP2"/>
            </w:pPr>
          </w:p>
        </w:tc>
        <w:tc>
          <w:tcPr>
            <w:tcW w:w="850" w:type="dxa"/>
          </w:tcPr>
          <w:p w14:paraId="6BAA2768" w14:textId="77777777" w:rsidR="00B628FF" w:rsidRDefault="00B628FF">
            <w:pPr>
              <w:pStyle w:val="SummaryAgencyTitle-BP2"/>
            </w:pPr>
          </w:p>
        </w:tc>
        <w:tc>
          <w:tcPr>
            <w:tcW w:w="850" w:type="dxa"/>
          </w:tcPr>
          <w:p w14:paraId="79B6A7F4" w14:textId="77777777" w:rsidR="00B628FF" w:rsidRDefault="00B628FF">
            <w:pPr>
              <w:pStyle w:val="SummaryAgencyTitle-BP2"/>
            </w:pPr>
          </w:p>
        </w:tc>
        <w:tc>
          <w:tcPr>
            <w:tcW w:w="850" w:type="dxa"/>
          </w:tcPr>
          <w:p w14:paraId="6F56407C" w14:textId="77777777" w:rsidR="00B628FF" w:rsidRDefault="00B628FF">
            <w:pPr>
              <w:pStyle w:val="SummaryAgencyTitle-BP2"/>
            </w:pPr>
          </w:p>
        </w:tc>
      </w:tr>
      <w:tr w:rsidR="00B628FF" w14:paraId="350D8FBE" w14:textId="77777777" w:rsidTr="5FA307DC">
        <w:tc>
          <w:tcPr>
            <w:tcW w:w="3471" w:type="dxa"/>
            <w:vAlign w:val="bottom"/>
          </w:tcPr>
          <w:p w14:paraId="7DF086A1" w14:textId="77777777" w:rsidR="00B628FF" w:rsidRDefault="005B2D2F">
            <w:pPr>
              <w:pStyle w:val="SummaryMeasureTitlewithTheme"/>
            </w:pPr>
            <w:r>
              <w:t>Nuclear‑Powered Submarine Program – continuation of whole‑of‑government support</w:t>
            </w:r>
          </w:p>
        </w:tc>
        <w:tc>
          <w:tcPr>
            <w:tcW w:w="850" w:type="dxa"/>
            <w:vAlign w:val="bottom"/>
          </w:tcPr>
          <w:p w14:paraId="0F69DD28" w14:textId="34EC054B" w:rsidR="00B628FF" w:rsidRDefault="00B31B37">
            <w:pPr>
              <w:pStyle w:val="Summarytabletextrightaligned"/>
            </w:pPr>
            <w:r>
              <w:noBreakHyphen/>
            </w:r>
          </w:p>
        </w:tc>
        <w:tc>
          <w:tcPr>
            <w:tcW w:w="850" w:type="dxa"/>
            <w:shd w:val="clear" w:color="auto" w:fill="E6F2FF"/>
            <w:vAlign w:val="bottom"/>
          </w:tcPr>
          <w:p w14:paraId="6B55F503" w14:textId="77777777" w:rsidR="00B628FF" w:rsidRDefault="005B2D2F">
            <w:pPr>
              <w:pStyle w:val="Summarytabletextrightaligned"/>
            </w:pPr>
            <w:r>
              <w:t>6.1</w:t>
            </w:r>
          </w:p>
        </w:tc>
        <w:tc>
          <w:tcPr>
            <w:tcW w:w="850" w:type="dxa"/>
            <w:vAlign w:val="bottom"/>
          </w:tcPr>
          <w:p w14:paraId="5BA557BE" w14:textId="0B950430" w:rsidR="00B628FF" w:rsidRDefault="00B31B37">
            <w:pPr>
              <w:pStyle w:val="Summarytabletextrightaligned"/>
            </w:pPr>
            <w:r>
              <w:noBreakHyphen/>
            </w:r>
          </w:p>
        </w:tc>
        <w:tc>
          <w:tcPr>
            <w:tcW w:w="850" w:type="dxa"/>
            <w:vAlign w:val="bottom"/>
          </w:tcPr>
          <w:p w14:paraId="71240457" w14:textId="7F2A042C" w:rsidR="00B628FF" w:rsidRDefault="00B31B37">
            <w:pPr>
              <w:pStyle w:val="Summarytabletextrightaligned"/>
            </w:pPr>
            <w:r>
              <w:noBreakHyphen/>
            </w:r>
          </w:p>
        </w:tc>
        <w:tc>
          <w:tcPr>
            <w:tcW w:w="850" w:type="dxa"/>
            <w:vAlign w:val="bottom"/>
          </w:tcPr>
          <w:p w14:paraId="0DC7622A" w14:textId="34684B87" w:rsidR="00B628FF" w:rsidRDefault="00B31B37">
            <w:pPr>
              <w:pStyle w:val="Summarytabletextrightaligned"/>
            </w:pPr>
            <w:r>
              <w:noBreakHyphen/>
            </w:r>
          </w:p>
        </w:tc>
      </w:tr>
      <w:tr w:rsidR="00B628FF" w14:paraId="30D6AA0E" w14:textId="77777777" w:rsidTr="5FA307DC">
        <w:tc>
          <w:tcPr>
            <w:tcW w:w="3471" w:type="dxa"/>
            <w:vAlign w:val="bottom"/>
          </w:tcPr>
          <w:p w14:paraId="6450457C" w14:textId="77777777" w:rsidR="00B628FF" w:rsidRDefault="005B2D2F">
            <w:pPr>
              <w:pStyle w:val="SummaryAgencyTitle-BP2"/>
            </w:pPr>
            <w:r>
              <w:t>Commonwealth Scientific and Industrial Research Organisation</w:t>
            </w:r>
          </w:p>
        </w:tc>
        <w:tc>
          <w:tcPr>
            <w:tcW w:w="850" w:type="dxa"/>
          </w:tcPr>
          <w:p w14:paraId="7686A19A" w14:textId="77777777" w:rsidR="00B628FF" w:rsidRDefault="00B628FF">
            <w:pPr>
              <w:pStyle w:val="SummaryAgencyTitle-BP2"/>
            </w:pPr>
          </w:p>
        </w:tc>
        <w:tc>
          <w:tcPr>
            <w:tcW w:w="850" w:type="dxa"/>
            <w:shd w:val="clear" w:color="auto" w:fill="E6F2FF"/>
          </w:tcPr>
          <w:p w14:paraId="25F27EF1" w14:textId="77777777" w:rsidR="00B628FF" w:rsidRDefault="00B628FF">
            <w:pPr>
              <w:pStyle w:val="SummaryAgencyTitle-BP2"/>
            </w:pPr>
          </w:p>
        </w:tc>
        <w:tc>
          <w:tcPr>
            <w:tcW w:w="850" w:type="dxa"/>
          </w:tcPr>
          <w:p w14:paraId="62FCAFE7" w14:textId="77777777" w:rsidR="00B628FF" w:rsidRDefault="00B628FF">
            <w:pPr>
              <w:pStyle w:val="SummaryAgencyTitle-BP2"/>
            </w:pPr>
          </w:p>
        </w:tc>
        <w:tc>
          <w:tcPr>
            <w:tcW w:w="850" w:type="dxa"/>
          </w:tcPr>
          <w:p w14:paraId="12F50E48" w14:textId="77777777" w:rsidR="00B628FF" w:rsidRDefault="00B628FF">
            <w:pPr>
              <w:pStyle w:val="SummaryAgencyTitle-BP2"/>
            </w:pPr>
          </w:p>
        </w:tc>
        <w:tc>
          <w:tcPr>
            <w:tcW w:w="850" w:type="dxa"/>
          </w:tcPr>
          <w:p w14:paraId="5E31A012" w14:textId="77777777" w:rsidR="00B628FF" w:rsidRDefault="00B628FF">
            <w:pPr>
              <w:pStyle w:val="SummaryAgencyTitle-BP2"/>
            </w:pPr>
          </w:p>
        </w:tc>
      </w:tr>
      <w:tr w:rsidR="00B628FF" w14:paraId="3D584FBF" w14:textId="77777777" w:rsidTr="5FA307DC">
        <w:tc>
          <w:tcPr>
            <w:tcW w:w="3471" w:type="dxa"/>
            <w:vAlign w:val="bottom"/>
          </w:tcPr>
          <w:p w14:paraId="3646BAEC" w14:textId="77777777" w:rsidR="00B628FF" w:rsidRDefault="005B2D2F">
            <w:pPr>
              <w:pStyle w:val="SummaryMeasureTitlewithTheme"/>
            </w:pPr>
            <w:r>
              <w:t>Investing in the Future of Science</w:t>
            </w:r>
          </w:p>
        </w:tc>
        <w:tc>
          <w:tcPr>
            <w:tcW w:w="850" w:type="dxa"/>
            <w:vAlign w:val="bottom"/>
          </w:tcPr>
          <w:p w14:paraId="527DAF6C" w14:textId="77777777" w:rsidR="00B628FF" w:rsidRDefault="005B2D2F" w:rsidP="5FA307DC">
            <w:pPr>
              <w:pStyle w:val="Summarytabletextrightaligned"/>
              <w:rPr>
                <w:lang w:val="en-US"/>
              </w:rPr>
            </w:pPr>
            <w:r w:rsidRPr="5FA307DC">
              <w:rPr>
                <w:lang w:val="en-US"/>
              </w:rPr>
              <w:t>nfp</w:t>
            </w:r>
          </w:p>
        </w:tc>
        <w:tc>
          <w:tcPr>
            <w:tcW w:w="850" w:type="dxa"/>
            <w:shd w:val="clear" w:color="auto" w:fill="E6F2FF"/>
            <w:vAlign w:val="bottom"/>
          </w:tcPr>
          <w:p w14:paraId="3ABFAB36" w14:textId="77777777" w:rsidR="00B628FF" w:rsidRDefault="005B2D2F" w:rsidP="5FA307DC">
            <w:pPr>
              <w:pStyle w:val="Summarytabletextrightaligned"/>
              <w:rPr>
                <w:lang w:val="en-US"/>
              </w:rPr>
            </w:pPr>
            <w:r w:rsidRPr="5FA307DC">
              <w:rPr>
                <w:lang w:val="en-US"/>
              </w:rPr>
              <w:t>nfp</w:t>
            </w:r>
          </w:p>
        </w:tc>
        <w:tc>
          <w:tcPr>
            <w:tcW w:w="850" w:type="dxa"/>
            <w:vAlign w:val="bottom"/>
          </w:tcPr>
          <w:p w14:paraId="6617FC73" w14:textId="77777777" w:rsidR="00B628FF" w:rsidRDefault="005B2D2F" w:rsidP="5FA307DC">
            <w:pPr>
              <w:pStyle w:val="Summarytabletextrightaligned"/>
              <w:rPr>
                <w:lang w:val="en-US"/>
              </w:rPr>
            </w:pPr>
            <w:r w:rsidRPr="5FA307DC">
              <w:rPr>
                <w:lang w:val="en-US"/>
              </w:rPr>
              <w:t>nfp</w:t>
            </w:r>
          </w:p>
        </w:tc>
        <w:tc>
          <w:tcPr>
            <w:tcW w:w="850" w:type="dxa"/>
            <w:vAlign w:val="bottom"/>
          </w:tcPr>
          <w:p w14:paraId="413CACB5" w14:textId="77777777" w:rsidR="00B628FF" w:rsidRDefault="005B2D2F" w:rsidP="5FA307DC">
            <w:pPr>
              <w:pStyle w:val="Summarytabletextrightaligned"/>
              <w:rPr>
                <w:lang w:val="en-US"/>
              </w:rPr>
            </w:pPr>
            <w:r w:rsidRPr="5FA307DC">
              <w:rPr>
                <w:lang w:val="en-US"/>
              </w:rPr>
              <w:t>nfp</w:t>
            </w:r>
          </w:p>
        </w:tc>
        <w:tc>
          <w:tcPr>
            <w:tcW w:w="850" w:type="dxa"/>
            <w:vAlign w:val="bottom"/>
          </w:tcPr>
          <w:p w14:paraId="4FBA68EE" w14:textId="77777777" w:rsidR="00B628FF" w:rsidRDefault="005B2D2F" w:rsidP="5FA307DC">
            <w:pPr>
              <w:pStyle w:val="Summarytabletextrightaligned"/>
              <w:rPr>
                <w:lang w:val="en-US"/>
              </w:rPr>
            </w:pPr>
            <w:r w:rsidRPr="5FA307DC">
              <w:rPr>
                <w:lang w:val="en-US"/>
              </w:rPr>
              <w:t>nfp</w:t>
            </w:r>
          </w:p>
        </w:tc>
      </w:tr>
      <w:tr w:rsidR="00B628FF" w14:paraId="23F86CC2" w14:textId="77777777" w:rsidTr="5FA307DC">
        <w:tc>
          <w:tcPr>
            <w:tcW w:w="3471" w:type="dxa"/>
            <w:vAlign w:val="bottom"/>
          </w:tcPr>
          <w:p w14:paraId="7FF831B1" w14:textId="77777777" w:rsidR="00B628FF" w:rsidRDefault="005B2D2F">
            <w:pPr>
              <w:pStyle w:val="SummaryMeasureTitlewithTheme"/>
            </w:pPr>
            <w:r>
              <w:t>Strengthening Medicare</w:t>
            </w:r>
          </w:p>
        </w:tc>
        <w:tc>
          <w:tcPr>
            <w:tcW w:w="850" w:type="dxa"/>
            <w:vAlign w:val="bottom"/>
          </w:tcPr>
          <w:p w14:paraId="6F97554C" w14:textId="7884013F" w:rsidR="00B628FF" w:rsidRDefault="00B31B37">
            <w:pPr>
              <w:pStyle w:val="Summarytabletextrightaligned"/>
            </w:pPr>
            <w:r>
              <w:noBreakHyphen/>
            </w:r>
          </w:p>
        </w:tc>
        <w:tc>
          <w:tcPr>
            <w:tcW w:w="850" w:type="dxa"/>
            <w:shd w:val="clear" w:color="auto" w:fill="E6F2FF"/>
            <w:vAlign w:val="bottom"/>
          </w:tcPr>
          <w:p w14:paraId="1BB04A82" w14:textId="77777777" w:rsidR="00B628FF" w:rsidRDefault="005B2D2F">
            <w:pPr>
              <w:pStyle w:val="Summarytabletextrightaligned"/>
            </w:pPr>
            <w:r>
              <w:t>6.3</w:t>
            </w:r>
          </w:p>
        </w:tc>
        <w:tc>
          <w:tcPr>
            <w:tcW w:w="850" w:type="dxa"/>
            <w:vAlign w:val="bottom"/>
          </w:tcPr>
          <w:p w14:paraId="5527277B" w14:textId="77777777" w:rsidR="00B628FF" w:rsidRDefault="005B2D2F">
            <w:pPr>
              <w:pStyle w:val="Summarytabletextrightaligned"/>
            </w:pPr>
            <w:r>
              <w:t>1.9</w:t>
            </w:r>
          </w:p>
        </w:tc>
        <w:tc>
          <w:tcPr>
            <w:tcW w:w="850" w:type="dxa"/>
            <w:vAlign w:val="bottom"/>
          </w:tcPr>
          <w:p w14:paraId="5A2273BF" w14:textId="18960E98" w:rsidR="00B628FF" w:rsidRDefault="00B31B37">
            <w:pPr>
              <w:pStyle w:val="Summarytabletextrightaligned"/>
            </w:pPr>
            <w:r>
              <w:noBreakHyphen/>
            </w:r>
          </w:p>
        </w:tc>
        <w:tc>
          <w:tcPr>
            <w:tcW w:w="850" w:type="dxa"/>
            <w:vAlign w:val="bottom"/>
          </w:tcPr>
          <w:p w14:paraId="76BF4CF6" w14:textId="43B549AE" w:rsidR="00B628FF" w:rsidRDefault="00B31B37">
            <w:pPr>
              <w:pStyle w:val="Summarytabletextrightaligned"/>
            </w:pPr>
            <w:r>
              <w:noBreakHyphen/>
            </w:r>
          </w:p>
        </w:tc>
      </w:tr>
      <w:tr w:rsidR="00B628FF" w14:paraId="048599DB" w14:textId="77777777" w:rsidTr="5FA307DC">
        <w:tc>
          <w:tcPr>
            <w:tcW w:w="3471" w:type="dxa"/>
            <w:vAlign w:val="bottom"/>
          </w:tcPr>
          <w:p w14:paraId="0C711DD4" w14:textId="77777777" w:rsidR="00B628FF" w:rsidRDefault="005B2D2F">
            <w:pPr>
              <w:pStyle w:val="SummaryAgencyTitle-BP2"/>
            </w:pPr>
            <w:r>
              <w:t>Department of Industry, Science and Resources</w:t>
            </w:r>
          </w:p>
        </w:tc>
        <w:tc>
          <w:tcPr>
            <w:tcW w:w="850" w:type="dxa"/>
          </w:tcPr>
          <w:p w14:paraId="6A920F33" w14:textId="77777777" w:rsidR="00B628FF" w:rsidRDefault="00B628FF">
            <w:pPr>
              <w:pStyle w:val="SummaryAgencyTitle-BP2"/>
            </w:pPr>
          </w:p>
        </w:tc>
        <w:tc>
          <w:tcPr>
            <w:tcW w:w="850" w:type="dxa"/>
            <w:shd w:val="clear" w:color="auto" w:fill="E6F2FF"/>
          </w:tcPr>
          <w:p w14:paraId="005E18C8" w14:textId="77777777" w:rsidR="00B628FF" w:rsidRDefault="00B628FF">
            <w:pPr>
              <w:pStyle w:val="SummaryAgencyTitle-BP2"/>
            </w:pPr>
          </w:p>
        </w:tc>
        <w:tc>
          <w:tcPr>
            <w:tcW w:w="850" w:type="dxa"/>
          </w:tcPr>
          <w:p w14:paraId="34E970CC" w14:textId="77777777" w:rsidR="00B628FF" w:rsidRDefault="00B628FF">
            <w:pPr>
              <w:pStyle w:val="SummaryAgencyTitle-BP2"/>
            </w:pPr>
          </w:p>
        </w:tc>
        <w:tc>
          <w:tcPr>
            <w:tcW w:w="850" w:type="dxa"/>
          </w:tcPr>
          <w:p w14:paraId="7A99082A" w14:textId="77777777" w:rsidR="00B628FF" w:rsidRDefault="00B628FF">
            <w:pPr>
              <w:pStyle w:val="SummaryAgencyTitle-BP2"/>
            </w:pPr>
          </w:p>
        </w:tc>
        <w:tc>
          <w:tcPr>
            <w:tcW w:w="850" w:type="dxa"/>
          </w:tcPr>
          <w:p w14:paraId="5BDB3B7A" w14:textId="77777777" w:rsidR="00B628FF" w:rsidRDefault="00B628FF">
            <w:pPr>
              <w:pStyle w:val="SummaryAgencyTitle-BP2"/>
            </w:pPr>
          </w:p>
        </w:tc>
      </w:tr>
      <w:tr w:rsidR="00B628FF" w14:paraId="194B17DA" w14:textId="77777777" w:rsidTr="5FA307DC">
        <w:tc>
          <w:tcPr>
            <w:tcW w:w="3471" w:type="dxa"/>
            <w:vAlign w:val="bottom"/>
          </w:tcPr>
          <w:p w14:paraId="146C1491" w14:textId="2A996D95" w:rsidR="00B628FF" w:rsidRDefault="005B2D2F">
            <w:pPr>
              <w:pStyle w:val="SummaryMeasureTitlewithTheme"/>
            </w:pPr>
            <w:r>
              <w:t>Building Australia</w:t>
            </w:r>
            <w:r w:rsidR="00B31B37">
              <w:t>’</w:t>
            </w:r>
            <w:r>
              <w:t>s Future – Support for Australian Made Metals</w:t>
            </w:r>
          </w:p>
        </w:tc>
        <w:tc>
          <w:tcPr>
            <w:tcW w:w="850" w:type="dxa"/>
            <w:vAlign w:val="bottom"/>
          </w:tcPr>
          <w:p w14:paraId="115DC663" w14:textId="77777777" w:rsidR="00B628FF" w:rsidRDefault="005B2D2F" w:rsidP="5FA307DC">
            <w:pPr>
              <w:pStyle w:val="Summarytabletextrightaligned"/>
              <w:rPr>
                <w:lang w:val="en-US"/>
              </w:rPr>
            </w:pPr>
            <w:r w:rsidRPr="5FA307DC">
              <w:rPr>
                <w:lang w:val="en-US"/>
              </w:rPr>
              <w:t>nfp</w:t>
            </w:r>
          </w:p>
        </w:tc>
        <w:tc>
          <w:tcPr>
            <w:tcW w:w="850" w:type="dxa"/>
            <w:shd w:val="clear" w:color="auto" w:fill="E6F2FF"/>
            <w:vAlign w:val="bottom"/>
          </w:tcPr>
          <w:p w14:paraId="559070EC" w14:textId="77777777" w:rsidR="00B628FF" w:rsidRDefault="005B2D2F" w:rsidP="5FA307DC">
            <w:pPr>
              <w:pStyle w:val="Summarytabletextrightaligned"/>
              <w:rPr>
                <w:lang w:val="en-US"/>
              </w:rPr>
            </w:pPr>
            <w:r w:rsidRPr="5FA307DC">
              <w:rPr>
                <w:lang w:val="en-US"/>
              </w:rPr>
              <w:t>nfp</w:t>
            </w:r>
          </w:p>
        </w:tc>
        <w:tc>
          <w:tcPr>
            <w:tcW w:w="850" w:type="dxa"/>
            <w:vAlign w:val="bottom"/>
          </w:tcPr>
          <w:p w14:paraId="2148E6FA" w14:textId="77777777" w:rsidR="00B628FF" w:rsidRDefault="005B2D2F" w:rsidP="5FA307DC">
            <w:pPr>
              <w:pStyle w:val="Summarytabletextrightaligned"/>
              <w:rPr>
                <w:lang w:val="en-US"/>
              </w:rPr>
            </w:pPr>
            <w:r w:rsidRPr="5FA307DC">
              <w:rPr>
                <w:lang w:val="en-US"/>
              </w:rPr>
              <w:t>nfp</w:t>
            </w:r>
          </w:p>
        </w:tc>
        <w:tc>
          <w:tcPr>
            <w:tcW w:w="850" w:type="dxa"/>
            <w:vAlign w:val="bottom"/>
          </w:tcPr>
          <w:p w14:paraId="04D1C51D" w14:textId="77777777" w:rsidR="00B628FF" w:rsidRDefault="005B2D2F" w:rsidP="5FA307DC">
            <w:pPr>
              <w:pStyle w:val="Summarytabletextrightaligned"/>
              <w:rPr>
                <w:lang w:val="en-US"/>
              </w:rPr>
            </w:pPr>
            <w:r w:rsidRPr="5FA307DC">
              <w:rPr>
                <w:lang w:val="en-US"/>
              </w:rPr>
              <w:t>nfp</w:t>
            </w:r>
          </w:p>
        </w:tc>
        <w:tc>
          <w:tcPr>
            <w:tcW w:w="850" w:type="dxa"/>
            <w:vAlign w:val="bottom"/>
          </w:tcPr>
          <w:p w14:paraId="7E83972A" w14:textId="77777777" w:rsidR="00B628FF" w:rsidRDefault="005B2D2F" w:rsidP="5FA307DC">
            <w:pPr>
              <w:pStyle w:val="Summarytabletextrightaligned"/>
              <w:rPr>
                <w:lang w:val="en-US"/>
              </w:rPr>
            </w:pPr>
            <w:r w:rsidRPr="5FA307DC">
              <w:rPr>
                <w:lang w:val="en-US"/>
              </w:rPr>
              <w:t>nfp</w:t>
            </w:r>
          </w:p>
        </w:tc>
      </w:tr>
      <w:tr w:rsidR="00B628FF" w14:paraId="1F49B5D2" w14:textId="77777777" w:rsidTr="5FA307DC">
        <w:tc>
          <w:tcPr>
            <w:tcW w:w="3471" w:type="dxa"/>
            <w:vAlign w:val="bottom"/>
          </w:tcPr>
          <w:p w14:paraId="70DEC7C1" w14:textId="5B6DA7B6" w:rsidR="00B628FF" w:rsidRDefault="005B2D2F">
            <w:pPr>
              <w:pStyle w:val="SummaryMeasureTitlewithTheme"/>
            </w:pPr>
            <w:r>
              <w:t xml:space="preserve">Housing </w:t>
            </w:r>
            <w:r w:rsidR="00494012">
              <w:t>S</w:t>
            </w:r>
            <w:r>
              <w:t>upport(b)</w:t>
            </w:r>
          </w:p>
        </w:tc>
        <w:tc>
          <w:tcPr>
            <w:tcW w:w="850" w:type="dxa"/>
            <w:vAlign w:val="bottom"/>
          </w:tcPr>
          <w:p w14:paraId="2DA234D8" w14:textId="77777777" w:rsidR="00B628FF" w:rsidRDefault="005B2D2F">
            <w:pPr>
              <w:pStyle w:val="Summarytabletextrightaligned"/>
            </w:pPr>
            <w:r>
              <w:t>0.6</w:t>
            </w:r>
          </w:p>
        </w:tc>
        <w:tc>
          <w:tcPr>
            <w:tcW w:w="850" w:type="dxa"/>
            <w:shd w:val="clear" w:color="auto" w:fill="E6F2FF"/>
            <w:vAlign w:val="bottom"/>
          </w:tcPr>
          <w:p w14:paraId="42D21484" w14:textId="77777777" w:rsidR="00B628FF" w:rsidRDefault="005B2D2F">
            <w:pPr>
              <w:pStyle w:val="Summarytabletextrightaligned"/>
            </w:pPr>
            <w:r>
              <w:t>1.6</w:t>
            </w:r>
          </w:p>
        </w:tc>
        <w:tc>
          <w:tcPr>
            <w:tcW w:w="850" w:type="dxa"/>
            <w:vAlign w:val="bottom"/>
          </w:tcPr>
          <w:p w14:paraId="1069E1D3" w14:textId="77777777" w:rsidR="00B628FF" w:rsidRDefault="005B2D2F">
            <w:pPr>
              <w:pStyle w:val="Summarytabletextrightaligned"/>
            </w:pPr>
            <w:r>
              <w:t>1.3</w:t>
            </w:r>
          </w:p>
        </w:tc>
        <w:tc>
          <w:tcPr>
            <w:tcW w:w="850" w:type="dxa"/>
            <w:vAlign w:val="bottom"/>
          </w:tcPr>
          <w:p w14:paraId="49091546" w14:textId="77777777" w:rsidR="00B628FF" w:rsidRDefault="005B2D2F">
            <w:pPr>
              <w:pStyle w:val="Summarytabletextrightaligned"/>
            </w:pPr>
            <w:r>
              <w:t>1.1</w:t>
            </w:r>
          </w:p>
        </w:tc>
        <w:tc>
          <w:tcPr>
            <w:tcW w:w="850" w:type="dxa"/>
            <w:vAlign w:val="bottom"/>
          </w:tcPr>
          <w:p w14:paraId="7C81EC0D" w14:textId="77777777" w:rsidR="00B628FF" w:rsidRDefault="005B2D2F">
            <w:pPr>
              <w:pStyle w:val="Summarytabletextrightaligned"/>
            </w:pPr>
            <w:r>
              <w:t>1.1</w:t>
            </w:r>
          </w:p>
        </w:tc>
      </w:tr>
      <w:tr w:rsidR="00B628FF" w14:paraId="082D8EEE" w14:textId="77777777" w:rsidTr="5FA307DC">
        <w:tc>
          <w:tcPr>
            <w:tcW w:w="3471" w:type="dxa"/>
            <w:vAlign w:val="bottom"/>
          </w:tcPr>
          <w:p w14:paraId="69D0FFF2" w14:textId="77777777" w:rsidR="00B628FF" w:rsidRDefault="005B2D2F">
            <w:pPr>
              <w:pStyle w:val="SummaryMeasureTitlewithTheme"/>
            </w:pPr>
            <w:r>
              <w:t>Investing in the Future of Science</w:t>
            </w:r>
          </w:p>
        </w:tc>
        <w:tc>
          <w:tcPr>
            <w:tcW w:w="850" w:type="dxa"/>
            <w:vAlign w:val="bottom"/>
          </w:tcPr>
          <w:p w14:paraId="11F7CBC5" w14:textId="374E6661" w:rsidR="00B628FF" w:rsidRDefault="00B31B37">
            <w:pPr>
              <w:pStyle w:val="Summarytabletextrightaligned"/>
            </w:pPr>
            <w:r>
              <w:noBreakHyphen/>
            </w:r>
          </w:p>
        </w:tc>
        <w:tc>
          <w:tcPr>
            <w:tcW w:w="850" w:type="dxa"/>
            <w:shd w:val="clear" w:color="auto" w:fill="E6F2FF"/>
            <w:vAlign w:val="bottom"/>
          </w:tcPr>
          <w:p w14:paraId="6A510AC6" w14:textId="77777777" w:rsidR="00B628FF" w:rsidRDefault="005B2D2F">
            <w:pPr>
              <w:pStyle w:val="Summarytabletextrightaligned"/>
            </w:pPr>
            <w:r>
              <w:t>81.9</w:t>
            </w:r>
          </w:p>
        </w:tc>
        <w:tc>
          <w:tcPr>
            <w:tcW w:w="850" w:type="dxa"/>
            <w:vAlign w:val="bottom"/>
          </w:tcPr>
          <w:p w14:paraId="42172F56" w14:textId="68B40A6C" w:rsidR="00B628FF" w:rsidRDefault="00B31B37">
            <w:pPr>
              <w:pStyle w:val="Summarytabletextrightaligned"/>
            </w:pPr>
            <w:r>
              <w:noBreakHyphen/>
            </w:r>
          </w:p>
        </w:tc>
        <w:tc>
          <w:tcPr>
            <w:tcW w:w="850" w:type="dxa"/>
            <w:vAlign w:val="bottom"/>
          </w:tcPr>
          <w:p w14:paraId="0E7FD52E" w14:textId="60194B3D" w:rsidR="00B628FF" w:rsidRDefault="00B31B37">
            <w:pPr>
              <w:pStyle w:val="Summarytabletextrightaligned"/>
            </w:pPr>
            <w:r>
              <w:noBreakHyphen/>
            </w:r>
          </w:p>
        </w:tc>
        <w:tc>
          <w:tcPr>
            <w:tcW w:w="850" w:type="dxa"/>
            <w:vAlign w:val="bottom"/>
          </w:tcPr>
          <w:p w14:paraId="5921FE81" w14:textId="4C2F6CB4" w:rsidR="00B628FF" w:rsidRDefault="00B31B37">
            <w:pPr>
              <w:pStyle w:val="Summarytabletextrightaligned"/>
            </w:pPr>
            <w:r>
              <w:noBreakHyphen/>
            </w:r>
          </w:p>
        </w:tc>
      </w:tr>
      <w:tr w:rsidR="00B628FF" w14:paraId="5A1CB742" w14:textId="77777777" w:rsidTr="5FA307DC">
        <w:tc>
          <w:tcPr>
            <w:tcW w:w="3471" w:type="dxa"/>
            <w:vAlign w:val="bottom"/>
          </w:tcPr>
          <w:p w14:paraId="56D101CC" w14:textId="77777777" w:rsidR="00B628FF" w:rsidRDefault="005B2D2F">
            <w:pPr>
              <w:pStyle w:val="SummaryMeasureTitlewithTheme"/>
            </w:pPr>
            <w:r>
              <w:t>Northern Endeavour Decommissioning</w:t>
            </w:r>
          </w:p>
        </w:tc>
        <w:tc>
          <w:tcPr>
            <w:tcW w:w="850" w:type="dxa"/>
            <w:vAlign w:val="bottom"/>
          </w:tcPr>
          <w:p w14:paraId="2B3ED7F0" w14:textId="4C104280" w:rsidR="00B628FF" w:rsidRDefault="00B31B37">
            <w:pPr>
              <w:pStyle w:val="Summarytabletextrightaligned"/>
            </w:pPr>
            <w:r>
              <w:noBreakHyphen/>
            </w:r>
          </w:p>
        </w:tc>
        <w:tc>
          <w:tcPr>
            <w:tcW w:w="850" w:type="dxa"/>
            <w:shd w:val="clear" w:color="auto" w:fill="E6F2FF"/>
            <w:vAlign w:val="bottom"/>
          </w:tcPr>
          <w:p w14:paraId="24EECA16" w14:textId="77777777" w:rsidR="00B628FF" w:rsidRDefault="005B2D2F" w:rsidP="5FA307DC">
            <w:pPr>
              <w:pStyle w:val="Summarytabletextrightaligned"/>
              <w:rPr>
                <w:lang w:val="en-US"/>
              </w:rPr>
            </w:pPr>
            <w:r w:rsidRPr="5FA307DC">
              <w:rPr>
                <w:lang w:val="en-US"/>
              </w:rPr>
              <w:t>nfp</w:t>
            </w:r>
          </w:p>
        </w:tc>
        <w:tc>
          <w:tcPr>
            <w:tcW w:w="850" w:type="dxa"/>
            <w:vAlign w:val="bottom"/>
          </w:tcPr>
          <w:p w14:paraId="77CB74CC" w14:textId="77777777" w:rsidR="00B628FF" w:rsidRDefault="005B2D2F" w:rsidP="5FA307DC">
            <w:pPr>
              <w:pStyle w:val="Summarytabletextrightaligned"/>
              <w:rPr>
                <w:lang w:val="en-US"/>
              </w:rPr>
            </w:pPr>
            <w:r w:rsidRPr="5FA307DC">
              <w:rPr>
                <w:lang w:val="en-US"/>
              </w:rPr>
              <w:t>nfp</w:t>
            </w:r>
          </w:p>
        </w:tc>
        <w:tc>
          <w:tcPr>
            <w:tcW w:w="850" w:type="dxa"/>
            <w:vAlign w:val="bottom"/>
          </w:tcPr>
          <w:p w14:paraId="534CA8E6" w14:textId="2CCCA7E7" w:rsidR="00B628FF" w:rsidRDefault="00B31B37">
            <w:pPr>
              <w:pStyle w:val="Summarytabletextrightaligned"/>
            </w:pPr>
            <w:r>
              <w:noBreakHyphen/>
            </w:r>
          </w:p>
        </w:tc>
        <w:tc>
          <w:tcPr>
            <w:tcW w:w="850" w:type="dxa"/>
            <w:vAlign w:val="bottom"/>
          </w:tcPr>
          <w:p w14:paraId="3EF863E2" w14:textId="60ED2219" w:rsidR="00B628FF" w:rsidRDefault="00B31B37">
            <w:pPr>
              <w:pStyle w:val="Summarytabletextrightaligned"/>
            </w:pPr>
            <w:r>
              <w:noBreakHyphen/>
            </w:r>
          </w:p>
        </w:tc>
      </w:tr>
      <w:tr w:rsidR="00B628FF" w14:paraId="121FB46D" w14:textId="77777777" w:rsidTr="5FA307DC">
        <w:tc>
          <w:tcPr>
            <w:tcW w:w="3471" w:type="dxa"/>
            <w:vAlign w:val="bottom"/>
          </w:tcPr>
          <w:p w14:paraId="1AAF36DF" w14:textId="77777777" w:rsidR="00B628FF" w:rsidRDefault="005B2D2F">
            <w:pPr>
              <w:pStyle w:val="Summarytabletextleftalignedbold"/>
            </w:pPr>
            <w:r>
              <w:t>Portfolio total</w:t>
            </w:r>
          </w:p>
        </w:tc>
        <w:tc>
          <w:tcPr>
            <w:tcW w:w="850" w:type="dxa"/>
            <w:tcBorders>
              <w:top w:val="single" w:sz="4" w:space="0" w:color="000000" w:themeColor="text1"/>
              <w:bottom w:val="single" w:sz="4" w:space="0" w:color="000000" w:themeColor="text1"/>
            </w:tcBorders>
            <w:vAlign w:val="bottom"/>
          </w:tcPr>
          <w:p w14:paraId="4ED8BEF6" w14:textId="77777777" w:rsidR="00B628FF" w:rsidRDefault="005B2D2F">
            <w:pPr>
              <w:pStyle w:val="Summarytabletextrightalignedbold"/>
            </w:pPr>
            <w:r>
              <w:t>0.6</w:t>
            </w:r>
          </w:p>
        </w:tc>
        <w:tc>
          <w:tcPr>
            <w:tcW w:w="850" w:type="dxa"/>
            <w:tcBorders>
              <w:top w:val="single" w:sz="4" w:space="0" w:color="000000" w:themeColor="text1"/>
              <w:bottom w:val="single" w:sz="4" w:space="0" w:color="000000" w:themeColor="text1"/>
            </w:tcBorders>
            <w:shd w:val="clear" w:color="auto" w:fill="E6F2FF"/>
            <w:vAlign w:val="bottom"/>
          </w:tcPr>
          <w:p w14:paraId="6C22B4D0" w14:textId="77777777" w:rsidR="00B628FF" w:rsidRDefault="005B2D2F">
            <w:pPr>
              <w:pStyle w:val="Summarytabletextrightalignedbold"/>
            </w:pPr>
            <w:r>
              <w:t>95.9</w:t>
            </w:r>
          </w:p>
        </w:tc>
        <w:tc>
          <w:tcPr>
            <w:tcW w:w="850" w:type="dxa"/>
            <w:tcBorders>
              <w:top w:val="single" w:sz="4" w:space="0" w:color="000000" w:themeColor="text1"/>
              <w:bottom w:val="single" w:sz="4" w:space="0" w:color="000000" w:themeColor="text1"/>
            </w:tcBorders>
            <w:vAlign w:val="bottom"/>
          </w:tcPr>
          <w:p w14:paraId="0A7F7A6A" w14:textId="77777777" w:rsidR="00B628FF" w:rsidRDefault="005B2D2F">
            <w:pPr>
              <w:pStyle w:val="Summarytabletextrightalignedbold"/>
            </w:pPr>
            <w:r>
              <w:t>3.2</w:t>
            </w:r>
          </w:p>
        </w:tc>
        <w:tc>
          <w:tcPr>
            <w:tcW w:w="850" w:type="dxa"/>
            <w:tcBorders>
              <w:top w:val="single" w:sz="4" w:space="0" w:color="000000" w:themeColor="text1"/>
              <w:bottom w:val="single" w:sz="4" w:space="0" w:color="000000" w:themeColor="text1"/>
            </w:tcBorders>
            <w:vAlign w:val="bottom"/>
          </w:tcPr>
          <w:p w14:paraId="5787E8E2" w14:textId="77777777" w:rsidR="00B628FF" w:rsidRDefault="005B2D2F">
            <w:pPr>
              <w:pStyle w:val="Summarytabletextrightalignedbold"/>
            </w:pPr>
            <w:r>
              <w:t>1.1</w:t>
            </w:r>
          </w:p>
        </w:tc>
        <w:tc>
          <w:tcPr>
            <w:tcW w:w="850" w:type="dxa"/>
            <w:tcBorders>
              <w:top w:val="single" w:sz="4" w:space="0" w:color="000000" w:themeColor="text1"/>
              <w:bottom w:val="single" w:sz="4" w:space="0" w:color="000000" w:themeColor="text1"/>
            </w:tcBorders>
            <w:vAlign w:val="bottom"/>
          </w:tcPr>
          <w:p w14:paraId="13FDFEAB" w14:textId="77777777" w:rsidR="00B628FF" w:rsidRDefault="005B2D2F">
            <w:pPr>
              <w:pStyle w:val="Summarytabletextrightalignedbold"/>
            </w:pPr>
            <w:r>
              <w:t>1.1</w:t>
            </w:r>
          </w:p>
        </w:tc>
      </w:tr>
      <w:tr w:rsidR="00B628FF" w14:paraId="5C59D06D" w14:textId="77777777" w:rsidTr="5FA307DC">
        <w:tc>
          <w:tcPr>
            <w:tcW w:w="3471" w:type="dxa"/>
            <w:vAlign w:val="bottom"/>
          </w:tcPr>
          <w:p w14:paraId="655965F4" w14:textId="77777777" w:rsidR="00B628FF" w:rsidRDefault="005B2D2F">
            <w:pPr>
              <w:pStyle w:val="SummaryPortfolioTitle-BP2"/>
            </w:pPr>
            <w:r>
              <w:t>INFRASTRUCTURE, TRANSPORT, REGIONAL DEVELOPMENT, COMMUNICATIONS AND THE ARTS</w:t>
            </w:r>
          </w:p>
        </w:tc>
        <w:tc>
          <w:tcPr>
            <w:tcW w:w="850" w:type="dxa"/>
          </w:tcPr>
          <w:p w14:paraId="31A92FDD" w14:textId="77777777" w:rsidR="00B628FF" w:rsidRDefault="00B628FF">
            <w:pPr>
              <w:pStyle w:val="MeasureTableTextRightAlignedBefore6ptAfter1pt"/>
            </w:pPr>
          </w:p>
        </w:tc>
        <w:tc>
          <w:tcPr>
            <w:tcW w:w="850" w:type="dxa"/>
            <w:shd w:val="clear" w:color="auto" w:fill="E6F2FF"/>
          </w:tcPr>
          <w:p w14:paraId="429DEC2E" w14:textId="77777777" w:rsidR="00B628FF" w:rsidRDefault="00B628FF">
            <w:pPr>
              <w:pStyle w:val="MeasureTableTextRightAlignedBefore6ptAfter1pt"/>
            </w:pPr>
          </w:p>
        </w:tc>
        <w:tc>
          <w:tcPr>
            <w:tcW w:w="850" w:type="dxa"/>
          </w:tcPr>
          <w:p w14:paraId="3F7A71B5" w14:textId="77777777" w:rsidR="00B628FF" w:rsidRDefault="00B628FF">
            <w:pPr>
              <w:pStyle w:val="MeasureTableTextRightAlignedBefore6ptAfter1pt"/>
            </w:pPr>
          </w:p>
        </w:tc>
        <w:tc>
          <w:tcPr>
            <w:tcW w:w="850" w:type="dxa"/>
          </w:tcPr>
          <w:p w14:paraId="57691427" w14:textId="77777777" w:rsidR="00B628FF" w:rsidRDefault="00B628FF">
            <w:pPr>
              <w:pStyle w:val="MeasureTableTextRightAlignedBefore6ptAfter1pt"/>
            </w:pPr>
          </w:p>
        </w:tc>
        <w:tc>
          <w:tcPr>
            <w:tcW w:w="850" w:type="dxa"/>
          </w:tcPr>
          <w:p w14:paraId="75370F7B" w14:textId="77777777" w:rsidR="00B628FF" w:rsidRDefault="00B628FF">
            <w:pPr>
              <w:pStyle w:val="MeasureTableTextRightAlignedBefore6ptAfter1pt"/>
            </w:pPr>
          </w:p>
        </w:tc>
      </w:tr>
      <w:tr w:rsidR="00B628FF" w14:paraId="28AB8DFE" w14:textId="77777777" w:rsidTr="5FA307DC">
        <w:tc>
          <w:tcPr>
            <w:tcW w:w="3471" w:type="dxa"/>
            <w:vAlign w:val="bottom"/>
          </w:tcPr>
          <w:p w14:paraId="7C9DD16B" w14:textId="77777777" w:rsidR="00B628FF" w:rsidRDefault="005B2D2F">
            <w:pPr>
              <w:pStyle w:val="SummaryAgencyTitle-BP2"/>
            </w:pPr>
            <w:r>
              <w:t>Australian Communications and Media Authority</w:t>
            </w:r>
          </w:p>
        </w:tc>
        <w:tc>
          <w:tcPr>
            <w:tcW w:w="850" w:type="dxa"/>
          </w:tcPr>
          <w:p w14:paraId="4D77DE52" w14:textId="77777777" w:rsidR="00B628FF" w:rsidRDefault="00B628FF">
            <w:pPr>
              <w:pStyle w:val="SummaryAgencyTitle-BP2"/>
            </w:pPr>
          </w:p>
        </w:tc>
        <w:tc>
          <w:tcPr>
            <w:tcW w:w="850" w:type="dxa"/>
            <w:shd w:val="clear" w:color="auto" w:fill="E6F2FF"/>
          </w:tcPr>
          <w:p w14:paraId="0A98D1B9" w14:textId="77777777" w:rsidR="00B628FF" w:rsidRDefault="00B628FF">
            <w:pPr>
              <w:pStyle w:val="SummaryAgencyTitle-BP2"/>
            </w:pPr>
          </w:p>
        </w:tc>
        <w:tc>
          <w:tcPr>
            <w:tcW w:w="850" w:type="dxa"/>
          </w:tcPr>
          <w:p w14:paraId="23B26932" w14:textId="77777777" w:rsidR="00B628FF" w:rsidRDefault="00B628FF">
            <w:pPr>
              <w:pStyle w:val="SummaryAgencyTitle-BP2"/>
            </w:pPr>
          </w:p>
        </w:tc>
        <w:tc>
          <w:tcPr>
            <w:tcW w:w="850" w:type="dxa"/>
          </w:tcPr>
          <w:p w14:paraId="0E7A657B" w14:textId="77777777" w:rsidR="00B628FF" w:rsidRDefault="00B628FF">
            <w:pPr>
              <w:pStyle w:val="SummaryAgencyTitle-BP2"/>
            </w:pPr>
          </w:p>
        </w:tc>
        <w:tc>
          <w:tcPr>
            <w:tcW w:w="850" w:type="dxa"/>
          </w:tcPr>
          <w:p w14:paraId="0893C9A6" w14:textId="77777777" w:rsidR="00B628FF" w:rsidRDefault="00B628FF">
            <w:pPr>
              <w:pStyle w:val="SummaryAgencyTitle-BP2"/>
            </w:pPr>
          </w:p>
        </w:tc>
      </w:tr>
      <w:tr w:rsidR="00B628FF" w14:paraId="575828F6" w14:textId="77777777" w:rsidTr="5FA307DC">
        <w:tc>
          <w:tcPr>
            <w:tcW w:w="3471" w:type="dxa"/>
            <w:vAlign w:val="bottom"/>
          </w:tcPr>
          <w:p w14:paraId="587314F3" w14:textId="77777777" w:rsidR="00B628FF" w:rsidRDefault="005B2D2F">
            <w:pPr>
              <w:pStyle w:val="SummaryMeasureTitlewithTheme"/>
            </w:pPr>
            <w:r>
              <w:t>National Strategy to Prevent and Respond to Child Sexual Abuse – continuation</w:t>
            </w:r>
          </w:p>
        </w:tc>
        <w:tc>
          <w:tcPr>
            <w:tcW w:w="850" w:type="dxa"/>
            <w:vAlign w:val="bottom"/>
          </w:tcPr>
          <w:p w14:paraId="51F799A6" w14:textId="75F66104" w:rsidR="00B628FF" w:rsidRDefault="00B31B37">
            <w:pPr>
              <w:pStyle w:val="Summarytabletextrightaligned"/>
            </w:pPr>
            <w:r>
              <w:noBreakHyphen/>
            </w:r>
          </w:p>
        </w:tc>
        <w:tc>
          <w:tcPr>
            <w:tcW w:w="850" w:type="dxa"/>
            <w:shd w:val="clear" w:color="auto" w:fill="E6F2FF"/>
            <w:vAlign w:val="bottom"/>
          </w:tcPr>
          <w:p w14:paraId="22CE5A4F" w14:textId="77777777" w:rsidR="00B628FF" w:rsidRDefault="005B2D2F">
            <w:pPr>
              <w:pStyle w:val="Summarytabletextrightaligned"/>
            </w:pPr>
            <w:r>
              <w:t>0.6</w:t>
            </w:r>
          </w:p>
        </w:tc>
        <w:tc>
          <w:tcPr>
            <w:tcW w:w="850" w:type="dxa"/>
            <w:vAlign w:val="bottom"/>
          </w:tcPr>
          <w:p w14:paraId="616B5CD8" w14:textId="57BBF2B1" w:rsidR="00B628FF" w:rsidRDefault="00B31B37">
            <w:pPr>
              <w:pStyle w:val="Summarytabletextrightaligned"/>
            </w:pPr>
            <w:r>
              <w:noBreakHyphen/>
            </w:r>
          </w:p>
        </w:tc>
        <w:tc>
          <w:tcPr>
            <w:tcW w:w="850" w:type="dxa"/>
            <w:vAlign w:val="bottom"/>
          </w:tcPr>
          <w:p w14:paraId="6ED5A3A2" w14:textId="01A78698" w:rsidR="00B628FF" w:rsidRDefault="00B31B37">
            <w:pPr>
              <w:pStyle w:val="Summarytabletextrightaligned"/>
            </w:pPr>
            <w:r>
              <w:noBreakHyphen/>
            </w:r>
          </w:p>
        </w:tc>
        <w:tc>
          <w:tcPr>
            <w:tcW w:w="850" w:type="dxa"/>
            <w:vAlign w:val="bottom"/>
          </w:tcPr>
          <w:p w14:paraId="14F35D8A" w14:textId="2CA3489C" w:rsidR="00B628FF" w:rsidRDefault="00B31B37">
            <w:pPr>
              <w:pStyle w:val="Summarytabletextrightaligned"/>
            </w:pPr>
            <w:r>
              <w:noBreakHyphen/>
            </w:r>
          </w:p>
        </w:tc>
      </w:tr>
      <w:tr w:rsidR="00B628FF" w14:paraId="1699CB44" w14:textId="77777777" w:rsidTr="5FA307DC">
        <w:tc>
          <w:tcPr>
            <w:tcW w:w="3471" w:type="dxa"/>
            <w:vAlign w:val="bottom"/>
          </w:tcPr>
          <w:p w14:paraId="6C283730" w14:textId="77777777" w:rsidR="00B628FF" w:rsidRDefault="005B2D2F">
            <w:pPr>
              <w:pStyle w:val="SummaryAgencyTitle-BP2"/>
            </w:pPr>
            <w:r>
              <w:t>Australian Maritime Safety Authority</w:t>
            </w:r>
          </w:p>
        </w:tc>
        <w:tc>
          <w:tcPr>
            <w:tcW w:w="850" w:type="dxa"/>
          </w:tcPr>
          <w:p w14:paraId="5DDA13C3" w14:textId="77777777" w:rsidR="00B628FF" w:rsidRDefault="00B628FF">
            <w:pPr>
              <w:pStyle w:val="SummaryAgencyTitle-BP2"/>
            </w:pPr>
          </w:p>
        </w:tc>
        <w:tc>
          <w:tcPr>
            <w:tcW w:w="850" w:type="dxa"/>
            <w:shd w:val="clear" w:color="auto" w:fill="E6F2FF"/>
          </w:tcPr>
          <w:p w14:paraId="12350C44" w14:textId="77777777" w:rsidR="00B628FF" w:rsidRDefault="00B628FF">
            <w:pPr>
              <w:pStyle w:val="SummaryAgencyTitle-BP2"/>
            </w:pPr>
          </w:p>
        </w:tc>
        <w:tc>
          <w:tcPr>
            <w:tcW w:w="850" w:type="dxa"/>
          </w:tcPr>
          <w:p w14:paraId="182439D0" w14:textId="77777777" w:rsidR="00B628FF" w:rsidRDefault="00B628FF">
            <w:pPr>
              <w:pStyle w:val="SummaryAgencyTitle-BP2"/>
            </w:pPr>
          </w:p>
        </w:tc>
        <w:tc>
          <w:tcPr>
            <w:tcW w:w="850" w:type="dxa"/>
          </w:tcPr>
          <w:p w14:paraId="40CAA160" w14:textId="77777777" w:rsidR="00B628FF" w:rsidRDefault="00B628FF">
            <w:pPr>
              <w:pStyle w:val="SummaryAgencyTitle-BP2"/>
            </w:pPr>
          </w:p>
        </w:tc>
        <w:tc>
          <w:tcPr>
            <w:tcW w:w="850" w:type="dxa"/>
          </w:tcPr>
          <w:p w14:paraId="389DBE49" w14:textId="77777777" w:rsidR="00B628FF" w:rsidRDefault="00B628FF">
            <w:pPr>
              <w:pStyle w:val="SummaryAgencyTitle-BP2"/>
            </w:pPr>
          </w:p>
        </w:tc>
      </w:tr>
      <w:tr w:rsidR="00B628FF" w14:paraId="25B0BA42" w14:textId="77777777" w:rsidTr="5FA307DC">
        <w:tc>
          <w:tcPr>
            <w:tcW w:w="3471" w:type="dxa"/>
            <w:vAlign w:val="bottom"/>
          </w:tcPr>
          <w:p w14:paraId="2517B3E4" w14:textId="77777777" w:rsidR="00B628FF" w:rsidRDefault="005B2D2F">
            <w:pPr>
              <w:pStyle w:val="SummaryMeasureTitlewithTheme"/>
            </w:pPr>
            <w:r>
              <w:t>Supporting Transport Priorities</w:t>
            </w:r>
          </w:p>
        </w:tc>
        <w:tc>
          <w:tcPr>
            <w:tcW w:w="850" w:type="dxa"/>
            <w:vAlign w:val="bottom"/>
          </w:tcPr>
          <w:p w14:paraId="195CF08C" w14:textId="26D84D7E" w:rsidR="00B628FF" w:rsidRDefault="00B31B37">
            <w:pPr>
              <w:pStyle w:val="Summarytabletextrightaligned"/>
            </w:pPr>
            <w:r>
              <w:noBreakHyphen/>
            </w:r>
          </w:p>
        </w:tc>
        <w:tc>
          <w:tcPr>
            <w:tcW w:w="850" w:type="dxa"/>
            <w:shd w:val="clear" w:color="auto" w:fill="E6F2FF"/>
            <w:vAlign w:val="bottom"/>
          </w:tcPr>
          <w:p w14:paraId="1D84DF9C" w14:textId="77777777" w:rsidR="00B628FF" w:rsidRDefault="005B2D2F">
            <w:pPr>
              <w:pStyle w:val="Summarytabletextrightaligned"/>
            </w:pPr>
            <w:r>
              <w:t>15.9</w:t>
            </w:r>
          </w:p>
        </w:tc>
        <w:tc>
          <w:tcPr>
            <w:tcW w:w="850" w:type="dxa"/>
            <w:vAlign w:val="bottom"/>
          </w:tcPr>
          <w:p w14:paraId="0D8338B8" w14:textId="4EEE2EB6" w:rsidR="00B628FF" w:rsidRDefault="00B31B37">
            <w:pPr>
              <w:pStyle w:val="Summarytabletextrightaligned"/>
            </w:pPr>
            <w:r>
              <w:noBreakHyphen/>
            </w:r>
          </w:p>
        </w:tc>
        <w:tc>
          <w:tcPr>
            <w:tcW w:w="850" w:type="dxa"/>
            <w:vAlign w:val="bottom"/>
          </w:tcPr>
          <w:p w14:paraId="7E23A489" w14:textId="1139FF76" w:rsidR="00B628FF" w:rsidRDefault="00B31B37">
            <w:pPr>
              <w:pStyle w:val="Summarytabletextrightaligned"/>
            </w:pPr>
            <w:r>
              <w:noBreakHyphen/>
            </w:r>
          </w:p>
        </w:tc>
        <w:tc>
          <w:tcPr>
            <w:tcW w:w="850" w:type="dxa"/>
            <w:vAlign w:val="bottom"/>
          </w:tcPr>
          <w:p w14:paraId="386C16BA" w14:textId="135E9168" w:rsidR="00B628FF" w:rsidRDefault="00B31B37">
            <w:pPr>
              <w:pStyle w:val="Summarytabletextrightaligned"/>
            </w:pPr>
            <w:r>
              <w:noBreakHyphen/>
            </w:r>
          </w:p>
        </w:tc>
      </w:tr>
      <w:tr w:rsidR="00B628FF" w14:paraId="23DC4B19" w14:textId="77777777" w:rsidTr="5FA307DC">
        <w:tc>
          <w:tcPr>
            <w:tcW w:w="3471" w:type="dxa"/>
            <w:vAlign w:val="bottom"/>
          </w:tcPr>
          <w:p w14:paraId="07E643E8" w14:textId="77777777" w:rsidR="00B628FF" w:rsidRDefault="005B2D2F">
            <w:pPr>
              <w:pStyle w:val="SummaryAgencyTitle-BP2"/>
            </w:pPr>
            <w:r>
              <w:t>Australian Transport Safety Bureau</w:t>
            </w:r>
          </w:p>
        </w:tc>
        <w:tc>
          <w:tcPr>
            <w:tcW w:w="850" w:type="dxa"/>
          </w:tcPr>
          <w:p w14:paraId="27C7CB2A" w14:textId="77777777" w:rsidR="00B628FF" w:rsidRDefault="00B628FF">
            <w:pPr>
              <w:pStyle w:val="SummaryAgencyTitle-BP2"/>
            </w:pPr>
          </w:p>
        </w:tc>
        <w:tc>
          <w:tcPr>
            <w:tcW w:w="850" w:type="dxa"/>
            <w:shd w:val="clear" w:color="auto" w:fill="E6F2FF"/>
          </w:tcPr>
          <w:p w14:paraId="36C9C05B" w14:textId="77777777" w:rsidR="00B628FF" w:rsidRDefault="00B628FF">
            <w:pPr>
              <w:pStyle w:val="SummaryAgencyTitle-BP2"/>
            </w:pPr>
          </w:p>
        </w:tc>
        <w:tc>
          <w:tcPr>
            <w:tcW w:w="850" w:type="dxa"/>
          </w:tcPr>
          <w:p w14:paraId="74E54270" w14:textId="77777777" w:rsidR="00B628FF" w:rsidRDefault="00B628FF">
            <w:pPr>
              <w:pStyle w:val="SummaryAgencyTitle-BP2"/>
            </w:pPr>
          </w:p>
        </w:tc>
        <w:tc>
          <w:tcPr>
            <w:tcW w:w="850" w:type="dxa"/>
          </w:tcPr>
          <w:p w14:paraId="1A32CBA9" w14:textId="77777777" w:rsidR="00B628FF" w:rsidRDefault="00B628FF">
            <w:pPr>
              <w:pStyle w:val="SummaryAgencyTitle-BP2"/>
            </w:pPr>
          </w:p>
        </w:tc>
        <w:tc>
          <w:tcPr>
            <w:tcW w:w="850" w:type="dxa"/>
          </w:tcPr>
          <w:p w14:paraId="29BBC75F" w14:textId="77777777" w:rsidR="00B628FF" w:rsidRDefault="00B628FF">
            <w:pPr>
              <w:pStyle w:val="SummaryAgencyTitle-BP2"/>
            </w:pPr>
          </w:p>
        </w:tc>
      </w:tr>
      <w:tr w:rsidR="00B628FF" w14:paraId="4EDF51A0" w14:textId="77777777" w:rsidTr="5FA307DC">
        <w:tc>
          <w:tcPr>
            <w:tcW w:w="3471" w:type="dxa"/>
            <w:vAlign w:val="bottom"/>
          </w:tcPr>
          <w:p w14:paraId="5539D1C7" w14:textId="77777777" w:rsidR="00B628FF" w:rsidRDefault="005B2D2F">
            <w:pPr>
              <w:pStyle w:val="SummaryMeasureTitlewithTheme"/>
            </w:pPr>
            <w:r>
              <w:t>Supporting Transport Priorities</w:t>
            </w:r>
          </w:p>
        </w:tc>
        <w:tc>
          <w:tcPr>
            <w:tcW w:w="850" w:type="dxa"/>
            <w:vAlign w:val="bottom"/>
          </w:tcPr>
          <w:p w14:paraId="26319503" w14:textId="5EB37A4D" w:rsidR="00B628FF" w:rsidRDefault="00B31B37">
            <w:pPr>
              <w:pStyle w:val="Summarytabletextrightaligned"/>
            </w:pPr>
            <w:r>
              <w:noBreakHyphen/>
            </w:r>
          </w:p>
        </w:tc>
        <w:tc>
          <w:tcPr>
            <w:tcW w:w="850" w:type="dxa"/>
            <w:shd w:val="clear" w:color="auto" w:fill="E6F2FF"/>
            <w:vAlign w:val="bottom"/>
          </w:tcPr>
          <w:p w14:paraId="572E6623" w14:textId="77777777" w:rsidR="00B628FF" w:rsidRDefault="005B2D2F">
            <w:pPr>
              <w:pStyle w:val="Summarytabletextrightaligned"/>
            </w:pPr>
            <w:r>
              <w:t>3.9</w:t>
            </w:r>
          </w:p>
        </w:tc>
        <w:tc>
          <w:tcPr>
            <w:tcW w:w="850" w:type="dxa"/>
            <w:vAlign w:val="bottom"/>
          </w:tcPr>
          <w:p w14:paraId="2A112296" w14:textId="735502A1" w:rsidR="00B628FF" w:rsidRDefault="00B31B37">
            <w:pPr>
              <w:pStyle w:val="Summarytabletextrightaligned"/>
            </w:pPr>
            <w:r>
              <w:noBreakHyphen/>
            </w:r>
          </w:p>
        </w:tc>
        <w:tc>
          <w:tcPr>
            <w:tcW w:w="850" w:type="dxa"/>
            <w:vAlign w:val="bottom"/>
          </w:tcPr>
          <w:p w14:paraId="6E688E1C" w14:textId="468BA1D8" w:rsidR="00B628FF" w:rsidRDefault="00B31B37">
            <w:pPr>
              <w:pStyle w:val="Summarytabletextrightaligned"/>
            </w:pPr>
            <w:r>
              <w:noBreakHyphen/>
            </w:r>
          </w:p>
        </w:tc>
        <w:tc>
          <w:tcPr>
            <w:tcW w:w="850" w:type="dxa"/>
            <w:vAlign w:val="bottom"/>
          </w:tcPr>
          <w:p w14:paraId="3C20BC29" w14:textId="48F58DA3" w:rsidR="00B628FF" w:rsidRDefault="00B31B37">
            <w:pPr>
              <w:pStyle w:val="Summarytabletextrightaligned"/>
            </w:pPr>
            <w:r>
              <w:noBreakHyphen/>
            </w:r>
          </w:p>
        </w:tc>
      </w:tr>
      <w:tr w:rsidR="00B628FF" w14:paraId="1C39E1A5" w14:textId="77777777" w:rsidTr="5FA307DC">
        <w:tc>
          <w:tcPr>
            <w:tcW w:w="3471" w:type="dxa"/>
            <w:vAlign w:val="bottom"/>
          </w:tcPr>
          <w:p w14:paraId="684B5412" w14:textId="77777777" w:rsidR="00B628FF" w:rsidRDefault="005B2D2F">
            <w:pPr>
              <w:pStyle w:val="SummaryAgencyTitle-BP2"/>
            </w:pPr>
            <w:r>
              <w:t>Civil Aviation Safety Authority</w:t>
            </w:r>
          </w:p>
        </w:tc>
        <w:tc>
          <w:tcPr>
            <w:tcW w:w="850" w:type="dxa"/>
          </w:tcPr>
          <w:p w14:paraId="2CE5146D" w14:textId="77777777" w:rsidR="00B628FF" w:rsidRDefault="00B628FF">
            <w:pPr>
              <w:pStyle w:val="SummaryAgencyTitle-BP2"/>
            </w:pPr>
          </w:p>
        </w:tc>
        <w:tc>
          <w:tcPr>
            <w:tcW w:w="850" w:type="dxa"/>
            <w:shd w:val="clear" w:color="auto" w:fill="E6F2FF"/>
          </w:tcPr>
          <w:p w14:paraId="6B4D63ED" w14:textId="77777777" w:rsidR="00B628FF" w:rsidRDefault="00B628FF">
            <w:pPr>
              <w:pStyle w:val="SummaryAgencyTitle-BP2"/>
            </w:pPr>
          </w:p>
        </w:tc>
        <w:tc>
          <w:tcPr>
            <w:tcW w:w="850" w:type="dxa"/>
          </w:tcPr>
          <w:p w14:paraId="12FF5C22" w14:textId="77777777" w:rsidR="00B628FF" w:rsidRDefault="00B628FF">
            <w:pPr>
              <w:pStyle w:val="SummaryAgencyTitle-BP2"/>
            </w:pPr>
          </w:p>
        </w:tc>
        <w:tc>
          <w:tcPr>
            <w:tcW w:w="850" w:type="dxa"/>
          </w:tcPr>
          <w:p w14:paraId="697E4084" w14:textId="77777777" w:rsidR="00B628FF" w:rsidRDefault="00B628FF">
            <w:pPr>
              <w:pStyle w:val="SummaryAgencyTitle-BP2"/>
            </w:pPr>
          </w:p>
        </w:tc>
        <w:tc>
          <w:tcPr>
            <w:tcW w:w="850" w:type="dxa"/>
          </w:tcPr>
          <w:p w14:paraId="2B7E02B0" w14:textId="77777777" w:rsidR="00B628FF" w:rsidRDefault="00B628FF">
            <w:pPr>
              <w:pStyle w:val="SummaryAgencyTitle-BP2"/>
            </w:pPr>
          </w:p>
        </w:tc>
      </w:tr>
      <w:tr w:rsidR="00B628FF" w14:paraId="613AF5B5" w14:textId="77777777" w:rsidTr="5FA307DC">
        <w:tc>
          <w:tcPr>
            <w:tcW w:w="3471" w:type="dxa"/>
            <w:vAlign w:val="bottom"/>
          </w:tcPr>
          <w:p w14:paraId="73924A42" w14:textId="77777777" w:rsidR="00B628FF" w:rsidRDefault="005B2D2F">
            <w:pPr>
              <w:pStyle w:val="SummaryMeasureTitlewithTheme"/>
            </w:pPr>
            <w:r>
              <w:t>Supporting Transport Priorities</w:t>
            </w:r>
          </w:p>
        </w:tc>
        <w:tc>
          <w:tcPr>
            <w:tcW w:w="850" w:type="dxa"/>
            <w:vAlign w:val="bottom"/>
          </w:tcPr>
          <w:p w14:paraId="4E37C594" w14:textId="481C0753" w:rsidR="00B628FF" w:rsidRDefault="00B31B37">
            <w:pPr>
              <w:pStyle w:val="Summarytabletextrightaligned"/>
            </w:pPr>
            <w:r>
              <w:noBreakHyphen/>
            </w:r>
          </w:p>
        </w:tc>
        <w:tc>
          <w:tcPr>
            <w:tcW w:w="850" w:type="dxa"/>
            <w:shd w:val="clear" w:color="auto" w:fill="E6F2FF"/>
            <w:vAlign w:val="bottom"/>
          </w:tcPr>
          <w:p w14:paraId="4CA3A57E" w14:textId="77777777" w:rsidR="00B628FF" w:rsidRDefault="005B2D2F">
            <w:pPr>
              <w:pStyle w:val="Summarytabletextrightaligned"/>
            </w:pPr>
            <w:r>
              <w:t>12.9</w:t>
            </w:r>
          </w:p>
        </w:tc>
        <w:tc>
          <w:tcPr>
            <w:tcW w:w="850" w:type="dxa"/>
            <w:vAlign w:val="bottom"/>
          </w:tcPr>
          <w:p w14:paraId="3D10ADBD" w14:textId="39D5836F" w:rsidR="00B628FF" w:rsidRDefault="00B31B37">
            <w:pPr>
              <w:pStyle w:val="Summarytabletextrightaligned"/>
            </w:pPr>
            <w:r>
              <w:noBreakHyphen/>
            </w:r>
          </w:p>
        </w:tc>
        <w:tc>
          <w:tcPr>
            <w:tcW w:w="850" w:type="dxa"/>
            <w:vAlign w:val="bottom"/>
          </w:tcPr>
          <w:p w14:paraId="43E5F2C4" w14:textId="19952613" w:rsidR="00B628FF" w:rsidRDefault="00B31B37">
            <w:pPr>
              <w:pStyle w:val="Summarytabletextrightaligned"/>
            </w:pPr>
            <w:r>
              <w:noBreakHyphen/>
            </w:r>
          </w:p>
        </w:tc>
        <w:tc>
          <w:tcPr>
            <w:tcW w:w="850" w:type="dxa"/>
            <w:vAlign w:val="bottom"/>
          </w:tcPr>
          <w:p w14:paraId="679F3180" w14:textId="4DB1B5E4" w:rsidR="00B628FF" w:rsidRDefault="00B31B37">
            <w:pPr>
              <w:pStyle w:val="Summarytabletextrightaligned"/>
            </w:pPr>
            <w:r>
              <w:noBreakHyphen/>
            </w:r>
          </w:p>
        </w:tc>
      </w:tr>
      <w:tr w:rsidR="00B628FF" w14:paraId="408D5553" w14:textId="77777777" w:rsidTr="5FA307DC">
        <w:tc>
          <w:tcPr>
            <w:tcW w:w="3471" w:type="dxa"/>
            <w:vAlign w:val="bottom"/>
          </w:tcPr>
          <w:p w14:paraId="2DF10469" w14:textId="77777777" w:rsidR="00B628FF" w:rsidRDefault="005B2D2F">
            <w:pPr>
              <w:pStyle w:val="SummaryAgencyTitle-BP2"/>
            </w:pPr>
            <w:r>
              <w:t>Department of Infrastructure, Transport, Regional Development, Communications and the Arts</w:t>
            </w:r>
          </w:p>
        </w:tc>
        <w:tc>
          <w:tcPr>
            <w:tcW w:w="850" w:type="dxa"/>
          </w:tcPr>
          <w:p w14:paraId="1242F9F4" w14:textId="77777777" w:rsidR="00B628FF" w:rsidRDefault="00B628FF">
            <w:pPr>
              <w:pStyle w:val="SummaryAgencyTitle-BP2"/>
            </w:pPr>
          </w:p>
        </w:tc>
        <w:tc>
          <w:tcPr>
            <w:tcW w:w="850" w:type="dxa"/>
            <w:shd w:val="clear" w:color="auto" w:fill="E6F2FF"/>
          </w:tcPr>
          <w:p w14:paraId="2E7BB5E5" w14:textId="77777777" w:rsidR="00B628FF" w:rsidRDefault="00B628FF">
            <w:pPr>
              <w:pStyle w:val="SummaryAgencyTitle-BP2"/>
            </w:pPr>
          </w:p>
        </w:tc>
        <w:tc>
          <w:tcPr>
            <w:tcW w:w="850" w:type="dxa"/>
          </w:tcPr>
          <w:p w14:paraId="5AFDEB21" w14:textId="77777777" w:rsidR="00B628FF" w:rsidRDefault="00B628FF">
            <w:pPr>
              <w:pStyle w:val="SummaryAgencyTitle-BP2"/>
            </w:pPr>
          </w:p>
        </w:tc>
        <w:tc>
          <w:tcPr>
            <w:tcW w:w="850" w:type="dxa"/>
          </w:tcPr>
          <w:p w14:paraId="5A324221" w14:textId="77777777" w:rsidR="00B628FF" w:rsidRDefault="00B628FF">
            <w:pPr>
              <w:pStyle w:val="SummaryAgencyTitle-BP2"/>
            </w:pPr>
          </w:p>
        </w:tc>
        <w:tc>
          <w:tcPr>
            <w:tcW w:w="850" w:type="dxa"/>
          </w:tcPr>
          <w:p w14:paraId="551FD077" w14:textId="77777777" w:rsidR="00B628FF" w:rsidRDefault="00B628FF">
            <w:pPr>
              <w:pStyle w:val="SummaryAgencyTitle-BP2"/>
            </w:pPr>
          </w:p>
        </w:tc>
      </w:tr>
      <w:tr w:rsidR="00B628FF" w14:paraId="3C2F65EA" w14:textId="77777777" w:rsidTr="5FA307DC">
        <w:tc>
          <w:tcPr>
            <w:tcW w:w="3471" w:type="dxa"/>
            <w:vAlign w:val="bottom"/>
          </w:tcPr>
          <w:p w14:paraId="090F20CE" w14:textId="77777777" w:rsidR="00B628FF" w:rsidRDefault="005B2D2F">
            <w:pPr>
              <w:pStyle w:val="SummaryMeasureTitlewithTheme"/>
            </w:pPr>
            <w:r>
              <w:t>Building a Better Future Through Considered Infrastructure Investment</w:t>
            </w:r>
          </w:p>
        </w:tc>
        <w:tc>
          <w:tcPr>
            <w:tcW w:w="850" w:type="dxa"/>
            <w:vAlign w:val="bottom"/>
          </w:tcPr>
          <w:p w14:paraId="246A3589" w14:textId="33378B97" w:rsidR="00B628FF" w:rsidRDefault="00B31B37">
            <w:pPr>
              <w:pStyle w:val="Summarytabletextrightaligned"/>
            </w:pPr>
            <w:r>
              <w:noBreakHyphen/>
            </w:r>
          </w:p>
        </w:tc>
        <w:tc>
          <w:tcPr>
            <w:tcW w:w="850" w:type="dxa"/>
            <w:shd w:val="clear" w:color="auto" w:fill="E6F2FF"/>
            <w:vAlign w:val="bottom"/>
          </w:tcPr>
          <w:p w14:paraId="1994932D" w14:textId="24516227" w:rsidR="00B628FF" w:rsidRDefault="00B31B37">
            <w:pPr>
              <w:pStyle w:val="Summarytabletextrightaligned"/>
            </w:pPr>
            <w:r>
              <w:noBreakHyphen/>
            </w:r>
          </w:p>
        </w:tc>
        <w:tc>
          <w:tcPr>
            <w:tcW w:w="850" w:type="dxa"/>
            <w:vAlign w:val="bottom"/>
          </w:tcPr>
          <w:p w14:paraId="73DEE6FB" w14:textId="6DCBC2AC" w:rsidR="00B628FF" w:rsidRDefault="00B31B37">
            <w:pPr>
              <w:pStyle w:val="Summarytabletextrightaligned"/>
            </w:pPr>
            <w:r>
              <w:noBreakHyphen/>
            </w:r>
          </w:p>
        </w:tc>
        <w:tc>
          <w:tcPr>
            <w:tcW w:w="850" w:type="dxa"/>
            <w:vAlign w:val="bottom"/>
          </w:tcPr>
          <w:p w14:paraId="49502FE2" w14:textId="1A0D3ABD" w:rsidR="00B628FF" w:rsidRDefault="00B31B37">
            <w:pPr>
              <w:pStyle w:val="Summarytabletextrightaligned"/>
            </w:pPr>
            <w:r>
              <w:noBreakHyphen/>
            </w:r>
          </w:p>
        </w:tc>
        <w:tc>
          <w:tcPr>
            <w:tcW w:w="850" w:type="dxa"/>
            <w:vAlign w:val="bottom"/>
          </w:tcPr>
          <w:p w14:paraId="2449BEF4" w14:textId="12087ABD" w:rsidR="00B628FF" w:rsidRDefault="00B31B37">
            <w:pPr>
              <w:pStyle w:val="Summarytabletextrightaligned"/>
            </w:pPr>
            <w:r>
              <w:noBreakHyphen/>
            </w:r>
          </w:p>
        </w:tc>
      </w:tr>
      <w:tr w:rsidR="00B628FF" w14:paraId="09870085" w14:textId="77777777" w:rsidTr="5FA307DC">
        <w:tc>
          <w:tcPr>
            <w:tcW w:w="3471" w:type="dxa"/>
            <w:vAlign w:val="bottom"/>
          </w:tcPr>
          <w:p w14:paraId="0165A298" w14:textId="3A8E4A27" w:rsidR="00B628FF" w:rsidRDefault="005B2D2F">
            <w:pPr>
              <w:pStyle w:val="SummaryMeasureTitlewithTheme"/>
            </w:pPr>
            <w:r>
              <w:t>Building Australia</w:t>
            </w:r>
            <w:r w:rsidR="00B31B37">
              <w:t>’</w:t>
            </w:r>
            <w:r>
              <w:t>s Future – Completing the NBN Fibre Upgrades</w:t>
            </w:r>
          </w:p>
        </w:tc>
        <w:tc>
          <w:tcPr>
            <w:tcW w:w="850" w:type="dxa"/>
            <w:vAlign w:val="bottom"/>
          </w:tcPr>
          <w:p w14:paraId="331B59DE" w14:textId="00FBA3DD" w:rsidR="00B628FF" w:rsidRDefault="00B31B37">
            <w:pPr>
              <w:pStyle w:val="Summarytabletextrightaligned"/>
            </w:pPr>
            <w:r>
              <w:noBreakHyphen/>
            </w:r>
          </w:p>
        </w:tc>
        <w:tc>
          <w:tcPr>
            <w:tcW w:w="850" w:type="dxa"/>
            <w:shd w:val="clear" w:color="auto" w:fill="E6F2FF"/>
            <w:vAlign w:val="bottom"/>
          </w:tcPr>
          <w:p w14:paraId="3B53596A" w14:textId="730F4361" w:rsidR="00B628FF" w:rsidRDefault="00B31B37">
            <w:pPr>
              <w:pStyle w:val="Summarytabletextrightaligned"/>
            </w:pPr>
            <w:r>
              <w:noBreakHyphen/>
            </w:r>
          </w:p>
        </w:tc>
        <w:tc>
          <w:tcPr>
            <w:tcW w:w="850" w:type="dxa"/>
            <w:vAlign w:val="bottom"/>
          </w:tcPr>
          <w:p w14:paraId="079A0C98" w14:textId="2149336C" w:rsidR="00B628FF" w:rsidRDefault="00B31B37">
            <w:pPr>
              <w:pStyle w:val="Summarytabletextrightaligned"/>
            </w:pPr>
            <w:r>
              <w:noBreakHyphen/>
            </w:r>
          </w:p>
        </w:tc>
        <w:tc>
          <w:tcPr>
            <w:tcW w:w="850" w:type="dxa"/>
            <w:vAlign w:val="bottom"/>
          </w:tcPr>
          <w:p w14:paraId="3BE1CD2E" w14:textId="7BFE327F" w:rsidR="00B628FF" w:rsidRDefault="00B31B37">
            <w:pPr>
              <w:pStyle w:val="Summarytabletextrightaligned"/>
            </w:pPr>
            <w:r>
              <w:noBreakHyphen/>
            </w:r>
          </w:p>
        </w:tc>
        <w:tc>
          <w:tcPr>
            <w:tcW w:w="850" w:type="dxa"/>
            <w:vAlign w:val="bottom"/>
          </w:tcPr>
          <w:p w14:paraId="60892CC2" w14:textId="099FEE77" w:rsidR="00B628FF" w:rsidRDefault="00B31B37">
            <w:pPr>
              <w:pStyle w:val="Summarytabletextrightaligned"/>
            </w:pPr>
            <w:r>
              <w:noBreakHyphen/>
            </w:r>
          </w:p>
        </w:tc>
      </w:tr>
      <w:tr w:rsidR="00B628FF" w14:paraId="1D45B96B" w14:textId="77777777" w:rsidTr="5FA307DC">
        <w:tc>
          <w:tcPr>
            <w:tcW w:w="3471" w:type="dxa"/>
            <w:vAlign w:val="bottom"/>
          </w:tcPr>
          <w:p w14:paraId="1B2BB354" w14:textId="77777777" w:rsidR="00B628FF" w:rsidRDefault="005B2D2F">
            <w:pPr>
              <w:pStyle w:val="SummaryMeasureTitlewithTheme"/>
            </w:pPr>
            <w:r>
              <w:t>Closing the Gap – further investments(b)</w:t>
            </w:r>
          </w:p>
        </w:tc>
        <w:tc>
          <w:tcPr>
            <w:tcW w:w="850" w:type="dxa"/>
            <w:vAlign w:val="bottom"/>
          </w:tcPr>
          <w:p w14:paraId="768B5C27" w14:textId="2E80F0E8" w:rsidR="00B628FF" w:rsidRDefault="00B31B37">
            <w:pPr>
              <w:pStyle w:val="Summarytabletextrightaligned"/>
            </w:pPr>
            <w:r>
              <w:noBreakHyphen/>
            </w:r>
          </w:p>
        </w:tc>
        <w:tc>
          <w:tcPr>
            <w:tcW w:w="850" w:type="dxa"/>
            <w:shd w:val="clear" w:color="auto" w:fill="E6F2FF"/>
            <w:vAlign w:val="bottom"/>
          </w:tcPr>
          <w:p w14:paraId="5B5B3EAD" w14:textId="77777777" w:rsidR="00B628FF" w:rsidRDefault="005B2D2F">
            <w:pPr>
              <w:pStyle w:val="Summarytabletextrightaligned"/>
            </w:pPr>
            <w:r>
              <w:t>3.6</w:t>
            </w:r>
          </w:p>
        </w:tc>
        <w:tc>
          <w:tcPr>
            <w:tcW w:w="850" w:type="dxa"/>
            <w:vAlign w:val="bottom"/>
          </w:tcPr>
          <w:p w14:paraId="56804C16" w14:textId="77777777" w:rsidR="00B628FF" w:rsidRDefault="005B2D2F">
            <w:pPr>
              <w:pStyle w:val="Summarytabletextrightaligned"/>
            </w:pPr>
            <w:r>
              <w:t>3.7</w:t>
            </w:r>
          </w:p>
        </w:tc>
        <w:tc>
          <w:tcPr>
            <w:tcW w:w="850" w:type="dxa"/>
            <w:vAlign w:val="bottom"/>
          </w:tcPr>
          <w:p w14:paraId="12F3CEA6" w14:textId="77777777" w:rsidR="00B628FF" w:rsidRDefault="005B2D2F">
            <w:pPr>
              <w:pStyle w:val="Summarytabletextrightaligned"/>
            </w:pPr>
            <w:r>
              <w:t>3.7</w:t>
            </w:r>
          </w:p>
        </w:tc>
        <w:tc>
          <w:tcPr>
            <w:tcW w:w="850" w:type="dxa"/>
            <w:vAlign w:val="bottom"/>
          </w:tcPr>
          <w:p w14:paraId="2E4B63F0" w14:textId="4C5BE531" w:rsidR="00B628FF" w:rsidRDefault="00B31B37">
            <w:pPr>
              <w:pStyle w:val="Summarytabletextrightaligned"/>
            </w:pPr>
            <w:r>
              <w:noBreakHyphen/>
            </w:r>
          </w:p>
        </w:tc>
      </w:tr>
      <w:tr w:rsidR="00B628FF" w14:paraId="3EF306FA" w14:textId="77777777" w:rsidTr="5FA307DC">
        <w:tc>
          <w:tcPr>
            <w:tcW w:w="3471" w:type="dxa"/>
            <w:vAlign w:val="bottom"/>
          </w:tcPr>
          <w:p w14:paraId="16E6FF70" w14:textId="77777777" w:rsidR="00B628FF" w:rsidRDefault="005B2D2F">
            <w:pPr>
              <w:pStyle w:val="SummaryMeasureTitlewithTheme"/>
            </w:pPr>
            <w:r>
              <w:t>Continued Funding for the Regional Australia Institute</w:t>
            </w:r>
          </w:p>
        </w:tc>
        <w:tc>
          <w:tcPr>
            <w:tcW w:w="850" w:type="dxa"/>
            <w:vAlign w:val="bottom"/>
          </w:tcPr>
          <w:p w14:paraId="36E21CB1" w14:textId="16583201" w:rsidR="00B628FF" w:rsidRDefault="00B31B37">
            <w:pPr>
              <w:pStyle w:val="Summarytabletextrightaligned"/>
            </w:pPr>
            <w:r>
              <w:noBreakHyphen/>
            </w:r>
          </w:p>
        </w:tc>
        <w:tc>
          <w:tcPr>
            <w:tcW w:w="850" w:type="dxa"/>
            <w:shd w:val="clear" w:color="auto" w:fill="E6F2FF"/>
            <w:vAlign w:val="bottom"/>
          </w:tcPr>
          <w:p w14:paraId="1B738433" w14:textId="77777777" w:rsidR="00B628FF" w:rsidRDefault="005B2D2F">
            <w:pPr>
              <w:pStyle w:val="Summarytabletextrightaligned"/>
            </w:pPr>
            <w:r>
              <w:t>2.0</w:t>
            </w:r>
          </w:p>
        </w:tc>
        <w:tc>
          <w:tcPr>
            <w:tcW w:w="850" w:type="dxa"/>
            <w:vAlign w:val="bottom"/>
          </w:tcPr>
          <w:p w14:paraId="39A36076" w14:textId="5078BB46" w:rsidR="00B628FF" w:rsidRDefault="00B31B37">
            <w:pPr>
              <w:pStyle w:val="Summarytabletextrightaligned"/>
            </w:pPr>
            <w:r>
              <w:noBreakHyphen/>
            </w:r>
          </w:p>
        </w:tc>
        <w:tc>
          <w:tcPr>
            <w:tcW w:w="850" w:type="dxa"/>
            <w:vAlign w:val="bottom"/>
          </w:tcPr>
          <w:p w14:paraId="4BB850BB" w14:textId="3E64219A" w:rsidR="00B628FF" w:rsidRDefault="00B31B37">
            <w:pPr>
              <w:pStyle w:val="Summarytabletextrightaligned"/>
            </w:pPr>
            <w:r>
              <w:noBreakHyphen/>
            </w:r>
          </w:p>
        </w:tc>
        <w:tc>
          <w:tcPr>
            <w:tcW w:w="850" w:type="dxa"/>
            <w:vAlign w:val="bottom"/>
          </w:tcPr>
          <w:p w14:paraId="78FDE2CF" w14:textId="547231EA" w:rsidR="00B628FF" w:rsidRDefault="00B31B37">
            <w:pPr>
              <w:pStyle w:val="Summarytabletextrightaligned"/>
            </w:pPr>
            <w:r>
              <w:noBreakHyphen/>
            </w:r>
          </w:p>
        </w:tc>
      </w:tr>
      <w:tr w:rsidR="00B628FF" w14:paraId="7EBDE8DC" w14:textId="77777777" w:rsidTr="5FA307DC">
        <w:tc>
          <w:tcPr>
            <w:tcW w:w="3471" w:type="dxa"/>
            <w:vAlign w:val="bottom"/>
          </w:tcPr>
          <w:p w14:paraId="0C5F6E54" w14:textId="77777777" w:rsidR="00B628FF" w:rsidRDefault="005B2D2F">
            <w:pPr>
              <w:pStyle w:val="SummaryMeasureTitlewithTheme"/>
            </w:pPr>
            <w:r>
              <w:t>Energy Bill Relief Fund Extension</w:t>
            </w:r>
          </w:p>
        </w:tc>
        <w:tc>
          <w:tcPr>
            <w:tcW w:w="850" w:type="dxa"/>
            <w:vAlign w:val="bottom"/>
          </w:tcPr>
          <w:p w14:paraId="44184742" w14:textId="4520BABE" w:rsidR="00B628FF" w:rsidRDefault="00B31B37">
            <w:pPr>
              <w:pStyle w:val="Summarytabletextrightaligned"/>
            </w:pPr>
            <w:r>
              <w:noBreakHyphen/>
            </w:r>
          </w:p>
        </w:tc>
        <w:tc>
          <w:tcPr>
            <w:tcW w:w="850" w:type="dxa"/>
            <w:shd w:val="clear" w:color="auto" w:fill="E6F2FF"/>
            <w:vAlign w:val="bottom"/>
          </w:tcPr>
          <w:p w14:paraId="72729866" w14:textId="77777777" w:rsidR="00B628FF" w:rsidRDefault="005B2D2F">
            <w:pPr>
              <w:pStyle w:val="Summarytabletextrightaligned"/>
            </w:pPr>
            <w:r>
              <w:t>0.4</w:t>
            </w:r>
          </w:p>
        </w:tc>
        <w:tc>
          <w:tcPr>
            <w:tcW w:w="850" w:type="dxa"/>
            <w:vAlign w:val="bottom"/>
          </w:tcPr>
          <w:p w14:paraId="314D70B3" w14:textId="51D97E86" w:rsidR="00B628FF" w:rsidRDefault="00B31B37">
            <w:pPr>
              <w:pStyle w:val="Summarytabletextrightaligned"/>
            </w:pPr>
            <w:r>
              <w:noBreakHyphen/>
            </w:r>
          </w:p>
        </w:tc>
        <w:tc>
          <w:tcPr>
            <w:tcW w:w="850" w:type="dxa"/>
            <w:vAlign w:val="bottom"/>
          </w:tcPr>
          <w:p w14:paraId="02E94F62" w14:textId="33F2846F" w:rsidR="00B628FF" w:rsidRDefault="00B31B37">
            <w:pPr>
              <w:pStyle w:val="Summarytabletextrightaligned"/>
            </w:pPr>
            <w:r>
              <w:noBreakHyphen/>
            </w:r>
          </w:p>
        </w:tc>
        <w:tc>
          <w:tcPr>
            <w:tcW w:w="850" w:type="dxa"/>
            <w:vAlign w:val="bottom"/>
          </w:tcPr>
          <w:p w14:paraId="4B971999" w14:textId="24C71BAD" w:rsidR="00B628FF" w:rsidRDefault="00B31B37">
            <w:pPr>
              <w:pStyle w:val="Summarytabletextrightaligned"/>
            </w:pPr>
            <w:r>
              <w:noBreakHyphen/>
            </w:r>
          </w:p>
        </w:tc>
      </w:tr>
      <w:tr w:rsidR="00B628FF" w14:paraId="66FB69D3" w14:textId="77777777" w:rsidTr="5FA307DC">
        <w:tc>
          <w:tcPr>
            <w:tcW w:w="3471" w:type="dxa"/>
            <w:vAlign w:val="bottom"/>
          </w:tcPr>
          <w:p w14:paraId="569B2E71" w14:textId="77777777" w:rsidR="00B628FF" w:rsidRDefault="005B2D2F">
            <w:pPr>
              <w:pStyle w:val="SummaryMeasureTitlewithTheme"/>
            </w:pPr>
            <w:r>
              <w:t>Extend the School Student Broadband Initiative until 2028</w:t>
            </w:r>
          </w:p>
        </w:tc>
        <w:tc>
          <w:tcPr>
            <w:tcW w:w="850" w:type="dxa"/>
            <w:vAlign w:val="bottom"/>
          </w:tcPr>
          <w:p w14:paraId="1A517BE5" w14:textId="397D854E" w:rsidR="00B628FF" w:rsidRDefault="00B31B37">
            <w:pPr>
              <w:pStyle w:val="Summarytabletextrightaligned"/>
            </w:pPr>
            <w:r>
              <w:noBreakHyphen/>
            </w:r>
          </w:p>
        </w:tc>
        <w:tc>
          <w:tcPr>
            <w:tcW w:w="850" w:type="dxa"/>
            <w:shd w:val="clear" w:color="auto" w:fill="E6F2FF"/>
            <w:vAlign w:val="bottom"/>
          </w:tcPr>
          <w:p w14:paraId="430AC7AC" w14:textId="21C7D88E" w:rsidR="00B628FF" w:rsidRDefault="00B31B37">
            <w:pPr>
              <w:pStyle w:val="Summarytabletextrightaligned"/>
            </w:pPr>
            <w:r>
              <w:noBreakHyphen/>
            </w:r>
          </w:p>
        </w:tc>
        <w:tc>
          <w:tcPr>
            <w:tcW w:w="850" w:type="dxa"/>
            <w:vAlign w:val="bottom"/>
          </w:tcPr>
          <w:p w14:paraId="0F9AF644" w14:textId="3D96559E" w:rsidR="00B628FF" w:rsidRDefault="00B31B37">
            <w:pPr>
              <w:pStyle w:val="Summarytabletextrightaligned"/>
            </w:pPr>
            <w:r>
              <w:noBreakHyphen/>
            </w:r>
          </w:p>
        </w:tc>
        <w:tc>
          <w:tcPr>
            <w:tcW w:w="850" w:type="dxa"/>
            <w:vAlign w:val="bottom"/>
          </w:tcPr>
          <w:p w14:paraId="46E64DF1" w14:textId="266DFAFD" w:rsidR="00B628FF" w:rsidRDefault="00B31B37">
            <w:pPr>
              <w:pStyle w:val="Summarytabletextrightaligned"/>
            </w:pPr>
            <w:r>
              <w:noBreakHyphen/>
            </w:r>
          </w:p>
        </w:tc>
        <w:tc>
          <w:tcPr>
            <w:tcW w:w="850" w:type="dxa"/>
            <w:vAlign w:val="bottom"/>
          </w:tcPr>
          <w:p w14:paraId="0C48FC15" w14:textId="674FD140" w:rsidR="00B628FF" w:rsidRDefault="00B31B37">
            <w:pPr>
              <w:pStyle w:val="Summarytabletextrightaligned"/>
            </w:pPr>
            <w:r>
              <w:noBreakHyphen/>
            </w:r>
          </w:p>
        </w:tc>
      </w:tr>
      <w:tr w:rsidR="00B628FF" w14:paraId="3A1E5BC7" w14:textId="77777777" w:rsidTr="5FA307DC">
        <w:tc>
          <w:tcPr>
            <w:tcW w:w="3471" w:type="dxa"/>
            <w:vAlign w:val="bottom"/>
          </w:tcPr>
          <w:p w14:paraId="5617A655" w14:textId="77777777" w:rsidR="00B628FF" w:rsidRDefault="005B2D2F">
            <w:pPr>
              <w:pStyle w:val="SummaryMeasureTitlewithTheme"/>
            </w:pPr>
            <w:r>
              <w:t>Hillcrest Tragedy Memorial</w:t>
            </w:r>
          </w:p>
        </w:tc>
        <w:tc>
          <w:tcPr>
            <w:tcW w:w="850" w:type="dxa"/>
            <w:vAlign w:val="bottom"/>
          </w:tcPr>
          <w:p w14:paraId="6454ED2F" w14:textId="447C016B" w:rsidR="00B628FF" w:rsidRDefault="00B31B37">
            <w:pPr>
              <w:pStyle w:val="Summarytabletextrightaligned"/>
            </w:pPr>
            <w:r>
              <w:noBreakHyphen/>
            </w:r>
          </w:p>
        </w:tc>
        <w:tc>
          <w:tcPr>
            <w:tcW w:w="850" w:type="dxa"/>
            <w:shd w:val="clear" w:color="auto" w:fill="E6F2FF"/>
            <w:vAlign w:val="bottom"/>
          </w:tcPr>
          <w:p w14:paraId="291C09E7" w14:textId="50C769B8" w:rsidR="00B628FF" w:rsidRDefault="00B31B37">
            <w:pPr>
              <w:pStyle w:val="Summarytabletextrightaligned"/>
            </w:pPr>
            <w:r>
              <w:noBreakHyphen/>
            </w:r>
          </w:p>
        </w:tc>
        <w:tc>
          <w:tcPr>
            <w:tcW w:w="850" w:type="dxa"/>
            <w:vAlign w:val="bottom"/>
          </w:tcPr>
          <w:p w14:paraId="33B4B6FD" w14:textId="73DB04EB" w:rsidR="00B628FF" w:rsidRDefault="00B31B37">
            <w:pPr>
              <w:pStyle w:val="Summarytabletextrightaligned"/>
            </w:pPr>
            <w:r>
              <w:noBreakHyphen/>
            </w:r>
          </w:p>
        </w:tc>
        <w:tc>
          <w:tcPr>
            <w:tcW w:w="850" w:type="dxa"/>
            <w:vAlign w:val="bottom"/>
          </w:tcPr>
          <w:p w14:paraId="36DCDA1B" w14:textId="45F21839" w:rsidR="00B628FF" w:rsidRDefault="00B31B37">
            <w:pPr>
              <w:pStyle w:val="Summarytabletextrightaligned"/>
            </w:pPr>
            <w:r>
              <w:noBreakHyphen/>
            </w:r>
          </w:p>
        </w:tc>
        <w:tc>
          <w:tcPr>
            <w:tcW w:w="850" w:type="dxa"/>
            <w:vAlign w:val="bottom"/>
          </w:tcPr>
          <w:p w14:paraId="51A8219D" w14:textId="2C752514" w:rsidR="00B628FF" w:rsidRDefault="00B31B37">
            <w:pPr>
              <w:pStyle w:val="Summarytabletextrightaligned"/>
            </w:pPr>
            <w:r>
              <w:noBreakHyphen/>
            </w:r>
          </w:p>
        </w:tc>
      </w:tr>
    </w:tbl>
    <w:p w14:paraId="39B3AFAB" w14:textId="77777777" w:rsidR="00997AF2" w:rsidRDefault="00997AF2" w:rsidP="00997AF2">
      <w:pPr>
        <w:sectPr w:rsidR="00997AF2" w:rsidSect="00A06F82">
          <w:pgSz w:w="11906" w:h="16838"/>
          <w:pgMar w:top="2835" w:right="2098" w:bottom="2466" w:left="2098" w:header="1814" w:footer="1814" w:gutter="0"/>
          <w:cols w:space="720"/>
          <w:docGrid w:linePitch="272"/>
        </w:sectPr>
      </w:pPr>
    </w:p>
    <w:p w14:paraId="3D670CD0" w14:textId="77777777" w:rsidR="00997AF2" w:rsidRDefault="00997AF2" w:rsidP="00997AF2">
      <w:pPr>
        <w:pStyle w:val="TableHeadingcontinued"/>
      </w:pPr>
      <w:r>
        <w:t>Table 2: Payment measures since the 2024–25 MYEFO</w:t>
      </w:r>
      <w:r>
        <w:rPr>
          <w:rFonts w:ascii="Cambria Math" w:hAnsi="Cambria Math" w:cs="Cambria Math"/>
        </w:rPr>
        <w:t>⁽</w:t>
      </w:r>
      <w:r>
        <w:rPr>
          <w:rFonts w:cs="Arial"/>
        </w:rPr>
        <w:t>ª</w:t>
      </w:r>
      <w:r>
        <w:rPr>
          <w:rFonts w:ascii="Cambria Math" w:hAnsi="Cambria Math" w:cs="Cambria Math"/>
        </w:rPr>
        <w:t>⁾</w:t>
      </w:r>
      <w:r>
        <w:t xml:space="preserve"> (continued)</w:t>
      </w:r>
    </w:p>
    <w:tbl>
      <w:tblPr>
        <w:tblOverlap w:val="never"/>
        <w:tblW w:w="7721" w:type="dxa"/>
        <w:tblBorders>
          <w:top w:val="single" w:sz="4" w:space="0" w:color="000000"/>
          <w:bottom w:val="single" w:sz="4" w:space="0" w:color="000000"/>
        </w:tblBorders>
        <w:tblLayout w:type="fixed"/>
        <w:tblCellMar>
          <w:left w:w="0" w:type="dxa"/>
          <w:right w:w="56" w:type="dxa"/>
        </w:tblCellMar>
        <w:tblLook w:val="04A0" w:firstRow="1" w:lastRow="0" w:firstColumn="1" w:lastColumn="0" w:noHBand="0" w:noVBand="1"/>
      </w:tblPr>
      <w:tblGrid>
        <w:gridCol w:w="3471"/>
        <w:gridCol w:w="850"/>
        <w:gridCol w:w="850"/>
        <w:gridCol w:w="850"/>
        <w:gridCol w:w="850"/>
        <w:gridCol w:w="850"/>
      </w:tblGrid>
      <w:tr w:rsidR="00997AF2" w14:paraId="7B44CDBC" w14:textId="77777777" w:rsidTr="5FA307DC">
        <w:tc>
          <w:tcPr>
            <w:tcW w:w="3471" w:type="dxa"/>
            <w:vAlign w:val="bottom"/>
          </w:tcPr>
          <w:p w14:paraId="35634B4C" w14:textId="77777777" w:rsidR="00997AF2" w:rsidRDefault="00997AF2" w:rsidP="00997AF2"/>
        </w:tc>
        <w:tc>
          <w:tcPr>
            <w:tcW w:w="850" w:type="dxa"/>
            <w:tcBorders>
              <w:bottom w:val="nil"/>
            </w:tcBorders>
            <w:vAlign w:val="bottom"/>
          </w:tcPr>
          <w:p w14:paraId="3D4C843E" w14:textId="45EFA689" w:rsidR="00997AF2" w:rsidRDefault="00997AF2" w:rsidP="00997AF2">
            <w:pPr>
              <w:pStyle w:val="Summarytabletextrightaligned"/>
            </w:pPr>
            <w:r>
              <w:t>2024</w:t>
            </w:r>
            <w:r w:rsidR="00B31B37">
              <w:noBreakHyphen/>
            </w:r>
            <w:r>
              <w:t>25</w:t>
            </w:r>
          </w:p>
        </w:tc>
        <w:tc>
          <w:tcPr>
            <w:tcW w:w="850" w:type="dxa"/>
            <w:tcBorders>
              <w:bottom w:val="nil"/>
            </w:tcBorders>
            <w:shd w:val="clear" w:color="auto" w:fill="E6F2FF"/>
            <w:vAlign w:val="bottom"/>
          </w:tcPr>
          <w:p w14:paraId="3B7A0C00" w14:textId="1DDA28E5" w:rsidR="00997AF2" w:rsidRDefault="00997AF2" w:rsidP="00997AF2">
            <w:pPr>
              <w:pStyle w:val="Summarytabletextrightaligned"/>
            </w:pPr>
            <w:r>
              <w:t>2025</w:t>
            </w:r>
            <w:r w:rsidR="00B31B37">
              <w:noBreakHyphen/>
            </w:r>
            <w:r>
              <w:t>26</w:t>
            </w:r>
          </w:p>
        </w:tc>
        <w:tc>
          <w:tcPr>
            <w:tcW w:w="850" w:type="dxa"/>
            <w:tcBorders>
              <w:bottom w:val="nil"/>
            </w:tcBorders>
            <w:vAlign w:val="bottom"/>
          </w:tcPr>
          <w:p w14:paraId="542B2ECB" w14:textId="4FAF7641" w:rsidR="00997AF2" w:rsidRDefault="00997AF2" w:rsidP="00997AF2">
            <w:pPr>
              <w:pStyle w:val="Summarytabletextrightaligned"/>
            </w:pPr>
            <w:r>
              <w:t>2026</w:t>
            </w:r>
            <w:r w:rsidR="00B31B37">
              <w:noBreakHyphen/>
            </w:r>
            <w:r>
              <w:t>27</w:t>
            </w:r>
          </w:p>
        </w:tc>
        <w:tc>
          <w:tcPr>
            <w:tcW w:w="850" w:type="dxa"/>
            <w:tcBorders>
              <w:bottom w:val="nil"/>
            </w:tcBorders>
            <w:vAlign w:val="bottom"/>
          </w:tcPr>
          <w:p w14:paraId="17AF16F0" w14:textId="742297D7" w:rsidR="00997AF2" w:rsidRDefault="00997AF2" w:rsidP="00997AF2">
            <w:pPr>
              <w:pStyle w:val="Summarytabletextrightaligned"/>
            </w:pPr>
            <w:r>
              <w:t>2027</w:t>
            </w:r>
            <w:r w:rsidR="00B31B37">
              <w:noBreakHyphen/>
            </w:r>
            <w:r>
              <w:t>28</w:t>
            </w:r>
          </w:p>
        </w:tc>
        <w:tc>
          <w:tcPr>
            <w:tcW w:w="850" w:type="dxa"/>
            <w:tcBorders>
              <w:bottom w:val="nil"/>
            </w:tcBorders>
            <w:vAlign w:val="bottom"/>
          </w:tcPr>
          <w:p w14:paraId="330FABF6" w14:textId="120C545D" w:rsidR="00997AF2" w:rsidRDefault="00997AF2" w:rsidP="00997AF2">
            <w:pPr>
              <w:pStyle w:val="Summarytabletextrightaligned"/>
            </w:pPr>
            <w:r>
              <w:t>2028</w:t>
            </w:r>
            <w:r w:rsidR="00B31B37">
              <w:noBreakHyphen/>
            </w:r>
            <w:r>
              <w:t>29</w:t>
            </w:r>
          </w:p>
        </w:tc>
      </w:tr>
      <w:tr w:rsidR="00997AF2" w14:paraId="72AB0959" w14:textId="77777777" w:rsidTr="5FA307DC">
        <w:tc>
          <w:tcPr>
            <w:tcW w:w="3471" w:type="dxa"/>
            <w:vAlign w:val="bottom"/>
          </w:tcPr>
          <w:p w14:paraId="1995AF8B" w14:textId="77777777" w:rsidR="00997AF2" w:rsidRDefault="00997AF2" w:rsidP="00997AF2"/>
        </w:tc>
        <w:tc>
          <w:tcPr>
            <w:tcW w:w="850" w:type="dxa"/>
            <w:tcBorders>
              <w:top w:val="nil"/>
              <w:bottom w:val="single" w:sz="4" w:space="0" w:color="auto"/>
            </w:tcBorders>
            <w:shd w:val="clear" w:color="auto" w:fill="auto"/>
            <w:vAlign w:val="bottom"/>
          </w:tcPr>
          <w:p w14:paraId="1E7C1FEB" w14:textId="77777777" w:rsidR="00997AF2" w:rsidRDefault="00997AF2" w:rsidP="00997AF2">
            <w:pPr>
              <w:pStyle w:val="Summarytabletextrightaligned"/>
            </w:pPr>
            <w:r>
              <w:t>$m</w:t>
            </w:r>
          </w:p>
        </w:tc>
        <w:tc>
          <w:tcPr>
            <w:tcW w:w="850" w:type="dxa"/>
            <w:tcBorders>
              <w:top w:val="nil"/>
              <w:bottom w:val="single" w:sz="4" w:space="0" w:color="auto"/>
            </w:tcBorders>
            <w:shd w:val="clear" w:color="auto" w:fill="E6F2FF"/>
            <w:vAlign w:val="bottom"/>
          </w:tcPr>
          <w:p w14:paraId="1AE14B99" w14:textId="77777777" w:rsidR="00997AF2" w:rsidRDefault="00997AF2" w:rsidP="00997AF2">
            <w:pPr>
              <w:pStyle w:val="Summarytabletextrightaligned"/>
            </w:pPr>
            <w:r>
              <w:t>$m</w:t>
            </w:r>
          </w:p>
        </w:tc>
        <w:tc>
          <w:tcPr>
            <w:tcW w:w="850" w:type="dxa"/>
            <w:tcBorders>
              <w:top w:val="nil"/>
              <w:bottom w:val="single" w:sz="4" w:space="0" w:color="auto"/>
            </w:tcBorders>
            <w:shd w:val="clear" w:color="auto" w:fill="auto"/>
            <w:vAlign w:val="bottom"/>
          </w:tcPr>
          <w:p w14:paraId="501DDC29" w14:textId="77777777" w:rsidR="00997AF2" w:rsidRDefault="00997AF2" w:rsidP="00997AF2">
            <w:pPr>
              <w:pStyle w:val="Summarytabletextrightaligned"/>
            </w:pPr>
            <w:r>
              <w:t>$m</w:t>
            </w:r>
          </w:p>
        </w:tc>
        <w:tc>
          <w:tcPr>
            <w:tcW w:w="850" w:type="dxa"/>
            <w:tcBorders>
              <w:top w:val="nil"/>
              <w:bottom w:val="single" w:sz="4" w:space="0" w:color="auto"/>
            </w:tcBorders>
            <w:shd w:val="clear" w:color="auto" w:fill="auto"/>
            <w:vAlign w:val="bottom"/>
          </w:tcPr>
          <w:p w14:paraId="2493F7D9" w14:textId="77777777" w:rsidR="00997AF2" w:rsidRDefault="00997AF2" w:rsidP="00997AF2">
            <w:pPr>
              <w:pStyle w:val="Summarytabletextrightaligned"/>
            </w:pPr>
            <w:r>
              <w:t>$m</w:t>
            </w:r>
          </w:p>
        </w:tc>
        <w:tc>
          <w:tcPr>
            <w:tcW w:w="850" w:type="dxa"/>
            <w:tcBorders>
              <w:top w:val="nil"/>
              <w:bottom w:val="single" w:sz="4" w:space="0" w:color="auto"/>
            </w:tcBorders>
            <w:shd w:val="clear" w:color="auto" w:fill="auto"/>
            <w:vAlign w:val="bottom"/>
          </w:tcPr>
          <w:p w14:paraId="5B980956" w14:textId="77777777" w:rsidR="00997AF2" w:rsidRDefault="00997AF2" w:rsidP="00997AF2">
            <w:pPr>
              <w:pStyle w:val="Summarytabletextrightaligned"/>
            </w:pPr>
            <w:r>
              <w:t>$m</w:t>
            </w:r>
          </w:p>
        </w:tc>
      </w:tr>
      <w:tr w:rsidR="00997AF2" w14:paraId="28729C94" w14:textId="77777777" w:rsidTr="5FA307DC">
        <w:tc>
          <w:tcPr>
            <w:tcW w:w="3471" w:type="dxa"/>
            <w:tcBorders>
              <w:bottom w:val="nil"/>
            </w:tcBorders>
            <w:vAlign w:val="bottom"/>
          </w:tcPr>
          <w:p w14:paraId="269284C2" w14:textId="77777777" w:rsidR="00997AF2" w:rsidRPr="00997AF2" w:rsidRDefault="00997AF2" w:rsidP="006F4E35">
            <w:pPr>
              <w:pStyle w:val="SummaryPortfolioTitle-BP2"/>
            </w:pPr>
            <w:r w:rsidRPr="00997AF2">
              <w:t>INFRASTRUCTURE, TRANSPORT, REGIONAL DEVELOPMENT, COMMUNICATIONS AND THE ARTS (continued)</w:t>
            </w:r>
          </w:p>
        </w:tc>
        <w:tc>
          <w:tcPr>
            <w:tcW w:w="850" w:type="dxa"/>
            <w:tcBorders>
              <w:top w:val="single" w:sz="4" w:space="0" w:color="auto"/>
              <w:bottom w:val="nil"/>
            </w:tcBorders>
            <w:vAlign w:val="bottom"/>
          </w:tcPr>
          <w:p w14:paraId="5DFBCFD4" w14:textId="77777777" w:rsidR="00997AF2" w:rsidRDefault="00997AF2">
            <w:pPr>
              <w:pStyle w:val="Summarytabletextrightaligned"/>
            </w:pPr>
          </w:p>
        </w:tc>
        <w:tc>
          <w:tcPr>
            <w:tcW w:w="850" w:type="dxa"/>
            <w:tcBorders>
              <w:top w:val="single" w:sz="4" w:space="0" w:color="auto"/>
              <w:bottom w:val="nil"/>
            </w:tcBorders>
            <w:shd w:val="clear" w:color="auto" w:fill="E6F2FF"/>
            <w:vAlign w:val="bottom"/>
          </w:tcPr>
          <w:p w14:paraId="2060F18D" w14:textId="77777777" w:rsidR="00997AF2" w:rsidRDefault="00997AF2">
            <w:pPr>
              <w:pStyle w:val="Summarytabletextrightaligned"/>
            </w:pPr>
          </w:p>
        </w:tc>
        <w:tc>
          <w:tcPr>
            <w:tcW w:w="850" w:type="dxa"/>
            <w:tcBorders>
              <w:top w:val="single" w:sz="4" w:space="0" w:color="auto"/>
              <w:bottom w:val="nil"/>
            </w:tcBorders>
            <w:vAlign w:val="bottom"/>
          </w:tcPr>
          <w:p w14:paraId="421F7987" w14:textId="77777777" w:rsidR="00997AF2" w:rsidRDefault="00997AF2">
            <w:pPr>
              <w:pStyle w:val="Summarytabletextrightaligned"/>
            </w:pPr>
          </w:p>
        </w:tc>
        <w:tc>
          <w:tcPr>
            <w:tcW w:w="850" w:type="dxa"/>
            <w:tcBorders>
              <w:top w:val="single" w:sz="4" w:space="0" w:color="auto"/>
              <w:bottom w:val="nil"/>
            </w:tcBorders>
            <w:vAlign w:val="bottom"/>
          </w:tcPr>
          <w:p w14:paraId="4C85F893" w14:textId="77777777" w:rsidR="00997AF2" w:rsidRDefault="00997AF2">
            <w:pPr>
              <w:pStyle w:val="Summarytabletextrightaligned"/>
            </w:pPr>
          </w:p>
        </w:tc>
        <w:tc>
          <w:tcPr>
            <w:tcW w:w="850" w:type="dxa"/>
            <w:tcBorders>
              <w:top w:val="single" w:sz="4" w:space="0" w:color="auto"/>
              <w:bottom w:val="nil"/>
            </w:tcBorders>
            <w:vAlign w:val="bottom"/>
          </w:tcPr>
          <w:p w14:paraId="4A9DF2A6" w14:textId="77777777" w:rsidR="00997AF2" w:rsidRDefault="00997AF2">
            <w:pPr>
              <w:pStyle w:val="Summarytabletextrightaligned"/>
            </w:pPr>
          </w:p>
        </w:tc>
      </w:tr>
      <w:tr w:rsidR="00B628FF" w14:paraId="6E4FD634" w14:textId="77777777" w:rsidTr="5FA307DC">
        <w:tc>
          <w:tcPr>
            <w:tcW w:w="3471" w:type="dxa"/>
            <w:tcBorders>
              <w:top w:val="nil"/>
            </w:tcBorders>
            <w:vAlign w:val="bottom"/>
          </w:tcPr>
          <w:p w14:paraId="4FED9E2D" w14:textId="77777777" w:rsidR="00B628FF" w:rsidRDefault="005B2D2F">
            <w:pPr>
              <w:pStyle w:val="SummaryMeasureTitlewithTheme"/>
            </w:pPr>
            <w:r>
              <w:t>Revive – National Cultural Policy</w:t>
            </w:r>
          </w:p>
        </w:tc>
        <w:tc>
          <w:tcPr>
            <w:tcW w:w="850" w:type="dxa"/>
            <w:tcBorders>
              <w:top w:val="nil"/>
            </w:tcBorders>
            <w:vAlign w:val="bottom"/>
          </w:tcPr>
          <w:p w14:paraId="69D9F7F7" w14:textId="5B1DB633" w:rsidR="00B628FF" w:rsidRDefault="00B31B37">
            <w:pPr>
              <w:pStyle w:val="Summarytabletextrightaligned"/>
            </w:pPr>
            <w:r>
              <w:noBreakHyphen/>
            </w:r>
          </w:p>
        </w:tc>
        <w:tc>
          <w:tcPr>
            <w:tcW w:w="850" w:type="dxa"/>
            <w:tcBorders>
              <w:top w:val="nil"/>
            </w:tcBorders>
            <w:shd w:val="clear" w:color="auto" w:fill="E6F2FF"/>
            <w:vAlign w:val="bottom"/>
          </w:tcPr>
          <w:p w14:paraId="6A0AB3D7" w14:textId="77777777" w:rsidR="00B628FF" w:rsidRDefault="005B2D2F">
            <w:pPr>
              <w:pStyle w:val="Summarytabletextrightaligned"/>
            </w:pPr>
            <w:r>
              <w:t>8.6</w:t>
            </w:r>
          </w:p>
        </w:tc>
        <w:tc>
          <w:tcPr>
            <w:tcW w:w="850" w:type="dxa"/>
            <w:tcBorders>
              <w:top w:val="nil"/>
            </w:tcBorders>
            <w:vAlign w:val="bottom"/>
          </w:tcPr>
          <w:p w14:paraId="37A23BA3" w14:textId="40151245" w:rsidR="00B628FF" w:rsidRDefault="00B31B37">
            <w:pPr>
              <w:pStyle w:val="Summarytabletextrightaligned"/>
            </w:pPr>
            <w:r>
              <w:noBreakHyphen/>
            </w:r>
          </w:p>
        </w:tc>
        <w:tc>
          <w:tcPr>
            <w:tcW w:w="850" w:type="dxa"/>
            <w:tcBorders>
              <w:top w:val="nil"/>
            </w:tcBorders>
            <w:vAlign w:val="bottom"/>
          </w:tcPr>
          <w:p w14:paraId="65D6B1B5" w14:textId="2ED67BDF" w:rsidR="00B628FF" w:rsidRDefault="00B31B37">
            <w:pPr>
              <w:pStyle w:val="Summarytabletextrightaligned"/>
            </w:pPr>
            <w:r>
              <w:noBreakHyphen/>
            </w:r>
          </w:p>
        </w:tc>
        <w:tc>
          <w:tcPr>
            <w:tcW w:w="850" w:type="dxa"/>
            <w:tcBorders>
              <w:top w:val="nil"/>
            </w:tcBorders>
            <w:vAlign w:val="bottom"/>
          </w:tcPr>
          <w:p w14:paraId="786C5041" w14:textId="3A97E2E8" w:rsidR="00B628FF" w:rsidRDefault="00B31B37">
            <w:pPr>
              <w:pStyle w:val="Summarytabletextrightaligned"/>
            </w:pPr>
            <w:r>
              <w:noBreakHyphen/>
            </w:r>
          </w:p>
        </w:tc>
      </w:tr>
      <w:tr w:rsidR="00B628FF" w14:paraId="02D63901" w14:textId="77777777" w:rsidTr="5FA307DC">
        <w:tc>
          <w:tcPr>
            <w:tcW w:w="3471" w:type="dxa"/>
            <w:vAlign w:val="bottom"/>
          </w:tcPr>
          <w:p w14:paraId="07D98E31" w14:textId="77777777" w:rsidR="00B628FF" w:rsidRDefault="005B2D2F">
            <w:pPr>
              <w:pStyle w:val="SummaryMeasureTitlewithTheme"/>
            </w:pPr>
            <w:r>
              <w:t>Supporting Transport Priorities</w:t>
            </w:r>
          </w:p>
        </w:tc>
        <w:tc>
          <w:tcPr>
            <w:tcW w:w="850" w:type="dxa"/>
            <w:vAlign w:val="bottom"/>
          </w:tcPr>
          <w:p w14:paraId="4030A6AC" w14:textId="4C9EDDEF" w:rsidR="00B628FF" w:rsidRDefault="00B31B37">
            <w:pPr>
              <w:pStyle w:val="Summarytabletextrightaligned"/>
            </w:pPr>
            <w:r>
              <w:noBreakHyphen/>
            </w:r>
          </w:p>
        </w:tc>
        <w:tc>
          <w:tcPr>
            <w:tcW w:w="850" w:type="dxa"/>
            <w:shd w:val="clear" w:color="auto" w:fill="E6F2FF"/>
            <w:vAlign w:val="bottom"/>
          </w:tcPr>
          <w:p w14:paraId="2576E928" w14:textId="77777777" w:rsidR="00B628FF" w:rsidRDefault="005B2D2F">
            <w:pPr>
              <w:pStyle w:val="Summarytabletextrightaligned"/>
            </w:pPr>
            <w:r>
              <w:t>3.7</w:t>
            </w:r>
          </w:p>
        </w:tc>
        <w:tc>
          <w:tcPr>
            <w:tcW w:w="850" w:type="dxa"/>
            <w:vAlign w:val="bottom"/>
          </w:tcPr>
          <w:p w14:paraId="5DDB60BF" w14:textId="77777777" w:rsidR="00B628FF" w:rsidRDefault="005B2D2F">
            <w:pPr>
              <w:pStyle w:val="Summarytabletextrightaligned"/>
            </w:pPr>
            <w:r>
              <w:t>3.5</w:t>
            </w:r>
          </w:p>
        </w:tc>
        <w:tc>
          <w:tcPr>
            <w:tcW w:w="850" w:type="dxa"/>
            <w:vAlign w:val="bottom"/>
          </w:tcPr>
          <w:p w14:paraId="441B6896" w14:textId="77777777" w:rsidR="00B628FF" w:rsidRDefault="005B2D2F">
            <w:pPr>
              <w:pStyle w:val="Summarytabletextrightaligned"/>
            </w:pPr>
            <w:r>
              <w:t>3.5</w:t>
            </w:r>
          </w:p>
        </w:tc>
        <w:tc>
          <w:tcPr>
            <w:tcW w:w="850" w:type="dxa"/>
            <w:vAlign w:val="bottom"/>
          </w:tcPr>
          <w:p w14:paraId="6A881D3A" w14:textId="77777777" w:rsidR="00B628FF" w:rsidRDefault="005B2D2F">
            <w:pPr>
              <w:pStyle w:val="Summarytabletextrightaligned"/>
            </w:pPr>
            <w:r>
              <w:t>3.6</w:t>
            </w:r>
          </w:p>
        </w:tc>
      </w:tr>
      <w:tr w:rsidR="00B628FF" w14:paraId="07F7311C" w14:textId="77777777" w:rsidTr="5FA307DC">
        <w:tc>
          <w:tcPr>
            <w:tcW w:w="3471" w:type="dxa"/>
            <w:vAlign w:val="bottom"/>
          </w:tcPr>
          <w:p w14:paraId="6F55834C" w14:textId="77777777" w:rsidR="00B628FF" w:rsidRDefault="005B2D2F">
            <w:pPr>
              <w:pStyle w:val="Summarytabletextleftalignedbold"/>
            </w:pPr>
            <w:r>
              <w:t>Portfolio total</w:t>
            </w:r>
          </w:p>
        </w:tc>
        <w:tc>
          <w:tcPr>
            <w:tcW w:w="850" w:type="dxa"/>
            <w:tcBorders>
              <w:top w:val="single" w:sz="4" w:space="0" w:color="000000" w:themeColor="text1"/>
              <w:bottom w:val="single" w:sz="4" w:space="0" w:color="000000" w:themeColor="text1"/>
            </w:tcBorders>
            <w:vAlign w:val="bottom"/>
          </w:tcPr>
          <w:p w14:paraId="3E9AF3B2" w14:textId="0C8F746E" w:rsidR="00B628FF" w:rsidRDefault="00B31B37">
            <w:pPr>
              <w:pStyle w:val="Summarytabletextrightalignedbold"/>
            </w:pPr>
            <w:r>
              <w:noBreakHyphen/>
            </w:r>
          </w:p>
        </w:tc>
        <w:tc>
          <w:tcPr>
            <w:tcW w:w="850" w:type="dxa"/>
            <w:tcBorders>
              <w:top w:val="single" w:sz="4" w:space="0" w:color="000000" w:themeColor="text1"/>
              <w:bottom w:val="single" w:sz="4" w:space="0" w:color="000000" w:themeColor="text1"/>
            </w:tcBorders>
            <w:shd w:val="clear" w:color="auto" w:fill="E6F2FF"/>
            <w:vAlign w:val="bottom"/>
          </w:tcPr>
          <w:p w14:paraId="5983D299" w14:textId="77777777" w:rsidR="00B628FF" w:rsidRDefault="005B2D2F">
            <w:pPr>
              <w:pStyle w:val="Summarytabletextrightalignedbold"/>
            </w:pPr>
            <w:r>
              <w:t>51.7</w:t>
            </w:r>
          </w:p>
        </w:tc>
        <w:tc>
          <w:tcPr>
            <w:tcW w:w="850" w:type="dxa"/>
            <w:tcBorders>
              <w:top w:val="single" w:sz="4" w:space="0" w:color="000000" w:themeColor="text1"/>
              <w:bottom w:val="single" w:sz="4" w:space="0" w:color="000000" w:themeColor="text1"/>
            </w:tcBorders>
            <w:vAlign w:val="bottom"/>
          </w:tcPr>
          <w:p w14:paraId="313316BE" w14:textId="77777777" w:rsidR="00B628FF" w:rsidRDefault="005B2D2F">
            <w:pPr>
              <w:pStyle w:val="Summarytabletextrightalignedbold"/>
            </w:pPr>
            <w:r>
              <w:t>7.2</w:t>
            </w:r>
          </w:p>
        </w:tc>
        <w:tc>
          <w:tcPr>
            <w:tcW w:w="850" w:type="dxa"/>
            <w:tcBorders>
              <w:top w:val="single" w:sz="4" w:space="0" w:color="000000" w:themeColor="text1"/>
              <w:bottom w:val="single" w:sz="4" w:space="0" w:color="000000" w:themeColor="text1"/>
            </w:tcBorders>
            <w:vAlign w:val="bottom"/>
          </w:tcPr>
          <w:p w14:paraId="0FFC44BA" w14:textId="77777777" w:rsidR="00B628FF" w:rsidRDefault="005B2D2F">
            <w:pPr>
              <w:pStyle w:val="Summarytabletextrightalignedbold"/>
            </w:pPr>
            <w:r>
              <w:t>7.3</w:t>
            </w:r>
          </w:p>
        </w:tc>
        <w:tc>
          <w:tcPr>
            <w:tcW w:w="850" w:type="dxa"/>
            <w:tcBorders>
              <w:top w:val="single" w:sz="4" w:space="0" w:color="000000" w:themeColor="text1"/>
              <w:bottom w:val="single" w:sz="4" w:space="0" w:color="000000" w:themeColor="text1"/>
            </w:tcBorders>
            <w:vAlign w:val="bottom"/>
          </w:tcPr>
          <w:p w14:paraId="5BE554E8" w14:textId="77777777" w:rsidR="00B628FF" w:rsidRDefault="005B2D2F">
            <w:pPr>
              <w:pStyle w:val="Summarytabletextrightalignedbold"/>
            </w:pPr>
            <w:r>
              <w:t>3.6</w:t>
            </w:r>
          </w:p>
        </w:tc>
      </w:tr>
      <w:tr w:rsidR="00B628FF" w14:paraId="6F82634F" w14:textId="77777777" w:rsidTr="5FA307DC">
        <w:tc>
          <w:tcPr>
            <w:tcW w:w="3471" w:type="dxa"/>
            <w:vAlign w:val="bottom"/>
          </w:tcPr>
          <w:p w14:paraId="3123B712" w14:textId="77777777" w:rsidR="00B628FF" w:rsidRDefault="005B2D2F">
            <w:pPr>
              <w:pStyle w:val="SummaryPortfolioTitle-BP2"/>
            </w:pPr>
            <w:r>
              <w:t>PRIME MINISTER AND CABINET</w:t>
            </w:r>
          </w:p>
        </w:tc>
        <w:tc>
          <w:tcPr>
            <w:tcW w:w="850" w:type="dxa"/>
          </w:tcPr>
          <w:p w14:paraId="4232F459" w14:textId="77777777" w:rsidR="00B628FF" w:rsidRDefault="00B628FF">
            <w:pPr>
              <w:pStyle w:val="MeasureTableTextRightAlignedBefore6ptAfter1pt"/>
            </w:pPr>
          </w:p>
        </w:tc>
        <w:tc>
          <w:tcPr>
            <w:tcW w:w="850" w:type="dxa"/>
            <w:shd w:val="clear" w:color="auto" w:fill="E6F2FF"/>
          </w:tcPr>
          <w:p w14:paraId="37D4C6C2" w14:textId="77777777" w:rsidR="00B628FF" w:rsidRDefault="00B628FF">
            <w:pPr>
              <w:pStyle w:val="MeasureTableTextRightAlignedBefore6ptAfter1pt"/>
            </w:pPr>
          </w:p>
        </w:tc>
        <w:tc>
          <w:tcPr>
            <w:tcW w:w="850" w:type="dxa"/>
          </w:tcPr>
          <w:p w14:paraId="78D9E4CD" w14:textId="77777777" w:rsidR="00B628FF" w:rsidRDefault="00B628FF">
            <w:pPr>
              <w:pStyle w:val="MeasureTableTextRightAlignedBefore6ptAfter1pt"/>
            </w:pPr>
          </w:p>
        </w:tc>
        <w:tc>
          <w:tcPr>
            <w:tcW w:w="850" w:type="dxa"/>
          </w:tcPr>
          <w:p w14:paraId="5A2B94FE" w14:textId="77777777" w:rsidR="00B628FF" w:rsidRDefault="00B628FF">
            <w:pPr>
              <w:pStyle w:val="MeasureTableTextRightAlignedBefore6ptAfter1pt"/>
            </w:pPr>
          </w:p>
        </w:tc>
        <w:tc>
          <w:tcPr>
            <w:tcW w:w="850" w:type="dxa"/>
          </w:tcPr>
          <w:p w14:paraId="54FFAC50" w14:textId="77777777" w:rsidR="00B628FF" w:rsidRDefault="00B628FF">
            <w:pPr>
              <w:pStyle w:val="MeasureTableTextRightAlignedBefore6ptAfter1pt"/>
            </w:pPr>
          </w:p>
        </w:tc>
      </w:tr>
      <w:tr w:rsidR="00B628FF" w14:paraId="2F264BCB" w14:textId="77777777" w:rsidTr="5FA307DC">
        <w:tc>
          <w:tcPr>
            <w:tcW w:w="3471" w:type="dxa"/>
            <w:vAlign w:val="bottom"/>
          </w:tcPr>
          <w:p w14:paraId="7828BD44" w14:textId="77777777" w:rsidR="00B628FF" w:rsidRDefault="005B2D2F">
            <w:pPr>
              <w:pStyle w:val="SummaryAgencyTitle-BP2"/>
            </w:pPr>
            <w:r>
              <w:t>Australian Institute of Aboriginal and Torres Strait Islander Studies</w:t>
            </w:r>
          </w:p>
        </w:tc>
        <w:tc>
          <w:tcPr>
            <w:tcW w:w="850" w:type="dxa"/>
          </w:tcPr>
          <w:p w14:paraId="4DF1C560" w14:textId="77777777" w:rsidR="00B628FF" w:rsidRDefault="00B628FF">
            <w:pPr>
              <w:pStyle w:val="SummaryAgencyTitle-BP2"/>
            </w:pPr>
          </w:p>
        </w:tc>
        <w:tc>
          <w:tcPr>
            <w:tcW w:w="850" w:type="dxa"/>
            <w:shd w:val="clear" w:color="auto" w:fill="E6F2FF"/>
          </w:tcPr>
          <w:p w14:paraId="4F2DCE76" w14:textId="77777777" w:rsidR="00B628FF" w:rsidRDefault="00B628FF">
            <w:pPr>
              <w:pStyle w:val="SummaryAgencyTitle-BP2"/>
            </w:pPr>
          </w:p>
        </w:tc>
        <w:tc>
          <w:tcPr>
            <w:tcW w:w="850" w:type="dxa"/>
          </w:tcPr>
          <w:p w14:paraId="2B5675DC" w14:textId="77777777" w:rsidR="00B628FF" w:rsidRDefault="00B628FF">
            <w:pPr>
              <w:pStyle w:val="SummaryAgencyTitle-BP2"/>
            </w:pPr>
          </w:p>
        </w:tc>
        <w:tc>
          <w:tcPr>
            <w:tcW w:w="850" w:type="dxa"/>
          </w:tcPr>
          <w:p w14:paraId="2EF44F77" w14:textId="77777777" w:rsidR="00B628FF" w:rsidRDefault="00B628FF">
            <w:pPr>
              <w:pStyle w:val="SummaryAgencyTitle-BP2"/>
            </w:pPr>
          </w:p>
        </w:tc>
        <w:tc>
          <w:tcPr>
            <w:tcW w:w="850" w:type="dxa"/>
          </w:tcPr>
          <w:p w14:paraId="6D995A33" w14:textId="77777777" w:rsidR="00B628FF" w:rsidRDefault="00B628FF">
            <w:pPr>
              <w:pStyle w:val="SummaryAgencyTitle-BP2"/>
            </w:pPr>
          </w:p>
        </w:tc>
      </w:tr>
      <w:tr w:rsidR="00B628FF" w14:paraId="0CEF3D6A" w14:textId="77777777" w:rsidTr="5FA307DC">
        <w:tc>
          <w:tcPr>
            <w:tcW w:w="3471" w:type="dxa"/>
            <w:vAlign w:val="bottom"/>
          </w:tcPr>
          <w:p w14:paraId="6B36688F" w14:textId="77777777" w:rsidR="00B628FF" w:rsidRDefault="005B2D2F">
            <w:pPr>
              <w:pStyle w:val="SummaryMeasureTitlewithTheme"/>
            </w:pPr>
            <w:r>
              <w:t>Closing the Gap – further investments(b)</w:t>
            </w:r>
          </w:p>
        </w:tc>
        <w:tc>
          <w:tcPr>
            <w:tcW w:w="850" w:type="dxa"/>
            <w:vAlign w:val="bottom"/>
          </w:tcPr>
          <w:p w14:paraId="21563089" w14:textId="1B597CF7" w:rsidR="00B628FF" w:rsidRDefault="00B31B37">
            <w:pPr>
              <w:pStyle w:val="Summarytabletextrightaligned"/>
            </w:pPr>
            <w:r>
              <w:noBreakHyphen/>
            </w:r>
          </w:p>
        </w:tc>
        <w:tc>
          <w:tcPr>
            <w:tcW w:w="850" w:type="dxa"/>
            <w:shd w:val="clear" w:color="auto" w:fill="E6F2FF"/>
            <w:vAlign w:val="bottom"/>
          </w:tcPr>
          <w:p w14:paraId="0290B18B" w14:textId="77777777" w:rsidR="00B628FF" w:rsidRDefault="005B2D2F">
            <w:pPr>
              <w:pStyle w:val="Summarytabletextrightaligned"/>
            </w:pPr>
            <w:r>
              <w:t>1.8</w:t>
            </w:r>
          </w:p>
        </w:tc>
        <w:tc>
          <w:tcPr>
            <w:tcW w:w="850" w:type="dxa"/>
            <w:vAlign w:val="bottom"/>
          </w:tcPr>
          <w:p w14:paraId="03F7D6B3" w14:textId="77777777" w:rsidR="00B628FF" w:rsidRDefault="005B2D2F">
            <w:pPr>
              <w:pStyle w:val="Summarytabletextrightaligned"/>
            </w:pPr>
            <w:r>
              <w:t>1.8</w:t>
            </w:r>
          </w:p>
        </w:tc>
        <w:tc>
          <w:tcPr>
            <w:tcW w:w="850" w:type="dxa"/>
            <w:vAlign w:val="bottom"/>
          </w:tcPr>
          <w:p w14:paraId="55F44328" w14:textId="6D0B03AE" w:rsidR="00B628FF" w:rsidRDefault="00B31B37">
            <w:pPr>
              <w:pStyle w:val="Summarytabletextrightaligned"/>
            </w:pPr>
            <w:r>
              <w:noBreakHyphen/>
            </w:r>
          </w:p>
        </w:tc>
        <w:tc>
          <w:tcPr>
            <w:tcW w:w="850" w:type="dxa"/>
            <w:vAlign w:val="bottom"/>
          </w:tcPr>
          <w:p w14:paraId="16C133DC" w14:textId="3E2E5696" w:rsidR="00B628FF" w:rsidRDefault="00B31B37">
            <w:pPr>
              <w:pStyle w:val="Summarytabletextrightaligned"/>
            </w:pPr>
            <w:r>
              <w:noBreakHyphen/>
            </w:r>
          </w:p>
        </w:tc>
      </w:tr>
      <w:tr w:rsidR="00B628FF" w14:paraId="11EC807B" w14:textId="77777777" w:rsidTr="5FA307DC">
        <w:tc>
          <w:tcPr>
            <w:tcW w:w="3471" w:type="dxa"/>
            <w:vAlign w:val="bottom"/>
          </w:tcPr>
          <w:p w14:paraId="5113D1B7" w14:textId="77777777" w:rsidR="00B628FF" w:rsidRDefault="005B2D2F">
            <w:pPr>
              <w:pStyle w:val="SummaryAgencyTitle-BP2"/>
            </w:pPr>
            <w:r>
              <w:t>Australian Public Service Commission</w:t>
            </w:r>
          </w:p>
        </w:tc>
        <w:tc>
          <w:tcPr>
            <w:tcW w:w="850" w:type="dxa"/>
          </w:tcPr>
          <w:p w14:paraId="00613AE4" w14:textId="77777777" w:rsidR="00B628FF" w:rsidRDefault="00B628FF">
            <w:pPr>
              <w:pStyle w:val="SummaryAgencyTitle-BP2"/>
            </w:pPr>
          </w:p>
        </w:tc>
        <w:tc>
          <w:tcPr>
            <w:tcW w:w="850" w:type="dxa"/>
            <w:shd w:val="clear" w:color="auto" w:fill="E6F2FF"/>
          </w:tcPr>
          <w:p w14:paraId="2D1CF567" w14:textId="77777777" w:rsidR="00B628FF" w:rsidRDefault="00B628FF">
            <w:pPr>
              <w:pStyle w:val="SummaryAgencyTitle-BP2"/>
            </w:pPr>
          </w:p>
        </w:tc>
        <w:tc>
          <w:tcPr>
            <w:tcW w:w="850" w:type="dxa"/>
          </w:tcPr>
          <w:p w14:paraId="4AFF2937" w14:textId="77777777" w:rsidR="00B628FF" w:rsidRDefault="00B628FF">
            <w:pPr>
              <w:pStyle w:val="SummaryAgencyTitle-BP2"/>
            </w:pPr>
          </w:p>
        </w:tc>
        <w:tc>
          <w:tcPr>
            <w:tcW w:w="850" w:type="dxa"/>
          </w:tcPr>
          <w:p w14:paraId="39DCFF11" w14:textId="77777777" w:rsidR="00B628FF" w:rsidRDefault="00B628FF">
            <w:pPr>
              <w:pStyle w:val="SummaryAgencyTitle-BP2"/>
            </w:pPr>
          </w:p>
        </w:tc>
        <w:tc>
          <w:tcPr>
            <w:tcW w:w="850" w:type="dxa"/>
          </w:tcPr>
          <w:p w14:paraId="6E321214" w14:textId="77777777" w:rsidR="00B628FF" w:rsidRDefault="00B628FF">
            <w:pPr>
              <w:pStyle w:val="SummaryAgencyTitle-BP2"/>
            </w:pPr>
          </w:p>
        </w:tc>
      </w:tr>
      <w:tr w:rsidR="00B628FF" w14:paraId="107F3923" w14:textId="77777777" w:rsidTr="5FA307DC">
        <w:tc>
          <w:tcPr>
            <w:tcW w:w="3471" w:type="dxa"/>
            <w:vAlign w:val="bottom"/>
          </w:tcPr>
          <w:p w14:paraId="3909A1DC" w14:textId="77777777" w:rsidR="00B628FF" w:rsidRDefault="005B2D2F">
            <w:pPr>
              <w:pStyle w:val="SummaryMeasureTitlewithTheme"/>
            </w:pPr>
            <w:r>
              <w:t>Prime Minister and Cabinet – additional resourcing</w:t>
            </w:r>
          </w:p>
        </w:tc>
        <w:tc>
          <w:tcPr>
            <w:tcW w:w="850" w:type="dxa"/>
            <w:vAlign w:val="bottom"/>
          </w:tcPr>
          <w:p w14:paraId="41935115" w14:textId="676BF6DE" w:rsidR="00B628FF" w:rsidRDefault="00B31B37">
            <w:pPr>
              <w:pStyle w:val="Summarytabletextrightaligned"/>
            </w:pPr>
            <w:r>
              <w:noBreakHyphen/>
            </w:r>
          </w:p>
        </w:tc>
        <w:tc>
          <w:tcPr>
            <w:tcW w:w="850" w:type="dxa"/>
            <w:shd w:val="clear" w:color="auto" w:fill="E6F2FF"/>
            <w:vAlign w:val="bottom"/>
          </w:tcPr>
          <w:p w14:paraId="4B9A7C81" w14:textId="77777777" w:rsidR="00B628FF" w:rsidRDefault="005B2D2F">
            <w:pPr>
              <w:pStyle w:val="Summarytabletextrightaligned"/>
            </w:pPr>
            <w:r>
              <w:t>2.5</w:t>
            </w:r>
          </w:p>
        </w:tc>
        <w:tc>
          <w:tcPr>
            <w:tcW w:w="850" w:type="dxa"/>
            <w:vAlign w:val="bottom"/>
          </w:tcPr>
          <w:p w14:paraId="00A72D98" w14:textId="77777777" w:rsidR="00B628FF" w:rsidRDefault="005B2D2F">
            <w:pPr>
              <w:pStyle w:val="Summarytabletextrightaligned"/>
            </w:pPr>
            <w:r>
              <w:t>1.2</w:t>
            </w:r>
          </w:p>
        </w:tc>
        <w:tc>
          <w:tcPr>
            <w:tcW w:w="850" w:type="dxa"/>
            <w:vAlign w:val="bottom"/>
          </w:tcPr>
          <w:p w14:paraId="288CD3B2" w14:textId="491D91E5" w:rsidR="00B628FF" w:rsidRDefault="00B31B37">
            <w:pPr>
              <w:pStyle w:val="Summarytabletextrightaligned"/>
            </w:pPr>
            <w:r>
              <w:noBreakHyphen/>
            </w:r>
          </w:p>
        </w:tc>
        <w:tc>
          <w:tcPr>
            <w:tcW w:w="850" w:type="dxa"/>
            <w:vAlign w:val="bottom"/>
          </w:tcPr>
          <w:p w14:paraId="3DA22556" w14:textId="695D3F7A" w:rsidR="00B628FF" w:rsidRDefault="00B31B37">
            <w:pPr>
              <w:pStyle w:val="Summarytabletextrightaligned"/>
            </w:pPr>
            <w:r>
              <w:noBreakHyphen/>
            </w:r>
          </w:p>
        </w:tc>
      </w:tr>
      <w:tr w:rsidR="00B628FF" w14:paraId="5D3BC62A" w14:textId="77777777" w:rsidTr="5FA307DC">
        <w:tc>
          <w:tcPr>
            <w:tcW w:w="3471" w:type="dxa"/>
            <w:vAlign w:val="bottom"/>
          </w:tcPr>
          <w:p w14:paraId="7BBFAA42" w14:textId="77777777" w:rsidR="00B628FF" w:rsidRDefault="005B2D2F">
            <w:pPr>
              <w:pStyle w:val="SummaryAgencyTitle-BP2"/>
            </w:pPr>
            <w:r>
              <w:t>Department of the Prime Minister and Cabinet</w:t>
            </w:r>
          </w:p>
        </w:tc>
        <w:tc>
          <w:tcPr>
            <w:tcW w:w="850" w:type="dxa"/>
          </w:tcPr>
          <w:p w14:paraId="02F3AF2D" w14:textId="77777777" w:rsidR="00B628FF" w:rsidRDefault="00B628FF">
            <w:pPr>
              <w:pStyle w:val="SummaryAgencyTitle-BP2"/>
            </w:pPr>
          </w:p>
        </w:tc>
        <w:tc>
          <w:tcPr>
            <w:tcW w:w="850" w:type="dxa"/>
            <w:shd w:val="clear" w:color="auto" w:fill="E6F2FF"/>
          </w:tcPr>
          <w:p w14:paraId="5993F4F0" w14:textId="77777777" w:rsidR="00B628FF" w:rsidRDefault="00B628FF">
            <w:pPr>
              <w:pStyle w:val="SummaryAgencyTitle-BP2"/>
            </w:pPr>
          </w:p>
        </w:tc>
        <w:tc>
          <w:tcPr>
            <w:tcW w:w="850" w:type="dxa"/>
          </w:tcPr>
          <w:p w14:paraId="1C287FBF" w14:textId="77777777" w:rsidR="00B628FF" w:rsidRDefault="00B628FF">
            <w:pPr>
              <w:pStyle w:val="SummaryAgencyTitle-BP2"/>
            </w:pPr>
          </w:p>
        </w:tc>
        <w:tc>
          <w:tcPr>
            <w:tcW w:w="850" w:type="dxa"/>
          </w:tcPr>
          <w:p w14:paraId="58B983B9" w14:textId="77777777" w:rsidR="00B628FF" w:rsidRDefault="00B628FF">
            <w:pPr>
              <w:pStyle w:val="SummaryAgencyTitle-BP2"/>
            </w:pPr>
          </w:p>
        </w:tc>
        <w:tc>
          <w:tcPr>
            <w:tcW w:w="850" w:type="dxa"/>
          </w:tcPr>
          <w:p w14:paraId="5FFF3908" w14:textId="77777777" w:rsidR="00B628FF" w:rsidRDefault="00B628FF">
            <w:pPr>
              <w:pStyle w:val="SummaryAgencyTitle-BP2"/>
            </w:pPr>
          </w:p>
        </w:tc>
      </w:tr>
      <w:tr w:rsidR="00B628FF" w14:paraId="33BDDD8A" w14:textId="77777777" w:rsidTr="5FA307DC">
        <w:tc>
          <w:tcPr>
            <w:tcW w:w="3471" w:type="dxa"/>
            <w:vAlign w:val="bottom"/>
          </w:tcPr>
          <w:p w14:paraId="592E266D" w14:textId="77777777" w:rsidR="00B628FF" w:rsidRDefault="005B2D2F">
            <w:pPr>
              <w:pStyle w:val="SummaryMeasureTitlewithTheme"/>
            </w:pPr>
            <w:r>
              <w:t>Buy Australian Campaign</w:t>
            </w:r>
          </w:p>
        </w:tc>
        <w:tc>
          <w:tcPr>
            <w:tcW w:w="850" w:type="dxa"/>
            <w:vAlign w:val="bottom"/>
          </w:tcPr>
          <w:p w14:paraId="5A851663" w14:textId="2BDC3161" w:rsidR="00B628FF" w:rsidRDefault="00B31B37">
            <w:pPr>
              <w:pStyle w:val="Summarytabletextrightaligned"/>
            </w:pPr>
            <w:r>
              <w:noBreakHyphen/>
            </w:r>
          </w:p>
        </w:tc>
        <w:tc>
          <w:tcPr>
            <w:tcW w:w="850" w:type="dxa"/>
            <w:shd w:val="clear" w:color="auto" w:fill="E6F2FF"/>
            <w:vAlign w:val="bottom"/>
          </w:tcPr>
          <w:p w14:paraId="3EB8B84B" w14:textId="77777777" w:rsidR="00B628FF" w:rsidRDefault="005B2D2F">
            <w:pPr>
              <w:pStyle w:val="Summarytabletextrightaligned"/>
            </w:pPr>
            <w:r>
              <w:t>20.0</w:t>
            </w:r>
          </w:p>
        </w:tc>
        <w:tc>
          <w:tcPr>
            <w:tcW w:w="850" w:type="dxa"/>
            <w:vAlign w:val="bottom"/>
          </w:tcPr>
          <w:p w14:paraId="4F82F767" w14:textId="13A4A25D" w:rsidR="00B628FF" w:rsidRDefault="00B31B37">
            <w:pPr>
              <w:pStyle w:val="Summarytabletextrightaligned"/>
            </w:pPr>
            <w:r>
              <w:noBreakHyphen/>
            </w:r>
          </w:p>
        </w:tc>
        <w:tc>
          <w:tcPr>
            <w:tcW w:w="850" w:type="dxa"/>
            <w:vAlign w:val="bottom"/>
          </w:tcPr>
          <w:p w14:paraId="6E5A024E" w14:textId="3ECD59C3" w:rsidR="00B628FF" w:rsidRDefault="00B31B37">
            <w:pPr>
              <w:pStyle w:val="Summarytabletextrightaligned"/>
            </w:pPr>
            <w:r>
              <w:noBreakHyphen/>
            </w:r>
          </w:p>
        </w:tc>
        <w:tc>
          <w:tcPr>
            <w:tcW w:w="850" w:type="dxa"/>
            <w:vAlign w:val="bottom"/>
          </w:tcPr>
          <w:p w14:paraId="0E176D04" w14:textId="06FD478E" w:rsidR="00B628FF" w:rsidRDefault="00B31B37">
            <w:pPr>
              <w:pStyle w:val="Summarytabletextrightaligned"/>
            </w:pPr>
            <w:r>
              <w:noBreakHyphen/>
            </w:r>
          </w:p>
        </w:tc>
      </w:tr>
      <w:tr w:rsidR="00B628FF" w14:paraId="5EE33E6E" w14:textId="77777777" w:rsidTr="5FA307DC">
        <w:tc>
          <w:tcPr>
            <w:tcW w:w="3471" w:type="dxa"/>
            <w:vAlign w:val="bottom"/>
          </w:tcPr>
          <w:p w14:paraId="15E8BB9F" w14:textId="77777777" w:rsidR="00B628FF" w:rsidRDefault="005B2D2F">
            <w:pPr>
              <w:pStyle w:val="SummaryMeasureTitlewithTheme"/>
            </w:pPr>
            <w:r>
              <w:t>National Australia Day Council – additional resourcing</w:t>
            </w:r>
          </w:p>
        </w:tc>
        <w:tc>
          <w:tcPr>
            <w:tcW w:w="850" w:type="dxa"/>
            <w:vAlign w:val="bottom"/>
          </w:tcPr>
          <w:p w14:paraId="1C7276FD" w14:textId="72E8DCE4" w:rsidR="00B628FF" w:rsidRDefault="00B31B37">
            <w:pPr>
              <w:pStyle w:val="Summarytabletextrightaligned"/>
            </w:pPr>
            <w:r>
              <w:noBreakHyphen/>
            </w:r>
          </w:p>
        </w:tc>
        <w:tc>
          <w:tcPr>
            <w:tcW w:w="850" w:type="dxa"/>
            <w:shd w:val="clear" w:color="auto" w:fill="E6F2FF"/>
            <w:vAlign w:val="bottom"/>
          </w:tcPr>
          <w:p w14:paraId="6E4B9289" w14:textId="77777777" w:rsidR="00B628FF" w:rsidRDefault="005B2D2F">
            <w:pPr>
              <w:pStyle w:val="Summarytabletextrightaligned"/>
            </w:pPr>
            <w:r>
              <w:t>10.0</w:t>
            </w:r>
          </w:p>
        </w:tc>
        <w:tc>
          <w:tcPr>
            <w:tcW w:w="850" w:type="dxa"/>
            <w:vAlign w:val="bottom"/>
          </w:tcPr>
          <w:p w14:paraId="64418EAC" w14:textId="3F8EE536" w:rsidR="00B628FF" w:rsidRDefault="00B31B37">
            <w:pPr>
              <w:pStyle w:val="Summarytabletextrightaligned"/>
            </w:pPr>
            <w:r>
              <w:noBreakHyphen/>
            </w:r>
          </w:p>
        </w:tc>
        <w:tc>
          <w:tcPr>
            <w:tcW w:w="850" w:type="dxa"/>
            <w:vAlign w:val="bottom"/>
          </w:tcPr>
          <w:p w14:paraId="420B54E5" w14:textId="502FC3C0" w:rsidR="00B628FF" w:rsidRDefault="00B31B37">
            <w:pPr>
              <w:pStyle w:val="Summarytabletextrightaligned"/>
            </w:pPr>
            <w:r>
              <w:noBreakHyphen/>
            </w:r>
          </w:p>
        </w:tc>
        <w:tc>
          <w:tcPr>
            <w:tcW w:w="850" w:type="dxa"/>
            <w:vAlign w:val="bottom"/>
          </w:tcPr>
          <w:p w14:paraId="47C4AB0F" w14:textId="5E5019A3" w:rsidR="00B628FF" w:rsidRDefault="00B31B37">
            <w:pPr>
              <w:pStyle w:val="Summarytabletextrightaligned"/>
            </w:pPr>
            <w:r>
              <w:noBreakHyphen/>
            </w:r>
          </w:p>
        </w:tc>
      </w:tr>
      <w:tr w:rsidR="00B628FF" w14:paraId="4AF8052C" w14:textId="77777777" w:rsidTr="5FA307DC">
        <w:tc>
          <w:tcPr>
            <w:tcW w:w="3471" w:type="dxa"/>
            <w:vAlign w:val="bottom"/>
          </w:tcPr>
          <w:p w14:paraId="4EDEF5F3" w14:textId="77777777" w:rsidR="00B628FF" w:rsidRDefault="005B2D2F">
            <w:pPr>
              <w:pStyle w:val="SummaryMeasureTitlewithTheme"/>
            </w:pPr>
            <w:r>
              <w:t>Prime Minister and Cabinet – additional resourcing</w:t>
            </w:r>
          </w:p>
        </w:tc>
        <w:tc>
          <w:tcPr>
            <w:tcW w:w="850" w:type="dxa"/>
            <w:vAlign w:val="bottom"/>
          </w:tcPr>
          <w:p w14:paraId="5A8E4C02" w14:textId="5656F870" w:rsidR="00B628FF" w:rsidRDefault="00B31B37">
            <w:pPr>
              <w:pStyle w:val="Summarytabletextrightaligned"/>
            </w:pPr>
            <w:r>
              <w:noBreakHyphen/>
            </w:r>
          </w:p>
        </w:tc>
        <w:tc>
          <w:tcPr>
            <w:tcW w:w="850" w:type="dxa"/>
            <w:shd w:val="clear" w:color="auto" w:fill="E6F2FF"/>
            <w:vAlign w:val="bottom"/>
          </w:tcPr>
          <w:p w14:paraId="2006D5AD" w14:textId="77777777" w:rsidR="00B628FF" w:rsidRDefault="005B2D2F" w:rsidP="5FA307DC">
            <w:pPr>
              <w:pStyle w:val="Summarytabletextrightaligned"/>
              <w:rPr>
                <w:lang w:val="en-US"/>
              </w:rPr>
            </w:pPr>
            <w:r w:rsidRPr="5FA307DC">
              <w:rPr>
                <w:lang w:val="en-US"/>
              </w:rPr>
              <w:t>nfp</w:t>
            </w:r>
          </w:p>
        </w:tc>
        <w:tc>
          <w:tcPr>
            <w:tcW w:w="850" w:type="dxa"/>
            <w:vAlign w:val="bottom"/>
          </w:tcPr>
          <w:p w14:paraId="4140055F" w14:textId="77777777" w:rsidR="00B628FF" w:rsidRDefault="005B2D2F" w:rsidP="5FA307DC">
            <w:pPr>
              <w:pStyle w:val="Summarytabletextrightaligned"/>
              <w:rPr>
                <w:lang w:val="en-US"/>
              </w:rPr>
            </w:pPr>
            <w:r w:rsidRPr="5FA307DC">
              <w:rPr>
                <w:lang w:val="en-US"/>
              </w:rPr>
              <w:t>nfp</w:t>
            </w:r>
          </w:p>
        </w:tc>
        <w:tc>
          <w:tcPr>
            <w:tcW w:w="850" w:type="dxa"/>
            <w:vAlign w:val="bottom"/>
          </w:tcPr>
          <w:p w14:paraId="501AD7D7" w14:textId="77777777" w:rsidR="00B628FF" w:rsidRDefault="005B2D2F" w:rsidP="5FA307DC">
            <w:pPr>
              <w:pStyle w:val="Summarytabletextrightaligned"/>
              <w:rPr>
                <w:lang w:val="en-US"/>
              </w:rPr>
            </w:pPr>
            <w:r w:rsidRPr="5FA307DC">
              <w:rPr>
                <w:lang w:val="en-US"/>
              </w:rPr>
              <w:t>nfp</w:t>
            </w:r>
          </w:p>
        </w:tc>
        <w:tc>
          <w:tcPr>
            <w:tcW w:w="850" w:type="dxa"/>
            <w:vAlign w:val="bottom"/>
          </w:tcPr>
          <w:p w14:paraId="30D73424" w14:textId="77777777" w:rsidR="00B628FF" w:rsidRDefault="005B2D2F" w:rsidP="5FA307DC">
            <w:pPr>
              <w:pStyle w:val="Summarytabletextrightaligned"/>
              <w:rPr>
                <w:lang w:val="en-US"/>
              </w:rPr>
            </w:pPr>
            <w:r w:rsidRPr="5FA307DC">
              <w:rPr>
                <w:lang w:val="en-US"/>
              </w:rPr>
              <w:t>nfp</w:t>
            </w:r>
          </w:p>
        </w:tc>
      </w:tr>
      <w:tr w:rsidR="00B628FF" w14:paraId="44426536" w14:textId="77777777" w:rsidTr="5FA307DC">
        <w:tc>
          <w:tcPr>
            <w:tcW w:w="3471" w:type="dxa"/>
            <w:vAlign w:val="bottom"/>
          </w:tcPr>
          <w:p w14:paraId="27EB3663" w14:textId="77777777" w:rsidR="00B628FF" w:rsidRDefault="005B2D2F">
            <w:pPr>
              <w:pStyle w:val="SummaryAgencyTitle-BP2"/>
            </w:pPr>
            <w:r>
              <w:t>Indigenous Business Australia</w:t>
            </w:r>
          </w:p>
        </w:tc>
        <w:tc>
          <w:tcPr>
            <w:tcW w:w="850" w:type="dxa"/>
          </w:tcPr>
          <w:p w14:paraId="05923FCC" w14:textId="77777777" w:rsidR="00B628FF" w:rsidRDefault="00B628FF">
            <w:pPr>
              <w:pStyle w:val="SummaryAgencyTitle-BP2"/>
            </w:pPr>
          </w:p>
        </w:tc>
        <w:tc>
          <w:tcPr>
            <w:tcW w:w="850" w:type="dxa"/>
            <w:shd w:val="clear" w:color="auto" w:fill="E6F2FF"/>
          </w:tcPr>
          <w:p w14:paraId="56A621B1" w14:textId="77777777" w:rsidR="00B628FF" w:rsidRDefault="00B628FF">
            <w:pPr>
              <w:pStyle w:val="SummaryAgencyTitle-BP2"/>
            </w:pPr>
          </w:p>
        </w:tc>
        <w:tc>
          <w:tcPr>
            <w:tcW w:w="850" w:type="dxa"/>
          </w:tcPr>
          <w:p w14:paraId="3E676010" w14:textId="77777777" w:rsidR="00B628FF" w:rsidRDefault="00B628FF">
            <w:pPr>
              <w:pStyle w:val="SummaryAgencyTitle-BP2"/>
            </w:pPr>
          </w:p>
        </w:tc>
        <w:tc>
          <w:tcPr>
            <w:tcW w:w="850" w:type="dxa"/>
          </w:tcPr>
          <w:p w14:paraId="1EDD1AB5" w14:textId="77777777" w:rsidR="00B628FF" w:rsidRDefault="00B628FF">
            <w:pPr>
              <w:pStyle w:val="SummaryAgencyTitle-BP2"/>
            </w:pPr>
          </w:p>
        </w:tc>
        <w:tc>
          <w:tcPr>
            <w:tcW w:w="850" w:type="dxa"/>
          </w:tcPr>
          <w:p w14:paraId="235663E1" w14:textId="77777777" w:rsidR="00B628FF" w:rsidRDefault="00B628FF">
            <w:pPr>
              <w:pStyle w:val="SummaryAgencyTitle-BP2"/>
            </w:pPr>
          </w:p>
        </w:tc>
      </w:tr>
      <w:tr w:rsidR="00B628FF" w14:paraId="14A439D8" w14:textId="77777777" w:rsidTr="5FA307DC">
        <w:tc>
          <w:tcPr>
            <w:tcW w:w="3471" w:type="dxa"/>
            <w:vAlign w:val="bottom"/>
          </w:tcPr>
          <w:p w14:paraId="4231A47B" w14:textId="77777777" w:rsidR="00B628FF" w:rsidRDefault="005B2D2F">
            <w:pPr>
              <w:pStyle w:val="SummaryMeasureTitlewithTheme"/>
            </w:pPr>
            <w:r>
              <w:t>Closing the Gap – further investments(b)</w:t>
            </w:r>
          </w:p>
        </w:tc>
        <w:tc>
          <w:tcPr>
            <w:tcW w:w="850" w:type="dxa"/>
            <w:vAlign w:val="bottom"/>
          </w:tcPr>
          <w:p w14:paraId="057FD0B0" w14:textId="6487E53C" w:rsidR="00B628FF" w:rsidRDefault="00B31B37">
            <w:pPr>
              <w:pStyle w:val="Summarytabletextrightaligned"/>
            </w:pPr>
            <w:r>
              <w:noBreakHyphen/>
            </w:r>
          </w:p>
        </w:tc>
        <w:tc>
          <w:tcPr>
            <w:tcW w:w="850" w:type="dxa"/>
            <w:shd w:val="clear" w:color="auto" w:fill="E6F2FF"/>
            <w:vAlign w:val="bottom"/>
          </w:tcPr>
          <w:p w14:paraId="1375A6CA" w14:textId="77777777" w:rsidR="00B628FF" w:rsidRDefault="005B2D2F">
            <w:pPr>
              <w:pStyle w:val="Summarytabletextrightaligned"/>
            </w:pPr>
            <w:r>
              <w:t>0.9</w:t>
            </w:r>
          </w:p>
        </w:tc>
        <w:tc>
          <w:tcPr>
            <w:tcW w:w="850" w:type="dxa"/>
            <w:vAlign w:val="bottom"/>
          </w:tcPr>
          <w:p w14:paraId="238C455D" w14:textId="5282102E" w:rsidR="00B628FF" w:rsidRDefault="00B31B37">
            <w:pPr>
              <w:pStyle w:val="Summarytabletextrightaligned"/>
            </w:pPr>
            <w:r>
              <w:noBreakHyphen/>
            </w:r>
          </w:p>
        </w:tc>
        <w:tc>
          <w:tcPr>
            <w:tcW w:w="850" w:type="dxa"/>
            <w:vAlign w:val="bottom"/>
          </w:tcPr>
          <w:p w14:paraId="574DBA2E" w14:textId="2098448E" w:rsidR="00B628FF" w:rsidRDefault="00B31B37">
            <w:pPr>
              <w:pStyle w:val="Summarytabletextrightaligned"/>
            </w:pPr>
            <w:r>
              <w:noBreakHyphen/>
            </w:r>
          </w:p>
        </w:tc>
        <w:tc>
          <w:tcPr>
            <w:tcW w:w="850" w:type="dxa"/>
            <w:vAlign w:val="bottom"/>
          </w:tcPr>
          <w:p w14:paraId="5BEC55CB" w14:textId="44083555" w:rsidR="00B628FF" w:rsidRDefault="00B31B37">
            <w:pPr>
              <w:pStyle w:val="Summarytabletextrightaligned"/>
            </w:pPr>
            <w:r>
              <w:noBreakHyphen/>
            </w:r>
          </w:p>
        </w:tc>
      </w:tr>
      <w:tr w:rsidR="00B628FF" w14:paraId="6C4DE9AF" w14:textId="77777777" w:rsidTr="5FA307DC">
        <w:tc>
          <w:tcPr>
            <w:tcW w:w="3471" w:type="dxa"/>
            <w:vAlign w:val="bottom"/>
          </w:tcPr>
          <w:p w14:paraId="7B4BD8ED" w14:textId="77777777" w:rsidR="00B628FF" w:rsidRDefault="005B2D2F">
            <w:pPr>
              <w:pStyle w:val="SummaryAgencyTitle-BP2"/>
            </w:pPr>
            <w:r>
              <w:t>National Indigenous Australians Agency</w:t>
            </w:r>
          </w:p>
        </w:tc>
        <w:tc>
          <w:tcPr>
            <w:tcW w:w="850" w:type="dxa"/>
          </w:tcPr>
          <w:p w14:paraId="27CDE48D" w14:textId="77777777" w:rsidR="00B628FF" w:rsidRDefault="00B628FF">
            <w:pPr>
              <w:pStyle w:val="SummaryAgencyTitle-BP2"/>
            </w:pPr>
          </w:p>
        </w:tc>
        <w:tc>
          <w:tcPr>
            <w:tcW w:w="850" w:type="dxa"/>
            <w:shd w:val="clear" w:color="auto" w:fill="E6F2FF"/>
          </w:tcPr>
          <w:p w14:paraId="20C5B0CB" w14:textId="77777777" w:rsidR="00B628FF" w:rsidRDefault="00B628FF">
            <w:pPr>
              <w:pStyle w:val="SummaryAgencyTitle-BP2"/>
            </w:pPr>
          </w:p>
        </w:tc>
        <w:tc>
          <w:tcPr>
            <w:tcW w:w="850" w:type="dxa"/>
          </w:tcPr>
          <w:p w14:paraId="5B1C1EBB" w14:textId="77777777" w:rsidR="00B628FF" w:rsidRDefault="00B628FF">
            <w:pPr>
              <w:pStyle w:val="SummaryAgencyTitle-BP2"/>
            </w:pPr>
          </w:p>
        </w:tc>
        <w:tc>
          <w:tcPr>
            <w:tcW w:w="850" w:type="dxa"/>
          </w:tcPr>
          <w:p w14:paraId="60D3D49B" w14:textId="77777777" w:rsidR="00B628FF" w:rsidRDefault="00B628FF">
            <w:pPr>
              <w:pStyle w:val="SummaryAgencyTitle-BP2"/>
            </w:pPr>
          </w:p>
        </w:tc>
        <w:tc>
          <w:tcPr>
            <w:tcW w:w="850" w:type="dxa"/>
          </w:tcPr>
          <w:p w14:paraId="399034FF" w14:textId="77777777" w:rsidR="00B628FF" w:rsidRDefault="00B628FF">
            <w:pPr>
              <w:pStyle w:val="SummaryAgencyTitle-BP2"/>
            </w:pPr>
          </w:p>
        </w:tc>
      </w:tr>
      <w:tr w:rsidR="00B628FF" w14:paraId="69C2224C" w14:textId="77777777" w:rsidTr="5FA307DC">
        <w:tc>
          <w:tcPr>
            <w:tcW w:w="3471" w:type="dxa"/>
            <w:vAlign w:val="bottom"/>
          </w:tcPr>
          <w:p w14:paraId="040AD09E" w14:textId="77777777" w:rsidR="00B628FF" w:rsidRDefault="005B2D2F">
            <w:pPr>
              <w:pStyle w:val="SummaryMeasureTitlewithTheme"/>
            </w:pPr>
            <w:r>
              <w:t>Closing the Gap – further investments(b)</w:t>
            </w:r>
          </w:p>
        </w:tc>
        <w:tc>
          <w:tcPr>
            <w:tcW w:w="850" w:type="dxa"/>
            <w:vAlign w:val="bottom"/>
          </w:tcPr>
          <w:p w14:paraId="2DF2028F" w14:textId="435BEA40" w:rsidR="00B628FF" w:rsidRDefault="00B31B37">
            <w:pPr>
              <w:pStyle w:val="Summarytabletextrightaligned"/>
            </w:pPr>
            <w:r>
              <w:noBreakHyphen/>
            </w:r>
            <w:r w:rsidR="005B2D2F">
              <w:t>91.3</w:t>
            </w:r>
          </w:p>
        </w:tc>
        <w:tc>
          <w:tcPr>
            <w:tcW w:w="850" w:type="dxa"/>
            <w:shd w:val="clear" w:color="auto" w:fill="E6F2FF"/>
            <w:vAlign w:val="bottom"/>
          </w:tcPr>
          <w:p w14:paraId="3858F487" w14:textId="77777777" w:rsidR="00B628FF" w:rsidRDefault="005B2D2F">
            <w:pPr>
              <w:pStyle w:val="Summarytabletextrightaligned"/>
            </w:pPr>
            <w:r>
              <w:t>66.6</w:t>
            </w:r>
          </w:p>
        </w:tc>
        <w:tc>
          <w:tcPr>
            <w:tcW w:w="850" w:type="dxa"/>
            <w:vAlign w:val="bottom"/>
          </w:tcPr>
          <w:p w14:paraId="47A9AAF2" w14:textId="77777777" w:rsidR="00B628FF" w:rsidRDefault="005B2D2F">
            <w:pPr>
              <w:pStyle w:val="Summarytabletextrightaligned"/>
            </w:pPr>
            <w:r>
              <w:t>94.9</w:t>
            </w:r>
          </w:p>
        </w:tc>
        <w:tc>
          <w:tcPr>
            <w:tcW w:w="850" w:type="dxa"/>
            <w:vAlign w:val="bottom"/>
          </w:tcPr>
          <w:p w14:paraId="530FDFD4" w14:textId="1B5D315E" w:rsidR="00B628FF" w:rsidRDefault="00B31B37">
            <w:pPr>
              <w:pStyle w:val="Summarytabletextrightaligned"/>
            </w:pPr>
            <w:r>
              <w:noBreakHyphen/>
            </w:r>
            <w:r w:rsidR="005B2D2F">
              <w:t>1.1</w:t>
            </w:r>
          </w:p>
        </w:tc>
        <w:tc>
          <w:tcPr>
            <w:tcW w:w="850" w:type="dxa"/>
            <w:vAlign w:val="bottom"/>
          </w:tcPr>
          <w:p w14:paraId="230AA0A8" w14:textId="4781191D" w:rsidR="00B628FF" w:rsidRDefault="00B31B37">
            <w:pPr>
              <w:pStyle w:val="Summarytabletextrightaligned"/>
            </w:pPr>
            <w:r>
              <w:noBreakHyphen/>
            </w:r>
            <w:r w:rsidR="005B2D2F">
              <w:t>79.6</w:t>
            </w:r>
          </w:p>
        </w:tc>
      </w:tr>
      <w:tr w:rsidR="00B628FF" w14:paraId="349FFA64" w14:textId="77777777" w:rsidTr="5FA307DC">
        <w:tc>
          <w:tcPr>
            <w:tcW w:w="3471" w:type="dxa"/>
            <w:vAlign w:val="bottom"/>
          </w:tcPr>
          <w:p w14:paraId="57AAB292" w14:textId="77777777" w:rsidR="00B628FF" w:rsidRDefault="005B2D2F">
            <w:pPr>
              <w:pStyle w:val="SummaryMeasureTitlewithTheme"/>
            </w:pPr>
            <w:r>
              <w:t>National Strategy to Prevent and Respond to Child Sexual Abuse – continuation</w:t>
            </w:r>
          </w:p>
        </w:tc>
        <w:tc>
          <w:tcPr>
            <w:tcW w:w="850" w:type="dxa"/>
            <w:vAlign w:val="bottom"/>
          </w:tcPr>
          <w:p w14:paraId="4A9179A2" w14:textId="195896E2" w:rsidR="00B628FF" w:rsidRDefault="00B31B37">
            <w:pPr>
              <w:pStyle w:val="Summarytabletextrightaligned"/>
            </w:pPr>
            <w:r>
              <w:noBreakHyphen/>
            </w:r>
          </w:p>
        </w:tc>
        <w:tc>
          <w:tcPr>
            <w:tcW w:w="850" w:type="dxa"/>
            <w:shd w:val="clear" w:color="auto" w:fill="E6F2FF"/>
            <w:vAlign w:val="bottom"/>
          </w:tcPr>
          <w:p w14:paraId="49F41996" w14:textId="77777777" w:rsidR="00B628FF" w:rsidRDefault="005B2D2F">
            <w:pPr>
              <w:pStyle w:val="Summarytabletextrightaligned"/>
            </w:pPr>
            <w:r>
              <w:t>2.0</w:t>
            </w:r>
          </w:p>
        </w:tc>
        <w:tc>
          <w:tcPr>
            <w:tcW w:w="850" w:type="dxa"/>
            <w:vAlign w:val="bottom"/>
          </w:tcPr>
          <w:p w14:paraId="34867240" w14:textId="206B9E10" w:rsidR="00B628FF" w:rsidRDefault="00B31B37">
            <w:pPr>
              <w:pStyle w:val="Summarytabletextrightaligned"/>
            </w:pPr>
            <w:r>
              <w:noBreakHyphen/>
            </w:r>
          </w:p>
        </w:tc>
        <w:tc>
          <w:tcPr>
            <w:tcW w:w="850" w:type="dxa"/>
            <w:vAlign w:val="bottom"/>
          </w:tcPr>
          <w:p w14:paraId="24D9C42A" w14:textId="7A37EB7B" w:rsidR="00B628FF" w:rsidRDefault="00B31B37">
            <w:pPr>
              <w:pStyle w:val="Summarytabletextrightaligned"/>
            </w:pPr>
            <w:r>
              <w:noBreakHyphen/>
            </w:r>
          </w:p>
        </w:tc>
        <w:tc>
          <w:tcPr>
            <w:tcW w:w="850" w:type="dxa"/>
            <w:vAlign w:val="bottom"/>
          </w:tcPr>
          <w:p w14:paraId="51473A9A" w14:textId="2F943A68" w:rsidR="00B628FF" w:rsidRDefault="00B31B37">
            <w:pPr>
              <w:pStyle w:val="Summarytabletextrightaligned"/>
            </w:pPr>
            <w:r>
              <w:noBreakHyphen/>
            </w:r>
          </w:p>
        </w:tc>
      </w:tr>
      <w:tr w:rsidR="00B628FF" w14:paraId="0AB764CE" w14:textId="77777777" w:rsidTr="5FA307DC">
        <w:tc>
          <w:tcPr>
            <w:tcW w:w="3471" w:type="dxa"/>
            <w:vAlign w:val="bottom"/>
          </w:tcPr>
          <w:p w14:paraId="78559D00" w14:textId="77777777" w:rsidR="00B628FF" w:rsidRDefault="005B2D2F">
            <w:pPr>
              <w:pStyle w:val="SummaryMeasureTitlewithTheme"/>
            </w:pPr>
            <w:r>
              <w:t>Northern Territory Remote Aboriginal Investment – future arrangements</w:t>
            </w:r>
          </w:p>
        </w:tc>
        <w:tc>
          <w:tcPr>
            <w:tcW w:w="850" w:type="dxa"/>
            <w:vAlign w:val="bottom"/>
          </w:tcPr>
          <w:p w14:paraId="0774FE91" w14:textId="3D6E5F33" w:rsidR="00B628FF" w:rsidRDefault="00B31B37">
            <w:pPr>
              <w:pStyle w:val="Summarytabletextrightaligned"/>
            </w:pPr>
            <w:r>
              <w:noBreakHyphen/>
            </w:r>
          </w:p>
        </w:tc>
        <w:tc>
          <w:tcPr>
            <w:tcW w:w="850" w:type="dxa"/>
            <w:shd w:val="clear" w:color="auto" w:fill="E6F2FF"/>
            <w:vAlign w:val="bottom"/>
          </w:tcPr>
          <w:p w14:paraId="2E56B401" w14:textId="16C9D0C7" w:rsidR="00B628FF" w:rsidRDefault="00B31B37">
            <w:pPr>
              <w:pStyle w:val="Summarytabletextrightaligned"/>
            </w:pPr>
            <w:r>
              <w:noBreakHyphen/>
            </w:r>
          </w:p>
        </w:tc>
        <w:tc>
          <w:tcPr>
            <w:tcW w:w="850" w:type="dxa"/>
            <w:vAlign w:val="bottom"/>
          </w:tcPr>
          <w:p w14:paraId="4F444E19" w14:textId="5E5041DD" w:rsidR="00B628FF" w:rsidRDefault="00B31B37">
            <w:pPr>
              <w:pStyle w:val="Summarytabletextrightaligned"/>
            </w:pPr>
            <w:r>
              <w:noBreakHyphen/>
            </w:r>
          </w:p>
        </w:tc>
        <w:tc>
          <w:tcPr>
            <w:tcW w:w="850" w:type="dxa"/>
            <w:vAlign w:val="bottom"/>
          </w:tcPr>
          <w:p w14:paraId="0A74F6B8" w14:textId="1BE7C387" w:rsidR="00B628FF" w:rsidRDefault="00B31B37">
            <w:pPr>
              <w:pStyle w:val="Summarytabletextrightaligned"/>
            </w:pPr>
            <w:r>
              <w:noBreakHyphen/>
            </w:r>
          </w:p>
        </w:tc>
        <w:tc>
          <w:tcPr>
            <w:tcW w:w="850" w:type="dxa"/>
            <w:vAlign w:val="bottom"/>
          </w:tcPr>
          <w:p w14:paraId="442997F5" w14:textId="5EACFF32" w:rsidR="00B628FF" w:rsidRDefault="00B31B37">
            <w:pPr>
              <w:pStyle w:val="Summarytabletextrightaligned"/>
            </w:pPr>
            <w:r>
              <w:noBreakHyphen/>
            </w:r>
          </w:p>
        </w:tc>
      </w:tr>
      <w:tr w:rsidR="00B628FF" w14:paraId="49822F5A" w14:textId="77777777" w:rsidTr="5FA307DC">
        <w:tc>
          <w:tcPr>
            <w:tcW w:w="3471" w:type="dxa"/>
            <w:vAlign w:val="bottom"/>
          </w:tcPr>
          <w:p w14:paraId="38A2DB4C" w14:textId="77777777" w:rsidR="00B628FF" w:rsidRDefault="005B2D2F">
            <w:pPr>
              <w:pStyle w:val="SummaryAgencyTitle-BP2"/>
            </w:pPr>
            <w:r>
              <w:t>Office of National Intelligence</w:t>
            </w:r>
          </w:p>
        </w:tc>
        <w:tc>
          <w:tcPr>
            <w:tcW w:w="850" w:type="dxa"/>
          </w:tcPr>
          <w:p w14:paraId="5AC3CFBE" w14:textId="77777777" w:rsidR="00B628FF" w:rsidRDefault="00B628FF">
            <w:pPr>
              <w:pStyle w:val="SummaryAgencyTitle-BP2"/>
            </w:pPr>
          </w:p>
        </w:tc>
        <w:tc>
          <w:tcPr>
            <w:tcW w:w="850" w:type="dxa"/>
            <w:shd w:val="clear" w:color="auto" w:fill="E6F2FF"/>
          </w:tcPr>
          <w:p w14:paraId="2505A3C3" w14:textId="77777777" w:rsidR="00B628FF" w:rsidRDefault="00B628FF">
            <w:pPr>
              <w:pStyle w:val="SummaryAgencyTitle-BP2"/>
            </w:pPr>
          </w:p>
        </w:tc>
        <w:tc>
          <w:tcPr>
            <w:tcW w:w="850" w:type="dxa"/>
          </w:tcPr>
          <w:p w14:paraId="64682D5B" w14:textId="77777777" w:rsidR="00B628FF" w:rsidRDefault="00B628FF">
            <w:pPr>
              <w:pStyle w:val="SummaryAgencyTitle-BP2"/>
            </w:pPr>
          </w:p>
        </w:tc>
        <w:tc>
          <w:tcPr>
            <w:tcW w:w="850" w:type="dxa"/>
          </w:tcPr>
          <w:p w14:paraId="0BA0DAC5" w14:textId="77777777" w:rsidR="00B628FF" w:rsidRDefault="00B628FF">
            <w:pPr>
              <w:pStyle w:val="SummaryAgencyTitle-BP2"/>
            </w:pPr>
          </w:p>
        </w:tc>
        <w:tc>
          <w:tcPr>
            <w:tcW w:w="850" w:type="dxa"/>
          </w:tcPr>
          <w:p w14:paraId="34F581D2" w14:textId="77777777" w:rsidR="00B628FF" w:rsidRDefault="00B628FF">
            <w:pPr>
              <w:pStyle w:val="SummaryAgencyTitle-BP2"/>
            </w:pPr>
          </w:p>
        </w:tc>
      </w:tr>
      <w:tr w:rsidR="00B628FF" w14:paraId="48D840E2" w14:textId="77777777" w:rsidTr="5FA307DC">
        <w:tc>
          <w:tcPr>
            <w:tcW w:w="3471" w:type="dxa"/>
            <w:vAlign w:val="bottom"/>
          </w:tcPr>
          <w:p w14:paraId="225F7646" w14:textId="77777777" w:rsidR="00B628FF" w:rsidRDefault="005B2D2F">
            <w:pPr>
              <w:pStyle w:val="SummaryMeasureTitlewithTheme"/>
            </w:pPr>
            <w:r>
              <w:t>Prime Minister and Cabinet – additional resourcing</w:t>
            </w:r>
          </w:p>
        </w:tc>
        <w:tc>
          <w:tcPr>
            <w:tcW w:w="850" w:type="dxa"/>
            <w:vAlign w:val="bottom"/>
          </w:tcPr>
          <w:p w14:paraId="43492875" w14:textId="49389D43" w:rsidR="00B628FF" w:rsidRDefault="00B31B37">
            <w:pPr>
              <w:pStyle w:val="Summarytabletextrightaligned"/>
            </w:pPr>
            <w:r>
              <w:noBreakHyphen/>
            </w:r>
          </w:p>
        </w:tc>
        <w:tc>
          <w:tcPr>
            <w:tcW w:w="850" w:type="dxa"/>
            <w:shd w:val="clear" w:color="auto" w:fill="E6F2FF"/>
            <w:vAlign w:val="bottom"/>
          </w:tcPr>
          <w:p w14:paraId="68A1DFDA" w14:textId="77777777" w:rsidR="00B628FF" w:rsidRDefault="005B2D2F">
            <w:pPr>
              <w:pStyle w:val="Summarytabletextrightaligned"/>
            </w:pPr>
            <w:r>
              <w:t>13.7</w:t>
            </w:r>
          </w:p>
        </w:tc>
        <w:tc>
          <w:tcPr>
            <w:tcW w:w="850" w:type="dxa"/>
            <w:vAlign w:val="bottom"/>
          </w:tcPr>
          <w:p w14:paraId="251595C0" w14:textId="77777777" w:rsidR="00B628FF" w:rsidRDefault="005B2D2F">
            <w:pPr>
              <w:pStyle w:val="Summarytabletextrightaligned"/>
            </w:pPr>
            <w:r>
              <w:t>16.1</w:t>
            </w:r>
          </w:p>
        </w:tc>
        <w:tc>
          <w:tcPr>
            <w:tcW w:w="850" w:type="dxa"/>
            <w:vAlign w:val="bottom"/>
          </w:tcPr>
          <w:p w14:paraId="481E9B46" w14:textId="46451C1D" w:rsidR="00B628FF" w:rsidRDefault="00B31B37">
            <w:pPr>
              <w:pStyle w:val="Summarytabletextrightaligned"/>
            </w:pPr>
            <w:r>
              <w:noBreakHyphen/>
            </w:r>
          </w:p>
        </w:tc>
        <w:tc>
          <w:tcPr>
            <w:tcW w:w="850" w:type="dxa"/>
            <w:vAlign w:val="bottom"/>
          </w:tcPr>
          <w:p w14:paraId="5937B2EE" w14:textId="139B7BB7" w:rsidR="00B628FF" w:rsidRDefault="00B31B37">
            <w:pPr>
              <w:pStyle w:val="Summarytabletextrightaligned"/>
            </w:pPr>
            <w:r>
              <w:noBreakHyphen/>
            </w:r>
          </w:p>
        </w:tc>
      </w:tr>
      <w:tr w:rsidR="00B628FF" w14:paraId="7B163E15" w14:textId="77777777" w:rsidTr="5FA307DC">
        <w:tc>
          <w:tcPr>
            <w:tcW w:w="3471" w:type="dxa"/>
            <w:vAlign w:val="bottom"/>
          </w:tcPr>
          <w:p w14:paraId="2B3DF193" w14:textId="77777777" w:rsidR="00B628FF" w:rsidRDefault="005B2D2F">
            <w:pPr>
              <w:pStyle w:val="SummaryAgencyTitle-BP2"/>
            </w:pPr>
            <w:r>
              <w:t>Torres Strait Regional Authority</w:t>
            </w:r>
          </w:p>
        </w:tc>
        <w:tc>
          <w:tcPr>
            <w:tcW w:w="850" w:type="dxa"/>
          </w:tcPr>
          <w:p w14:paraId="02695538" w14:textId="77777777" w:rsidR="00B628FF" w:rsidRDefault="00B628FF">
            <w:pPr>
              <w:pStyle w:val="SummaryAgencyTitle-BP2"/>
            </w:pPr>
          </w:p>
        </w:tc>
        <w:tc>
          <w:tcPr>
            <w:tcW w:w="850" w:type="dxa"/>
            <w:shd w:val="clear" w:color="auto" w:fill="E6F2FF"/>
          </w:tcPr>
          <w:p w14:paraId="1DF6FD64" w14:textId="77777777" w:rsidR="00B628FF" w:rsidRDefault="00B628FF">
            <w:pPr>
              <w:pStyle w:val="SummaryAgencyTitle-BP2"/>
            </w:pPr>
          </w:p>
        </w:tc>
        <w:tc>
          <w:tcPr>
            <w:tcW w:w="850" w:type="dxa"/>
          </w:tcPr>
          <w:p w14:paraId="2763BA14" w14:textId="77777777" w:rsidR="00B628FF" w:rsidRDefault="00B628FF">
            <w:pPr>
              <w:pStyle w:val="SummaryAgencyTitle-BP2"/>
            </w:pPr>
          </w:p>
        </w:tc>
        <w:tc>
          <w:tcPr>
            <w:tcW w:w="850" w:type="dxa"/>
          </w:tcPr>
          <w:p w14:paraId="37E64617" w14:textId="77777777" w:rsidR="00B628FF" w:rsidRDefault="00B628FF">
            <w:pPr>
              <w:pStyle w:val="SummaryAgencyTitle-BP2"/>
            </w:pPr>
          </w:p>
        </w:tc>
        <w:tc>
          <w:tcPr>
            <w:tcW w:w="850" w:type="dxa"/>
          </w:tcPr>
          <w:p w14:paraId="181BBC5F" w14:textId="77777777" w:rsidR="00B628FF" w:rsidRDefault="00B628FF">
            <w:pPr>
              <w:pStyle w:val="SummaryAgencyTitle-BP2"/>
            </w:pPr>
          </w:p>
        </w:tc>
      </w:tr>
      <w:tr w:rsidR="00B628FF" w14:paraId="19499BD2" w14:textId="77777777" w:rsidTr="5FA307DC">
        <w:tc>
          <w:tcPr>
            <w:tcW w:w="3471" w:type="dxa"/>
            <w:vAlign w:val="bottom"/>
          </w:tcPr>
          <w:p w14:paraId="1F58A6F7" w14:textId="77777777" w:rsidR="00B628FF" w:rsidRDefault="005B2D2F">
            <w:pPr>
              <w:pStyle w:val="SummaryMeasureTitlewithTheme"/>
            </w:pPr>
            <w:r>
              <w:t>Closing the Gap – further investments(b)</w:t>
            </w:r>
          </w:p>
        </w:tc>
        <w:tc>
          <w:tcPr>
            <w:tcW w:w="850" w:type="dxa"/>
            <w:vAlign w:val="bottom"/>
          </w:tcPr>
          <w:p w14:paraId="270A049C" w14:textId="60FF41A6" w:rsidR="00B628FF" w:rsidRDefault="00B31B37">
            <w:pPr>
              <w:pStyle w:val="Summarytabletextrightaligned"/>
            </w:pPr>
            <w:r>
              <w:noBreakHyphen/>
            </w:r>
          </w:p>
        </w:tc>
        <w:tc>
          <w:tcPr>
            <w:tcW w:w="850" w:type="dxa"/>
            <w:shd w:val="clear" w:color="auto" w:fill="E6F2FF"/>
            <w:vAlign w:val="bottom"/>
          </w:tcPr>
          <w:p w14:paraId="465F94F6" w14:textId="2E6D79B9" w:rsidR="00B628FF" w:rsidRDefault="00B31B37">
            <w:pPr>
              <w:pStyle w:val="Summarytabletextrightaligned"/>
            </w:pPr>
            <w:r>
              <w:noBreakHyphen/>
            </w:r>
          </w:p>
        </w:tc>
        <w:tc>
          <w:tcPr>
            <w:tcW w:w="850" w:type="dxa"/>
            <w:vAlign w:val="bottom"/>
          </w:tcPr>
          <w:p w14:paraId="5BE2755C" w14:textId="0A6E76FA" w:rsidR="00B628FF" w:rsidRDefault="00B31B37">
            <w:pPr>
              <w:pStyle w:val="Summarytabletextrightaligned"/>
            </w:pPr>
            <w:r>
              <w:noBreakHyphen/>
            </w:r>
          </w:p>
        </w:tc>
        <w:tc>
          <w:tcPr>
            <w:tcW w:w="850" w:type="dxa"/>
            <w:vAlign w:val="bottom"/>
          </w:tcPr>
          <w:p w14:paraId="19BD3C04" w14:textId="36BF3946" w:rsidR="00B628FF" w:rsidRDefault="00B31B37">
            <w:pPr>
              <w:pStyle w:val="Summarytabletextrightaligned"/>
            </w:pPr>
            <w:r>
              <w:noBreakHyphen/>
            </w:r>
          </w:p>
        </w:tc>
        <w:tc>
          <w:tcPr>
            <w:tcW w:w="850" w:type="dxa"/>
            <w:vAlign w:val="bottom"/>
          </w:tcPr>
          <w:p w14:paraId="0BB42705" w14:textId="17BD7B60" w:rsidR="00B628FF" w:rsidRDefault="00B31B37">
            <w:pPr>
              <w:pStyle w:val="Summarytabletextrightaligned"/>
            </w:pPr>
            <w:r>
              <w:noBreakHyphen/>
            </w:r>
          </w:p>
        </w:tc>
      </w:tr>
      <w:tr w:rsidR="00B628FF" w14:paraId="204E127C" w14:textId="77777777" w:rsidTr="5FA307DC">
        <w:tc>
          <w:tcPr>
            <w:tcW w:w="3471" w:type="dxa"/>
            <w:vAlign w:val="bottom"/>
          </w:tcPr>
          <w:p w14:paraId="37EB9930" w14:textId="77777777" w:rsidR="00B628FF" w:rsidRDefault="005B2D2F">
            <w:pPr>
              <w:pStyle w:val="SummaryAgencyTitle-BP2"/>
            </w:pPr>
            <w:r>
              <w:t>Workplace Gender Equality Agency</w:t>
            </w:r>
          </w:p>
        </w:tc>
        <w:tc>
          <w:tcPr>
            <w:tcW w:w="850" w:type="dxa"/>
          </w:tcPr>
          <w:p w14:paraId="64608E5E" w14:textId="77777777" w:rsidR="00B628FF" w:rsidRDefault="00B628FF">
            <w:pPr>
              <w:pStyle w:val="SummaryAgencyTitle-BP2"/>
            </w:pPr>
          </w:p>
        </w:tc>
        <w:tc>
          <w:tcPr>
            <w:tcW w:w="850" w:type="dxa"/>
            <w:shd w:val="clear" w:color="auto" w:fill="E6F2FF"/>
          </w:tcPr>
          <w:p w14:paraId="6742945F" w14:textId="77777777" w:rsidR="00B628FF" w:rsidRDefault="00B628FF">
            <w:pPr>
              <w:pStyle w:val="SummaryAgencyTitle-BP2"/>
            </w:pPr>
          </w:p>
        </w:tc>
        <w:tc>
          <w:tcPr>
            <w:tcW w:w="850" w:type="dxa"/>
          </w:tcPr>
          <w:p w14:paraId="0042F3C1" w14:textId="77777777" w:rsidR="00B628FF" w:rsidRDefault="00B628FF">
            <w:pPr>
              <w:pStyle w:val="SummaryAgencyTitle-BP2"/>
            </w:pPr>
          </w:p>
        </w:tc>
        <w:tc>
          <w:tcPr>
            <w:tcW w:w="850" w:type="dxa"/>
          </w:tcPr>
          <w:p w14:paraId="238DF487" w14:textId="77777777" w:rsidR="00B628FF" w:rsidRDefault="00B628FF">
            <w:pPr>
              <w:pStyle w:val="SummaryAgencyTitle-BP2"/>
            </w:pPr>
          </w:p>
        </w:tc>
        <w:tc>
          <w:tcPr>
            <w:tcW w:w="850" w:type="dxa"/>
          </w:tcPr>
          <w:p w14:paraId="17EAA87A" w14:textId="77777777" w:rsidR="00B628FF" w:rsidRDefault="00B628FF">
            <w:pPr>
              <w:pStyle w:val="SummaryAgencyTitle-BP2"/>
            </w:pPr>
          </w:p>
        </w:tc>
      </w:tr>
      <w:tr w:rsidR="00B628FF" w14:paraId="24268D4F" w14:textId="77777777" w:rsidTr="5FA307DC">
        <w:tc>
          <w:tcPr>
            <w:tcW w:w="3471" w:type="dxa"/>
            <w:vAlign w:val="bottom"/>
          </w:tcPr>
          <w:p w14:paraId="6E27E16E" w14:textId="77777777" w:rsidR="00B628FF" w:rsidRDefault="005B2D2F">
            <w:pPr>
              <w:pStyle w:val="SummaryMeasureTitlewithTheme"/>
            </w:pPr>
            <w:r>
              <w:t>Prime Minister and Cabinet – additional resourcing</w:t>
            </w:r>
          </w:p>
        </w:tc>
        <w:tc>
          <w:tcPr>
            <w:tcW w:w="850" w:type="dxa"/>
            <w:vAlign w:val="bottom"/>
          </w:tcPr>
          <w:p w14:paraId="0B00369F" w14:textId="44908D77" w:rsidR="00B628FF" w:rsidRDefault="00B31B37">
            <w:pPr>
              <w:pStyle w:val="Summarytabletextrightaligned"/>
            </w:pPr>
            <w:r>
              <w:noBreakHyphen/>
            </w:r>
          </w:p>
        </w:tc>
        <w:tc>
          <w:tcPr>
            <w:tcW w:w="850" w:type="dxa"/>
            <w:shd w:val="clear" w:color="auto" w:fill="E6F2FF"/>
            <w:vAlign w:val="bottom"/>
          </w:tcPr>
          <w:p w14:paraId="223C1667" w14:textId="77777777" w:rsidR="00B628FF" w:rsidRDefault="005B2D2F">
            <w:pPr>
              <w:pStyle w:val="Summarytabletextrightaligned"/>
            </w:pPr>
            <w:r>
              <w:t>1.1</w:t>
            </w:r>
          </w:p>
        </w:tc>
        <w:tc>
          <w:tcPr>
            <w:tcW w:w="850" w:type="dxa"/>
            <w:vAlign w:val="bottom"/>
          </w:tcPr>
          <w:p w14:paraId="7634406F" w14:textId="42094042" w:rsidR="00B628FF" w:rsidRDefault="00B31B37">
            <w:pPr>
              <w:pStyle w:val="Summarytabletextrightaligned"/>
            </w:pPr>
            <w:r>
              <w:noBreakHyphen/>
            </w:r>
          </w:p>
        </w:tc>
        <w:tc>
          <w:tcPr>
            <w:tcW w:w="850" w:type="dxa"/>
            <w:vAlign w:val="bottom"/>
          </w:tcPr>
          <w:p w14:paraId="4D98EC6B" w14:textId="3DEF2465" w:rsidR="00B628FF" w:rsidRDefault="00B31B37">
            <w:pPr>
              <w:pStyle w:val="Summarytabletextrightaligned"/>
            </w:pPr>
            <w:r>
              <w:noBreakHyphen/>
            </w:r>
          </w:p>
        </w:tc>
        <w:tc>
          <w:tcPr>
            <w:tcW w:w="850" w:type="dxa"/>
            <w:vAlign w:val="bottom"/>
          </w:tcPr>
          <w:p w14:paraId="7EB295B7" w14:textId="24A6931E" w:rsidR="00B628FF" w:rsidRDefault="00B31B37">
            <w:pPr>
              <w:pStyle w:val="Summarytabletextrightaligned"/>
            </w:pPr>
            <w:r>
              <w:noBreakHyphen/>
            </w:r>
          </w:p>
        </w:tc>
      </w:tr>
      <w:tr w:rsidR="00B628FF" w14:paraId="7DFC7B6F" w14:textId="77777777" w:rsidTr="5FA307DC">
        <w:tc>
          <w:tcPr>
            <w:tcW w:w="3471" w:type="dxa"/>
            <w:vAlign w:val="bottom"/>
          </w:tcPr>
          <w:p w14:paraId="7607E50A" w14:textId="77777777" w:rsidR="00B628FF" w:rsidRDefault="005B2D2F">
            <w:pPr>
              <w:pStyle w:val="Summarytabletextleftalignedbold"/>
            </w:pPr>
            <w:r>
              <w:t>Portfolio total</w:t>
            </w:r>
          </w:p>
        </w:tc>
        <w:tc>
          <w:tcPr>
            <w:tcW w:w="850" w:type="dxa"/>
            <w:tcBorders>
              <w:top w:val="single" w:sz="4" w:space="0" w:color="000000" w:themeColor="text1"/>
              <w:bottom w:val="single" w:sz="4" w:space="0" w:color="000000" w:themeColor="text1"/>
            </w:tcBorders>
            <w:vAlign w:val="bottom"/>
          </w:tcPr>
          <w:p w14:paraId="27EAAC91" w14:textId="6DDCF51C" w:rsidR="00B628FF" w:rsidRDefault="00B31B37">
            <w:pPr>
              <w:pStyle w:val="Summarytabletextrightalignedbold"/>
            </w:pPr>
            <w:r>
              <w:noBreakHyphen/>
            </w:r>
            <w:r w:rsidR="005B2D2F">
              <w:t>91.3</w:t>
            </w:r>
          </w:p>
        </w:tc>
        <w:tc>
          <w:tcPr>
            <w:tcW w:w="850" w:type="dxa"/>
            <w:tcBorders>
              <w:top w:val="single" w:sz="4" w:space="0" w:color="000000" w:themeColor="text1"/>
              <w:bottom w:val="single" w:sz="4" w:space="0" w:color="000000" w:themeColor="text1"/>
            </w:tcBorders>
            <w:shd w:val="clear" w:color="auto" w:fill="E6F2FF"/>
            <w:vAlign w:val="bottom"/>
          </w:tcPr>
          <w:p w14:paraId="70EAFAEF" w14:textId="77777777" w:rsidR="00B628FF" w:rsidRDefault="005B2D2F">
            <w:pPr>
              <w:pStyle w:val="Summarytabletextrightalignedbold"/>
            </w:pPr>
            <w:r>
              <w:t>118.6</w:t>
            </w:r>
          </w:p>
        </w:tc>
        <w:tc>
          <w:tcPr>
            <w:tcW w:w="850" w:type="dxa"/>
            <w:tcBorders>
              <w:top w:val="single" w:sz="4" w:space="0" w:color="000000" w:themeColor="text1"/>
              <w:bottom w:val="single" w:sz="4" w:space="0" w:color="000000" w:themeColor="text1"/>
            </w:tcBorders>
            <w:vAlign w:val="bottom"/>
          </w:tcPr>
          <w:p w14:paraId="01A98EE0" w14:textId="77777777" w:rsidR="00B628FF" w:rsidRDefault="005B2D2F">
            <w:pPr>
              <w:pStyle w:val="Summarytabletextrightalignedbold"/>
            </w:pPr>
            <w:r>
              <w:t>114.1</w:t>
            </w:r>
          </w:p>
        </w:tc>
        <w:tc>
          <w:tcPr>
            <w:tcW w:w="850" w:type="dxa"/>
            <w:tcBorders>
              <w:top w:val="single" w:sz="4" w:space="0" w:color="000000" w:themeColor="text1"/>
              <w:bottom w:val="single" w:sz="4" w:space="0" w:color="000000" w:themeColor="text1"/>
            </w:tcBorders>
            <w:vAlign w:val="bottom"/>
          </w:tcPr>
          <w:p w14:paraId="60DAD827" w14:textId="2C3ABA97" w:rsidR="00B628FF" w:rsidRDefault="00B31B37">
            <w:pPr>
              <w:pStyle w:val="Summarytabletextrightalignedbold"/>
            </w:pPr>
            <w:r>
              <w:noBreakHyphen/>
            </w:r>
            <w:r w:rsidR="005B2D2F">
              <w:t>1.1</w:t>
            </w:r>
          </w:p>
        </w:tc>
        <w:tc>
          <w:tcPr>
            <w:tcW w:w="850" w:type="dxa"/>
            <w:tcBorders>
              <w:top w:val="single" w:sz="4" w:space="0" w:color="000000" w:themeColor="text1"/>
              <w:bottom w:val="single" w:sz="4" w:space="0" w:color="000000" w:themeColor="text1"/>
            </w:tcBorders>
            <w:vAlign w:val="bottom"/>
          </w:tcPr>
          <w:p w14:paraId="46A33386" w14:textId="129E27FE" w:rsidR="00B628FF" w:rsidRDefault="00B31B37">
            <w:pPr>
              <w:pStyle w:val="Summarytabletextrightalignedbold"/>
            </w:pPr>
            <w:r>
              <w:noBreakHyphen/>
            </w:r>
            <w:r w:rsidR="005B2D2F">
              <w:t>79.6</w:t>
            </w:r>
          </w:p>
        </w:tc>
      </w:tr>
      <w:tr w:rsidR="00B628FF" w14:paraId="19AC3BE4" w14:textId="77777777" w:rsidTr="5FA307DC">
        <w:tc>
          <w:tcPr>
            <w:tcW w:w="3471" w:type="dxa"/>
            <w:vAlign w:val="bottom"/>
          </w:tcPr>
          <w:p w14:paraId="5A1856C5" w14:textId="77777777" w:rsidR="00B628FF" w:rsidRDefault="005B2D2F">
            <w:pPr>
              <w:pStyle w:val="SummaryPortfolioTitle-BP2"/>
            </w:pPr>
            <w:r>
              <w:t>SOCIAL SERVICES</w:t>
            </w:r>
          </w:p>
        </w:tc>
        <w:tc>
          <w:tcPr>
            <w:tcW w:w="850" w:type="dxa"/>
          </w:tcPr>
          <w:p w14:paraId="72C5B0BC" w14:textId="77777777" w:rsidR="00B628FF" w:rsidRDefault="00B628FF">
            <w:pPr>
              <w:pStyle w:val="MeasureTableTextRightAlignedBefore6ptAfter1pt"/>
            </w:pPr>
          </w:p>
        </w:tc>
        <w:tc>
          <w:tcPr>
            <w:tcW w:w="850" w:type="dxa"/>
            <w:shd w:val="clear" w:color="auto" w:fill="E6F2FF"/>
          </w:tcPr>
          <w:p w14:paraId="251A0F17" w14:textId="77777777" w:rsidR="00B628FF" w:rsidRDefault="00B628FF">
            <w:pPr>
              <w:pStyle w:val="MeasureTableTextRightAlignedBefore6ptAfter1pt"/>
            </w:pPr>
          </w:p>
        </w:tc>
        <w:tc>
          <w:tcPr>
            <w:tcW w:w="850" w:type="dxa"/>
          </w:tcPr>
          <w:p w14:paraId="73C1A351" w14:textId="77777777" w:rsidR="00B628FF" w:rsidRDefault="00B628FF">
            <w:pPr>
              <w:pStyle w:val="MeasureTableTextRightAlignedBefore6ptAfter1pt"/>
            </w:pPr>
          </w:p>
        </w:tc>
        <w:tc>
          <w:tcPr>
            <w:tcW w:w="850" w:type="dxa"/>
          </w:tcPr>
          <w:p w14:paraId="66A362F1" w14:textId="77777777" w:rsidR="00B628FF" w:rsidRDefault="00B628FF">
            <w:pPr>
              <w:pStyle w:val="MeasureTableTextRightAlignedBefore6ptAfter1pt"/>
            </w:pPr>
          </w:p>
        </w:tc>
        <w:tc>
          <w:tcPr>
            <w:tcW w:w="850" w:type="dxa"/>
          </w:tcPr>
          <w:p w14:paraId="2517B5F5" w14:textId="77777777" w:rsidR="00B628FF" w:rsidRDefault="00B628FF">
            <w:pPr>
              <w:pStyle w:val="MeasureTableTextRightAlignedBefore6ptAfter1pt"/>
            </w:pPr>
          </w:p>
        </w:tc>
      </w:tr>
      <w:tr w:rsidR="00B628FF" w14:paraId="3D63A1A8" w14:textId="77777777" w:rsidTr="5FA307DC">
        <w:tc>
          <w:tcPr>
            <w:tcW w:w="3471" w:type="dxa"/>
            <w:vAlign w:val="bottom"/>
          </w:tcPr>
          <w:p w14:paraId="7F826308" w14:textId="77777777" w:rsidR="00B628FF" w:rsidRDefault="005B2D2F">
            <w:pPr>
              <w:pStyle w:val="SummaryAgencyTitle-BP2"/>
            </w:pPr>
            <w:r>
              <w:t>Department of Social Services</w:t>
            </w:r>
          </w:p>
        </w:tc>
        <w:tc>
          <w:tcPr>
            <w:tcW w:w="850" w:type="dxa"/>
          </w:tcPr>
          <w:p w14:paraId="481E1581" w14:textId="77777777" w:rsidR="00B628FF" w:rsidRDefault="00B628FF">
            <w:pPr>
              <w:pStyle w:val="SummaryAgencyTitle-BP2"/>
            </w:pPr>
          </w:p>
        </w:tc>
        <w:tc>
          <w:tcPr>
            <w:tcW w:w="850" w:type="dxa"/>
            <w:shd w:val="clear" w:color="auto" w:fill="E6F2FF"/>
          </w:tcPr>
          <w:p w14:paraId="452BC969" w14:textId="77777777" w:rsidR="00B628FF" w:rsidRDefault="00B628FF">
            <w:pPr>
              <w:pStyle w:val="SummaryAgencyTitle-BP2"/>
            </w:pPr>
          </w:p>
        </w:tc>
        <w:tc>
          <w:tcPr>
            <w:tcW w:w="850" w:type="dxa"/>
          </w:tcPr>
          <w:p w14:paraId="3BDA88ED" w14:textId="77777777" w:rsidR="00B628FF" w:rsidRDefault="00B628FF">
            <w:pPr>
              <w:pStyle w:val="SummaryAgencyTitle-BP2"/>
            </w:pPr>
          </w:p>
        </w:tc>
        <w:tc>
          <w:tcPr>
            <w:tcW w:w="850" w:type="dxa"/>
          </w:tcPr>
          <w:p w14:paraId="49C3C663" w14:textId="77777777" w:rsidR="00B628FF" w:rsidRDefault="00B628FF">
            <w:pPr>
              <w:pStyle w:val="SummaryAgencyTitle-BP2"/>
            </w:pPr>
          </w:p>
        </w:tc>
        <w:tc>
          <w:tcPr>
            <w:tcW w:w="850" w:type="dxa"/>
          </w:tcPr>
          <w:p w14:paraId="769E9915" w14:textId="77777777" w:rsidR="00B628FF" w:rsidRDefault="00B628FF">
            <w:pPr>
              <w:pStyle w:val="SummaryAgencyTitle-BP2"/>
            </w:pPr>
          </w:p>
        </w:tc>
      </w:tr>
      <w:tr w:rsidR="00B628FF" w14:paraId="2B145614" w14:textId="77777777" w:rsidTr="5FA307DC">
        <w:tc>
          <w:tcPr>
            <w:tcW w:w="3471" w:type="dxa"/>
            <w:vAlign w:val="bottom"/>
          </w:tcPr>
          <w:p w14:paraId="323D7A95" w14:textId="77777777" w:rsidR="00B628FF" w:rsidRDefault="005B2D2F">
            <w:pPr>
              <w:pStyle w:val="SummaryMeasureTitlewithTheme"/>
            </w:pPr>
            <w:r>
              <w:t>Additional Support for the Housing Services Sector</w:t>
            </w:r>
          </w:p>
        </w:tc>
        <w:tc>
          <w:tcPr>
            <w:tcW w:w="850" w:type="dxa"/>
            <w:vAlign w:val="bottom"/>
          </w:tcPr>
          <w:p w14:paraId="7B9463B7" w14:textId="7EFCF37F" w:rsidR="00B628FF" w:rsidRDefault="00B31B37">
            <w:pPr>
              <w:pStyle w:val="Summarytabletextrightaligned"/>
            </w:pPr>
            <w:r>
              <w:noBreakHyphen/>
            </w:r>
          </w:p>
        </w:tc>
        <w:tc>
          <w:tcPr>
            <w:tcW w:w="850" w:type="dxa"/>
            <w:shd w:val="clear" w:color="auto" w:fill="E6F2FF"/>
            <w:vAlign w:val="bottom"/>
          </w:tcPr>
          <w:p w14:paraId="06C26F86" w14:textId="78252BF8" w:rsidR="00B628FF" w:rsidRDefault="00B31B37">
            <w:pPr>
              <w:pStyle w:val="Summarytabletextrightaligned"/>
            </w:pPr>
            <w:r>
              <w:noBreakHyphen/>
            </w:r>
          </w:p>
        </w:tc>
        <w:tc>
          <w:tcPr>
            <w:tcW w:w="850" w:type="dxa"/>
            <w:vAlign w:val="bottom"/>
          </w:tcPr>
          <w:p w14:paraId="6C3D2DE3" w14:textId="45848815" w:rsidR="00B628FF" w:rsidRDefault="00B31B37">
            <w:pPr>
              <w:pStyle w:val="Summarytabletextrightaligned"/>
            </w:pPr>
            <w:r>
              <w:noBreakHyphen/>
            </w:r>
          </w:p>
        </w:tc>
        <w:tc>
          <w:tcPr>
            <w:tcW w:w="850" w:type="dxa"/>
            <w:vAlign w:val="bottom"/>
          </w:tcPr>
          <w:p w14:paraId="02163EE0" w14:textId="36CEC64A" w:rsidR="00B628FF" w:rsidRDefault="00B31B37">
            <w:pPr>
              <w:pStyle w:val="Summarytabletextrightaligned"/>
            </w:pPr>
            <w:r>
              <w:noBreakHyphen/>
            </w:r>
          </w:p>
        </w:tc>
        <w:tc>
          <w:tcPr>
            <w:tcW w:w="850" w:type="dxa"/>
            <w:vAlign w:val="bottom"/>
          </w:tcPr>
          <w:p w14:paraId="2A76CFF3" w14:textId="6B558D20" w:rsidR="00B628FF" w:rsidRDefault="00B31B37">
            <w:pPr>
              <w:pStyle w:val="Summarytabletextrightaligned"/>
            </w:pPr>
            <w:r>
              <w:noBreakHyphen/>
            </w:r>
          </w:p>
        </w:tc>
      </w:tr>
      <w:tr w:rsidR="00B628FF" w14:paraId="5C41C132" w14:textId="77777777" w:rsidTr="5FA307DC">
        <w:tc>
          <w:tcPr>
            <w:tcW w:w="3471" w:type="dxa"/>
            <w:vAlign w:val="bottom"/>
          </w:tcPr>
          <w:p w14:paraId="4636FB9B" w14:textId="77777777" w:rsidR="00B628FF" w:rsidRDefault="005B2D2F">
            <w:pPr>
              <w:pStyle w:val="SummaryMeasureTitlewithTheme"/>
            </w:pPr>
            <w:r>
              <w:t>Small Business and Franchisee Support and Protection</w:t>
            </w:r>
          </w:p>
        </w:tc>
        <w:tc>
          <w:tcPr>
            <w:tcW w:w="850" w:type="dxa"/>
            <w:vAlign w:val="bottom"/>
          </w:tcPr>
          <w:p w14:paraId="465F47F1" w14:textId="364F333F" w:rsidR="00B628FF" w:rsidRDefault="00B31B37">
            <w:pPr>
              <w:pStyle w:val="Summarytabletextrightaligned"/>
            </w:pPr>
            <w:r>
              <w:noBreakHyphen/>
            </w:r>
          </w:p>
        </w:tc>
        <w:tc>
          <w:tcPr>
            <w:tcW w:w="850" w:type="dxa"/>
            <w:shd w:val="clear" w:color="auto" w:fill="E6F2FF"/>
            <w:vAlign w:val="bottom"/>
          </w:tcPr>
          <w:p w14:paraId="5057D233" w14:textId="673F6A57" w:rsidR="00B628FF" w:rsidRDefault="00B31B37">
            <w:pPr>
              <w:pStyle w:val="Summarytabletextrightaligned"/>
            </w:pPr>
            <w:r>
              <w:noBreakHyphen/>
            </w:r>
          </w:p>
        </w:tc>
        <w:tc>
          <w:tcPr>
            <w:tcW w:w="850" w:type="dxa"/>
            <w:vAlign w:val="bottom"/>
          </w:tcPr>
          <w:p w14:paraId="5427CCB6" w14:textId="46D2CF17" w:rsidR="00B628FF" w:rsidRDefault="00B31B37">
            <w:pPr>
              <w:pStyle w:val="Summarytabletextrightaligned"/>
            </w:pPr>
            <w:r>
              <w:noBreakHyphen/>
            </w:r>
          </w:p>
        </w:tc>
        <w:tc>
          <w:tcPr>
            <w:tcW w:w="850" w:type="dxa"/>
            <w:vAlign w:val="bottom"/>
          </w:tcPr>
          <w:p w14:paraId="15E54853" w14:textId="0A40971B" w:rsidR="00B628FF" w:rsidRDefault="00B31B37">
            <w:pPr>
              <w:pStyle w:val="Summarytabletextrightaligned"/>
            </w:pPr>
            <w:r>
              <w:noBreakHyphen/>
            </w:r>
          </w:p>
        </w:tc>
        <w:tc>
          <w:tcPr>
            <w:tcW w:w="850" w:type="dxa"/>
            <w:vAlign w:val="bottom"/>
          </w:tcPr>
          <w:p w14:paraId="18144257" w14:textId="54C970E2" w:rsidR="00B628FF" w:rsidRDefault="00B31B37">
            <w:pPr>
              <w:pStyle w:val="Summarytabletextrightaligned"/>
            </w:pPr>
            <w:r>
              <w:noBreakHyphen/>
            </w:r>
          </w:p>
        </w:tc>
      </w:tr>
      <w:tr w:rsidR="00B628FF" w14:paraId="32E42E07" w14:textId="77777777" w:rsidTr="5FA307DC">
        <w:tc>
          <w:tcPr>
            <w:tcW w:w="3471" w:type="dxa"/>
            <w:vAlign w:val="bottom"/>
          </w:tcPr>
          <w:p w14:paraId="619D80D7" w14:textId="77777777" w:rsidR="00B628FF" w:rsidRDefault="005B2D2F">
            <w:pPr>
              <w:pStyle w:val="SummaryMeasureTitlewithTheme"/>
            </w:pPr>
            <w:r>
              <w:t>Strengthening the National Disability Insurance Scheme</w:t>
            </w:r>
          </w:p>
        </w:tc>
        <w:tc>
          <w:tcPr>
            <w:tcW w:w="850" w:type="dxa"/>
            <w:vAlign w:val="bottom"/>
          </w:tcPr>
          <w:p w14:paraId="7264A499" w14:textId="47FDAE40" w:rsidR="00B628FF" w:rsidRDefault="00B31B37">
            <w:pPr>
              <w:pStyle w:val="Summarytabletextrightaligned"/>
            </w:pPr>
            <w:r>
              <w:noBreakHyphen/>
            </w:r>
          </w:p>
        </w:tc>
        <w:tc>
          <w:tcPr>
            <w:tcW w:w="850" w:type="dxa"/>
            <w:shd w:val="clear" w:color="auto" w:fill="E6F2FF"/>
            <w:vAlign w:val="bottom"/>
          </w:tcPr>
          <w:p w14:paraId="1A0B8263" w14:textId="77777777" w:rsidR="00B628FF" w:rsidRDefault="005B2D2F">
            <w:pPr>
              <w:pStyle w:val="Summarytabletextrightaligned"/>
            </w:pPr>
            <w:r>
              <w:t>7.3</w:t>
            </w:r>
          </w:p>
        </w:tc>
        <w:tc>
          <w:tcPr>
            <w:tcW w:w="850" w:type="dxa"/>
            <w:vAlign w:val="bottom"/>
          </w:tcPr>
          <w:p w14:paraId="4695CCBB" w14:textId="6B4D103F" w:rsidR="00B628FF" w:rsidRDefault="00B31B37">
            <w:pPr>
              <w:pStyle w:val="Summarytabletextrightaligned"/>
            </w:pPr>
            <w:r>
              <w:noBreakHyphen/>
            </w:r>
          </w:p>
        </w:tc>
        <w:tc>
          <w:tcPr>
            <w:tcW w:w="850" w:type="dxa"/>
            <w:vAlign w:val="bottom"/>
          </w:tcPr>
          <w:p w14:paraId="7BDC07AF" w14:textId="57FC0762" w:rsidR="00B628FF" w:rsidRDefault="00B31B37">
            <w:pPr>
              <w:pStyle w:val="Summarytabletextrightaligned"/>
            </w:pPr>
            <w:r>
              <w:noBreakHyphen/>
            </w:r>
          </w:p>
        </w:tc>
        <w:tc>
          <w:tcPr>
            <w:tcW w:w="850" w:type="dxa"/>
            <w:vAlign w:val="bottom"/>
          </w:tcPr>
          <w:p w14:paraId="431FB80A" w14:textId="695026EB" w:rsidR="00B628FF" w:rsidRDefault="00B31B37">
            <w:pPr>
              <w:pStyle w:val="Summarytabletextrightaligned"/>
            </w:pPr>
            <w:r>
              <w:noBreakHyphen/>
            </w:r>
          </w:p>
        </w:tc>
      </w:tr>
      <w:tr w:rsidR="00B628FF" w14:paraId="75C92C04" w14:textId="77777777" w:rsidTr="5FA307DC">
        <w:tc>
          <w:tcPr>
            <w:tcW w:w="3471" w:type="dxa"/>
            <w:vAlign w:val="bottom"/>
          </w:tcPr>
          <w:p w14:paraId="76C68693" w14:textId="77777777" w:rsidR="00B628FF" w:rsidRDefault="005B2D2F">
            <w:pPr>
              <w:pStyle w:val="SummaryMeasureTitlewithTheme"/>
            </w:pPr>
            <w:r>
              <w:t>Support for People with Disability</w:t>
            </w:r>
          </w:p>
        </w:tc>
        <w:tc>
          <w:tcPr>
            <w:tcW w:w="850" w:type="dxa"/>
            <w:vAlign w:val="bottom"/>
          </w:tcPr>
          <w:p w14:paraId="3925B2E8" w14:textId="58BE763B" w:rsidR="00B628FF" w:rsidRDefault="00B31B37">
            <w:pPr>
              <w:pStyle w:val="Summarytabletextrightaligned"/>
            </w:pPr>
            <w:r>
              <w:noBreakHyphen/>
            </w:r>
            <w:r w:rsidR="005B2D2F">
              <w:t>1.2</w:t>
            </w:r>
          </w:p>
        </w:tc>
        <w:tc>
          <w:tcPr>
            <w:tcW w:w="850" w:type="dxa"/>
            <w:shd w:val="clear" w:color="auto" w:fill="E6F2FF"/>
            <w:vAlign w:val="bottom"/>
          </w:tcPr>
          <w:p w14:paraId="764D51B5" w14:textId="7F65BC68" w:rsidR="00B628FF" w:rsidRDefault="00B31B37">
            <w:pPr>
              <w:pStyle w:val="Summarytabletextrightaligned"/>
            </w:pPr>
            <w:r>
              <w:noBreakHyphen/>
            </w:r>
            <w:r w:rsidR="005B2D2F">
              <w:t>17.2</w:t>
            </w:r>
          </w:p>
        </w:tc>
        <w:tc>
          <w:tcPr>
            <w:tcW w:w="850" w:type="dxa"/>
            <w:vAlign w:val="bottom"/>
          </w:tcPr>
          <w:p w14:paraId="0F448E62" w14:textId="77777777" w:rsidR="00B628FF" w:rsidRDefault="005B2D2F">
            <w:pPr>
              <w:pStyle w:val="Summarytabletextrightaligned"/>
            </w:pPr>
            <w:r>
              <w:t>10.2</w:t>
            </w:r>
          </w:p>
        </w:tc>
        <w:tc>
          <w:tcPr>
            <w:tcW w:w="850" w:type="dxa"/>
            <w:vAlign w:val="bottom"/>
          </w:tcPr>
          <w:p w14:paraId="5417025E" w14:textId="77777777" w:rsidR="00B628FF" w:rsidRDefault="005B2D2F">
            <w:pPr>
              <w:pStyle w:val="Summarytabletextrightaligned"/>
            </w:pPr>
            <w:r>
              <w:t>11.3</w:t>
            </w:r>
          </w:p>
        </w:tc>
        <w:tc>
          <w:tcPr>
            <w:tcW w:w="850" w:type="dxa"/>
            <w:vAlign w:val="bottom"/>
          </w:tcPr>
          <w:p w14:paraId="11C2B5E7" w14:textId="1AE080F7" w:rsidR="00B628FF" w:rsidRDefault="00B31B37">
            <w:pPr>
              <w:pStyle w:val="Summarytabletextrightaligned"/>
            </w:pPr>
            <w:r>
              <w:noBreakHyphen/>
            </w:r>
            <w:r w:rsidR="005B2D2F">
              <w:t>3.0</w:t>
            </w:r>
          </w:p>
        </w:tc>
      </w:tr>
    </w:tbl>
    <w:p w14:paraId="41AA9222" w14:textId="77777777" w:rsidR="00997AF2" w:rsidRDefault="00997AF2" w:rsidP="00997AF2">
      <w:pPr>
        <w:sectPr w:rsidR="00997AF2" w:rsidSect="00A06F82">
          <w:pgSz w:w="11906" w:h="16838"/>
          <w:pgMar w:top="2835" w:right="2098" w:bottom="2466" w:left="2098" w:header="1814" w:footer="1814" w:gutter="0"/>
          <w:cols w:space="720"/>
          <w:docGrid w:linePitch="272"/>
        </w:sectPr>
      </w:pPr>
    </w:p>
    <w:p w14:paraId="47B505C8" w14:textId="77777777" w:rsidR="00997AF2" w:rsidRDefault="00997AF2" w:rsidP="00997AF2">
      <w:pPr>
        <w:pStyle w:val="TableHeadingcontinued"/>
      </w:pPr>
      <w:r>
        <w:t>Table 2: Payment measures since the 2024–25 MYEFO</w:t>
      </w:r>
      <w:r>
        <w:rPr>
          <w:rFonts w:ascii="Cambria Math" w:hAnsi="Cambria Math" w:cs="Cambria Math"/>
        </w:rPr>
        <w:t>⁽</w:t>
      </w:r>
      <w:r>
        <w:rPr>
          <w:rFonts w:cs="Arial"/>
        </w:rPr>
        <w:t>ª</w:t>
      </w:r>
      <w:r>
        <w:rPr>
          <w:rFonts w:ascii="Cambria Math" w:hAnsi="Cambria Math" w:cs="Cambria Math"/>
        </w:rPr>
        <w:t>⁾</w:t>
      </w:r>
      <w:r>
        <w:t xml:space="preserve"> (continued)</w:t>
      </w:r>
    </w:p>
    <w:tbl>
      <w:tblPr>
        <w:tblOverlap w:val="never"/>
        <w:tblW w:w="7721" w:type="dxa"/>
        <w:tblBorders>
          <w:top w:val="single" w:sz="4" w:space="0" w:color="000000"/>
          <w:bottom w:val="single" w:sz="4" w:space="0" w:color="000000"/>
        </w:tblBorders>
        <w:tblLayout w:type="fixed"/>
        <w:tblCellMar>
          <w:left w:w="0" w:type="dxa"/>
          <w:right w:w="56" w:type="dxa"/>
        </w:tblCellMar>
        <w:tblLook w:val="04A0" w:firstRow="1" w:lastRow="0" w:firstColumn="1" w:lastColumn="0" w:noHBand="0" w:noVBand="1"/>
      </w:tblPr>
      <w:tblGrid>
        <w:gridCol w:w="3471"/>
        <w:gridCol w:w="850"/>
        <w:gridCol w:w="850"/>
        <w:gridCol w:w="850"/>
        <w:gridCol w:w="850"/>
        <w:gridCol w:w="850"/>
      </w:tblGrid>
      <w:tr w:rsidR="00997AF2" w14:paraId="4D636F04" w14:textId="77777777" w:rsidTr="00997AF2">
        <w:tc>
          <w:tcPr>
            <w:tcW w:w="3471" w:type="dxa"/>
            <w:vAlign w:val="bottom"/>
          </w:tcPr>
          <w:p w14:paraId="06ABA4EC" w14:textId="77777777" w:rsidR="00997AF2" w:rsidRDefault="00997AF2" w:rsidP="00997AF2"/>
        </w:tc>
        <w:tc>
          <w:tcPr>
            <w:tcW w:w="850" w:type="dxa"/>
            <w:tcBorders>
              <w:bottom w:val="nil"/>
            </w:tcBorders>
          </w:tcPr>
          <w:p w14:paraId="01E2AE5B" w14:textId="3A8ACA74" w:rsidR="00997AF2" w:rsidRDefault="00997AF2" w:rsidP="00997AF2">
            <w:pPr>
              <w:pStyle w:val="Summarytabletextrightaligned"/>
            </w:pPr>
            <w:r>
              <w:t>2024</w:t>
            </w:r>
            <w:r w:rsidR="00B31B37">
              <w:noBreakHyphen/>
            </w:r>
            <w:r>
              <w:t>25</w:t>
            </w:r>
          </w:p>
        </w:tc>
        <w:tc>
          <w:tcPr>
            <w:tcW w:w="850" w:type="dxa"/>
            <w:tcBorders>
              <w:bottom w:val="nil"/>
            </w:tcBorders>
            <w:shd w:val="clear" w:color="auto" w:fill="E6F2FF"/>
          </w:tcPr>
          <w:p w14:paraId="70478A82" w14:textId="17636857" w:rsidR="00997AF2" w:rsidRDefault="00997AF2" w:rsidP="00997AF2">
            <w:pPr>
              <w:pStyle w:val="Summarytabletextrightaligned"/>
            </w:pPr>
            <w:r>
              <w:t>2025</w:t>
            </w:r>
            <w:r w:rsidR="00B31B37">
              <w:noBreakHyphen/>
            </w:r>
            <w:r>
              <w:t>26</w:t>
            </w:r>
          </w:p>
        </w:tc>
        <w:tc>
          <w:tcPr>
            <w:tcW w:w="850" w:type="dxa"/>
            <w:tcBorders>
              <w:bottom w:val="nil"/>
            </w:tcBorders>
          </w:tcPr>
          <w:p w14:paraId="039998F1" w14:textId="1EE1C194" w:rsidR="00997AF2" w:rsidRDefault="00997AF2" w:rsidP="00997AF2">
            <w:pPr>
              <w:pStyle w:val="Summarytabletextrightaligned"/>
            </w:pPr>
            <w:r>
              <w:t>2026</w:t>
            </w:r>
            <w:r w:rsidR="00B31B37">
              <w:noBreakHyphen/>
            </w:r>
            <w:r>
              <w:t>27</w:t>
            </w:r>
          </w:p>
        </w:tc>
        <w:tc>
          <w:tcPr>
            <w:tcW w:w="850" w:type="dxa"/>
            <w:tcBorders>
              <w:bottom w:val="nil"/>
            </w:tcBorders>
          </w:tcPr>
          <w:p w14:paraId="368CF565" w14:textId="1035878F" w:rsidR="00997AF2" w:rsidRDefault="00997AF2" w:rsidP="00997AF2">
            <w:pPr>
              <w:pStyle w:val="Summarytabletextrightaligned"/>
            </w:pPr>
            <w:r>
              <w:t>2027</w:t>
            </w:r>
            <w:r w:rsidR="00B31B37">
              <w:noBreakHyphen/>
            </w:r>
            <w:r>
              <w:t>28</w:t>
            </w:r>
          </w:p>
        </w:tc>
        <w:tc>
          <w:tcPr>
            <w:tcW w:w="850" w:type="dxa"/>
            <w:tcBorders>
              <w:bottom w:val="nil"/>
            </w:tcBorders>
          </w:tcPr>
          <w:p w14:paraId="58AF0519" w14:textId="7E4C2C94" w:rsidR="00997AF2" w:rsidRDefault="00997AF2" w:rsidP="00997AF2">
            <w:pPr>
              <w:pStyle w:val="Summarytabletextrightaligned"/>
            </w:pPr>
            <w:r>
              <w:t>2028</w:t>
            </w:r>
            <w:r w:rsidR="00B31B37">
              <w:noBreakHyphen/>
            </w:r>
            <w:r>
              <w:t>29</w:t>
            </w:r>
          </w:p>
        </w:tc>
      </w:tr>
      <w:tr w:rsidR="00997AF2" w14:paraId="1CDEC81C" w14:textId="77777777" w:rsidTr="00997AF2">
        <w:tc>
          <w:tcPr>
            <w:tcW w:w="3471" w:type="dxa"/>
            <w:vAlign w:val="bottom"/>
          </w:tcPr>
          <w:p w14:paraId="7AA6CB9C" w14:textId="77777777" w:rsidR="00997AF2" w:rsidRDefault="00997AF2" w:rsidP="00997AF2"/>
        </w:tc>
        <w:tc>
          <w:tcPr>
            <w:tcW w:w="850" w:type="dxa"/>
            <w:tcBorders>
              <w:top w:val="nil"/>
              <w:bottom w:val="single" w:sz="4" w:space="0" w:color="auto"/>
            </w:tcBorders>
            <w:shd w:val="clear" w:color="auto" w:fill="auto"/>
          </w:tcPr>
          <w:p w14:paraId="6BDE13BC" w14:textId="77777777" w:rsidR="00997AF2" w:rsidRDefault="00997AF2" w:rsidP="00997AF2">
            <w:pPr>
              <w:pStyle w:val="Summarytabletextrightaligned"/>
            </w:pPr>
            <w:r>
              <w:t>$m</w:t>
            </w:r>
          </w:p>
        </w:tc>
        <w:tc>
          <w:tcPr>
            <w:tcW w:w="850" w:type="dxa"/>
            <w:tcBorders>
              <w:top w:val="nil"/>
              <w:bottom w:val="single" w:sz="4" w:space="0" w:color="auto"/>
            </w:tcBorders>
            <w:shd w:val="clear" w:color="auto" w:fill="E6F2FF"/>
          </w:tcPr>
          <w:p w14:paraId="41A7FB13" w14:textId="77777777" w:rsidR="00997AF2" w:rsidRDefault="00997AF2" w:rsidP="00997AF2">
            <w:pPr>
              <w:pStyle w:val="Summarytabletextrightaligned"/>
            </w:pPr>
            <w:r>
              <w:t>$m</w:t>
            </w:r>
          </w:p>
        </w:tc>
        <w:tc>
          <w:tcPr>
            <w:tcW w:w="850" w:type="dxa"/>
            <w:tcBorders>
              <w:top w:val="nil"/>
              <w:bottom w:val="single" w:sz="4" w:space="0" w:color="auto"/>
            </w:tcBorders>
            <w:shd w:val="clear" w:color="auto" w:fill="auto"/>
          </w:tcPr>
          <w:p w14:paraId="6457D168" w14:textId="77777777" w:rsidR="00997AF2" w:rsidRDefault="00997AF2" w:rsidP="00997AF2">
            <w:pPr>
              <w:pStyle w:val="Summarytabletextrightaligned"/>
            </w:pPr>
            <w:r>
              <w:t>$m</w:t>
            </w:r>
          </w:p>
        </w:tc>
        <w:tc>
          <w:tcPr>
            <w:tcW w:w="850" w:type="dxa"/>
            <w:tcBorders>
              <w:top w:val="nil"/>
              <w:bottom w:val="single" w:sz="4" w:space="0" w:color="auto"/>
            </w:tcBorders>
            <w:shd w:val="clear" w:color="auto" w:fill="auto"/>
          </w:tcPr>
          <w:p w14:paraId="180963E4" w14:textId="77777777" w:rsidR="00997AF2" w:rsidRDefault="00997AF2" w:rsidP="00997AF2">
            <w:pPr>
              <w:pStyle w:val="Summarytabletextrightaligned"/>
            </w:pPr>
            <w:r>
              <w:t>$m</w:t>
            </w:r>
          </w:p>
        </w:tc>
        <w:tc>
          <w:tcPr>
            <w:tcW w:w="850" w:type="dxa"/>
            <w:tcBorders>
              <w:top w:val="nil"/>
              <w:bottom w:val="single" w:sz="4" w:space="0" w:color="auto"/>
            </w:tcBorders>
            <w:shd w:val="clear" w:color="auto" w:fill="auto"/>
          </w:tcPr>
          <w:p w14:paraId="3B49E4E4" w14:textId="77777777" w:rsidR="00997AF2" w:rsidRDefault="00997AF2" w:rsidP="00997AF2">
            <w:pPr>
              <w:pStyle w:val="Summarytabletextrightaligned"/>
            </w:pPr>
            <w:r>
              <w:t>$m</w:t>
            </w:r>
          </w:p>
        </w:tc>
      </w:tr>
      <w:tr w:rsidR="00997AF2" w14:paraId="690C706D" w14:textId="77777777" w:rsidTr="00997AF2">
        <w:tc>
          <w:tcPr>
            <w:tcW w:w="3471" w:type="dxa"/>
            <w:tcBorders>
              <w:bottom w:val="nil"/>
            </w:tcBorders>
            <w:vAlign w:val="bottom"/>
          </w:tcPr>
          <w:p w14:paraId="29AFA660" w14:textId="77777777" w:rsidR="00997AF2" w:rsidRPr="00997AF2" w:rsidRDefault="00997AF2" w:rsidP="00997AF2">
            <w:pPr>
              <w:pStyle w:val="SummaryMeasureTitlewithTheme"/>
              <w:rPr>
                <w:b/>
              </w:rPr>
            </w:pPr>
            <w:r w:rsidRPr="00997AF2">
              <w:rPr>
                <w:b/>
              </w:rPr>
              <w:t>SOCIAL SERVICES (continued)</w:t>
            </w:r>
          </w:p>
        </w:tc>
        <w:tc>
          <w:tcPr>
            <w:tcW w:w="850" w:type="dxa"/>
            <w:tcBorders>
              <w:top w:val="single" w:sz="4" w:space="0" w:color="auto"/>
              <w:bottom w:val="nil"/>
            </w:tcBorders>
          </w:tcPr>
          <w:p w14:paraId="528E804C" w14:textId="77777777" w:rsidR="00997AF2" w:rsidRDefault="00997AF2">
            <w:pPr>
              <w:pStyle w:val="SummaryAgencyTitle-BP2"/>
            </w:pPr>
          </w:p>
        </w:tc>
        <w:tc>
          <w:tcPr>
            <w:tcW w:w="850" w:type="dxa"/>
            <w:tcBorders>
              <w:top w:val="single" w:sz="4" w:space="0" w:color="auto"/>
              <w:bottom w:val="nil"/>
            </w:tcBorders>
            <w:shd w:val="clear" w:color="auto" w:fill="E6F2FF"/>
          </w:tcPr>
          <w:p w14:paraId="3FDCD221" w14:textId="77777777" w:rsidR="00997AF2" w:rsidRDefault="00997AF2">
            <w:pPr>
              <w:pStyle w:val="SummaryAgencyTitle-BP2"/>
            </w:pPr>
          </w:p>
        </w:tc>
        <w:tc>
          <w:tcPr>
            <w:tcW w:w="850" w:type="dxa"/>
            <w:tcBorders>
              <w:top w:val="single" w:sz="4" w:space="0" w:color="auto"/>
              <w:bottom w:val="nil"/>
            </w:tcBorders>
          </w:tcPr>
          <w:p w14:paraId="157612C2" w14:textId="77777777" w:rsidR="00997AF2" w:rsidRDefault="00997AF2">
            <w:pPr>
              <w:pStyle w:val="SummaryAgencyTitle-BP2"/>
            </w:pPr>
          </w:p>
        </w:tc>
        <w:tc>
          <w:tcPr>
            <w:tcW w:w="850" w:type="dxa"/>
            <w:tcBorders>
              <w:top w:val="single" w:sz="4" w:space="0" w:color="auto"/>
              <w:bottom w:val="nil"/>
            </w:tcBorders>
          </w:tcPr>
          <w:p w14:paraId="6DBA5CFD" w14:textId="77777777" w:rsidR="00997AF2" w:rsidRDefault="00997AF2">
            <w:pPr>
              <w:pStyle w:val="SummaryAgencyTitle-BP2"/>
            </w:pPr>
          </w:p>
        </w:tc>
        <w:tc>
          <w:tcPr>
            <w:tcW w:w="850" w:type="dxa"/>
            <w:tcBorders>
              <w:top w:val="single" w:sz="4" w:space="0" w:color="auto"/>
              <w:bottom w:val="nil"/>
            </w:tcBorders>
          </w:tcPr>
          <w:p w14:paraId="218E3ED0" w14:textId="77777777" w:rsidR="00997AF2" w:rsidRDefault="00997AF2">
            <w:pPr>
              <w:pStyle w:val="SummaryAgencyTitle-BP2"/>
            </w:pPr>
          </w:p>
        </w:tc>
      </w:tr>
      <w:tr w:rsidR="00B628FF" w14:paraId="7B71399C" w14:textId="77777777" w:rsidTr="00997AF2">
        <w:tc>
          <w:tcPr>
            <w:tcW w:w="3471" w:type="dxa"/>
            <w:tcBorders>
              <w:top w:val="nil"/>
            </w:tcBorders>
            <w:vAlign w:val="bottom"/>
          </w:tcPr>
          <w:p w14:paraId="1D41EEA6" w14:textId="77777777" w:rsidR="00B628FF" w:rsidRDefault="005B2D2F">
            <w:pPr>
              <w:pStyle w:val="SummaryAgencyTitle-BP2"/>
            </w:pPr>
            <w:r>
              <w:t>National Disability Insurance Agency</w:t>
            </w:r>
          </w:p>
        </w:tc>
        <w:tc>
          <w:tcPr>
            <w:tcW w:w="850" w:type="dxa"/>
            <w:tcBorders>
              <w:top w:val="nil"/>
            </w:tcBorders>
          </w:tcPr>
          <w:p w14:paraId="056D231C" w14:textId="77777777" w:rsidR="00B628FF" w:rsidRDefault="00B628FF">
            <w:pPr>
              <w:pStyle w:val="SummaryAgencyTitle-BP2"/>
            </w:pPr>
          </w:p>
        </w:tc>
        <w:tc>
          <w:tcPr>
            <w:tcW w:w="850" w:type="dxa"/>
            <w:tcBorders>
              <w:top w:val="nil"/>
            </w:tcBorders>
            <w:shd w:val="clear" w:color="auto" w:fill="E6F2FF"/>
          </w:tcPr>
          <w:p w14:paraId="46E8A39E" w14:textId="77777777" w:rsidR="00B628FF" w:rsidRDefault="00B628FF">
            <w:pPr>
              <w:pStyle w:val="SummaryAgencyTitle-BP2"/>
            </w:pPr>
          </w:p>
        </w:tc>
        <w:tc>
          <w:tcPr>
            <w:tcW w:w="850" w:type="dxa"/>
            <w:tcBorders>
              <w:top w:val="nil"/>
            </w:tcBorders>
          </w:tcPr>
          <w:p w14:paraId="65D9B1F2" w14:textId="77777777" w:rsidR="00B628FF" w:rsidRDefault="00B628FF">
            <w:pPr>
              <w:pStyle w:val="SummaryAgencyTitle-BP2"/>
            </w:pPr>
          </w:p>
        </w:tc>
        <w:tc>
          <w:tcPr>
            <w:tcW w:w="850" w:type="dxa"/>
            <w:tcBorders>
              <w:top w:val="nil"/>
            </w:tcBorders>
          </w:tcPr>
          <w:p w14:paraId="6B8C910A" w14:textId="77777777" w:rsidR="00B628FF" w:rsidRDefault="00B628FF">
            <w:pPr>
              <w:pStyle w:val="SummaryAgencyTitle-BP2"/>
            </w:pPr>
          </w:p>
        </w:tc>
        <w:tc>
          <w:tcPr>
            <w:tcW w:w="850" w:type="dxa"/>
            <w:tcBorders>
              <w:top w:val="nil"/>
            </w:tcBorders>
          </w:tcPr>
          <w:p w14:paraId="0AA51DB4" w14:textId="77777777" w:rsidR="00B628FF" w:rsidRDefault="00B628FF">
            <w:pPr>
              <w:pStyle w:val="SummaryAgencyTitle-BP2"/>
            </w:pPr>
          </w:p>
        </w:tc>
      </w:tr>
      <w:tr w:rsidR="00B628FF" w14:paraId="0FE8E0C6" w14:textId="77777777" w:rsidTr="00997AF2">
        <w:tc>
          <w:tcPr>
            <w:tcW w:w="3471" w:type="dxa"/>
            <w:vAlign w:val="bottom"/>
          </w:tcPr>
          <w:p w14:paraId="41BC10DB" w14:textId="77777777" w:rsidR="00B628FF" w:rsidRDefault="005B2D2F">
            <w:pPr>
              <w:pStyle w:val="SummaryMeasureTitlewithTheme"/>
            </w:pPr>
            <w:r>
              <w:t>Strengthening the National Disability Insurance Scheme</w:t>
            </w:r>
          </w:p>
        </w:tc>
        <w:tc>
          <w:tcPr>
            <w:tcW w:w="850" w:type="dxa"/>
            <w:vAlign w:val="bottom"/>
          </w:tcPr>
          <w:p w14:paraId="66DF6CB6" w14:textId="685F72F2" w:rsidR="00B628FF" w:rsidRDefault="00B31B37">
            <w:pPr>
              <w:pStyle w:val="Summarytabletextrightaligned"/>
            </w:pPr>
            <w:r>
              <w:noBreakHyphen/>
            </w:r>
          </w:p>
        </w:tc>
        <w:tc>
          <w:tcPr>
            <w:tcW w:w="850" w:type="dxa"/>
            <w:shd w:val="clear" w:color="auto" w:fill="E6F2FF"/>
            <w:vAlign w:val="bottom"/>
          </w:tcPr>
          <w:p w14:paraId="245A6314" w14:textId="77777777" w:rsidR="00B628FF" w:rsidRDefault="005B2D2F">
            <w:pPr>
              <w:pStyle w:val="Summarytabletextrightaligned"/>
            </w:pPr>
            <w:r>
              <w:t>17.1</w:t>
            </w:r>
          </w:p>
        </w:tc>
        <w:tc>
          <w:tcPr>
            <w:tcW w:w="850" w:type="dxa"/>
            <w:vAlign w:val="bottom"/>
          </w:tcPr>
          <w:p w14:paraId="3A97AB64" w14:textId="3F9D5AF3" w:rsidR="00B628FF" w:rsidRDefault="00B31B37">
            <w:pPr>
              <w:pStyle w:val="Summarytabletextrightaligned"/>
            </w:pPr>
            <w:r>
              <w:noBreakHyphen/>
            </w:r>
          </w:p>
        </w:tc>
        <w:tc>
          <w:tcPr>
            <w:tcW w:w="850" w:type="dxa"/>
            <w:vAlign w:val="bottom"/>
          </w:tcPr>
          <w:p w14:paraId="6796ECD9" w14:textId="0D243012" w:rsidR="00B628FF" w:rsidRDefault="00B31B37">
            <w:pPr>
              <w:pStyle w:val="Summarytabletextrightaligned"/>
            </w:pPr>
            <w:r>
              <w:noBreakHyphen/>
            </w:r>
          </w:p>
        </w:tc>
        <w:tc>
          <w:tcPr>
            <w:tcW w:w="850" w:type="dxa"/>
            <w:vAlign w:val="bottom"/>
          </w:tcPr>
          <w:p w14:paraId="240932A6" w14:textId="108C55AC" w:rsidR="00B628FF" w:rsidRDefault="00B31B37">
            <w:pPr>
              <w:pStyle w:val="Summarytabletextrightaligned"/>
            </w:pPr>
            <w:r>
              <w:noBreakHyphen/>
            </w:r>
          </w:p>
        </w:tc>
      </w:tr>
      <w:tr w:rsidR="00B628FF" w14:paraId="5430E9E7" w14:textId="77777777" w:rsidTr="00997AF2">
        <w:tc>
          <w:tcPr>
            <w:tcW w:w="3471" w:type="dxa"/>
            <w:vAlign w:val="bottom"/>
          </w:tcPr>
          <w:p w14:paraId="7403D6EE" w14:textId="77777777" w:rsidR="00B628FF" w:rsidRDefault="005B2D2F">
            <w:pPr>
              <w:pStyle w:val="SummaryAgencyTitle-BP2"/>
            </w:pPr>
            <w:r>
              <w:t>Services Australia</w:t>
            </w:r>
          </w:p>
        </w:tc>
        <w:tc>
          <w:tcPr>
            <w:tcW w:w="850" w:type="dxa"/>
          </w:tcPr>
          <w:p w14:paraId="525961D8" w14:textId="77777777" w:rsidR="00B628FF" w:rsidRDefault="00B628FF">
            <w:pPr>
              <w:pStyle w:val="SummaryAgencyTitle-BP2"/>
            </w:pPr>
          </w:p>
        </w:tc>
        <w:tc>
          <w:tcPr>
            <w:tcW w:w="850" w:type="dxa"/>
            <w:shd w:val="clear" w:color="auto" w:fill="E6F2FF"/>
          </w:tcPr>
          <w:p w14:paraId="4A0B7F33" w14:textId="77777777" w:rsidR="00B628FF" w:rsidRDefault="00B628FF">
            <w:pPr>
              <w:pStyle w:val="SummaryAgencyTitle-BP2"/>
            </w:pPr>
          </w:p>
        </w:tc>
        <w:tc>
          <w:tcPr>
            <w:tcW w:w="850" w:type="dxa"/>
          </w:tcPr>
          <w:p w14:paraId="361B984D" w14:textId="77777777" w:rsidR="00B628FF" w:rsidRDefault="00B628FF">
            <w:pPr>
              <w:pStyle w:val="SummaryAgencyTitle-BP2"/>
            </w:pPr>
          </w:p>
        </w:tc>
        <w:tc>
          <w:tcPr>
            <w:tcW w:w="850" w:type="dxa"/>
          </w:tcPr>
          <w:p w14:paraId="5BAE9478" w14:textId="77777777" w:rsidR="00B628FF" w:rsidRDefault="00B628FF">
            <w:pPr>
              <w:pStyle w:val="SummaryAgencyTitle-BP2"/>
            </w:pPr>
          </w:p>
        </w:tc>
        <w:tc>
          <w:tcPr>
            <w:tcW w:w="850" w:type="dxa"/>
          </w:tcPr>
          <w:p w14:paraId="538298E8" w14:textId="77777777" w:rsidR="00B628FF" w:rsidRDefault="00B628FF">
            <w:pPr>
              <w:pStyle w:val="SummaryAgencyTitle-BP2"/>
            </w:pPr>
          </w:p>
        </w:tc>
      </w:tr>
      <w:tr w:rsidR="00B628FF" w14:paraId="49507A04" w14:textId="77777777" w:rsidTr="00997AF2">
        <w:tc>
          <w:tcPr>
            <w:tcW w:w="3471" w:type="dxa"/>
            <w:vAlign w:val="bottom"/>
          </w:tcPr>
          <w:p w14:paraId="738A12CA" w14:textId="7566EDD5" w:rsidR="00B628FF" w:rsidRDefault="005B2D2F">
            <w:pPr>
              <w:pStyle w:val="SummaryMeasureTitlewithTheme"/>
            </w:pPr>
            <w:r>
              <w:t>Building Australia</w:t>
            </w:r>
            <w:r w:rsidR="00B31B37">
              <w:t>’</w:t>
            </w:r>
            <w:r>
              <w:t>s Future – Improving Outcomes in Australian Schools</w:t>
            </w:r>
          </w:p>
        </w:tc>
        <w:tc>
          <w:tcPr>
            <w:tcW w:w="850" w:type="dxa"/>
            <w:vAlign w:val="bottom"/>
          </w:tcPr>
          <w:p w14:paraId="12FFC15A" w14:textId="346A2603" w:rsidR="00B628FF" w:rsidRDefault="00B31B37">
            <w:pPr>
              <w:pStyle w:val="Summarytabletextrightaligned"/>
            </w:pPr>
            <w:r>
              <w:noBreakHyphen/>
            </w:r>
          </w:p>
        </w:tc>
        <w:tc>
          <w:tcPr>
            <w:tcW w:w="850" w:type="dxa"/>
            <w:shd w:val="clear" w:color="auto" w:fill="E6F2FF"/>
            <w:vAlign w:val="bottom"/>
          </w:tcPr>
          <w:p w14:paraId="78A957CF" w14:textId="450C8CA7" w:rsidR="00B628FF" w:rsidRDefault="00B31B37">
            <w:pPr>
              <w:pStyle w:val="Summarytabletextrightaligned"/>
            </w:pPr>
            <w:r>
              <w:noBreakHyphen/>
            </w:r>
          </w:p>
        </w:tc>
        <w:tc>
          <w:tcPr>
            <w:tcW w:w="850" w:type="dxa"/>
            <w:vAlign w:val="bottom"/>
          </w:tcPr>
          <w:p w14:paraId="139A904C" w14:textId="074CC266" w:rsidR="00B628FF" w:rsidRDefault="00B31B37">
            <w:pPr>
              <w:pStyle w:val="Summarytabletextrightaligned"/>
            </w:pPr>
            <w:r>
              <w:noBreakHyphen/>
            </w:r>
          </w:p>
        </w:tc>
        <w:tc>
          <w:tcPr>
            <w:tcW w:w="850" w:type="dxa"/>
            <w:vAlign w:val="bottom"/>
          </w:tcPr>
          <w:p w14:paraId="2B9E5CE5" w14:textId="41E6FD6C" w:rsidR="00B628FF" w:rsidRDefault="00B31B37">
            <w:pPr>
              <w:pStyle w:val="Summarytabletextrightaligned"/>
            </w:pPr>
            <w:r>
              <w:noBreakHyphen/>
            </w:r>
          </w:p>
        </w:tc>
        <w:tc>
          <w:tcPr>
            <w:tcW w:w="850" w:type="dxa"/>
            <w:vAlign w:val="bottom"/>
          </w:tcPr>
          <w:p w14:paraId="755E9A40" w14:textId="4C236B14" w:rsidR="00B628FF" w:rsidRDefault="00B31B37">
            <w:pPr>
              <w:pStyle w:val="Summarytabletextrightaligned"/>
            </w:pPr>
            <w:r>
              <w:noBreakHyphen/>
            </w:r>
          </w:p>
        </w:tc>
      </w:tr>
      <w:tr w:rsidR="00B628FF" w14:paraId="1DBA2A1F" w14:textId="77777777" w:rsidTr="00997AF2">
        <w:tc>
          <w:tcPr>
            <w:tcW w:w="3471" w:type="dxa"/>
            <w:vAlign w:val="bottom"/>
          </w:tcPr>
          <w:p w14:paraId="2F65D388" w14:textId="77777777" w:rsidR="00B628FF" w:rsidRDefault="005B2D2F">
            <w:pPr>
              <w:pStyle w:val="SummaryMeasureTitlewithTheme"/>
            </w:pPr>
            <w:r>
              <w:t>Closing the Gap – further investments(b)</w:t>
            </w:r>
          </w:p>
        </w:tc>
        <w:tc>
          <w:tcPr>
            <w:tcW w:w="850" w:type="dxa"/>
            <w:vAlign w:val="bottom"/>
          </w:tcPr>
          <w:p w14:paraId="7070C758" w14:textId="0AFF4AB2" w:rsidR="00B628FF" w:rsidRDefault="00B31B37">
            <w:pPr>
              <w:pStyle w:val="Summarytabletextrightaligned"/>
            </w:pPr>
            <w:r>
              <w:noBreakHyphen/>
            </w:r>
            <w:r w:rsidR="005B2D2F">
              <w:t>2.8</w:t>
            </w:r>
          </w:p>
        </w:tc>
        <w:tc>
          <w:tcPr>
            <w:tcW w:w="850" w:type="dxa"/>
            <w:shd w:val="clear" w:color="auto" w:fill="E6F2FF"/>
            <w:vAlign w:val="bottom"/>
          </w:tcPr>
          <w:p w14:paraId="319C6AFD" w14:textId="206E8AE0" w:rsidR="00B628FF" w:rsidRDefault="00B31B37">
            <w:pPr>
              <w:pStyle w:val="Summarytabletextrightaligned"/>
            </w:pPr>
            <w:r>
              <w:noBreakHyphen/>
            </w:r>
            <w:r w:rsidR="005B2D2F">
              <w:t>7.1</w:t>
            </w:r>
          </w:p>
        </w:tc>
        <w:tc>
          <w:tcPr>
            <w:tcW w:w="850" w:type="dxa"/>
            <w:vAlign w:val="bottom"/>
          </w:tcPr>
          <w:p w14:paraId="58C134AA" w14:textId="77777777" w:rsidR="00B628FF" w:rsidRDefault="005B2D2F">
            <w:pPr>
              <w:pStyle w:val="Summarytabletextrightaligned"/>
            </w:pPr>
            <w:r>
              <w:t>11.8</w:t>
            </w:r>
          </w:p>
        </w:tc>
        <w:tc>
          <w:tcPr>
            <w:tcW w:w="850" w:type="dxa"/>
            <w:vAlign w:val="bottom"/>
          </w:tcPr>
          <w:p w14:paraId="070E45E9" w14:textId="65B45D58" w:rsidR="00B628FF" w:rsidRDefault="00B31B37">
            <w:pPr>
              <w:pStyle w:val="Summarytabletextrightaligned"/>
            </w:pPr>
            <w:r>
              <w:noBreakHyphen/>
            </w:r>
          </w:p>
        </w:tc>
        <w:tc>
          <w:tcPr>
            <w:tcW w:w="850" w:type="dxa"/>
            <w:vAlign w:val="bottom"/>
          </w:tcPr>
          <w:p w14:paraId="499CC18D" w14:textId="383FD53C" w:rsidR="00B628FF" w:rsidRDefault="00B31B37">
            <w:pPr>
              <w:pStyle w:val="Summarytabletextrightaligned"/>
            </w:pPr>
            <w:r>
              <w:noBreakHyphen/>
            </w:r>
          </w:p>
        </w:tc>
      </w:tr>
      <w:tr w:rsidR="00B628FF" w14:paraId="7962E12F" w14:textId="77777777" w:rsidTr="00997AF2">
        <w:tc>
          <w:tcPr>
            <w:tcW w:w="3471" w:type="dxa"/>
            <w:vAlign w:val="bottom"/>
          </w:tcPr>
          <w:p w14:paraId="09EEB052" w14:textId="77777777" w:rsidR="00B628FF" w:rsidRDefault="005B2D2F">
            <w:pPr>
              <w:pStyle w:val="SummaryMeasureTitlewithTheme"/>
            </w:pPr>
            <w:r>
              <w:t>Improving Access to Medicines and Pharmacy Programs(b)</w:t>
            </w:r>
          </w:p>
        </w:tc>
        <w:tc>
          <w:tcPr>
            <w:tcW w:w="850" w:type="dxa"/>
            <w:vAlign w:val="bottom"/>
          </w:tcPr>
          <w:p w14:paraId="24EEF117" w14:textId="617543E4" w:rsidR="00B628FF" w:rsidRDefault="00B31B37">
            <w:pPr>
              <w:pStyle w:val="Summarytabletextrightaligned"/>
            </w:pPr>
            <w:r>
              <w:noBreakHyphen/>
            </w:r>
          </w:p>
        </w:tc>
        <w:tc>
          <w:tcPr>
            <w:tcW w:w="850" w:type="dxa"/>
            <w:shd w:val="clear" w:color="auto" w:fill="E6F2FF"/>
            <w:vAlign w:val="bottom"/>
          </w:tcPr>
          <w:p w14:paraId="7DA3B4C7" w14:textId="77777777" w:rsidR="00B628FF" w:rsidRDefault="005B2D2F">
            <w:pPr>
              <w:pStyle w:val="Summarytabletextrightaligned"/>
            </w:pPr>
            <w:r>
              <w:t>0.8</w:t>
            </w:r>
          </w:p>
        </w:tc>
        <w:tc>
          <w:tcPr>
            <w:tcW w:w="850" w:type="dxa"/>
            <w:vAlign w:val="bottom"/>
          </w:tcPr>
          <w:p w14:paraId="0C5B23B1" w14:textId="0C7DA839" w:rsidR="00B628FF" w:rsidRDefault="00B31B37">
            <w:pPr>
              <w:pStyle w:val="Summarytabletextrightaligned"/>
            </w:pPr>
            <w:r>
              <w:noBreakHyphen/>
            </w:r>
          </w:p>
        </w:tc>
        <w:tc>
          <w:tcPr>
            <w:tcW w:w="850" w:type="dxa"/>
            <w:vAlign w:val="bottom"/>
          </w:tcPr>
          <w:p w14:paraId="1F74F846" w14:textId="08032478" w:rsidR="00B628FF" w:rsidRDefault="00B31B37">
            <w:pPr>
              <w:pStyle w:val="Summarytabletextrightaligned"/>
            </w:pPr>
            <w:r>
              <w:noBreakHyphen/>
            </w:r>
          </w:p>
        </w:tc>
        <w:tc>
          <w:tcPr>
            <w:tcW w:w="850" w:type="dxa"/>
            <w:vAlign w:val="bottom"/>
          </w:tcPr>
          <w:p w14:paraId="65654708" w14:textId="7C540E89" w:rsidR="00B628FF" w:rsidRDefault="00B31B37">
            <w:pPr>
              <w:pStyle w:val="Summarytabletextrightaligned"/>
            </w:pPr>
            <w:r>
              <w:noBreakHyphen/>
            </w:r>
          </w:p>
        </w:tc>
      </w:tr>
      <w:tr w:rsidR="00B628FF" w14:paraId="37D6F8E3" w14:textId="77777777" w:rsidTr="00997AF2">
        <w:tc>
          <w:tcPr>
            <w:tcW w:w="3471" w:type="dxa"/>
            <w:vAlign w:val="bottom"/>
          </w:tcPr>
          <w:p w14:paraId="6165BBC3" w14:textId="77777777" w:rsidR="00B628FF" w:rsidRDefault="005B2D2F">
            <w:pPr>
              <w:pStyle w:val="SummaryMeasureTitlewithTheme"/>
            </w:pPr>
            <w:r>
              <w:t>Pharmaceutical Benefits Scheme (PBS) New and Amended Listings(b)</w:t>
            </w:r>
          </w:p>
        </w:tc>
        <w:tc>
          <w:tcPr>
            <w:tcW w:w="850" w:type="dxa"/>
            <w:vAlign w:val="bottom"/>
          </w:tcPr>
          <w:p w14:paraId="16E11311" w14:textId="77777777" w:rsidR="00B628FF" w:rsidRDefault="005B2D2F">
            <w:pPr>
              <w:pStyle w:val="Summarytabletextrightaligned"/>
            </w:pPr>
            <w:r>
              <w:t>0.4</w:t>
            </w:r>
          </w:p>
        </w:tc>
        <w:tc>
          <w:tcPr>
            <w:tcW w:w="850" w:type="dxa"/>
            <w:shd w:val="clear" w:color="auto" w:fill="E6F2FF"/>
            <w:vAlign w:val="bottom"/>
          </w:tcPr>
          <w:p w14:paraId="53A523E1" w14:textId="77777777" w:rsidR="00B628FF" w:rsidRDefault="005B2D2F">
            <w:pPr>
              <w:pStyle w:val="Summarytabletextrightaligned"/>
            </w:pPr>
            <w:r>
              <w:t>0.1</w:t>
            </w:r>
          </w:p>
        </w:tc>
        <w:tc>
          <w:tcPr>
            <w:tcW w:w="850" w:type="dxa"/>
            <w:vAlign w:val="bottom"/>
          </w:tcPr>
          <w:p w14:paraId="015E4B21" w14:textId="77777777" w:rsidR="00B628FF" w:rsidRDefault="005B2D2F">
            <w:pPr>
              <w:pStyle w:val="Summarytabletextrightaligned"/>
            </w:pPr>
            <w:r>
              <w:t>0.1</w:t>
            </w:r>
          </w:p>
        </w:tc>
        <w:tc>
          <w:tcPr>
            <w:tcW w:w="850" w:type="dxa"/>
            <w:vAlign w:val="bottom"/>
          </w:tcPr>
          <w:p w14:paraId="1974E30B" w14:textId="77777777" w:rsidR="00B628FF" w:rsidRDefault="005B2D2F">
            <w:pPr>
              <w:pStyle w:val="Summarytabletextrightaligned"/>
            </w:pPr>
            <w:r>
              <w:t>0.1</w:t>
            </w:r>
          </w:p>
        </w:tc>
        <w:tc>
          <w:tcPr>
            <w:tcW w:w="850" w:type="dxa"/>
            <w:vAlign w:val="bottom"/>
          </w:tcPr>
          <w:p w14:paraId="3436DD5D" w14:textId="77777777" w:rsidR="00B628FF" w:rsidRDefault="005B2D2F">
            <w:pPr>
              <w:pStyle w:val="Summarytabletextrightaligned"/>
            </w:pPr>
            <w:r>
              <w:t>0.1</w:t>
            </w:r>
          </w:p>
        </w:tc>
      </w:tr>
      <w:tr w:rsidR="00B628FF" w14:paraId="69FEAEE5" w14:textId="77777777" w:rsidTr="00997AF2">
        <w:tc>
          <w:tcPr>
            <w:tcW w:w="3471" w:type="dxa"/>
            <w:vAlign w:val="bottom"/>
          </w:tcPr>
          <w:p w14:paraId="4D16F238" w14:textId="77777777" w:rsidR="00B628FF" w:rsidRDefault="005B2D2F">
            <w:pPr>
              <w:pStyle w:val="SummaryMeasureTitlewithTheme"/>
            </w:pPr>
            <w:r>
              <w:t>Strengthening Medicare</w:t>
            </w:r>
          </w:p>
        </w:tc>
        <w:tc>
          <w:tcPr>
            <w:tcW w:w="850" w:type="dxa"/>
            <w:vAlign w:val="bottom"/>
          </w:tcPr>
          <w:p w14:paraId="04573719" w14:textId="0BA5CEE7" w:rsidR="00B628FF" w:rsidRDefault="00B31B37">
            <w:pPr>
              <w:pStyle w:val="Summarytabletextrightaligned"/>
            </w:pPr>
            <w:r>
              <w:noBreakHyphen/>
            </w:r>
          </w:p>
        </w:tc>
        <w:tc>
          <w:tcPr>
            <w:tcW w:w="850" w:type="dxa"/>
            <w:shd w:val="clear" w:color="auto" w:fill="E6F2FF"/>
            <w:vAlign w:val="bottom"/>
          </w:tcPr>
          <w:p w14:paraId="20E96B03" w14:textId="77777777" w:rsidR="00B628FF" w:rsidRDefault="005B2D2F">
            <w:pPr>
              <w:pStyle w:val="Summarytabletextrightaligned"/>
            </w:pPr>
            <w:r>
              <w:t>53.3</w:t>
            </w:r>
          </w:p>
        </w:tc>
        <w:tc>
          <w:tcPr>
            <w:tcW w:w="850" w:type="dxa"/>
            <w:vAlign w:val="bottom"/>
          </w:tcPr>
          <w:p w14:paraId="35BB1D05" w14:textId="77777777" w:rsidR="00B628FF" w:rsidRDefault="005B2D2F">
            <w:pPr>
              <w:pStyle w:val="Summarytabletextrightaligned"/>
            </w:pPr>
            <w:r>
              <w:t>53.1</w:t>
            </w:r>
          </w:p>
        </w:tc>
        <w:tc>
          <w:tcPr>
            <w:tcW w:w="850" w:type="dxa"/>
            <w:vAlign w:val="bottom"/>
          </w:tcPr>
          <w:p w14:paraId="665514DE" w14:textId="77777777" w:rsidR="00B628FF" w:rsidRDefault="005B2D2F">
            <w:pPr>
              <w:pStyle w:val="Summarytabletextrightaligned"/>
            </w:pPr>
            <w:r>
              <w:t>53.4</w:t>
            </w:r>
          </w:p>
        </w:tc>
        <w:tc>
          <w:tcPr>
            <w:tcW w:w="850" w:type="dxa"/>
            <w:vAlign w:val="bottom"/>
          </w:tcPr>
          <w:p w14:paraId="690E707F" w14:textId="77777777" w:rsidR="00B628FF" w:rsidRDefault="005B2D2F">
            <w:pPr>
              <w:pStyle w:val="Summarytabletextrightaligned"/>
            </w:pPr>
            <w:r>
              <w:t>54.7</w:t>
            </w:r>
          </w:p>
        </w:tc>
      </w:tr>
      <w:tr w:rsidR="00B628FF" w14:paraId="4F81093B" w14:textId="77777777" w:rsidTr="00997AF2">
        <w:tc>
          <w:tcPr>
            <w:tcW w:w="3471" w:type="dxa"/>
            <w:vAlign w:val="bottom"/>
          </w:tcPr>
          <w:p w14:paraId="6A888392" w14:textId="77777777" w:rsidR="00B628FF" w:rsidRDefault="005B2D2F">
            <w:pPr>
              <w:pStyle w:val="SummaryMeasureTitlewithTheme"/>
            </w:pPr>
            <w:r>
              <w:t>Strengthening Medicare – Expanding Medicare Urgent Care Clinics</w:t>
            </w:r>
          </w:p>
        </w:tc>
        <w:tc>
          <w:tcPr>
            <w:tcW w:w="850" w:type="dxa"/>
            <w:vAlign w:val="bottom"/>
          </w:tcPr>
          <w:p w14:paraId="122C65F6" w14:textId="408BCB64" w:rsidR="00B628FF" w:rsidRDefault="00B31B37">
            <w:pPr>
              <w:pStyle w:val="Summarytabletextrightaligned"/>
            </w:pPr>
            <w:r>
              <w:noBreakHyphen/>
            </w:r>
          </w:p>
        </w:tc>
        <w:tc>
          <w:tcPr>
            <w:tcW w:w="850" w:type="dxa"/>
            <w:shd w:val="clear" w:color="auto" w:fill="E6F2FF"/>
            <w:vAlign w:val="bottom"/>
          </w:tcPr>
          <w:p w14:paraId="4C5053C0" w14:textId="77777777" w:rsidR="00B628FF" w:rsidRDefault="005B2D2F">
            <w:pPr>
              <w:pStyle w:val="Summarytabletextrightaligned"/>
            </w:pPr>
            <w:r>
              <w:t>0.1</w:t>
            </w:r>
          </w:p>
        </w:tc>
        <w:tc>
          <w:tcPr>
            <w:tcW w:w="850" w:type="dxa"/>
            <w:vAlign w:val="bottom"/>
          </w:tcPr>
          <w:p w14:paraId="40A9CE3B" w14:textId="77777777" w:rsidR="00B628FF" w:rsidRDefault="005B2D2F">
            <w:pPr>
              <w:pStyle w:val="Summarytabletextrightaligned"/>
            </w:pPr>
            <w:r>
              <w:t>..</w:t>
            </w:r>
          </w:p>
        </w:tc>
        <w:tc>
          <w:tcPr>
            <w:tcW w:w="850" w:type="dxa"/>
            <w:vAlign w:val="bottom"/>
          </w:tcPr>
          <w:p w14:paraId="4D599356" w14:textId="77777777" w:rsidR="00B628FF" w:rsidRDefault="005B2D2F">
            <w:pPr>
              <w:pStyle w:val="Summarytabletextrightaligned"/>
            </w:pPr>
            <w:r>
              <w:t>..</w:t>
            </w:r>
          </w:p>
        </w:tc>
        <w:tc>
          <w:tcPr>
            <w:tcW w:w="850" w:type="dxa"/>
            <w:vAlign w:val="bottom"/>
          </w:tcPr>
          <w:p w14:paraId="00762549" w14:textId="6D78A595" w:rsidR="00B628FF" w:rsidRDefault="00B31B37">
            <w:pPr>
              <w:pStyle w:val="Summarytabletextrightaligned"/>
            </w:pPr>
            <w:r>
              <w:noBreakHyphen/>
            </w:r>
          </w:p>
        </w:tc>
      </w:tr>
      <w:tr w:rsidR="00B628FF" w14:paraId="3648F0F9" w14:textId="77777777" w:rsidTr="00997AF2">
        <w:tc>
          <w:tcPr>
            <w:tcW w:w="3471" w:type="dxa"/>
            <w:vAlign w:val="bottom"/>
          </w:tcPr>
          <w:p w14:paraId="244C009E" w14:textId="77777777" w:rsidR="00B628FF" w:rsidRDefault="005B2D2F">
            <w:pPr>
              <w:pStyle w:val="SummaryMeasureTitlewithTheme"/>
            </w:pPr>
            <w:r>
              <w:t>Strengthening Medicare – Health Workforce(b)</w:t>
            </w:r>
          </w:p>
        </w:tc>
        <w:tc>
          <w:tcPr>
            <w:tcW w:w="850" w:type="dxa"/>
            <w:vAlign w:val="bottom"/>
          </w:tcPr>
          <w:p w14:paraId="12C066B9" w14:textId="564D9B7C" w:rsidR="00B628FF" w:rsidRDefault="00B31B37">
            <w:pPr>
              <w:pStyle w:val="Summarytabletextrightaligned"/>
            </w:pPr>
            <w:r>
              <w:noBreakHyphen/>
            </w:r>
          </w:p>
        </w:tc>
        <w:tc>
          <w:tcPr>
            <w:tcW w:w="850" w:type="dxa"/>
            <w:shd w:val="clear" w:color="auto" w:fill="E6F2FF"/>
            <w:vAlign w:val="bottom"/>
          </w:tcPr>
          <w:p w14:paraId="7A3178F5" w14:textId="57816EA3" w:rsidR="00B628FF" w:rsidRDefault="00B31B37">
            <w:pPr>
              <w:pStyle w:val="Summarytabletextrightaligned"/>
            </w:pPr>
            <w:r>
              <w:noBreakHyphen/>
            </w:r>
          </w:p>
        </w:tc>
        <w:tc>
          <w:tcPr>
            <w:tcW w:w="850" w:type="dxa"/>
            <w:vAlign w:val="bottom"/>
          </w:tcPr>
          <w:p w14:paraId="56FA4038" w14:textId="5909A4F1" w:rsidR="00B628FF" w:rsidRDefault="00B31B37">
            <w:pPr>
              <w:pStyle w:val="Summarytabletextrightaligned"/>
            </w:pPr>
            <w:r>
              <w:noBreakHyphen/>
            </w:r>
          </w:p>
        </w:tc>
        <w:tc>
          <w:tcPr>
            <w:tcW w:w="850" w:type="dxa"/>
            <w:vAlign w:val="bottom"/>
          </w:tcPr>
          <w:p w14:paraId="597E8FDD" w14:textId="23CAC647" w:rsidR="00B628FF" w:rsidRDefault="00B31B37">
            <w:pPr>
              <w:pStyle w:val="Summarytabletextrightaligned"/>
            </w:pPr>
            <w:r>
              <w:noBreakHyphen/>
            </w:r>
          </w:p>
        </w:tc>
        <w:tc>
          <w:tcPr>
            <w:tcW w:w="850" w:type="dxa"/>
            <w:vAlign w:val="bottom"/>
          </w:tcPr>
          <w:p w14:paraId="67620439" w14:textId="742F5F18" w:rsidR="00B628FF" w:rsidRDefault="00B31B37">
            <w:pPr>
              <w:pStyle w:val="Summarytabletextrightaligned"/>
            </w:pPr>
            <w:r>
              <w:noBreakHyphen/>
            </w:r>
          </w:p>
        </w:tc>
      </w:tr>
      <w:tr w:rsidR="00B628FF" w14:paraId="174BFA3B" w14:textId="77777777" w:rsidTr="00997AF2">
        <w:tc>
          <w:tcPr>
            <w:tcW w:w="3471" w:type="dxa"/>
            <w:vAlign w:val="bottom"/>
          </w:tcPr>
          <w:p w14:paraId="27515A5F" w14:textId="229B5FD4" w:rsidR="00B628FF" w:rsidRDefault="005B2D2F">
            <w:pPr>
              <w:pStyle w:val="SummaryMeasureTitlewithTheme"/>
            </w:pPr>
            <w:r>
              <w:t>Strengthening Medicare – Women</w:t>
            </w:r>
            <w:r w:rsidR="00B31B37">
              <w:t>’</w:t>
            </w:r>
            <w:r>
              <w:t>s Health</w:t>
            </w:r>
          </w:p>
        </w:tc>
        <w:tc>
          <w:tcPr>
            <w:tcW w:w="850" w:type="dxa"/>
            <w:vAlign w:val="bottom"/>
          </w:tcPr>
          <w:p w14:paraId="7704C726" w14:textId="794D07CA" w:rsidR="00B628FF" w:rsidRDefault="00B31B37">
            <w:pPr>
              <w:pStyle w:val="Summarytabletextrightaligned"/>
            </w:pPr>
            <w:r>
              <w:noBreakHyphen/>
            </w:r>
          </w:p>
        </w:tc>
        <w:tc>
          <w:tcPr>
            <w:tcW w:w="850" w:type="dxa"/>
            <w:shd w:val="clear" w:color="auto" w:fill="E6F2FF"/>
            <w:vAlign w:val="bottom"/>
          </w:tcPr>
          <w:p w14:paraId="0D58F871" w14:textId="3A3202A7" w:rsidR="00B628FF" w:rsidRDefault="00B31B37">
            <w:pPr>
              <w:pStyle w:val="Summarytabletextrightaligned"/>
            </w:pPr>
            <w:r>
              <w:noBreakHyphen/>
            </w:r>
          </w:p>
        </w:tc>
        <w:tc>
          <w:tcPr>
            <w:tcW w:w="850" w:type="dxa"/>
            <w:vAlign w:val="bottom"/>
          </w:tcPr>
          <w:p w14:paraId="293FAF70" w14:textId="2FA9F860" w:rsidR="00B628FF" w:rsidRDefault="00B31B37">
            <w:pPr>
              <w:pStyle w:val="Summarytabletextrightaligned"/>
            </w:pPr>
            <w:r>
              <w:noBreakHyphen/>
            </w:r>
          </w:p>
        </w:tc>
        <w:tc>
          <w:tcPr>
            <w:tcW w:w="850" w:type="dxa"/>
            <w:vAlign w:val="bottom"/>
          </w:tcPr>
          <w:p w14:paraId="0B3A31DC" w14:textId="705E1831" w:rsidR="00B628FF" w:rsidRDefault="00B31B37">
            <w:pPr>
              <w:pStyle w:val="Summarytabletextrightaligned"/>
            </w:pPr>
            <w:r>
              <w:noBreakHyphen/>
            </w:r>
          </w:p>
        </w:tc>
        <w:tc>
          <w:tcPr>
            <w:tcW w:w="850" w:type="dxa"/>
            <w:vAlign w:val="bottom"/>
          </w:tcPr>
          <w:p w14:paraId="5297740D" w14:textId="0E78FAF1" w:rsidR="00B628FF" w:rsidRDefault="00B31B37">
            <w:pPr>
              <w:pStyle w:val="Summarytabletextrightaligned"/>
            </w:pPr>
            <w:r>
              <w:noBreakHyphen/>
            </w:r>
          </w:p>
        </w:tc>
      </w:tr>
      <w:tr w:rsidR="00B628FF" w14:paraId="5D4D7C4C" w14:textId="77777777" w:rsidTr="00997AF2">
        <w:tc>
          <w:tcPr>
            <w:tcW w:w="3471" w:type="dxa"/>
            <w:vAlign w:val="bottom"/>
          </w:tcPr>
          <w:p w14:paraId="58CB654D" w14:textId="77777777" w:rsidR="00B628FF" w:rsidRDefault="005B2D2F">
            <w:pPr>
              <w:pStyle w:val="Summarytabletextleftalignedbold"/>
            </w:pPr>
            <w:r>
              <w:t>Portfolio total</w:t>
            </w:r>
          </w:p>
        </w:tc>
        <w:tc>
          <w:tcPr>
            <w:tcW w:w="850" w:type="dxa"/>
            <w:tcBorders>
              <w:top w:val="single" w:sz="4" w:space="0" w:color="000000"/>
              <w:bottom w:val="single" w:sz="4" w:space="0" w:color="000000"/>
            </w:tcBorders>
            <w:vAlign w:val="bottom"/>
          </w:tcPr>
          <w:p w14:paraId="0DFA19D6" w14:textId="6DF3B9FF" w:rsidR="00B628FF" w:rsidRDefault="00B31B37">
            <w:pPr>
              <w:pStyle w:val="Summarytabletextrightalignedbold"/>
            </w:pPr>
            <w:r>
              <w:noBreakHyphen/>
            </w:r>
            <w:r w:rsidR="005B2D2F">
              <w:t>3.6</w:t>
            </w:r>
          </w:p>
        </w:tc>
        <w:tc>
          <w:tcPr>
            <w:tcW w:w="850" w:type="dxa"/>
            <w:tcBorders>
              <w:top w:val="single" w:sz="4" w:space="0" w:color="000000"/>
              <w:bottom w:val="single" w:sz="4" w:space="0" w:color="000000"/>
            </w:tcBorders>
            <w:shd w:val="clear" w:color="auto" w:fill="E6F2FF"/>
            <w:vAlign w:val="bottom"/>
          </w:tcPr>
          <w:p w14:paraId="4EBDD892" w14:textId="77777777" w:rsidR="00B628FF" w:rsidRDefault="005B2D2F">
            <w:pPr>
              <w:pStyle w:val="Summarytabletextrightalignedbold"/>
            </w:pPr>
            <w:r>
              <w:t>54.4</w:t>
            </w:r>
          </w:p>
        </w:tc>
        <w:tc>
          <w:tcPr>
            <w:tcW w:w="850" w:type="dxa"/>
            <w:tcBorders>
              <w:top w:val="single" w:sz="4" w:space="0" w:color="000000"/>
              <w:bottom w:val="single" w:sz="4" w:space="0" w:color="000000"/>
            </w:tcBorders>
            <w:vAlign w:val="bottom"/>
          </w:tcPr>
          <w:p w14:paraId="642A2ADC" w14:textId="77777777" w:rsidR="00B628FF" w:rsidRDefault="005B2D2F">
            <w:pPr>
              <w:pStyle w:val="Summarytabletextrightalignedbold"/>
            </w:pPr>
            <w:r>
              <w:t>75.2</w:t>
            </w:r>
          </w:p>
        </w:tc>
        <w:tc>
          <w:tcPr>
            <w:tcW w:w="850" w:type="dxa"/>
            <w:tcBorders>
              <w:top w:val="single" w:sz="4" w:space="0" w:color="000000"/>
              <w:bottom w:val="single" w:sz="4" w:space="0" w:color="000000"/>
            </w:tcBorders>
            <w:vAlign w:val="bottom"/>
          </w:tcPr>
          <w:p w14:paraId="40BB2140" w14:textId="77777777" w:rsidR="00B628FF" w:rsidRDefault="005B2D2F">
            <w:pPr>
              <w:pStyle w:val="Summarytabletextrightalignedbold"/>
            </w:pPr>
            <w:r>
              <w:t>64.8</w:t>
            </w:r>
          </w:p>
        </w:tc>
        <w:tc>
          <w:tcPr>
            <w:tcW w:w="850" w:type="dxa"/>
            <w:tcBorders>
              <w:top w:val="single" w:sz="4" w:space="0" w:color="000000"/>
              <w:bottom w:val="single" w:sz="4" w:space="0" w:color="000000"/>
            </w:tcBorders>
            <w:vAlign w:val="bottom"/>
          </w:tcPr>
          <w:p w14:paraId="65F75A3B" w14:textId="77777777" w:rsidR="00B628FF" w:rsidRDefault="005B2D2F">
            <w:pPr>
              <w:pStyle w:val="Summarytabletextrightalignedbold"/>
            </w:pPr>
            <w:r>
              <w:t>51.8</w:t>
            </w:r>
          </w:p>
        </w:tc>
      </w:tr>
      <w:tr w:rsidR="00B628FF" w14:paraId="64A19FA0" w14:textId="77777777" w:rsidTr="00997AF2">
        <w:tc>
          <w:tcPr>
            <w:tcW w:w="3471" w:type="dxa"/>
            <w:vAlign w:val="bottom"/>
          </w:tcPr>
          <w:p w14:paraId="00A65AE9" w14:textId="77777777" w:rsidR="00B628FF" w:rsidRDefault="005B2D2F">
            <w:pPr>
              <w:pStyle w:val="SummaryPortfolioTitle-BP2"/>
            </w:pPr>
            <w:r>
              <w:t>TREASURY</w:t>
            </w:r>
          </w:p>
        </w:tc>
        <w:tc>
          <w:tcPr>
            <w:tcW w:w="850" w:type="dxa"/>
          </w:tcPr>
          <w:p w14:paraId="08FA5452" w14:textId="77777777" w:rsidR="00B628FF" w:rsidRDefault="00B628FF">
            <w:pPr>
              <w:pStyle w:val="MeasureTableTextRightAlignedBefore6ptAfter1pt"/>
            </w:pPr>
          </w:p>
        </w:tc>
        <w:tc>
          <w:tcPr>
            <w:tcW w:w="850" w:type="dxa"/>
            <w:shd w:val="clear" w:color="auto" w:fill="E6F2FF"/>
          </w:tcPr>
          <w:p w14:paraId="06817FB2" w14:textId="77777777" w:rsidR="00B628FF" w:rsidRDefault="00B628FF">
            <w:pPr>
              <w:pStyle w:val="MeasureTableTextRightAlignedBefore6ptAfter1pt"/>
            </w:pPr>
          </w:p>
        </w:tc>
        <w:tc>
          <w:tcPr>
            <w:tcW w:w="850" w:type="dxa"/>
          </w:tcPr>
          <w:p w14:paraId="310C8D98" w14:textId="77777777" w:rsidR="00B628FF" w:rsidRDefault="00B628FF">
            <w:pPr>
              <w:pStyle w:val="MeasureTableTextRightAlignedBefore6ptAfter1pt"/>
            </w:pPr>
          </w:p>
        </w:tc>
        <w:tc>
          <w:tcPr>
            <w:tcW w:w="850" w:type="dxa"/>
          </w:tcPr>
          <w:p w14:paraId="49A0CBB5" w14:textId="77777777" w:rsidR="00B628FF" w:rsidRDefault="00B628FF">
            <w:pPr>
              <w:pStyle w:val="MeasureTableTextRightAlignedBefore6ptAfter1pt"/>
            </w:pPr>
          </w:p>
        </w:tc>
        <w:tc>
          <w:tcPr>
            <w:tcW w:w="850" w:type="dxa"/>
          </w:tcPr>
          <w:p w14:paraId="38B3CBE3" w14:textId="77777777" w:rsidR="00B628FF" w:rsidRDefault="00B628FF">
            <w:pPr>
              <w:pStyle w:val="MeasureTableTextRightAlignedBefore6ptAfter1pt"/>
            </w:pPr>
          </w:p>
        </w:tc>
      </w:tr>
      <w:tr w:rsidR="00B628FF" w14:paraId="36A3176C" w14:textId="77777777" w:rsidTr="00997AF2">
        <w:tc>
          <w:tcPr>
            <w:tcW w:w="3471" w:type="dxa"/>
            <w:vAlign w:val="bottom"/>
          </w:tcPr>
          <w:p w14:paraId="2775A700" w14:textId="77777777" w:rsidR="00B628FF" w:rsidRDefault="005B2D2F">
            <w:pPr>
              <w:pStyle w:val="SummaryAgencyTitle-BP2"/>
            </w:pPr>
            <w:r>
              <w:t>Australian Competition and Consumer Commission</w:t>
            </w:r>
          </w:p>
        </w:tc>
        <w:tc>
          <w:tcPr>
            <w:tcW w:w="850" w:type="dxa"/>
          </w:tcPr>
          <w:p w14:paraId="679477B9" w14:textId="77777777" w:rsidR="00B628FF" w:rsidRDefault="00B628FF">
            <w:pPr>
              <w:pStyle w:val="SummaryAgencyTitle-BP2"/>
            </w:pPr>
          </w:p>
        </w:tc>
        <w:tc>
          <w:tcPr>
            <w:tcW w:w="850" w:type="dxa"/>
            <w:shd w:val="clear" w:color="auto" w:fill="E6F2FF"/>
          </w:tcPr>
          <w:p w14:paraId="45C1F469" w14:textId="77777777" w:rsidR="00B628FF" w:rsidRDefault="00B628FF">
            <w:pPr>
              <w:pStyle w:val="SummaryAgencyTitle-BP2"/>
            </w:pPr>
          </w:p>
        </w:tc>
        <w:tc>
          <w:tcPr>
            <w:tcW w:w="850" w:type="dxa"/>
          </w:tcPr>
          <w:p w14:paraId="3CCA31D1" w14:textId="77777777" w:rsidR="00B628FF" w:rsidRDefault="00B628FF">
            <w:pPr>
              <w:pStyle w:val="SummaryAgencyTitle-BP2"/>
            </w:pPr>
          </w:p>
        </w:tc>
        <w:tc>
          <w:tcPr>
            <w:tcW w:w="850" w:type="dxa"/>
          </w:tcPr>
          <w:p w14:paraId="33E5F851" w14:textId="77777777" w:rsidR="00B628FF" w:rsidRDefault="00B628FF">
            <w:pPr>
              <w:pStyle w:val="SummaryAgencyTitle-BP2"/>
            </w:pPr>
          </w:p>
        </w:tc>
        <w:tc>
          <w:tcPr>
            <w:tcW w:w="850" w:type="dxa"/>
          </w:tcPr>
          <w:p w14:paraId="187409A7" w14:textId="77777777" w:rsidR="00B628FF" w:rsidRDefault="00B628FF">
            <w:pPr>
              <w:pStyle w:val="SummaryAgencyTitle-BP2"/>
            </w:pPr>
          </w:p>
        </w:tc>
      </w:tr>
      <w:tr w:rsidR="00B628FF" w14:paraId="0FA8CB6C" w14:textId="77777777" w:rsidTr="00997AF2">
        <w:tc>
          <w:tcPr>
            <w:tcW w:w="3471" w:type="dxa"/>
            <w:vAlign w:val="bottom"/>
          </w:tcPr>
          <w:p w14:paraId="29C65637" w14:textId="5EB50B80" w:rsidR="00B628FF" w:rsidRDefault="005B2D2F">
            <w:pPr>
              <w:pStyle w:val="SummaryMeasureTitlewithTheme"/>
            </w:pPr>
            <w:r>
              <w:t>National Anti‑Scam Centre</w:t>
            </w:r>
          </w:p>
        </w:tc>
        <w:tc>
          <w:tcPr>
            <w:tcW w:w="850" w:type="dxa"/>
            <w:vAlign w:val="bottom"/>
          </w:tcPr>
          <w:p w14:paraId="38E63680" w14:textId="61864B3C" w:rsidR="00B628FF" w:rsidRDefault="00B31B37">
            <w:pPr>
              <w:pStyle w:val="Summarytabletextrightaligned"/>
            </w:pPr>
            <w:r>
              <w:noBreakHyphen/>
            </w:r>
          </w:p>
        </w:tc>
        <w:tc>
          <w:tcPr>
            <w:tcW w:w="850" w:type="dxa"/>
            <w:shd w:val="clear" w:color="auto" w:fill="E6F2FF"/>
            <w:vAlign w:val="bottom"/>
          </w:tcPr>
          <w:p w14:paraId="72C5A104" w14:textId="77777777" w:rsidR="00B628FF" w:rsidRDefault="005B2D2F">
            <w:pPr>
              <w:pStyle w:val="Summarytabletextrightaligned"/>
            </w:pPr>
            <w:r>
              <w:t>6.7</w:t>
            </w:r>
          </w:p>
        </w:tc>
        <w:tc>
          <w:tcPr>
            <w:tcW w:w="850" w:type="dxa"/>
            <w:vAlign w:val="bottom"/>
          </w:tcPr>
          <w:p w14:paraId="22BF1276" w14:textId="5CF95AF2" w:rsidR="00B628FF" w:rsidRDefault="00B31B37">
            <w:pPr>
              <w:pStyle w:val="Summarytabletextrightaligned"/>
            </w:pPr>
            <w:r>
              <w:noBreakHyphen/>
            </w:r>
          </w:p>
        </w:tc>
        <w:tc>
          <w:tcPr>
            <w:tcW w:w="850" w:type="dxa"/>
            <w:vAlign w:val="bottom"/>
          </w:tcPr>
          <w:p w14:paraId="17340406" w14:textId="05B697B3" w:rsidR="00B628FF" w:rsidRDefault="00B31B37">
            <w:pPr>
              <w:pStyle w:val="Summarytabletextrightaligned"/>
            </w:pPr>
            <w:r>
              <w:noBreakHyphen/>
            </w:r>
          </w:p>
        </w:tc>
        <w:tc>
          <w:tcPr>
            <w:tcW w:w="850" w:type="dxa"/>
            <w:vAlign w:val="bottom"/>
          </w:tcPr>
          <w:p w14:paraId="418B14C6" w14:textId="4A11D9B5" w:rsidR="00B628FF" w:rsidRDefault="00B31B37">
            <w:pPr>
              <w:pStyle w:val="Summarytabletextrightaligned"/>
            </w:pPr>
            <w:r>
              <w:noBreakHyphen/>
            </w:r>
          </w:p>
        </w:tc>
      </w:tr>
      <w:tr w:rsidR="00B628FF" w14:paraId="1BE561E0" w14:textId="77777777" w:rsidTr="00997AF2">
        <w:tc>
          <w:tcPr>
            <w:tcW w:w="3471" w:type="dxa"/>
            <w:vAlign w:val="bottom"/>
          </w:tcPr>
          <w:p w14:paraId="59909964" w14:textId="77777777" w:rsidR="00B628FF" w:rsidRDefault="005B2D2F">
            <w:pPr>
              <w:pStyle w:val="SummaryMeasureTitlewithTheme"/>
            </w:pPr>
            <w:r>
              <w:t>Small Business and Franchisee Support and Protection</w:t>
            </w:r>
          </w:p>
        </w:tc>
        <w:tc>
          <w:tcPr>
            <w:tcW w:w="850" w:type="dxa"/>
            <w:vAlign w:val="bottom"/>
          </w:tcPr>
          <w:p w14:paraId="1B598326" w14:textId="22D4BA88" w:rsidR="00B628FF" w:rsidRDefault="00B31B37">
            <w:pPr>
              <w:pStyle w:val="Summarytabletextrightaligned"/>
            </w:pPr>
            <w:r>
              <w:noBreakHyphen/>
            </w:r>
          </w:p>
        </w:tc>
        <w:tc>
          <w:tcPr>
            <w:tcW w:w="850" w:type="dxa"/>
            <w:shd w:val="clear" w:color="auto" w:fill="E6F2FF"/>
            <w:vAlign w:val="bottom"/>
          </w:tcPr>
          <w:p w14:paraId="5408F8E8" w14:textId="77777777" w:rsidR="00B628FF" w:rsidRDefault="005B2D2F">
            <w:pPr>
              <w:pStyle w:val="Summarytabletextrightaligned"/>
            </w:pPr>
            <w:r>
              <w:t>4.2</w:t>
            </w:r>
          </w:p>
        </w:tc>
        <w:tc>
          <w:tcPr>
            <w:tcW w:w="850" w:type="dxa"/>
            <w:vAlign w:val="bottom"/>
          </w:tcPr>
          <w:p w14:paraId="7741CDA5" w14:textId="77777777" w:rsidR="00B628FF" w:rsidRDefault="005B2D2F">
            <w:pPr>
              <w:pStyle w:val="Summarytabletextrightaligned"/>
            </w:pPr>
            <w:r>
              <w:t>2.9</w:t>
            </w:r>
          </w:p>
        </w:tc>
        <w:tc>
          <w:tcPr>
            <w:tcW w:w="850" w:type="dxa"/>
            <w:vAlign w:val="bottom"/>
          </w:tcPr>
          <w:p w14:paraId="327B2C54" w14:textId="0F48D253" w:rsidR="00B628FF" w:rsidRDefault="00B31B37">
            <w:pPr>
              <w:pStyle w:val="Summarytabletextrightaligned"/>
            </w:pPr>
            <w:r>
              <w:noBreakHyphen/>
            </w:r>
          </w:p>
        </w:tc>
        <w:tc>
          <w:tcPr>
            <w:tcW w:w="850" w:type="dxa"/>
            <w:vAlign w:val="bottom"/>
          </w:tcPr>
          <w:p w14:paraId="3A604FE2" w14:textId="1F145225" w:rsidR="00B628FF" w:rsidRDefault="00B31B37">
            <w:pPr>
              <w:pStyle w:val="Summarytabletextrightaligned"/>
            </w:pPr>
            <w:r>
              <w:noBreakHyphen/>
            </w:r>
          </w:p>
        </w:tc>
      </w:tr>
      <w:tr w:rsidR="00B628FF" w14:paraId="786C5C09" w14:textId="77777777" w:rsidTr="00997AF2">
        <w:tc>
          <w:tcPr>
            <w:tcW w:w="3471" w:type="dxa"/>
            <w:vAlign w:val="bottom"/>
          </w:tcPr>
          <w:p w14:paraId="49E8A0DF" w14:textId="77777777" w:rsidR="00B628FF" w:rsidRDefault="005B2D2F">
            <w:pPr>
              <w:pStyle w:val="SummaryMeasureTitlewithTheme"/>
            </w:pPr>
            <w:r>
              <w:t>Supporting Connectivity(b)</w:t>
            </w:r>
          </w:p>
        </w:tc>
        <w:tc>
          <w:tcPr>
            <w:tcW w:w="850" w:type="dxa"/>
            <w:vAlign w:val="bottom"/>
          </w:tcPr>
          <w:p w14:paraId="7C706453" w14:textId="400C3CCC" w:rsidR="00B628FF" w:rsidRDefault="00B31B37">
            <w:pPr>
              <w:pStyle w:val="Summarytabletextrightaligned"/>
            </w:pPr>
            <w:r>
              <w:noBreakHyphen/>
            </w:r>
          </w:p>
        </w:tc>
        <w:tc>
          <w:tcPr>
            <w:tcW w:w="850" w:type="dxa"/>
            <w:shd w:val="clear" w:color="auto" w:fill="E6F2FF"/>
            <w:vAlign w:val="bottom"/>
          </w:tcPr>
          <w:p w14:paraId="7EC5B1C5" w14:textId="77777777" w:rsidR="00B628FF" w:rsidRDefault="005B2D2F">
            <w:pPr>
              <w:pStyle w:val="Summarytabletextrightaligned"/>
            </w:pPr>
            <w:r>
              <w:t>1.8</w:t>
            </w:r>
          </w:p>
        </w:tc>
        <w:tc>
          <w:tcPr>
            <w:tcW w:w="850" w:type="dxa"/>
            <w:vAlign w:val="bottom"/>
          </w:tcPr>
          <w:p w14:paraId="0141C8E2" w14:textId="7F64921B" w:rsidR="00B628FF" w:rsidRDefault="00B31B37">
            <w:pPr>
              <w:pStyle w:val="Summarytabletextrightaligned"/>
            </w:pPr>
            <w:r>
              <w:noBreakHyphen/>
            </w:r>
          </w:p>
        </w:tc>
        <w:tc>
          <w:tcPr>
            <w:tcW w:w="850" w:type="dxa"/>
            <w:vAlign w:val="bottom"/>
          </w:tcPr>
          <w:p w14:paraId="53C43262" w14:textId="292C60D8" w:rsidR="00B628FF" w:rsidRDefault="00B31B37">
            <w:pPr>
              <w:pStyle w:val="Summarytabletextrightaligned"/>
            </w:pPr>
            <w:r>
              <w:noBreakHyphen/>
            </w:r>
          </w:p>
        </w:tc>
        <w:tc>
          <w:tcPr>
            <w:tcW w:w="850" w:type="dxa"/>
            <w:vAlign w:val="bottom"/>
          </w:tcPr>
          <w:p w14:paraId="28CDC0DB" w14:textId="6254BC81" w:rsidR="00B628FF" w:rsidRDefault="00B31B37">
            <w:pPr>
              <w:pStyle w:val="Summarytabletextrightaligned"/>
            </w:pPr>
            <w:r>
              <w:noBreakHyphen/>
            </w:r>
          </w:p>
        </w:tc>
      </w:tr>
      <w:tr w:rsidR="00B628FF" w14:paraId="6C7317CF" w14:textId="77777777" w:rsidTr="00997AF2">
        <w:tc>
          <w:tcPr>
            <w:tcW w:w="3471" w:type="dxa"/>
            <w:vAlign w:val="bottom"/>
          </w:tcPr>
          <w:p w14:paraId="7013B43C" w14:textId="77777777" w:rsidR="00B628FF" w:rsidRDefault="005B2D2F">
            <w:pPr>
              <w:pStyle w:val="SummaryMeasureTitlewithTheme"/>
            </w:pPr>
            <w:r>
              <w:t>Treasury Portfolio – additional resourcing</w:t>
            </w:r>
          </w:p>
        </w:tc>
        <w:tc>
          <w:tcPr>
            <w:tcW w:w="850" w:type="dxa"/>
            <w:vAlign w:val="bottom"/>
          </w:tcPr>
          <w:p w14:paraId="3EF66273" w14:textId="4966BEDB" w:rsidR="00B628FF" w:rsidRDefault="00B31B37">
            <w:pPr>
              <w:pStyle w:val="Summarytabletextrightaligned"/>
            </w:pPr>
            <w:r>
              <w:noBreakHyphen/>
            </w:r>
          </w:p>
        </w:tc>
        <w:tc>
          <w:tcPr>
            <w:tcW w:w="850" w:type="dxa"/>
            <w:shd w:val="clear" w:color="auto" w:fill="E6F2FF"/>
            <w:vAlign w:val="bottom"/>
          </w:tcPr>
          <w:p w14:paraId="0D2BAAF9" w14:textId="77777777" w:rsidR="00B628FF" w:rsidRDefault="005B2D2F">
            <w:pPr>
              <w:pStyle w:val="Summarytabletextrightaligned"/>
            </w:pPr>
            <w:r>
              <w:t>3.9</w:t>
            </w:r>
          </w:p>
        </w:tc>
        <w:tc>
          <w:tcPr>
            <w:tcW w:w="850" w:type="dxa"/>
            <w:vAlign w:val="bottom"/>
          </w:tcPr>
          <w:p w14:paraId="5F4ADA16" w14:textId="01DAF2A7" w:rsidR="00B628FF" w:rsidRDefault="00B31B37">
            <w:pPr>
              <w:pStyle w:val="Summarytabletextrightaligned"/>
            </w:pPr>
            <w:r>
              <w:noBreakHyphen/>
            </w:r>
          </w:p>
        </w:tc>
        <w:tc>
          <w:tcPr>
            <w:tcW w:w="850" w:type="dxa"/>
            <w:vAlign w:val="bottom"/>
          </w:tcPr>
          <w:p w14:paraId="559D70B5" w14:textId="35F573A6" w:rsidR="00B628FF" w:rsidRDefault="00B31B37">
            <w:pPr>
              <w:pStyle w:val="Summarytabletextrightaligned"/>
            </w:pPr>
            <w:r>
              <w:noBreakHyphen/>
            </w:r>
          </w:p>
        </w:tc>
        <w:tc>
          <w:tcPr>
            <w:tcW w:w="850" w:type="dxa"/>
            <w:vAlign w:val="bottom"/>
          </w:tcPr>
          <w:p w14:paraId="13F9AD1E" w14:textId="6DCE2A7B" w:rsidR="00B628FF" w:rsidRDefault="00B31B37">
            <w:pPr>
              <w:pStyle w:val="Summarytabletextrightaligned"/>
            </w:pPr>
            <w:r>
              <w:noBreakHyphen/>
            </w:r>
          </w:p>
        </w:tc>
      </w:tr>
      <w:tr w:rsidR="00B628FF" w14:paraId="7C0CDD83" w14:textId="77777777" w:rsidTr="00997AF2">
        <w:tc>
          <w:tcPr>
            <w:tcW w:w="3471" w:type="dxa"/>
            <w:vAlign w:val="bottom"/>
          </w:tcPr>
          <w:p w14:paraId="16655E15" w14:textId="77777777" w:rsidR="00B628FF" w:rsidRDefault="005B2D2F">
            <w:pPr>
              <w:pStyle w:val="SummaryAgencyTitle-BP2"/>
            </w:pPr>
            <w:r>
              <w:t>Australian Securities and Investments Commission</w:t>
            </w:r>
          </w:p>
        </w:tc>
        <w:tc>
          <w:tcPr>
            <w:tcW w:w="850" w:type="dxa"/>
          </w:tcPr>
          <w:p w14:paraId="49D70519" w14:textId="77777777" w:rsidR="00B628FF" w:rsidRDefault="00B628FF">
            <w:pPr>
              <w:pStyle w:val="SummaryAgencyTitle-BP2"/>
            </w:pPr>
          </w:p>
        </w:tc>
        <w:tc>
          <w:tcPr>
            <w:tcW w:w="850" w:type="dxa"/>
            <w:shd w:val="clear" w:color="auto" w:fill="E6F2FF"/>
          </w:tcPr>
          <w:p w14:paraId="58EB7622" w14:textId="77777777" w:rsidR="00B628FF" w:rsidRDefault="00B628FF">
            <w:pPr>
              <w:pStyle w:val="SummaryAgencyTitle-BP2"/>
            </w:pPr>
          </w:p>
        </w:tc>
        <w:tc>
          <w:tcPr>
            <w:tcW w:w="850" w:type="dxa"/>
          </w:tcPr>
          <w:p w14:paraId="5C1FDF53" w14:textId="77777777" w:rsidR="00B628FF" w:rsidRDefault="00B628FF">
            <w:pPr>
              <w:pStyle w:val="SummaryAgencyTitle-BP2"/>
            </w:pPr>
          </w:p>
        </w:tc>
        <w:tc>
          <w:tcPr>
            <w:tcW w:w="850" w:type="dxa"/>
          </w:tcPr>
          <w:p w14:paraId="4DC75F59" w14:textId="77777777" w:rsidR="00B628FF" w:rsidRDefault="00B628FF">
            <w:pPr>
              <w:pStyle w:val="SummaryAgencyTitle-BP2"/>
            </w:pPr>
          </w:p>
        </w:tc>
        <w:tc>
          <w:tcPr>
            <w:tcW w:w="850" w:type="dxa"/>
          </w:tcPr>
          <w:p w14:paraId="74A1BE42" w14:textId="77777777" w:rsidR="00B628FF" w:rsidRDefault="00B628FF">
            <w:pPr>
              <w:pStyle w:val="SummaryAgencyTitle-BP2"/>
            </w:pPr>
          </w:p>
        </w:tc>
      </w:tr>
      <w:tr w:rsidR="00B628FF" w14:paraId="297A3064" w14:textId="77777777" w:rsidTr="00997AF2">
        <w:tc>
          <w:tcPr>
            <w:tcW w:w="3471" w:type="dxa"/>
            <w:vAlign w:val="bottom"/>
          </w:tcPr>
          <w:p w14:paraId="149AEE64" w14:textId="77777777" w:rsidR="00B628FF" w:rsidRDefault="005B2D2F">
            <w:pPr>
              <w:pStyle w:val="SummaryMeasureTitlewithTheme"/>
            </w:pPr>
            <w:r>
              <w:t>Small Business and Franchisee Support and Protection</w:t>
            </w:r>
          </w:p>
        </w:tc>
        <w:tc>
          <w:tcPr>
            <w:tcW w:w="850" w:type="dxa"/>
            <w:vAlign w:val="bottom"/>
          </w:tcPr>
          <w:p w14:paraId="16B8394A" w14:textId="5D007D90" w:rsidR="00B628FF" w:rsidRDefault="00B31B37">
            <w:pPr>
              <w:pStyle w:val="Summarytabletextrightaligned"/>
            </w:pPr>
            <w:r>
              <w:noBreakHyphen/>
            </w:r>
          </w:p>
        </w:tc>
        <w:tc>
          <w:tcPr>
            <w:tcW w:w="850" w:type="dxa"/>
            <w:shd w:val="clear" w:color="auto" w:fill="E6F2FF"/>
            <w:vAlign w:val="bottom"/>
          </w:tcPr>
          <w:p w14:paraId="347A7FE2" w14:textId="77777777" w:rsidR="00B628FF" w:rsidRDefault="005B2D2F">
            <w:pPr>
              <w:pStyle w:val="Summarytabletextrightaligned"/>
            </w:pPr>
            <w:r>
              <w:t>1.9</w:t>
            </w:r>
          </w:p>
        </w:tc>
        <w:tc>
          <w:tcPr>
            <w:tcW w:w="850" w:type="dxa"/>
            <w:vAlign w:val="bottom"/>
          </w:tcPr>
          <w:p w14:paraId="5A88DD30" w14:textId="77777777" w:rsidR="00B628FF" w:rsidRDefault="005B2D2F">
            <w:pPr>
              <w:pStyle w:val="Summarytabletextrightaligned"/>
            </w:pPr>
            <w:r>
              <w:t>0.9</w:t>
            </w:r>
          </w:p>
        </w:tc>
        <w:tc>
          <w:tcPr>
            <w:tcW w:w="850" w:type="dxa"/>
            <w:vAlign w:val="bottom"/>
          </w:tcPr>
          <w:p w14:paraId="4F9A5D58" w14:textId="77777777" w:rsidR="00B628FF" w:rsidRDefault="005B2D2F">
            <w:pPr>
              <w:pStyle w:val="Summarytabletextrightaligned"/>
            </w:pPr>
            <w:r>
              <w:t>0.1</w:t>
            </w:r>
          </w:p>
        </w:tc>
        <w:tc>
          <w:tcPr>
            <w:tcW w:w="850" w:type="dxa"/>
            <w:vAlign w:val="bottom"/>
          </w:tcPr>
          <w:p w14:paraId="6FFBC9D0" w14:textId="77777777" w:rsidR="00B628FF" w:rsidRDefault="005B2D2F">
            <w:pPr>
              <w:pStyle w:val="Summarytabletextrightaligned"/>
            </w:pPr>
            <w:r>
              <w:t>0.1</w:t>
            </w:r>
          </w:p>
        </w:tc>
      </w:tr>
      <w:tr w:rsidR="00B628FF" w14:paraId="3ADDC92E" w14:textId="77777777" w:rsidTr="00997AF2">
        <w:tc>
          <w:tcPr>
            <w:tcW w:w="3471" w:type="dxa"/>
            <w:vAlign w:val="bottom"/>
          </w:tcPr>
          <w:p w14:paraId="4F9F41AC" w14:textId="77777777" w:rsidR="00B628FF" w:rsidRDefault="005B2D2F">
            <w:pPr>
              <w:pStyle w:val="SummaryMeasureTitlewithTheme"/>
            </w:pPr>
            <w:r>
              <w:t>Treasury Portfolio – additional resourcing</w:t>
            </w:r>
          </w:p>
        </w:tc>
        <w:tc>
          <w:tcPr>
            <w:tcW w:w="850" w:type="dxa"/>
            <w:vAlign w:val="bottom"/>
          </w:tcPr>
          <w:p w14:paraId="2BA7390E" w14:textId="386B5B24" w:rsidR="00B628FF" w:rsidRDefault="00B31B37">
            <w:pPr>
              <w:pStyle w:val="Summarytabletextrightaligned"/>
            </w:pPr>
            <w:r>
              <w:noBreakHyphen/>
            </w:r>
          </w:p>
        </w:tc>
        <w:tc>
          <w:tcPr>
            <w:tcW w:w="850" w:type="dxa"/>
            <w:shd w:val="clear" w:color="auto" w:fill="E6F2FF"/>
            <w:vAlign w:val="bottom"/>
          </w:tcPr>
          <w:p w14:paraId="49449232" w14:textId="77777777" w:rsidR="00B628FF" w:rsidRDefault="005B2D2F">
            <w:pPr>
              <w:pStyle w:val="Summarytabletextrightaligned"/>
            </w:pPr>
            <w:r>
              <w:t>82.1</w:t>
            </w:r>
          </w:p>
        </w:tc>
        <w:tc>
          <w:tcPr>
            <w:tcW w:w="850" w:type="dxa"/>
            <w:vAlign w:val="bottom"/>
          </w:tcPr>
          <w:p w14:paraId="66A96646" w14:textId="77777777" w:rsidR="00B628FF" w:rsidRDefault="005B2D2F">
            <w:pPr>
              <w:pStyle w:val="Summarytabletextrightaligned"/>
            </w:pPr>
            <w:r>
              <w:t>124.7</w:t>
            </w:r>
          </w:p>
        </w:tc>
        <w:tc>
          <w:tcPr>
            <w:tcW w:w="850" w:type="dxa"/>
            <w:vAlign w:val="bottom"/>
          </w:tcPr>
          <w:p w14:paraId="0BC56AAB" w14:textId="191C4671" w:rsidR="00B628FF" w:rsidRDefault="00B31B37">
            <w:pPr>
              <w:pStyle w:val="Summarytabletextrightaligned"/>
            </w:pPr>
            <w:r>
              <w:noBreakHyphen/>
            </w:r>
          </w:p>
        </w:tc>
        <w:tc>
          <w:tcPr>
            <w:tcW w:w="850" w:type="dxa"/>
            <w:vAlign w:val="bottom"/>
          </w:tcPr>
          <w:p w14:paraId="2F99D06E" w14:textId="2F80B24C" w:rsidR="00B628FF" w:rsidRDefault="00B31B37">
            <w:pPr>
              <w:pStyle w:val="Summarytabletextrightaligned"/>
            </w:pPr>
            <w:r>
              <w:noBreakHyphen/>
            </w:r>
          </w:p>
        </w:tc>
      </w:tr>
      <w:tr w:rsidR="00B628FF" w14:paraId="50738B5C" w14:textId="77777777" w:rsidTr="00997AF2">
        <w:tc>
          <w:tcPr>
            <w:tcW w:w="3471" w:type="dxa"/>
            <w:vAlign w:val="bottom"/>
          </w:tcPr>
          <w:p w14:paraId="697BAC8B" w14:textId="77777777" w:rsidR="00B628FF" w:rsidRDefault="005B2D2F">
            <w:pPr>
              <w:pStyle w:val="SummaryAgencyTitle-BP2"/>
            </w:pPr>
            <w:r>
              <w:t>Australian Taxation Office</w:t>
            </w:r>
          </w:p>
        </w:tc>
        <w:tc>
          <w:tcPr>
            <w:tcW w:w="850" w:type="dxa"/>
          </w:tcPr>
          <w:p w14:paraId="48975199" w14:textId="77777777" w:rsidR="00B628FF" w:rsidRDefault="00B628FF">
            <w:pPr>
              <w:pStyle w:val="SummaryAgencyTitle-BP2"/>
            </w:pPr>
          </w:p>
        </w:tc>
        <w:tc>
          <w:tcPr>
            <w:tcW w:w="850" w:type="dxa"/>
            <w:shd w:val="clear" w:color="auto" w:fill="E6F2FF"/>
          </w:tcPr>
          <w:p w14:paraId="70223325" w14:textId="77777777" w:rsidR="00B628FF" w:rsidRDefault="00B628FF">
            <w:pPr>
              <w:pStyle w:val="SummaryAgencyTitle-BP2"/>
            </w:pPr>
          </w:p>
        </w:tc>
        <w:tc>
          <w:tcPr>
            <w:tcW w:w="850" w:type="dxa"/>
          </w:tcPr>
          <w:p w14:paraId="6B11071A" w14:textId="77777777" w:rsidR="00B628FF" w:rsidRDefault="00B628FF">
            <w:pPr>
              <w:pStyle w:val="SummaryAgencyTitle-BP2"/>
            </w:pPr>
          </w:p>
        </w:tc>
        <w:tc>
          <w:tcPr>
            <w:tcW w:w="850" w:type="dxa"/>
          </w:tcPr>
          <w:p w14:paraId="074A699C" w14:textId="77777777" w:rsidR="00B628FF" w:rsidRDefault="00B628FF">
            <w:pPr>
              <w:pStyle w:val="SummaryAgencyTitle-BP2"/>
            </w:pPr>
          </w:p>
        </w:tc>
        <w:tc>
          <w:tcPr>
            <w:tcW w:w="850" w:type="dxa"/>
          </w:tcPr>
          <w:p w14:paraId="4CC22E35" w14:textId="77777777" w:rsidR="00B628FF" w:rsidRDefault="00B628FF">
            <w:pPr>
              <w:pStyle w:val="SummaryAgencyTitle-BP2"/>
            </w:pPr>
          </w:p>
        </w:tc>
      </w:tr>
      <w:tr w:rsidR="00B628FF" w14:paraId="1172395D" w14:textId="77777777" w:rsidTr="00997AF2">
        <w:tc>
          <w:tcPr>
            <w:tcW w:w="3471" w:type="dxa"/>
            <w:vAlign w:val="bottom"/>
          </w:tcPr>
          <w:p w14:paraId="7BB615AB" w14:textId="77777777" w:rsidR="00B628FF" w:rsidRDefault="005B2D2F">
            <w:pPr>
              <w:pStyle w:val="SummaryMeasureTitlewithTheme"/>
            </w:pPr>
            <w:r>
              <w:t>Amendments to Existing Measures(b)</w:t>
            </w:r>
          </w:p>
        </w:tc>
        <w:tc>
          <w:tcPr>
            <w:tcW w:w="850" w:type="dxa"/>
            <w:vAlign w:val="bottom"/>
          </w:tcPr>
          <w:p w14:paraId="136A4BBE" w14:textId="280B887D" w:rsidR="00B628FF" w:rsidRDefault="00B31B37">
            <w:pPr>
              <w:pStyle w:val="Summarytabletextrightaligned"/>
            </w:pPr>
            <w:r>
              <w:noBreakHyphen/>
            </w:r>
          </w:p>
        </w:tc>
        <w:tc>
          <w:tcPr>
            <w:tcW w:w="850" w:type="dxa"/>
            <w:shd w:val="clear" w:color="auto" w:fill="E6F2FF"/>
            <w:vAlign w:val="bottom"/>
          </w:tcPr>
          <w:p w14:paraId="6FE86CFF" w14:textId="0E2F7F73" w:rsidR="00B628FF" w:rsidRDefault="00B31B37">
            <w:pPr>
              <w:pStyle w:val="Summarytabletextrightaligned"/>
            </w:pPr>
            <w:r>
              <w:noBreakHyphen/>
            </w:r>
            <w:r w:rsidR="005B2D2F">
              <w:t>0.3</w:t>
            </w:r>
          </w:p>
        </w:tc>
        <w:tc>
          <w:tcPr>
            <w:tcW w:w="850" w:type="dxa"/>
            <w:vAlign w:val="bottom"/>
          </w:tcPr>
          <w:p w14:paraId="42AA5C96" w14:textId="5A58E67A" w:rsidR="00B628FF" w:rsidRDefault="00B31B37">
            <w:pPr>
              <w:pStyle w:val="Summarytabletextrightaligned"/>
            </w:pPr>
            <w:r>
              <w:noBreakHyphen/>
            </w:r>
          </w:p>
        </w:tc>
        <w:tc>
          <w:tcPr>
            <w:tcW w:w="850" w:type="dxa"/>
            <w:vAlign w:val="bottom"/>
          </w:tcPr>
          <w:p w14:paraId="1CAEBA57" w14:textId="3FB86A30" w:rsidR="00B628FF" w:rsidRDefault="00B31B37">
            <w:pPr>
              <w:pStyle w:val="Summarytabletextrightaligned"/>
            </w:pPr>
            <w:r>
              <w:noBreakHyphen/>
            </w:r>
          </w:p>
        </w:tc>
        <w:tc>
          <w:tcPr>
            <w:tcW w:w="850" w:type="dxa"/>
            <w:vAlign w:val="bottom"/>
          </w:tcPr>
          <w:p w14:paraId="762F58E5" w14:textId="2F08EEBA" w:rsidR="00B628FF" w:rsidRDefault="00B31B37">
            <w:pPr>
              <w:pStyle w:val="Summarytabletextrightaligned"/>
            </w:pPr>
            <w:r>
              <w:noBreakHyphen/>
            </w:r>
          </w:p>
        </w:tc>
      </w:tr>
      <w:tr w:rsidR="00B628FF" w14:paraId="2BBCE095" w14:textId="77777777" w:rsidTr="00997AF2">
        <w:tc>
          <w:tcPr>
            <w:tcW w:w="3471" w:type="dxa"/>
            <w:vAlign w:val="bottom"/>
          </w:tcPr>
          <w:p w14:paraId="660F551D" w14:textId="77777777" w:rsidR="00B628FF" w:rsidRDefault="005B2D2F">
            <w:pPr>
              <w:pStyle w:val="SummaryMeasureTitlewithTheme"/>
            </w:pPr>
            <w:r>
              <w:t>Enhancing Tax Practitioner Regulation and Compliance(b)</w:t>
            </w:r>
          </w:p>
        </w:tc>
        <w:tc>
          <w:tcPr>
            <w:tcW w:w="850" w:type="dxa"/>
            <w:vAlign w:val="bottom"/>
          </w:tcPr>
          <w:p w14:paraId="75411971" w14:textId="1781D596" w:rsidR="00B628FF" w:rsidRDefault="00B31B37">
            <w:pPr>
              <w:pStyle w:val="Summarytabletextrightaligned"/>
            </w:pPr>
            <w:r>
              <w:noBreakHyphen/>
            </w:r>
          </w:p>
        </w:tc>
        <w:tc>
          <w:tcPr>
            <w:tcW w:w="850" w:type="dxa"/>
            <w:shd w:val="clear" w:color="auto" w:fill="E6F2FF"/>
            <w:vAlign w:val="bottom"/>
          </w:tcPr>
          <w:p w14:paraId="5D79F112" w14:textId="77777777" w:rsidR="00B628FF" w:rsidRDefault="005B2D2F">
            <w:pPr>
              <w:pStyle w:val="Summarytabletextrightaligned"/>
            </w:pPr>
            <w:r>
              <w:t>5.6</w:t>
            </w:r>
          </w:p>
        </w:tc>
        <w:tc>
          <w:tcPr>
            <w:tcW w:w="850" w:type="dxa"/>
            <w:vAlign w:val="bottom"/>
          </w:tcPr>
          <w:p w14:paraId="2A222478" w14:textId="77777777" w:rsidR="00B628FF" w:rsidRDefault="005B2D2F">
            <w:pPr>
              <w:pStyle w:val="Summarytabletextrightaligned"/>
            </w:pPr>
            <w:r>
              <w:t>5.7</w:t>
            </w:r>
          </w:p>
        </w:tc>
        <w:tc>
          <w:tcPr>
            <w:tcW w:w="850" w:type="dxa"/>
            <w:vAlign w:val="bottom"/>
          </w:tcPr>
          <w:p w14:paraId="7ADDDCC4" w14:textId="77777777" w:rsidR="00B628FF" w:rsidRDefault="005B2D2F">
            <w:pPr>
              <w:pStyle w:val="Summarytabletextrightaligned"/>
            </w:pPr>
            <w:r>
              <w:t>8.0</w:t>
            </w:r>
          </w:p>
        </w:tc>
        <w:tc>
          <w:tcPr>
            <w:tcW w:w="850" w:type="dxa"/>
            <w:vAlign w:val="bottom"/>
          </w:tcPr>
          <w:p w14:paraId="2C6B4EDB" w14:textId="77777777" w:rsidR="00B628FF" w:rsidRDefault="005B2D2F">
            <w:pPr>
              <w:pStyle w:val="Summarytabletextrightaligned"/>
            </w:pPr>
            <w:r>
              <w:t>8.0</w:t>
            </w:r>
          </w:p>
        </w:tc>
      </w:tr>
      <w:tr w:rsidR="00B628FF" w14:paraId="600DE874" w14:textId="77777777" w:rsidTr="00997AF2">
        <w:tc>
          <w:tcPr>
            <w:tcW w:w="3471" w:type="dxa"/>
            <w:vAlign w:val="bottom"/>
          </w:tcPr>
          <w:p w14:paraId="08007060" w14:textId="77777777" w:rsidR="00B628FF" w:rsidRDefault="005B2D2F">
            <w:pPr>
              <w:pStyle w:val="SummaryMeasureTitlewithTheme"/>
            </w:pPr>
            <w:r>
              <w:t>Illicit Tobacco Compliance and Enforcement Package – direct and targeted enforcement to counter profits from illicit tobacco</w:t>
            </w:r>
          </w:p>
        </w:tc>
        <w:tc>
          <w:tcPr>
            <w:tcW w:w="850" w:type="dxa"/>
            <w:vAlign w:val="bottom"/>
          </w:tcPr>
          <w:p w14:paraId="13E3C7DA" w14:textId="68CA5DEC" w:rsidR="00B628FF" w:rsidRDefault="00B31B37">
            <w:pPr>
              <w:pStyle w:val="Summarytabletextrightaligned"/>
            </w:pPr>
            <w:r>
              <w:noBreakHyphen/>
            </w:r>
          </w:p>
        </w:tc>
        <w:tc>
          <w:tcPr>
            <w:tcW w:w="850" w:type="dxa"/>
            <w:shd w:val="clear" w:color="auto" w:fill="E6F2FF"/>
            <w:vAlign w:val="bottom"/>
          </w:tcPr>
          <w:p w14:paraId="2476B9C8" w14:textId="77777777" w:rsidR="00B628FF" w:rsidRDefault="005B2D2F">
            <w:pPr>
              <w:pStyle w:val="Summarytabletextrightaligned"/>
            </w:pPr>
            <w:r>
              <w:t>2.0</w:t>
            </w:r>
          </w:p>
        </w:tc>
        <w:tc>
          <w:tcPr>
            <w:tcW w:w="850" w:type="dxa"/>
            <w:vAlign w:val="bottom"/>
          </w:tcPr>
          <w:p w14:paraId="79C20159" w14:textId="77777777" w:rsidR="00B628FF" w:rsidRDefault="005B2D2F">
            <w:pPr>
              <w:pStyle w:val="Summarytabletextrightaligned"/>
            </w:pPr>
            <w:r>
              <w:t>2.0</w:t>
            </w:r>
          </w:p>
        </w:tc>
        <w:tc>
          <w:tcPr>
            <w:tcW w:w="850" w:type="dxa"/>
            <w:vAlign w:val="bottom"/>
          </w:tcPr>
          <w:p w14:paraId="22BAAF6A" w14:textId="34DB5363" w:rsidR="00B628FF" w:rsidRDefault="00B31B37">
            <w:pPr>
              <w:pStyle w:val="Summarytabletextrightaligned"/>
            </w:pPr>
            <w:r>
              <w:noBreakHyphen/>
            </w:r>
          </w:p>
        </w:tc>
        <w:tc>
          <w:tcPr>
            <w:tcW w:w="850" w:type="dxa"/>
            <w:vAlign w:val="bottom"/>
          </w:tcPr>
          <w:p w14:paraId="6EE8478D" w14:textId="6570DF64" w:rsidR="00B628FF" w:rsidRDefault="00B31B37">
            <w:pPr>
              <w:pStyle w:val="Summarytabletextrightaligned"/>
            </w:pPr>
            <w:r>
              <w:noBreakHyphen/>
            </w:r>
          </w:p>
        </w:tc>
      </w:tr>
      <w:tr w:rsidR="00B628FF" w14:paraId="1E74E8E2" w14:textId="77777777" w:rsidTr="00997AF2">
        <w:tc>
          <w:tcPr>
            <w:tcW w:w="3471" w:type="dxa"/>
            <w:vAlign w:val="bottom"/>
          </w:tcPr>
          <w:p w14:paraId="109B8A47" w14:textId="77777777" w:rsidR="00B628FF" w:rsidRDefault="005B2D2F">
            <w:pPr>
              <w:pStyle w:val="SummaryMeasureTitlewithTheme"/>
            </w:pPr>
            <w:r>
              <w:t>Restricting Foreign Ownership of Housing(b)</w:t>
            </w:r>
          </w:p>
        </w:tc>
        <w:tc>
          <w:tcPr>
            <w:tcW w:w="850" w:type="dxa"/>
            <w:vAlign w:val="bottom"/>
          </w:tcPr>
          <w:p w14:paraId="3A147AFE" w14:textId="749FF0FA" w:rsidR="00B628FF" w:rsidRDefault="00B31B37">
            <w:pPr>
              <w:pStyle w:val="Summarytabletextrightaligned"/>
            </w:pPr>
            <w:r>
              <w:noBreakHyphen/>
            </w:r>
          </w:p>
        </w:tc>
        <w:tc>
          <w:tcPr>
            <w:tcW w:w="850" w:type="dxa"/>
            <w:shd w:val="clear" w:color="auto" w:fill="E6F2FF"/>
            <w:vAlign w:val="bottom"/>
          </w:tcPr>
          <w:p w14:paraId="3EBF3AC4" w14:textId="77777777" w:rsidR="00B628FF" w:rsidRDefault="005B2D2F">
            <w:pPr>
              <w:pStyle w:val="Summarytabletextrightaligned"/>
            </w:pPr>
            <w:r>
              <w:t>3.0</w:t>
            </w:r>
          </w:p>
        </w:tc>
        <w:tc>
          <w:tcPr>
            <w:tcW w:w="850" w:type="dxa"/>
            <w:vAlign w:val="bottom"/>
          </w:tcPr>
          <w:p w14:paraId="493E3889" w14:textId="77777777" w:rsidR="00B628FF" w:rsidRDefault="005B2D2F">
            <w:pPr>
              <w:pStyle w:val="Summarytabletextrightaligned"/>
            </w:pPr>
            <w:r>
              <w:t>2.9</w:t>
            </w:r>
          </w:p>
        </w:tc>
        <w:tc>
          <w:tcPr>
            <w:tcW w:w="850" w:type="dxa"/>
            <w:vAlign w:val="bottom"/>
          </w:tcPr>
          <w:p w14:paraId="730BB69C" w14:textId="77777777" w:rsidR="00B628FF" w:rsidRDefault="005B2D2F">
            <w:pPr>
              <w:pStyle w:val="Summarytabletextrightaligned"/>
            </w:pPr>
            <w:r>
              <w:t>3.0</w:t>
            </w:r>
          </w:p>
        </w:tc>
        <w:tc>
          <w:tcPr>
            <w:tcW w:w="850" w:type="dxa"/>
            <w:vAlign w:val="bottom"/>
          </w:tcPr>
          <w:p w14:paraId="23696C85" w14:textId="77777777" w:rsidR="00B628FF" w:rsidRDefault="005B2D2F">
            <w:pPr>
              <w:pStyle w:val="Summarytabletextrightaligned"/>
            </w:pPr>
            <w:r>
              <w:t>2.8</w:t>
            </w:r>
          </w:p>
        </w:tc>
      </w:tr>
      <w:tr w:rsidR="00B628FF" w14:paraId="25D14671" w14:textId="77777777" w:rsidTr="00997AF2">
        <w:tc>
          <w:tcPr>
            <w:tcW w:w="3471" w:type="dxa"/>
            <w:vAlign w:val="bottom"/>
          </w:tcPr>
          <w:p w14:paraId="0616F348" w14:textId="77777777" w:rsidR="00B628FF" w:rsidRDefault="005B2D2F">
            <w:pPr>
              <w:pStyle w:val="SummaryMeasureTitlewithTheme"/>
            </w:pPr>
            <w:r>
              <w:t>Strengthening Tax Integrity(b)</w:t>
            </w:r>
          </w:p>
        </w:tc>
        <w:tc>
          <w:tcPr>
            <w:tcW w:w="850" w:type="dxa"/>
            <w:vAlign w:val="bottom"/>
          </w:tcPr>
          <w:p w14:paraId="397FC814" w14:textId="2BF94F28" w:rsidR="00B628FF" w:rsidRDefault="00B31B37">
            <w:pPr>
              <w:pStyle w:val="Summarytabletextrightaligned"/>
            </w:pPr>
            <w:r>
              <w:noBreakHyphen/>
            </w:r>
          </w:p>
        </w:tc>
        <w:tc>
          <w:tcPr>
            <w:tcW w:w="850" w:type="dxa"/>
            <w:shd w:val="clear" w:color="auto" w:fill="E6F2FF"/>
            <w:vAlign w:val="bottom"/>
          </w:tcPr>
          <w:p w14:paraId="762B8692" w14:textId="77777777" w:rsidR="00B628FF" w:rsidRDefault="005B2D2F">
            <w:pPr>
              <w:pStyle w:val="Summarytabletextrightaligned"/>
            </w:pPr>
            <w:r>
              <w:t>69.6</w:t>
            </w:r>
          </w:p>
        </w:tc>
        <w:tc>
          <w:tcPr>
            <w:tcW w:w="850" w:type="dxa"/>
            <w:vAlign w:val="bottom"/>
          </w:tcPr>
          <w:p w14:paraId="7ED69109" w14:textId="77777777" w:rsidR="00B628FF" w:rsidRDefault="005B2D2F">
            <w:pPr>
              <w:pStyle w:val="Summarytabletextrightaligned"/>
            </w:pPr>
            <w:r>
              <w:t>96.9</w:t>
            </w:r>
          </w:p>
        </w:tc>
        <w:tc>
          <w:tcPr>
            <w:tcW w:w="850" w:type="dxa"/>
            <w:vAlign w:val="bottom"/>
          </w:tcPr>
          <w:p w14:paraId="08870C2C" w14:textId="77777777" w:rsidR="00B628FF" w:rsidRDefault="005B2D2F">
            <w:pPr>
              <w:pStyle w:val="Summarytabletextrightaligned"/>
            </w:pPr>
            <w:r>
              <w:t>57.8</w:t>
            </w:r>
          </w:p>
        </w:tc>
        <w:tc>
          <w:tcPr>
            <w:tcW w:w="850" w:type="dxa"/>
            <w:vAlign w:val="bottom"/>
          </w:tcPr>
          <w:p w14:paraId="3FEA97E0" w14:textId="77777777" w:rsidR="00B628FF" w:rsidRDefault="005B2D2F">
            <w:pPr>
              <w:pStyle w:val="Summarytabletextrightaligned"/>
            </w:pPr>
            <w:r>
              <w:t>805.6</w:t>
            </w:r>
          </w:p>
        </w:tc>
      </w:tr>
      <w:tr w:rsidR="00B628FF" w14:paraId="5474EFB0" w14:textId="77777777" w:rsidTr="00997AF2">
        <w:tc>
          <w:tcPr>
            <w:tcW w:w="3471" w:type="dxa"/>
            <w:vAlign w:val="bottom"/>
          </w:tcPr>
          <w:p w14:paraId="68881D43" w14:textId="77777777" w:rsidR="00B628FF" w:rsidRDefault="005B2D2F">
            <w:pPr>
              <w:pStyle w:val="SummaryAgencyTitle-BP2"/>
            </w:pPr>
            <w:r>
              <w:t>Department of the Treasury</w:t>
            </w:r>
          </w:p>
        </w:tc>
        <w:tc>
          <w:tcPr>
            <w:tcW w:w="850" w:type="dxa"/>
          </w:tcPr>
          <w:p w14:paraId="48D786BB" w14:textId="77777777" w:rsidR="00B628FF" w:rsidRDefault="00B628FF">
            <w:pPr>
              <w:pStyle w:val="SummaryAgencyTitle-BP2"/>
            </w:pPr>
          </w:p>
        </w:tc>
        <w:tc>
          <w:tcPr>
            <w:tcW w:w="850" w:type="dxa"/>
            <w:shd w:val="clear" w:color="auto" w:fill="E6F2FF"/>
          </w:tcPr>
          <w:p w14:paraId="0F588349" w14:textId="77777777" w:rsidR="00B628FF" w:rsidRDefault="00B628FF">
            <w:pPr>
              <w:pStyle w:val="SummaryAgencyTitle-BP2"/>
            </w:pPr>
          </w:p>
        </w:tc>
        <w:tc>
          <w:tcPr>
            <w:tcW w:w="850" w:type="dxa"/>
          </w:tcPr>
          <w:p w14:paraId="51B148B5" w14:textId="77777777" w:rsidR="00B628FF" w:rsidRDefault="00B628FF">
            <w:pPr>
              <w:pStyle w:val="SummaryAgencyTitle-BP2"/>
            </w:pPr>
          </w:p>
        </w:tc>
        <w:tc>
          <w:tcPr>
            <w:tcW w:w="850" w:type="dxa"/>
          </w:tcPr>
          <w:p w14:paraId="193F22A5" w14:textId="77777777" w:rsidR="00B628FF" w:rsidRDefault="00B628FF">
            <w:pPr>
              <w:pStyle w:val="SummaryAgencyTitle-BP2"/>
            </w:pPr>
          </w:p>
        </w:tc>
        <w:tc>
          <w:tcPr>
            <w:tcW w:w="850" w:type="dxa"/>
          </w:tcPr>
          <w:p w14:paraId="2620D415" w14:textId="77777777" w:rsidR="00B628FF" w:rsidRDefault="00B628FF">
            <w:pPr>
              <w:pStyle w:val="SummaryAgencyTitle-BP2"/>
            </w:pPr>
          </w:p>
        </w:tc>
      </w:tr>
      <w:tr w:rsidR="00B628FF" w14:paraId="5DB79471" w14:textId="77777777" w:rsidTr="00997AF2">
        <w:tc>
          <w:tcPr>
            <w:tcW w:w="3471" w:type="dxa"/>
            <w:vAlign w:val="bottom"/>
          </w:tcPr>
          <w:p w14:paraId="251C0669" w14:textId="77777777" w:rsidR="00B628FF" w:rsidRDefault="005B2D2F">
            <w:pPr>
              <w:pStyle w:val="SummaryMeasureTitlewithTheme"/>
            </w:pPr>
            <w:r>
              <w:t>Agricultural Priorities</w:t>
            </w:r>
          </w:p>
        </w:tc>
        <w:tc>
          <w:tcPr>
            <w:tcW w:w="850" w:type="dxa"/>
            <w:vAlign w:val="bottom"/>
          </w:tcPr>
          <w:p w14:paraId="3F2EAAF5" w14:textId="438E7343" w:rsidR="00B628FF" w:rsidRDefault="00B31B37">
            <w:pPr>
              <w:pStyle w:val="Summarytabletextrightaligned"/>
            </w:pPr>
            <w:r>
              <w:noBreakHyphen/>
            </w:r>
          </w:p>
        </w:tc>
        <w:tc>
          <w:tcPr>
            <w:tcW w:w="850" w:type="dxa"/>
            <w:shd w:val="clear" w:color="auto" w:fill="E6F2FF"/>
            <w:vAlign w:val="bottom"/>
          </w:tcPr>
          <w:p w14:paraId="7C615769" w14:textId="77777777" w:rsidR="00B628FF" w:rsidRDefault="005B2D2F">
            <w:pPr>
              <w:pStyle w:val="Summarytabletextrightaligned"/>
            </w:pPr>
            <w:r>
              <w:t>5.0</w:t>
            </w:r>
          </w:p>
        </w:tc>
        <w:tc>
          <w:tcPr>
            <w:tcW w:w="850" w:type="dxa"/>
            <w:vAlign w:val="bottom"/>
          </w:tcPr>
          <w:p w14:paraId="3D635241" w14:textId="5B3272ED" w:rsidR="00B628FF" w:rsidRDefault="00B31B37">
            <w:pPr>
              <w:pStyle w:val="Summarytabletextrightaligned"/>
            </w:pPr>
            <w:r>
              <w:noBreakHyphen/>
            </w:r>
          </w:p>
        </w:tc>
        <w:tc>
          <w:tcPr>
            <w:tcW w:w="850" w:type="dxa"/>
            <w:vAlign w:val="bottom"/>
          </w:tcPr>
          <w:p w14:paraId="26574BE0" w14:textId="1008775B" w:rsidR="00B628FF" w:rsidRDefault="00B31B37">
            <w:pPr>
              <w:pStyle w:val="Summarytabletextrightaligned"/>
            </w:pPr>
            <w:r>
              <w:noBreakHyphen/>
            </w:r>
          </w:p>
        </w:tc>
        <w:tc>
          <w:tcPr>
            <w:tcW w:w="850" w:type="dxa"/>
            <w:vAlign w:val="bottom"/>
          </w:tcPr>
          <w:p w14:paraId="7E06960E" w14:textId="7B532DCF" w:rsidR="00B628FF" w:rsidRDefault="00B31B37">
            <w:pPr>
              <w:pStyle w:val="Summarytabletextrightaligned"/>
            </w:pPr>
            <w:r>
              <w:noBreakHyphen/>
            </w:r>
          </w:p>
        </w:tc>
      </w:tr>
      <w:tr w:rsidR="00B628FF" w14:paraId="0770818E" w14:textId="77777777" w:rsidTr="00997AF2">
        <w:tc>
          <w:tcPr>
            <w:tcW w:w="3471" w:type="dxa"/>
            <w:vAlign w:val="bottom"/>
          </w:tcPr>
          <w:p w14:paraId="66C6888B" w14:textId="77777777" w:rsidR="00B628FF" w:rsidRDefault="005B2D2F">
            <w:pPr>
              <w:pStyle w:val="SummaryMeasureTitlewithTheme"/>
            </w:pPr>
            <w:r>
              <w:t>Building a Better Future Through Considered Infrastructure Investment</w:t>
            </w:r>
          </w:p>
        </w:tc>
        <w:tc>
          <w:tcPr>
            <w:tcW w:w="850" w:type="dxa"/>
            <w:vAlign w:val="bottom"/>
          </w:tcPr>
          <w:p w14:paraId="69712000" w14:textId="77777777" w:rsidR="00B628FF" w:rsidRDefault="005B2D2F">
            <w:pPr>
              <w:pStyle w:val="Summarytabletextrightaligned"/>
            </w:pPr>
            <w:r>
              <w:t>12.7</w:t>
            </w:r>
          </w:p>
        </w:tc>
        <w:tc>
          <w:tcPr>
            <w:tcW w:w="850" w:type="dxa"/>
            <w:shd w:val="clear" w:color="auto" w:fill="E6F2FF"/>
            <w:vAlign w:val="bottom"/>
          </w:tcPr>
          <w:p w14:paraId="33E5823B" w14:textId="77777777" w:rsidR="00B628FF" w:rsidRDefault="005B2D2F">
            <w:pPr>
              <w:pStyle w:val="Summarytabletextrightaligned"/>
            </w:pPr>
            <w:r>
              <w:t>117.6</w:t>
            </w:r>
          </w:p>
        </w:tc>
        <w:tc>
          <w:tcPr>
            <w:tcW w:w="850" w:type="dxa"/>
            <w:vAlign w:val="bottom"/>
          </w:tcPr>
          <w:p w14:paraId="06C1F04C" w14:textId="77777777" w:rsidR="00B628FF" w:rsidRDefault="005B2D2F">
            <w:pPr>
              <w:pStyle w:val="Summarytabletextrightaligned"/>
            </w:pPr>
            <w:r>
              <w:t>195.1</w:t>
            </w:r>
          </w:p>
        </w:tc>
        <w:tc>
          <w:tcPr>
            <w:tcW w:w="850" w:type="dxa"/>
            <w:vAlign w:val="bottom"/>
          </w:tcPr>
          <w:p w14:paraId="592C456F" w14:textId="77777777" w:rsidR="00B628FF" w:rsidRDefault="005B2D2F">
            <w:pPr>
              <w:pStyle w:val="Summarytabletextrightaligned"/>
            </w:pPr>
            <w:r>
              <w:t>690.5</w:t>
            </w:r>
          </w:p>
        </w:tc>
        <w:tc>
          <w:tcPr>
            <w:tcW w:w="850" w:type="dxa"/>
            <w:vAlign w:val="bottom"/>
          </w:tcPr>
          <w:p w14:paraId="1270AB83" w14:textId="77777777" w:rsidR="00B628FF" w:rsidRDefault="005B2D2F">
            <w:pPr>
              <w:pStyle w:val="Summarytabletextrightaligned"/>
            </w:pPr>
            <w:r>
              <w:t>825.0</w:t>
            </w:r>
          </w:p>
        </w:tc>
      </w:tr>
    </w:tbl>
    <w:p w14:paraId="0226EA93" w14:textId="77777777" w:rsidR="00997AF2" w:rsidRDefault="00997AF2" w:rsidP="00997AF2">
      <w:pPr>
        <w:sectPr w:rsidR="00997AF2" w:rsidSect="00A06F82">
          <w:pgSz w:w="11906" w:h="16838"/>
          <w:pgMar w:top="2835" w:right="2098" w:bottom="2466" w:left="2098" w:header="1814" w:footer="1814" w:gutter="0"/>
          <w:cols w:space="720"/>
          <w:docGrid w:linePitch="272"/>
        </w:sectPr>
      </w:pPr>
    </w:p>
    <w:p w14:paraId="2A01AF8B" w14:textId="77777777" w:rsidR="00997AF2" w:rsidRDefault="00997AF2" w:rsidP="00997AF2">
      <w:pPr>
        <w:pStyle w:val="TableHeadingcontinued"/>
      </w:pPr>
      <w:r>
        <w:t>Table 2: Payment measures since the 2024–25 MYEFO</w:t>
      </w:r>
      <w:r>
        <w:rPr>
          <w:rFonts w:ascii="Cambria Math" w:hAnsi="Cambria Math" w:cs="Cambria Math"/>
        </w:rPr>
        <w:t>⁽</w:t>
      </w:r>
      <w:r>
        <w:rPr>
          <w:rFonts w:cs="Arial"/>
        </w:rPr>
        <w:t>ª</w:t>
      </w:r>
      <w:r>
        <w:rPr>
          <w:rFonts w:ascii="Cambria Math" w:hAnsi="Cambria Math" w:cs="Cambria Math"/>
        </w:rPr>
        <w:t>⁾</w:t>
      </w:r>
      <w:r>
        <w:t xml:space="preserve"> (continued)</w:t>
      </w:r>
    </w:p>
    <w:tbl>
      <w:tblPr>
        <w:tblOverlap w:val="never"/>
        <w:tblW w:w="7721" w:type="dxa"/>
        <w:tblBorders>
          <w:top w:val="single" w:sz="4" w:space="0" w:color="000000"/>
          <w:bottom w:val="single" w:sz="4" w:space="0" w:color="000000"/>
        </w:tblBorders>
        <w:tblLayout w:type="fixed"/>
        <w:tblCellMar>
          <w:left w:w="0" w:type="dxa"/>
          <w:right w:w="56" w:type="dxa"/>
        </w:tblCellMar>
        <w:tblLook w:val="04A0" w:firstRow="1" w:lastRow="0" w:firstColumn="1" w:lastColumn="0" w:noHBand="0" w:noVBand="1"/>
      </w:tblPr>
      <w:tblGrid>
        <w:gridCol w:w="3471"/>
        <w:gridCol w:w="850"/>
        <w:gridCol w:w="850"/>
        <w:gridCol w:w="850"/>
        <w:gridCol w:w="850"/>
        <w:gridCol w:w="850"/>
      </w:tblGrid>
      <w:tr w:rsidR="00997AF2" w14:paraId="709A1AD3" w14:textId="77777777" w:rsidTr="5FA307DC">
        <w:tc>
          <w:tcPr>
            <w:tcW w:w="3471" w:type="dxa"/>
            <w:vAlign w:val="bottom"/>
          </w:tcPr>
          <w:p w14:paraId="1DB82C6F" w14:textId="77777777" w:rsidR="00997AF2" w:rsidRDefault="00997AF2" w:rsidP="00997AF2"/>
        </w:tc>
        <w:tc>
          <w:tcPr>
            <w:tcW w:w="850" w:type="dxa"/>
            <w:tcBorders>
              <w:bottom w:val="nil"/>
            </w:tcBorders>
            <w:vAlign w:val="bottom"/>
          </w:tcPr>
          <w:p w14:paraId="3D8D6D00" w14:textId="53033FB8" w:rsidR="00997AF2" w:rsidRDefault="00997AF2" w:rsidP="00997AF2">
            <w:pPr>
              <w:pStyle w:val="Summarytabletextrightaligned"/>
            </w:pPr>
            <w:r>
              <w:t>2024</w:t>
            </w:r>
            <w:r w:rsidR="00B31B37">
              <w:noBreakHyphen/>
            </w:r>
            <w:r>
              <w:t>25</w:t>
            </w:r>
          </w:p>
        </w:tc>
        <w:tc>
          <w:tcPr>
            <w:tcW w:w="850" w:type="dxa"/>
            <w:tcBorders>
              <w:bottom w:val="nil"/>
            </w:tcBorders>
            <w:shd w:val="clear" w:color="auto" w:fill="E6F2FF"/>
            <w:vAlign w:val="bottom"/>
          </w:tcPr>
          <w:p w14:paraId="759B6832" w14:textId="0C27672C" w:rsidR="00997AF2" w:rsidRDefault="00997AF2" w:rsidP="00997AF2">
            <w:pPr>
              <w:pStyle w:val="Summarytabletextrightaligned"/>
            </w:pPr>
            <w:r>
              <w:t>2025</w:t>
            </w:r>
            <w:r w:rsidR="00B31B37">
              <w:noBreakHyphen/>
            </w:r>
            <w:r>
              <w:t>26</w:t>
            </w:r>
          </w:p>
        </w:tc>
        <w:tc>
          <w:tcPr>
            <w:tcW w:w="850" w:type="dxa"/>
            <w:tcBorders>
              <w:bottom w:val="nil"/>
            </w:tcBorders>
            <w:vAlign w:val="bottom"/>
          </w:tcPr>
          <w:p w14:paraId="65F94624" w14:textId="4B8AE407" w:rsidR="00997AF2" w:rsidRDefault="00997AF2" w:rsidP="00997AF2">
            <w:pPr>
              <w:pStyle w:val="Summarytabletextrightaligned"/>
            </w:pPr>
            <w:r>
              <w:t>2026</w:t>
            </w:r>
            <w:r w:rsidR="00B31B37">
              <w:noBreakHyphen/>
            </w:r>
            <w:r>
              <w:t>27</w:t>
            </w:r>
          </w:p>
        </w:tc>
        <w:tc>
          <w:tcPr>
            <w:tcW w:w="850" w:type="dxa"/>
            <w:tcBorders>
              <w:bottom w:val="nil"/>
            </w:tcBorders>
            <w:vAlign w:val="bottom"/>
          </w:tcPr>
          <w:p w14:paraId="2704B636" w14:textId="757C3578" w:rsidR="00997AF2" w:rsidRDefault="00997AF2" w:rsidP="00997AF2">
            <w:pPr>
              <w:pStyle w:val="Summarytabletextrightaligned"/>
            </w:pPr>
            <w:r>
              <w:t>2027</w:t>
            </w:r>
            <w:r w:rsidR="00B31B37">
              <w:noBreakHyphen/>
            </w:r>
            <w:r>
              <w:t>28</w:t>
            </w:r>
          </w:p>
        </w:tc>
        <w:tc>
          <w:tcPr>
            <w:tcW w:w="850" w:type="dxa"/>
            <w:tcBorders>
              <w:bottom w:val="nil"/>
            </w:tcBorders>
            <w:vAlign w:val="bottom"/>
          </w:tcPr>
          <w:p w14:paraId="7ACEF501" w14:textId="0A441C12" w:rsidR="00997AF2" w:rsidRDefault="00997AF2" w:rsidP="00997AF2">
            <w:pPr>
              <w:pStyle w:val="Summarytabletextrightaligned"/>
            </w:pPr>
            <w:r>
              <w:t>2028</w:t>
            </w:r>
            <w:r w:rsidR="00B31B37">
              <w:noBreakHyphen/>
            </w:r>
            <w:r>
              <w:t>29</w:t>
            </w:r>
          </w:p>
        </w:tc>
      </w:tr>
      <w:tr w:rsidR="00997AF2" w14:paraId="15631941" w14:textId="77777777" w:rsidTr="5FA307DC">
        <w:tc>
          <w:tcPr>
            <w:tcW w:w="3471" w:type="dxa"/>
            <w:vAlign w:val="bottom"/>
          </w:tcPr>
          <w:p w14:paraId="63040D68" w14:textId="77777777" w:rsidR="00997AF2" w:rsidRDefault="00997AF2" w:rsidP="00997AF2"/>
        </w:tc>
        <w:tc>
          <w:tcPr>
            <w:tcW w:w="850" w:type="dxa"/>
            <w:tcBorders>
              <w:top w:val="nil"/>
              <w:bottom w:val="single" w:sz="4" w:space="0" w:color="auto"/>
            </w:tcBorders>
            <w:shd w:val="clear" w:color="auto" w:fill="auto"/>
            <w:vAlign w:val="bottom"/>
          </w:tcPr>
          <w:p w14:paraId="2D833941" w14:textId="77777777" w:rsidR="00997AF2" w:rsidRDefault="00997AF2" w:rsidP="00997AF2">
            <w:pPr>
              <w:pStyle w:val="Summarytabletextrightaligned"/>
            </w:pPr>
            <w:r>
              <w:t>$m</w:t>
            </w:r>
          </w:p>
        </w:tc>
        <w:tc>
          <w:tcPr>
            <w:tcW w:w="850" w:type="dxa"/>
            <w:tcBorders>
              <w:top w:val="nil"/>
              <w:bottom w:val="single" w:sz="4" w:space="0" w:color="auto"/>
            </w:tcBorders>
            <w:shd w:val="clear" w:color="auto" w:fill="E6F2FF"/>
            <w:vAlign w:val="bottom"/>
          </w:tcPr>
          <w:p w14:paraId="1E3850BA" w14:textId="77777777" w:rsidR="00997AF2" w:rsidRDefault="00997AF2" w:rsidP="00997AF2">
            <w:pPr>
              <w:pStyle w:val="Summarytabletextrightaligned"/>
            </w:pPr>
            <w:r>
              <w:t>$m</w:t>
            </w:r>
          </w:p>
        </w:tc>
        <w:tc>
          <w:tcPr>
            <w:tcW w:w="850" w:type="dxa"/>
            <w:tcBorders>
              <w:top w:val="nil"/>
              <w:bottom w:val="single" w:sz="4" w:space="0" w:color="auto"/>
            </w:tcBorders>
            <w:shd w:val="clear" w:color="auto" w:fill="auto"/>
            <w:vAlign w:val="bottom"/>
          </w:tcPr>
          <w:p w14:paraId="717DA870" w14:textId="77777777" w:rsidR="00997AF2" w:rsidRDefault="00997AF2" w:rsidP="00997AF2">
            <w:pPr>
              <w:pStyle w:val="Summarytabletextrightaligned"/>
            </w:pPr>
            <w:r>
              <w:t>$m</w:t>
            </w:r>
          </w:p>
        </w:tc>
        <w:tc>
          <w:tcPr>
            <w:tcW w:w="850" w:type="dxa"/>
            <w:tcBorders>
              <w:top w:val="nil"/>
              <w:bottom w:val="single" w:sz="4" w:space="0" w:color="auto"/>
            </w:tcBorders>
            <w:shd w:val="clear" w:color="auto" w:fill="auto"/>
            <w:vAlign w:val="bottom"/>
          </w:tcPr>
          <w:p w14:paraId="7CB3CBB7" w14:textId="77777777" w:rsidR="00997AF2" w:rsidRDefault="00997AF2" w:rsidP="00997AF2">
            <w:pPr>
              <w:pStyle w:val="Summarytabletextrightaligned"/>
            </w:pPr>
            <w:r>
              <w:t>$m</w:t>
            </w:r>
          </w:p>
        </w:tc>
        <w:tc>
          <w:tcPr>
            <w:tcW w:w="850" w:type="dxa"/>
            <w:tcBorders>
              <w:top w:val="nil"/>
              <w:bottom w:val="single" w:sz="4" w:space="0" w:color="auto"/>
            </w:tcBorders>
            <w:shd w:val="clear" w:color="auto" w:fill="auto"/>
            <w:vAlign w:val="bottom"/>
          </w:tcPr>
          <w:p w14:paraId="189B3593" w14:textId="77777777" w:rsidR="00997AF2" w:rsidRDefault="00997AF2" w:rsidP="00997AF2">
            <w:pPr>
              <w:pStyle w:val="Summarytabletextrightaligned"/>
            </w:pPr>
            <w:r>
              <w:t>$m</w:t>
            </w:r>
          </w:p>
        </w:tc>
      </w:tr>
      <w:tr w:rsidR="00997AF2" w14:paraId="104A0FB9" w14:textId="77777777" w:rsidTr="5FA307DC">
        <w:tc>
          <w:tcPr>
            <w:tcW w:w="3471" w:type="dxa"/>
            <w:tcBorders>
              <w:bottom w:val="nil"/>
            </w:tcBorders>
            <w:vAlign w:val="bottom"/>
          </w:tcPr>
          <w:p w14:paraId="15CC85B8" w14:textId="77777777" w:rsidR="00997AF2" w:rsidRPr="00997AF2" w:rsidRDefault="00997AF2" w:rsidP="00997AF2">
            <w:pPr>
              <w:pStyle w:val="SummaryMeasureTitlewithTheme"/>
              <w:rPr>
                <w:b/>
              </w:rPr>
            </w:pPr>
            <w:r w:rsidRPr="00997AF2">
              <w:rPr>
                <w:b/>
              </w:rPr>
              <w:t>TREASURY (continued)</w:t>
            </w:r>
          </w:p>
        </w:tc>
        <w:tc>
          <w:tcPr>
            <w:tcW w:w="850" w:type="dxa"/>
            <w:tcBorders>
              <w:top w:val="single" w:sz="4" w:space="0" w:color="auto"/>
              <w:bottom w:val="nil"/>
            </w:tcBorders>
            <w:vAlign w:val="bottom"/>
          </w:tcPr>
          <w:p w14:paraId="623292AC" w14:textId="77777777" w:rsidR="00997AF2" w:rsidRDefault="00997AF2">
            <w:pPr>
              <w:pStyle w:val="Summarytabletextrightaligned"/>
            </w:pPr>
          </w:p>
        </w:tc>
        <w:tc>
          <w:tcPr>
            <w:tcW w:w="850" w:type="dxa"/>
            <w:tcBorders>
              <w:top w:val="single" w:sz="4" w:space="0" w:color="auto"/>
              <w:bottom w:val="nil"/>
            </w:tcBorders>
            <w:shd w:val="clear" w:color="auto" w:fill="E6F2FF"/>
            <w:vAlign w:val="bottom"/>
          </w:tcPr>
          <w:p w14:paraId="4931BE7B" w14:textId="77777777" w:rsidR="00997AF2" w:rsidRDefault="00997AF2">
            <w:pPr>
              <w:pStyle w:val="Summarytabletextrightaligned"/>
            </w:pPr>
          </w:p>
        </w:tc>
        <w:tc>
          <w:tcPr>
            <w:tcW w:w="850" w:type="dxa"/>
            <w:tcBorders>
              <w:top w:val="single" w:sz="4" w:space="0" w:color="auto"/>
              <w:bottom w:val="nil"/>
            </w:tcBorders>
            <w:vAlign w:val="bottom"/>
          </w:tcPr>
          <w:p w14:paraId="1465410A" w14:textId="77777777" w:rsidR="00997AF2" w:rsidRDefault="00997AF2">
            <w:pPr>
              <w:pStyle w:val="Summarytabletextrightaligned"/>
            </w:pPr>
          </w:p>
        </w:tc>
        <w:tc>
          <w:tcPr>
            <w:tcW w:w="850" w:type="dxa"/>
            <w:tcBorders>
              <w:top w:val="single" w:sz="4" w:space="0" w:color="auto"/>
              <w:bottom w:val="nil"/>
            </w:tcBorders>
            <w:vAlign w:val="bottom"/>
          </w:tcPr>
          <w:p w14:paraId="0B7CD3A2" w14:textId="77777777" w:rsidR="00997AF2" w:rsidRDefault="00997AF2">
            <w:pPr>
              <w:pStyle w:val="Summarytabletextrightaligned"/>
            </w:pPr>
          </w:p>
        </w:tc>
        <w:tc>
          <w:tcPr>
            <w:tcW w:w="850" w:type="dxa"/>
            <w:tcBorders>
              <w:top w:val="single" w:sz="4" w:space="0" w:color="auto"/>
              <w:bottom w:val="nil"/>
            </w:tcBorders>
            <w:vAlign w:val="bottom"/>
          </w:tcPr>
          <w:p w14:paraId="4ECFADC4" w14:textId="77777777" w:rsidR="00997AF2" w:rsidRDefault="00997AF2">
            <w:pPr>
              <w:pStyle w:val="Summarytabletextrightaligned"/>
            </w:pPr>
          </w:p>
        </w:tc>
      </w:tr>
      <w:tr w:rsidR="00B628FF" w14:paraId="40A194FD" w14:textId="77777777" w:rsidTr="5FA307DC">
        <w:tc>
          <w:tcPr>
            <w:tcW w:w="3471" w:type="dxa"/>
            <w:tcBorders>
              <w:top w:val="nil"/>
            </w:tcBorders>
            <w:vAlign w:val="bottom"/>
          </w:tcPr>
          <w:p w14:paraId="0449E5AE" w14:textId="56DBBB13" w:rsidR="00B628FF" w:rsidRDefault="005B2D2F">
            <w:pPr>
              <w:pStyle w:val="SummaryMeasureTitlewithTheme"/>
            </w:pPr>
            <w:r>
              <w:t>Building Australia</w:t>
            </w:r>
            <w:r w:rsidR="00B31B37">
              <w:t>’</w:t>
            </w:r>
            <w:r>
              <w:t>s Future – Increased Support for Apprentices(b)</w:t>
            </w:r>
          </w:p>
        </w:tc>
        <w:tc>
          <w:tcPr>
            <w:tcW w:w="850" w:type="dxa"/>
            <w:tcBorders>
              <w:top w:val="nil"/>
            </w:tcBorders>
            <w:vAlign w:val="bottom"/>
          </w:tcPr>
          <w:p w14:paraId="21FD03E7" w14:textId="760C0852" w:rsidR="00B628FF" w:rsidRDefault="00B31B37">
            <w:pPr>
              <w:pStyle w:val="Summarytabletextrightaligned"/>
            </w:pPr>
            <w:r>
              <w:noBreakHyphen/>
            </w:r>
          </w:p>
        </w:tc>
        <w:tc>
          <w:tcPr>
            <w:tcW w:w="850" w:type="dxa"/>
            <w:tcBorders>
              <w:top w:val="nil"/>
            </w:tcBorders>
            <w:shd w:val="clear" w:color="auto" w:fill="E6F2FF"/>
            <w:vAlign w:val="bottom"/>
          </w:tcPr>
          <w:p w14:paraId="028B7789" w14:textId="39DE19B3" w:rsidR="00B628FF" w:rsidRDefault="00B31B37">
            <w:pPr>
              <w:pStyle w:val="Summarytabletextrightaligned"/>
            </w:pPr>
            <w:r>
              <w:noBreakHyphen/>
            </w:r>
          </w:p>
        </w:tc>
        <w:tc>
          <w:tcPr>
            <w:tcW w:w="850" w:type="dxa"/>
            <w:tcBorders>
              <w:top w:val="nil"/>
            </w:tcBorders>
            <w:vAlign w:val="bottom"/>
          </w:tcPr>
          <w:p w14:paraId="3B75623D" w14:textId="68C5AC89" w:rsidR="00B628FF" w:rsidRDefault="00B31B37">
            <w:pPr>
              <w:pStyle w:val="Summarytabletextrightaligned"/>
            </w:pPr>
            <w:r>
              <w:noBreakHyphen/>
            </w:r>
          </w:p>
        </w:tc>
        <w:tc>
          <w:tcPr>
            <w:tcW w:w="850" w:type="dxa"/>
            <w:tcBorders>
              <w:top w:val="nil"/>
            </w:tcBorders>
            <w:vAlign w:val="bottom"/>
          </w:tcPr>
          <w:p w14:paraId="2146A318" w14:textId="773B5D65" w:rsidR="00B628FF" w:rsidRDefault="00B31B37">
            <w:pPr>
              <w:pStyle w:val="Summarytabletextrightaligned"/>
            </w:pPr>
            <w:r>
              <w:noBreakHyphen/>
            </w:r>
          </w:p>
        </w:tc>
        <w:tc>
          <w:tcPr>
            <w:tcW w:w="850" w:type="dxa"/>
            <w:tcBorders>
              <w:top w:val="nil"/>
            </w:tcBorders>
            <w:vAlign w:val="bottom"/>
          </w:tcPr>
          <w:p w14:paraId="2DEB8D89" w14:textId="730997D9" w:rsidR="00B628FF" w:rsidRDefault="00B31B37">
            <w:pPr>
              <w:pStyle w:val="Summarytabletextrightaligned"/>
            </w:pPr>
            <w:r>
              <w:noBreakHyphen/>
            </w:r>
          </w:p>
        </w:tc>
      </w:tr>
      <w:tr w:rsidR="00B628FF" w14:paraId="559CA72C" w14:textId="77777777" w:rsidTr="5FA307DC">
        <w:tc>
          <w:tcPr>
            <w:tcW w:w="3471" w:type="dxa"/>
            <w:vAlign w:val="bottom"/>
          </w:tcPr>
          <w:p w14:paraId="11DD8E0C" w14:textId="3417709F" w:rsidR="00B628FF" w:rsidRDefault="005B2D2F">
            <w:pPr>
              <w:pStyle w:val="SummaryMeasureTitlewithTheme"/>
            </w:pPr>
            <w:r>
              <w:t>Building Australia</w:t>
            </w:r>
            <w:r w:rsidR="00B31B37">
              <w:t>’</w:t>
            </w:r>
            <w:r>
              <w:t>s Future – Support for Australian Made Metals</w:t>
            </w:r>
          </w:p>
        </w:tc>
        <w:tc>
          <w:tcPr>
            <w:tcW w:w="850" w:type="dxa"/>
            <w:vAlign w:val="bottom"/>
          </w:tcPr>
          <w:p w14:paraId="7B9F178E" w14:textId="77777777" w:rsidR="00B628FF" w:rsidRDefault="005B2D2F">
            <w:pPr>
              <w:pStyle w:val="Summarytabletextrightaligned"/>
            </w:pPr>
            <w:r>
              <w:t>178.0</w:t>
            </w:r>
          </w:p>
        </w:tc>
        <w:tc>
          <w:tcPr>
            <w:tcW w:w="850" w:type="dxa"/>
            <w:shd w:val="clear" w:color="auto" w:fill="E6F2FF"/>
            <w:vAlign w:val="bottom"/>
          </w:tcPr>
          <w:p w14:paraId="2157A171" w14:textId="77777777" w:rsidR="00B628FF" w:rsidRDefault="005B2D2F">
            <w:pPr>
              <w:pStyle w:val="Summarytabletextrightaligned"/>
            </w:pPr>
            <w:r>
              <w:t>32.0</w:t>
            </w:r>
          </w:p>
        </w:tc>
        <w:tc>
          <w:tcPr>
            <w:tcW w:w="850" w:type="dxa"/>
            <w:vAlign w:val="bottom"/>
          </w:tcPr>
          <w:p w14:paraId="39D93375" w14:textId="4A164516" w:rsidR="00B628FF" w:rsidRDefault="00B31B37">
            <w:pPr>
              <w:pStyle w:val="Summarytabletextrightaligned"/>
            </w:pPr>
            <w:r>
              <w:noBreakHyphen/>
            </w:r>
          </w:p>
        </w:tc>
        <w:tc>
          <w:tcPr>
            <w:tcW w:w="850" w:type="dxa"/>
            <w:vAlign w:val="bottom"/>
          </w:tcPr>
          <w:p w14:paraId="5C97ED50" w14:textId="6CA1FECC" w:rsidR="00B628FF" w:rsidRDefault="00B31B37">
            <w:pPr>
              <w:pStyle w:val="Summarytabletextrightaligned"/>
            </w:pPr>
            <w:r>
              <w:noBreakHyphen/>
            </w:r>
          </w:p>
        </w:tc>
        <w:tc>
          <w:tcPr>
            <w:tcW w:w="850" w:type="dxa"/>
            <w:vAlign w:val="bottom"/>
          </w:tcPr>
          <w:p w14:paraId="4B77FFC9" w14:textId="57E79FE1" w:rsidR="00B628FF" w:rsidRDefault="00B31B37">
            <w:pPr>
              <w:pStyle w:val="Summarytabletextrightaligned"/>
            </w:pPr>
            <w:r>
              <w:noBreakHyphen/>
            </w:r>
          </w:p>
        </w:tc>
      </w:tr>
      <w:tr w:rsidR="00B628FF" w14:paraId="2423B9B7" w14:textId="77777777" w:rsidTr="5FA307DC">
        <w:tc>
          <w:tcPr>
            <w:tcW w:w="3471" w:type="dxa"/>
            <w:vAlign w:val="bottom"/>
          </w:tcPr>
          <w:p w14:paraId="75C62510" w14:textId="77777777" w:rsidR="00B628FF" w:rsidRDefault="005B2D2F">
            <w:pPr>
              <w:pStyle w:val="SummaryMeasureTitlewithTheme"/>
            </w:pPr>
            <w:r>
              <w:t>Climate Change, Energy, the Environment and Water – savings</w:t>
            </w:r>
          </w:p>
        </w:tc>
        <w:tc>
          <w:tcPr>
            <w:tcW w:w="850" w:type="dxa"/>
            <w:vAlign w:val="bottom"/>
          </w:tcPr>
          <w:p w14:paraId="4D88CE19" w14:textId="0C848FEA" w:rsidR="00B628FF" w:rsidRDefault="00B31B37">
            <w:pPr>
              <w:pStyle w:val="Summarytabletextrightaligned"/>
            </w:pPr>
            <w:r>
              <w:noBreakHyphen/>
            </w:r>
          </w:p>
        </w:tc>
        <w:tc>
          <w:tcPr>
            <w:tcW w:w="850" w:type="dxa"/>
            <w:shd w:val="clear" w:color="auto" w:fill="E6F2FF"/>
            <w:vAlign w:val="bottom"/>
          </w:tcPr>
          <w:p w14:paraId="14577585" w14:textId="73E5B0FA" w:rsidR="00B628FF" w:rsidRDefault="00B31B37">
            <w:pPr>
              <w:pStyle w:val="Summarytabletextrightaligned"/>
            </w:pPr>
            <w:r>
              <w:noBreakHyphen/>
            </w:r>
          </w:p>
        </w:tc>
        <w:tc>
          <w:tcPr>
            <w:tcW w:w="850" w:type="dxa"/>
            <w:vAlign w:val="bottom"/>
          </w:tcPr>
          <w:p w14:paraId="7A441A06" w14:textId="5A65B92B" w:rsidR="00B628FF" w:rsidRDefault="00B31B37">
            <w:pPr>
              <w:pStyle w:val="Summarytabletextrightaligned"/>
            </w:pPr>
            <w:r>
              <w:noBreakHyphen/>
            </w:r>
          </w:p>
        </w:tc>
        <w:tc>
          <w:tcPr>
            <w:tcW w:w="850" w:type="dxa"/>
            <w:vAlign w:val="bottom"/>
          </w:tcPr>
          <w:p w14:paraId="21A7468D" w14:textId="6C6D75BB" w:rsidR="00B628FF" w:rsidRDefault="00B31B37">
            <w:pPr>
              <w:pStyle w:val="Summarytabletextrightaligned"/>
            </w:pPr>
            <w:r>
              <w:noBreakHyphen/>
            </w:r>
          </w:p>
        </w:tc>
        <w:tc>
          <w:tcPr>
            <w:tcW w:w="850" w:type="dxa"/>
            <w:vAlign w:val="bottom"/>
          </w:tcPr>
          <w:p w14:paraId="294A5821" w14:textId="48EAA105" w:rsidR="00B628FF" w:rsidRDefault="00B31B37">
            <w:pPr>
              <w:pStyle w:val="Summarytabletextrightaligned"/>
            </w:pPr>
            <w:r>
              <w:noBreakHyphen/>
            </w:r>
          </w:p>
        </w:tc>
      </w:tr>
      <w:tr w:rsidR="00B628FF" w14:paraId="2309792E" w14:textId="77777777" w:rsidTr="5FA307DC">
        <w:tc>
          <w:tcPr>
            <w:tcW w:w="3471" w:type="dxa"/>
            <w:vAlign w:val="bottom"/>
          </w:tcPr>
          <w:p w14:paraId="09985F26" w14:textId="77777777" w:rsidR="00B628FF" w:rsidRDefault="005B2D2F">
            <w:pPr>
              <w:pStyle w:val="SummaryMeasureTitlewithTheme"/>
            </w:pPr>
            <w:r>
              <w:t>Closing the Gap – further investments(b)</w:t>
            </w:r>
          </w:p>
        </w:tc>
        <w:tc>
          <w:tcPr>
            <w:tcW w:w="850" w:type="dxa"/>
            <w:vAlign w:val="bottom"/>
          </w:tcPr>
          <w:p w14:paraId="3586FB17" w14:textId="77777777" w:rsidR="00B628FF" w:rsidRDefault="005B2D2F">
            <w:pPr>
              <w:pStyle w:val="Summarytabletextrightaligned"/>
            </w:pPr>
            <w:r>
              <w:t>3.0</w:t>
            </w:r>
          </w:p>
        </w:tc>
        <w:tc>
          <w:tcPr>
            <w:tcW w:w="850" w:type="dxa"/>
            <w:shd w:val="clear" w:color="auto" w:fill="E6F2FF"/>
            <w:vAlign w:val="bottom"/>
          </w:tcPr>
          <w:p w14:paraId="165B635F" w14:textId="77777777" w:rsidR="00B628FF" w:rsidRDefault="005B2D2F">
            <w:pPr>
              <w:pStyle w:val="Summarytabletextrightaligned"/>
            </w:pPr>
            <w:r>
              <w:t>6.1</w:t>
            </w:r>
          </w:p>
        </w:tc>
        <w:tc>
          <w:tcPr>
            <w:tcW w:w="850" w:type="dxa"/>
            <w:vAlign w:val="bottom"/>
          </w:tcPr>
          <w:p w14:paraId="4AFFE7F6" w14:textId="77777777" w:rsidR="00B628FF" w:rsidRDefault="005B2D2F">
            <w:pPr>
              <w:pStyle w:val="Summarytabletextrightaligned"/>
            </w:pPr>
            <w:r>
              <w:t>3.1</w:t>
            </w:r>
          </w:p>
        </w:tc>
        <w:tc>
          <w:tcPr>
            <w:tcW w:w="850" w:type="dxa"/>
            <w:vAlign w:val="bottom"/>
          </w:tcPr>
          <w:p w14:paraId="5672A7E6" w14:textId="77777777" w:rsidR="00B628FF" w:rsidRDefault="005B2D2F">
            <w:pPr>
              <w:pStyle w:val="Summarytabletextrightaligned"/>
            </w:pPr>
            <w:r>
              <w:t>3.1</w:t>
            </w:r>
          </w:p>
        </w:tc>
        <w:tc>
          <w:tcPr>
            <w:tcW w:w="850" w:type="dxa"/>
            <w:vAlign w:val="bottom"/>
          </w:tcPr>
          <w:p w14:paraId="07A0131A" w14:textId="0D4F0C48" w:rsidR="00B628FF" w:rsidRDefault="00B31B37">
            <w:pPr>
              <w:pStyle w:val="Summarytabletextrightaligned"/>
            </w:pPr>
            <w:r>
              <w:noBreakHyphen/>
            </w:r>
          </w:p>
        </w:tc>
      </w:tr>
      <w:tr w:rsidR="00B628FF" w14:paraId="06AEB4B1" w14:textId="77777777" w:rsidTr="5FA307DC">
        <w:tc>
          <w:tcPr>
            <w:tcW w:w="3471" w:type="dxa"/>
            <w:vAlign w:val="bottom"/>
          </w:tcPr>
          <w:p w14:paraId="3D7A9E0C" w14:textId="77777777" w:rsidR="00B628FF" w:rsidRDefault="005B2D2F">
            <w:pPr>
              <w:pStyle w:val="SummaryMeasureTitlewithTheme"/>
            </w:pPr>
            <w:r>
              <w:t>Disaster Support</w:t>
            </w:r>
          </w:p>
        </w:tc>
        <w:tc>
          <w:tcPr>
            <w:tcW w:w="850" w:type="dxa"/>
            <w:vAlign w:val="bottom"/>
          </w:tcPr>
          <w:p w14:paraId="240DFF03" w14:textId="34279681" w:rsidR="00B628FF" w:rsidRDefault="00B31B37">
            <w:pPr>
              <w:pStyle w:val="Summarytabletextrightaligned"/>
            </w:pPr>
            <w:r>
              <w:noBreakHyphen/>
            </w:r>
          </w:p>
        </w:tc>
        <w:tc>
          <w:tcPr>
            <w:tcW w:w="850" w:type="dxa"/>
            <w:shd w:val="clear" w:color="auto" w:fill="E6F2FF"/>
            <w:vAlign w:val="bottom"/>
          </w:tcPr>
          <w:p w14:paraId="47FCE8F6" w14:textId="77777777" w:rsidR="00B628FF" w:rsidRDefault="005B2D2F">
            <w:pPr>
              <w:pStyle w:val="Summarytabletextrightaligned"/>
            </w:pPr>
            <w:r>
              <w:t>17.7</w:t>
            </w:r>
          </w:p>
        </w:tc>
        <w:tc>
          <w:tcPr>
            <w:tcW w:w="850" w:type="dxa"/>
            <w:vAlign w:val="bottom"/>
          </w:tcPr>
          <w:p w14:paraId="4C81FB29" w14:textId="52BBCFDB" w:rsidR="00B628FF" w:rsidRDefault="00B31B37">
            <w:pPr>
              <w:pStyle w:val="Summarytabletextrightaligned"/>
            </w:pPr>
            <w:r>
              <w:noBreakHyphen/>
            </w:r>
          </w:p>
        </w:tc>
        <w:tc>
          <w:tcPr>
            <w:tcW w:w="850" w:type="dxa"/>
            <w:vAlign w:val="bottom"/>
          </w:tcPr>
          <w:p w14:paraId="318D2CE9" w14:textId="5212AD11" w:rsidR="00B628FF" w:rsidRDefault="00B31B37">
            <w:pPr>
              <w:pStyle w:val="Summarytabletextrightaligned"/>
            </w:pPr>
            <w:r>
              <w:noBreakHyphen/>
            </w:r>
          </w:p>
        </w:tc>
        <w:tc>
          <w:tcPr>
            <w:tcW w:w="850" w:type="dxa"/>
            <w:vAlign w:val="bottom"/>
          </w:tcPr>
          <w:p w14:paraId="1000B865" w14:textId="09F7E26B" w:rsidR="00B628FF" w:rsidRDefault="00B31B37">
            <w:pPr>
              <w:pStyle w:val="Summarytabletextrightaligned"/>
            </w:pPr>
            <w:r>
              <w:noBreakHyphen/>
            </w:r>
          </w:p>
        </w:tc>
      </w:tr>
      <w:tr w:rsidR="00B628FF" w14:paraId="48D78BB5" w14:textId="77777777" w:rsidTr="5FA307DC">
        <w:tc>
          <w:tcPr>
            <w:tcW w:w="3471" w:type="dxa"/>
            <w:vAlign w:val="bottom"/>
          </w:tcPr>
          <w:p w14:paraId="77568E0A" w14:textId="77777777" w:rsidR="00B628FF" w:rsidRDefault="005B2D2F">
            <w:pPr>
              <w:pStyle w:val="SummaryMeasureTitlewithTheme"/>
            </w:pPr>
            <w:r>
              <w:t>Energy Bill Relief Fund Extension</w:t>
            </w:r>
          </w:p>
        </w:tc>
        <w:tc>
          <w:tcPr>
            <w:tcW w:w="850" w:type="dxa"/>
            <w:vAlign w:val="bottom"/>
          </w:tcPr>
          <w:p w14:paraId="4E94081F" w14:textId="2A157B37" w:rsidR="00B628FF" w:rsidRDefault="00B31B37">
            <w:pPr>
              <w:pStyle w:val="Summarytabletextrightaligned"/>
            </w:pPr>
            <w:r>
              <w:noBreakHyphen/>
            </w:r>
          </w:p>
        </w:tc>
        <w:tc>
          <w:tcPr>
            <w:tcW w:w="850" w:type="dxa"/>
            <w:shd w:val="clear" w:color="auto" w:fill="E6F2FF"/>
            <w:vAlign w:val="bottom"/>
          </w:tcPr>
          <w:p w14:paraId="20087C15" w14:textId="77777777" w:rsidR="00B628FF" w:rsidRDefault="005B2D2F">
            <w:pPr>
              <w:pStyle w:val="Summarytabletextrightaligned"/>
            </w:pPr>
            <w:r>
              <w:t>1,775.6</w:t>
            </w:r>
          </w:p>
        </w:tc>
        <w:tc>
          <w:tcPr>
            <w:tcW w:w="850" w:type="dxa"/>
            <w:vAlign w:val="bottom"/>
          </w:tcPr>
          <w:p w14:paraId="008CFDE9" w14:textId="77777777" w:rsidR="00B628FF" w:rsidRDefault="005B2D2F">
            <w:pPr>
              <w:pStyle w:val="Summarytabletextrightaligned"/>
            </w:pPr>
            <w:r>
              <w:t>0.4</w:t>
            </w:r>
          </w:p>
        </w:tc>
        <w:tc>
          <w:tcPr>
            <w:tcW w:w="850" w:type="dxa"/>
            <w:vAlign w:val="bottom"/>
          </w:tcPr>
          <w:p w14:paraId="3BF583AD" w14:textId="3CA79216" w:rsidR="00B628FF" w:rsidRDefault="00B31B37">
            <w:pPr>
              <w:pStyle w:val="Summarytabletextrightaligned"/>
            </w:pPr>
            <w:r>
              <w:noBreakHyphen/>
            </w:r>
          </w:p>
        </w:tc>
        <w:tc>
          <w:tcPr>
            <w:tcW w:w="850" w:type="dxa"/>
            <w:vAlign w:val="bottom"/>
          </w:tcPr>
          <w:p w14:paraId="54C947E2" w14:textId="1817E4BF" w:rsidR="00B628FF" w:rsidRDefault="00B31B37">
            <w:pPr>
              <w:pStyle w:val="Summarytabletextrightaligned"/>
            </w:pPr>
            <w:r>
              <w:noBreakHyphen/>
            </w:r>
          </w:p>
        </w:tc>
      </w:tr>
      <w:tr w:rsidR="00B628FF" w14:paraId="37FCA262" w14:textId="77777777" w:rsidTr="5FA307DC">
        <w:tc>
          <w:tcPr>
            <w:tcW w:w="3471" w:type="dxa"/>
            <w:vAlign w:val="bottom"/>
          </w:tcPr>
          <w:p w14:paraId="10177A18" w14:textId="77777777" w:rsidR="00B628FF" w:rsidRDefault="005B2D2F">
            <w:pPr>
              <w:pStyle w:val="SummaryMeasureTitlewithTheme"/>
            </w:pPr>
            <w:r>
              <w:t>Hillcrest Tragedy Memorial</w:t>
            </w:r>
          </w:p>
        </w:tc>
        <w:tc>
          <w:tcPr>
            <w:tcW w:w="850" w:type="dxa"/>
            <w:vAlign w:val="bottom"/>
          </w:tcPr>
          <w:p w14:paraId="6FB3AE4D" w14:textId="46757251" w:rsidR="00B628FF" w:rsidRDefault="00B31B37">
            <w:pPr>
              <w:pStyle w:val="Summarytabletextrightaligned"/>
            </w:pPr>
            <w:r>
              <w:noBreakHyphen/>
            </w:r>
          </w:p>
        </w:tc>
        <w:tc>
          <w:tcPr>
            <w:tcW w:w="850" w:type="dxa"/>
            <w:shd w:val="clear" w:color="auto" w:fill="E6F2FF"/>
            <w:vAlign w:val="bottom"/>
          </w:tcPr>
          <w:p w14:paraId="5B32BA08" w14:textId="77777777" w:rsidR="00B628FF" w:rsidRDefault="005B2D2F">
            <w:pPr>
              <w:pStyle w:val="Summarytabletextrightaligned"/>
            </w:pPr>
            <w:r>
              <w:t>0.9</w:t>
            </w:r>
          </w:p>
        </w:tc>
        <w:tc>
          <w:tcPr>
            <w:tcW w:w="850" w:type="dxa"/>
            <w:vAlign w:val="bottom"/>
          </w:tcPr>
          <w:p w14:paraId="44179AB3" w14:textId="3FF0D82A" w:rsidR="00B628FF" w:rsidRDefault="00B31B37">
            <w:pPr>
              <w:pStyle w:val="Summarytabletextrightaligned"/>
            </w:pPr>
            <w:r>
              <w:noBreakHyphen/>
            </w:r>
          </w:p>
        </w:tc>
        <w:tc>
          <w:tcPr>
            <w:tcW w:w="850" w:type="dxa"/>
            <w:vAlign w:val="bottom"/>
          </w:tcPr>
          <w:p w14:paraId="58969E0A" w14:textId="7636C12E" w:rsidR="00B628FF" w:rsidRDefault="00B31B37">
            <w:pPr>
              <w:pStyle w:val="Summarytabletextrightaligned"/>
            </w:pPr>
            <w:r>
              <w:noBreakHyphen/>
            </w:r>
          </w:p>
        </w:tc>
        <w:tc>
          <w:tcPr>
            <w:tcW w:w="850" w:type="dxa"/>
            <w:vAlign w:val="bottom"/>
          </w:tcPr>
          <w:p w14:paraId="2539DDBF" w14:textId="1F4F5BB1" w:rsidR="00B628FF" w:rsidRDefault="00B31B37">
            <w:pPr>
              <w:pStyle w:val="Summarytabletextrightaligned"/>
            </w:pPr>
            <w:r>
              <w:noBreakHyphen/>
            </w:r>
          </w:p>
        </w:tc>
      </w:tr>
      <w:tr w:rsidR="00B628FF" w14:paraId="3B95EDD8" w14:textId="77777777" w:rsidTr="5FA307DC">
        <w:tc>
          <w:tcPr>
            <w:tcW w:w="3471" w:type="dxa"/>
            <w:vAlign w:val="bottom"/>
          </w:tcPr>
          <w:p w14:paraId="71EE53B4" w14:textId="18C7EA94" w:rsidR="00B628FF" w:rsidRDefault="005B2D2F">
            <w:pPr>
              <w:pStyle w:val="SummaryMeasureTitlewithTheme"/>
            </w:pPr>
            <w:r>
              <w:t xml:space="preserve">Housing </w:t>
            </w:r>
            <w:r w:rsidR="00494012">
              <w:t>S</w:t>
            </w:r>
            <w:r>
              <w:t>upport(b)</w:t>
            </w:r>
          </w:p>
        </w:tc>
        <w:tc>
          <w:tcPr>
            <w:tcW w:w="850" w:type="dxa"/>
            <w:vAlign w:val="bottom"/>
          </w:tcPr>
          <w:p w14:paraId="5F0E12E1" w14:textId="5D82D343" w:rsidR="00B628FF" w:rsidRDefault="00B31B37">
            <w:pPr>
              <w:pStyle w:val="Summarytabletextrightaligned"/>
            </w:pPr>
            <w:r>
              <w:noBreakHyphen/>
            </w:r>
          </w:p>
        </w:tc>
        <w:tc>
          <w:tcPr>
            <w:tcW w:w="850" w:type="dxa"/>
            <w:shd w:val="clear" w:color="auto" w:fill="E6F2FF"/>
            <w:vAlign w:val="bottom"/>
          </w:tcPr>
          <w:p w14:paraId="39F7308F" w14:textId="77777777" w:rsidR="00B628FF" w:rsidRDefault="005B2D2F">
            <w:pPr>
              <w:pStyle w:val="Summarytabletextrightaligned"/>
            </w:pPr>
            <w:r>
              <w:t>24.6</w:t>
            </w:r>
          </w:p>
        </w:tc>
        <w:tc>
          <w:tcPr>
            <w:tcW w:w="850" w:type="dxa"/>
            <w:vAlign w:val="bottom"/>
          </w:tcPr>
          <w:p w14:paraId="5B0EAA3A" w14:textId="77777777" w:rsidR="00B628FF" w:rsidRDefault="005B2D2F">
            <w:pPr>
              <w:pStyle w:val="Summarytabletextrightaligned"/>
            </w:pPr>
            <w:r>
              <w:t>24.7</w:t>
            </w:r>
          </w:p>
        </w:tc>
        <w:tc>
          <w:tcPr>
            <w:tcW w:w="850" w:type="dxa"/>
            <w:vAlign w:val="bottom"/>
          </w:tcPr>
          <w:p w14:paraId="5CA54976" w14:textId="77777777" w:rsidR="00B628FF" w:rsidRDefault="005B2D2F">
            <w:pPr>
              <w:pStyle w:val="Summarytabletextrightaligned"/>
            </w:pPr>
            <w:r>
              <w:t>0.3</w:t>
            </w:r>
          </w:p>
        </w:tc>
        <w:tc>
          <w:tcPr>
            <w:tcW w:w="850" w:type="dxa"/>
            <w:vAlign w:val="bottom"/>
          </w:tcPr>
          <w:p w14:paraId="4C001E44" w14:textId="77777777" w:rsidR="00B628FF" w:rsidRDefault="005B2D2F">
            <w:pPr>
              <w:pStyle w:val="Summarytabletextrightaligned"/>
            </w:pPr>
            <w:r>
              <w:t>1.0</w:t>
            </w:r>
          </w:p>
        </w:tc>
      </w:tr>
      <w:tr w:rsidR="00B628FF" w14:paraId="62DA64EB" w14:textId="77777777" w:rsidTr="5FA307DC">
        <w:tc>
          <w:tcPr>
            <w:tcW w:w="3471" w:type="dxa"/>
            <w:vAlign w:val="bottom"/>
          </w:tcPr>
          <w:p w14:paraId="01D25AD4" w14:textId="77777777" w:rsidR="00B628FF" w:rsidRDefault="005B2D2F">
            <w:pPr>
              <w:pStyle w:val="SummaryMeasureTitlewithTheme"/>
            </w:pPr>
            <w:r>
              <w:t>Illicit Tobacco Compliance and Enforcement Package – direct and targeted enforcement to counter profits from illicit tobacco</w:t>
            </w:r>
          </w:p>
        </w:tc>
        <w:tc>
          <w:tcPr>
            <w:tcW w:w="850" w:type="dxa"/>
            <w:vAlign w:val="bottom"/>
          </w:tcPr>
          <w:p w14:paraId="7DF324F1" w14:textId="496FF637" w:rsidR="00B628FF" w:rsidRDefault="00B31B37">
            <w:pPr>
              <w:pStyle w:val="Summarytabletextrightaligned"/>
            </w:pPr>
            <w:r>
              <w:noBreakHyphen/>
            </w:r>
          </w:p>
        </w:tc>
        <w:tc>
          <w:tcPr>
            <w:tcW w:w="850" w:type="dxa"/>
            <w:shd w:val="clear" w:color="auto" w:fill="E6F2FF"/>
            <w:vAlign w:val="bottom"/>
          </w:tcPr>
          <w:p w14:paraId="73DD3F04" w14:textId="77777777" w:rsidR="00B628FF" w:rsidRDefault="005B2D2F">
            <w:pPr>
              <w:pStyle w:val="Summarytabletextrightaligned"/>
            </w:pPr>
            <w:r>
              <w:t>20.0</w:t>
            </w:r>
          </w:p>
        </w:tc>
        <w:tc>
          <w:tcPr>
            <w:tcW w:w="850" w:type="dxa"/>
            <w:vAlign w:val="bottom"/>
          </w:tcPr>
          <w:p w14:paraId="09C76AFA" w14:textId="77777777" w:rsidR="00B628FF" w:rsidRDefault="005B2D2F">
            <w:pPr>
              <w:pStyle w:val="Summarytabletextrightaligned"/>
            </w:pPr>
            <w:r>
              <w:t>20.0</w:t>
            </w:r>
          </w:p>
        </w:tc>
        <w:tc>
          <w:tcPr>
            <w:tcW w:w="850" w:type="dxa"/>
            <w:vAlign w:val="bottom"/>
          </w:tcPr>
          <w:p w14:paraId="425FA94D" w14:textId="6F5B443C" w:rsidR="00B628FF" w:rsidRDefault="00B31B37">
            <w:pPr>
              <w:pStyle w:val="Summarytabletextrightaligned"/>
            </w:pPr>
            <w:r>
              <w:noBreakHyphen/>
            </w:r>
          </w:p>
        </w:tc>
        <w:tc>
          <w:tcPr>
            <w:tcW w:w="850" w:type="dxa"/>
            <w:vAlign w:val="bottom"/>
          </w:tcPr>
          <w:p w14:paraId="6AEEB674" w14:textId="3E2AE352" w:rsidR="00B628FF" w:rsidRDefault="00B31B37">
            <w:pPr>
              <w:pStyle w:val="Summarytabletextrightaligned"/>
            </w:pPr>
            <w:r>
              <w:noBreakHyphen/>
            </w:r>
          </w:p>
        </w:tc>
      </w:tr>
      <w:tr w:rsidR="00B628FF" w14:paraId="522362EC" w14:textId="77777777" w:rsidTr="5FA307DC">
        <w:tc>
          <w:tcPr>
            <w:tcW w:w="3471" w:type="dxa"/>
            <w:vAlign w:val="bottom"/>
          </w:tcPr>
          <w:p w14:paraId="6F5E710C" w14:textId="77777777" w:rsidR="00B628FF" w:rsidRDefault="005B2D2F">
            <w:pPr>
              <w:pStyle w:val="SummaryMeasureTitlewithTheme"/>
            </w:pPr>
            <w:r>
              <w:t>Implementation of Aged Care Reforms(b)</w:t>
            </w:r>
          </w:p>
        </w:tc>
        <w:tc>
          <w:tcPr>
            <w:tcW w:w="850" w:type="dxa"/>
            <w:vAlign w:val="bottom"/>
          </w:tcPr>
          <w:p w14:paraId="1523C5DC" w14:textId="04F84173" w:rsidR="00B628FF" w:rsidRDefault="00B31B37">
            <w:pPr>
              <w:pStyle w:val="Summarytabletextrightaligned"/>
            </w:pPr>
            <w:r>
              <w:noBreakHyphen/>
            </w:r>
            <w:r w:rsidR="005B2D2F">
              <w:t>10.3</w:t>
            </w:r>
          </w:p>
        </w:tc>
        <w:tc>
          <w:tcPr>
            <w:tcW w:w="850" w:type="dxa"/>
            <w:shd w:val="clear" w:color="auto" w:fill="E6F2FF"/>
            <w:vAlign w:val="bottom"/>
          </w:tcPr>
          <w:p w14:paraId="186A3D00" w14:textId="12CE9D01" w:rsidR="00B628FF" w:rsidRDefault="00B31B37">
            <w:pPr>
              <w:pStyle w:val="Summarytabletextrightaligned"/>
            </w:pPr>
            <w:r>
              <w:noBreakHyphen/>
            </w:r>
            <w:r w:rsidR="005B2D2F">
              <w:t>10.3</w:t>
            </w:r>
          </w:p>
        </w:tc>
        <w:tc>
          <w:tcPr>
            <w:tcW w:w="850" w:type="dxa"/>
            <w:vAlign w:val="bottom"/>
          </w:tcPr>
          <w:p w14:paraId="3EB2E5B1" w14:textId="4C3DD517" w:rsidR="00B628FF" w:rsidRDefault="00B31B37">
            <w:pPr>
              <w:pStyle w:val="Summarytabletextrightaligned"/>
            </w:pPr>
            <w:r>
              <w:noBreakHyphen/>
            </w:r>
          </w:p>
        </w:tc>
        <w:tc>
          <w:tcPr>
            <w:tcW w:w="850" w:type="dxa"/>
            <w:vAlign w:val="bottom"/>
          </w:tcPr>
          <w:p w14:paraId="70229615" w14:textId="4A48BAFF" w:rsidR="00B628FF" w:rsidRDefault="00B31B37">
            <w:pPr>
              <w:pStyle w:val="Summarytabletextrightaligned"/>
            </w:pPr>
            <w:r>
              <w:noBreakHyphen/>
            </w:r>
          </w:p>
        </w:tc>
        <w:tc>
          <w:tcPr>
            <w:tcW w:w="850" w:type="dxa"/>
            <w:vAlign w:val="bottom"/>
          </w:tcPr>
          <w:p w14:paraId="79E49B36" w14:textId="5E521324" w:rsidR="00B628FF" w:rsidRDefault="00B31B37">
            <w:pPr>
              <w:pStyle w:val="Summarytabletextrightaligned"/>
            </w:pPr>
            <w:r>
              <w:noBreakHyphen/>
            </w:r>
          </w:p>
        </w:tc>
      </w:tr>
      <w:tr w:rsidR="00B628FF" w14:paraId="4A780AEF" w14:textId="77777777" w:rsidTr="5FA307DC">
        <w:tc>
          <w:tcPr>
            <w:tcW w:w="3471" w:type="dxa"/>
            <w:vAlign w:val="bottom"/>
          </w:tcPr>
          <w:p w14:paraId="3296DEC3" w14:textId="77777777" w:rsidR="00B628FF" w:rsidRDefault="005B2D2F">
            <w:pPr>
              <w:pStyle w:val="SummaryMeasureTitlewithTheme"/>
            </w:pPr>
            <w:r>
              <w:t>International Assistance(b)</w:t>
            </w:r>
          </w:p>
        </w:tc>
        <w:tc>
          <w:tcPr>
            <w:tcW w:w="850" w:type="dxa"/>
            <w:vAlign w:val="bottom"/>
          </w:tcPr>
          <w:p w14:paraId="60ECAF50" w14:textId="7D874B7B" w:rsidR="00B628FF" w:rsidRDefault="00B31B37">
            <w:pPr>
              <w:pStyle w:val="Summarytabletextrightaligned"/>
            </w:pPr>
            <w:r>
              <w:noBreakHyphen/>
            </w:r>
          </w:p>
        </w:tc>
        <w:tc>
          <w:tcPr>
            <w:tcW w:w="850" w:type="dxa"/>
            <w:shd w:val="clear" w:color="auto" w:fill="E6F2FF"/>
            <w:vAlign w:val="bottom"/>
          </w:tcPr>
          <w:p w14:paraId="730E6D0C" w14:textId="77777777" w:rsidR="00B628FF" w:rsidRDefault="005B2D2F">
            <w:pPr>
              <w:pStyle w:val="Summarytabletextrightaligned"/>
            </w:pPr>
            <w:r w:rsidRPr="5FA307DC">
              <w:rPr>
                <w:lang w:val="en-US"/>
              </w:rPr>
              <w:t>nfp</w:t>
            </w:r>
          </w:p>
        </w:tc>
        <w:tc>
          <w:tcPr>
            <w:tcW w:w="850" w:type="dxa"/>
            <w:vAlign w:val="bottom"/>
          </w:tcPr>
          <w:p w14:paraId="0B7A4F29" w14:textId="77777777" w:rsidR="00B628FF" w:rsidRDefault="005B2D2F">
            <w:pPr>
              <w:pStyle w:val="Summarytabletextrightaligned"/>
            </w:pPr>
            <w:r w:rsidRPr="5FA307DC">
              <w:rPr>
                <w:lang w:val="en-US"/>
              </w:rPr>
              <w:t>nfp</w:t>
            </w:r>
          </w:p>
        </w:tc>
        <w:tc>
          <w:tcPr>
            <w:tcW w:w="850" w:type="dxa"/>
            <w:vAlign w:val="bottom"/>
          </w:tcPr>
          <w:p w14:paraId="6E3B9DA6" w14:textId="77777777" w:rsidR="00B628FF" w:rsidRDefault="005B2D2F">
            <w:pPr>
              <w:pStyle w:val="Summarytabletextrightaligned"/>
            </w:pPr>
            <w:r w:rsidRPr="5FA307DC">
              <w:rPr>
                <w:lang w:val="en-US"/>
              </w:rPr>
              <w:t>nfp</w:t>
            </w:r>
          </w:p>
        </w:tc>
        <w:tc>
          <w:tcPr>
            <w:tcW w:w="850" w:type="dxa"/>
            <w:vAlign w:val="bottom"/>
          </w:tcPr>
          <w:p w14:paraId="001BEDA2" w14:textId="77777777" w:rsidR="00B628FF" w:rsidRDefault="005B2D2F">
            <w:pPr>
              <w:pStyle w:val="Summarytabletextrightaligned"/>
            </w:pPr>
            <w:r w:rsidRPr="5FA307DC">
              <w:rPr>
                <w:lang w:val="en-US"/>
              </w:rPr>
              <w:t>nfp</w:t>
            </w:r>
          </w:p>
        </w:tc>
      </w:tr>
      <w:tr w:rsidR="00B628FF" w14:paraId="1E3AED30" w14:textId="77777777" w:rsidTr="5FA307DC">
        <w:tc>
          <w:tcPr>
            <w:tcW w:w="3471" w:type="dxa"/>
            <w:vAlign w:val="bottom"/>
          </w:tcPr>
          <w:p w14:paraId="7A485DAC" w14:textId="77777777" w:rsidR="00B628FF" w:rsidRDefault="005B2D2F">
            <w:pPr>
              <w:pStyle w:val="SummaryMeasureTitlewithTheme"/>
            </w:pPr>
            <w:r>
              <w:t>Medical Research and Clinical Trials</w:t>
            </w:r>
          </w:p>
        </w:tc>
        <w:tc>
          <w:tcPr>
            <w:tcW w:w="850" w:type="dxa"/>
            <w:vAlign w:val="bottom"/>
          </w:tcPr>
          <w:p w14:paraId="453E7875" w14:textId="77777777" w:rsidR="00B628FF" w:rsidRDefault="005B2D2F">
            <w:pPr>
              <w:pStyle w:val="Summarytabletextrightaligned"/>
            </w:pPr>
            <w:r w:rsidRPr="5FA307DC">
              <w:rPr>
                <w:lang w:val="en-US"/>
              </w:rPr>
              <w:t>nfp</w:t>
            </w:r>
          </w:p>
        </w:tc>
        <w:tc>
          <w:tcPr>
            <w:tcW w:w="850" w:type="dxa"/>
            <w:shd w:val="clear" w:color="auto" w:fill="E6F2FF"/>
            <w:vAlign w:val="bottom"/>
          </w:tcPr>
          <w:p w14:paraId="08A00CC7" w14:textId="77777777" w:rsidR="00B628FF" w:rsidRDefault="005B2D2F">
            <w:pPr>
              <w:pStyle w:val="Summarytabletextrightaligned"/>
            </w:pPr>
            <w:r w:rsidRPr="5FA307DC">
              <w:rPr>
                <w:lang w:val="en-US"/>
              </w:rPr>
              <w:t>nfp</w:t>
            </w:r>
          </w:p>
        </w:tc>
        <w:tc>
          <w:tcPr>
            <w:tcW w:w="850" w:type="dxa"/>
            <w:vAlign w:val="bottom"/>
          </w:tcPr>
          <w:p w14:paraId="7F16F3D3" w14:textId="77777777" w:rsidR="00B628FF" w:rsidRDefault="005B2D2F">
            <w:pPr>
              <w:pStyle w:val="Summarytabletextrightaligned"/>
            </w:pPr>
            <w:r w:rsidRPr="5FA307DC">
              <w:rPr>
                <w:lang w:val="en-US"/>
              </w:rPr>
              <w:t>nfp</w:t>
            </w:r>
          </w:p>
        </w:tc>
        <w:tc>
          <w:tcPr>
            <w:tcW w:w="850" w:type="dxa"/>
            <w:vAlign w:val="bottom"/>
          </w:tcPr>
          <w:p w14:paraId="2E94D512" w14:textId="77777777" w:rsidR="00B628FF" w:rsidRDefault="005B2D2F">
            <w:pPr>
              <w:pStyle w:val="Summarytabletextrightaligned"/>
            </w:pPr>
            <w:r w:rsidRPr="5FA307DC">
              <w:rPr>
                <w:lang w:val="en-US"/>
              </w:rPr>
              <w:t>nfp</w:t>
            </w:r>
          </w:p>
        </w:tc>
        <w:tc>
          <w:tcPr>
            <w:tcW w:w="850" w:type="dxa"/>
            <w:vAlign w:val="bottom"/>
          </w:tcPr>
          <w:p w14:paraId="1EBEF147" w14:textId="77777777" w:rsidR="00B628FF" w:rsidRDefault="005B2D2F">
            <w:pPr>
              <w:pStyle w:val="Summarytabletextrightaligned"/>
            </w:pPr>
            <w:r w:rsidRPr="5FA307DC">
              <w:rPr>
                <w:lang w:val="en-US"/>
              </w:rPr>
              <w:t>nfp</w:t>
            </w:r>
          </w:p>
        </w:tc>
      </w:tr>
      <w:tr w:rsidR="00B628FF" w14:paraId="184BE432" w14:textId="77777777" w:rsidTr="5FA307DC">
        <w:tc>
          <w:tcPr>
            <w:tcW w:w="3471" w:type="dxa"/>
            <w:vAlign w:val="bottom"/>
          </w:tcPr>
          <w:p w14:paraId="55AA0D59" w14:textId="77777777" w:rsidR="00B628FF" w:rsidRDefault="005B2D2F">
            <w:pPr>
              <w:pStyle w:val="SummaryMeasureTitlewithTheme"/>
            </w:pPr>
            <w:r>
              <w:t>National Health Reform Agreement – 2025‑26 Uplift</w:t>
            </w:r>
          </w:p>
        </w:tc>
        <w:tc>
          <w:tcPr>
            <w:tcW w:w="850" w:type="dxa"/>
            <w:vAlign w:val="bottom"/>
          </w:tcPr>
          <w:p w14:paraId="77CEF109" w14:textId="08585A44" w:rsidR="00B628FF" w:rsidRDefault="00B31B37">
            <w:pPr>
              <w:pStyle w:val="Summarytabletextrightaligned"/>
            </w:pPr>
            <w:r>
              <w:noBreakHyphen/>
            </w:r>
          </w:p>
        </w:tc>
        <w:tc>
          <w:tcPr>
            <w:tcW w:w="850" w:type="dxa"/>
            <w:shd w:val="clear" w:color="auto" w:fill="E6F2FF"/>
            <w:vAlign w:val="bottom"/>
          </w:tcPr>
          <w:p w14:paraId="5901E113" w14:textId="77777777" w:rsidR="00B628FF" w:rsidRDefault="005B2D2F">
            <w:pPr>
              <w:pStyle w:val="Summarytabletextrightaligned"/>
            </w:pPr>
            <w:r>
              <w:t>1,766.0</w:t>
            </w:r>
          </w:p>
        </w:tc>
        <w:tc>
          <w:tcPr>
            <w:tcW w:w="850" w:type="dxa"/>
            <w:vAlign w:val="bottom"/>
          </w:tcPr>
          <w:p w14:paraId="38248B04" w14:textId="44B723C6" w:rsidR="00B628FF" w:rsidRDefault="00B31B37">
            <w:pPr>
              <w:pStyle w:val="Summarytabletextrightaligned"/>
            </w:pPr>
            <w:r>
              <w:noBreakHyphen/>
            </w:r>
          </w:p>
        </w:tc>
        <w:tc>
          <w:tcPr>
            <w:tcW w:w="850" w:type="dxa"/>
            <w:vAlign w:val="bottom"/>
          </w:tcPr>
          <w:p w14:paraId="6CF5EE9E" w14:textId="0DABD25F" w:rsidR="00B628FF" w:rsidRDefault="00B31B37">
            <w:pPr>
              <w:pStyle w:val="Summarytabletextrightaligned"/>
            </w:pPr>
            <w:r>
              <w:noBreakHyphen/>
            </w:r>
          </w:p>
        </w:tc>
        <w:tc>
          <w:tcPr>
            <w:tcW w:w="850" w:type="dxa"/>
            <w:vAlign w:val="bottom"/>
          </w:tcPr>
          <w:p w14:paraId="31D01F42" w14:textId="3A9AABBA" w:rsidR="00B628FF" w:rsidRDefault="00B31B37">
            <w:pPr>
              <w:pStyle w:val="Summarytabletextrightaligned"/>
            </w:pPr>
            <w:r>
              <w:noBreakHyphen/>
            </w:r>
          </w:p>
        </w:tc>
      </w:tr>
      <w:tr w:rsidR="00B628FF" w14:paraId="2C88B4ED" w14:textId="77777777" w:rsidTr="5FA307DC">
        <w:tc>
          <w:tcPr>
            <w:tcW w:w="3471" w:type="dxa"/>
            <w:vAlign w:val="bottom"/>
          </w:tcPr>
          <w:p w14:paraId="327E1500" w14:textId="77777777" w:rsidR="00B628FF" w:rsidRDefault="005B2D2F">
            <w:pPr>
              <w:pStyle w:val="SummaryMeasureTitlewithTheme"/>
            </w:pPr>
            <w:r>
              <w:t>National Strategy to Prevent and Respond to Child Sexual Abuse – continuation</w:t>
            </w:r>
          </w:p>
        </w:tc>
        <w:tc>
          <w:tcPr>
            <w:tcW w:w="850" w:type="dxa"/>
            <w:vAlign w:val="bottom"/>
          </w:tcPr>
          <w:p w14:paraId="29F87BBD" w14:textId="49724F54" w:rsidR="00B628FF" w:rsidRDefault="00B31B37">
            <w:pPr>
              <w:pStyle w:val="Summarytabletextrightaligned"/>
            </w:pPr>
            <w:r>
              <w:noBreakHyphen/>
            </w:r>
          </w:p>
        </w:tc>
        <w:tc>
          <w:tcPr>
            <w:tcW w:w="850" w:type="dxa"/>
            <w:shd w:val="clear" w:color="auto" w:fill="E6F2FF"/>
            <w:vAlign w:val="bottom"/>
          </w:tcPr>
          <w:p w14:paraId="3CAFDA3A" w14:textId="77777777" w:rsidR="00B628FF" w:rsidRDefault="005B2D2F">
            <w:pPr>
              <w:pStyle w:val="Summarytabletextrightaligned"/>
            </w:pPr>
            <w:r>
              <w:t>1.4</w:t>
            </w:r>
          </w:p>
        </w:tc>
        <w:tc>
          <w:tcPr>
            <w:tcW w:w="850" w:type="dxa"/>
            <w:vAlign w:val="bottom"/>
          </w:tcPr>
          <w:p w14:paraId="4153B15F" w14:textId="3CBFEC90" w:rsidR="00B628FF" w:rsidRDefault="00B31B37">
            <w:pPr>
              <w:pStyle w:val="Summarytabletextrightaligned"/>
            </w:pPr>
            <w:r>
              <w:noBreakHyphen/>
            </w:r>
          </w:p>
        </w:tc>
        <w:tc>
          <w:tcPr>
            <w:tcW w:w="850" w:type="dxa"/>
            <w:vAlign w:val="bottom"/>
          </w:tcPr>
          <w:p w14:paraId="42C85C3C" w14:textId="0B67853F" w:rsidR="00B628FF" w:rsidRDefault="00B31B37">
            <w:pPr>
              <w:pStyle w:val="Summarytabletextrightaligned"/>
            </w:pPr>
            <w:r>
              <w:noBreakHyphen/>
            </w:r>
          </w:p>
        </w:tc>
        <w:tc>
          <w:tcPr>
            <w:tcW w:w="850" w:type="dxa"/>
            <w:vAlign w:val="bottom"/>
          </w:tcPr>
          <w:p w14:paraId="1B8731A8" w14:textId="5AE480B4" w:rsidR="00B628FF" w:rsidRDefault="00B31B37">
            <w:pPr>
              <w:pStyle w:val="Summarytabletextrightaligned"/>
            </w:pPr>
            <w:r>
              <w:noBreakHyphen/>
            </w:r>
          </w:p>
        </w:tc>
      </w:tr>
      <w:tr w:rsidR="00B628FF" w14:paraId="48C16675" w14:textId="77777777" w:rsidTr="5FA307DC">
        <w:tc>
          <w:tcPr>
            <w:tcW w:w="3471" w:type="dxa"/>
            <w:vAlign w:val="bottom"/>
          </w:tcPr>
          <w:p w14:paraId="1391B919" w14:textId="77777777" w:rsidR="00B628FF" w:rsidRDefault="005B2D2F">
            <w:pPr>
              <w:pStyle w:val="SummaryMeasureTitlewithTheme"/>
            </w:pPr>
            <w:r>
              <w:t>National Water Grid Fund – responsible investment in water infrastructure</w:t>
            </w:r>
          </w:p>
        </w:tc>
        <w:tc>
          <w:tcPr>
            <w:tcW w:w="850" w:type="dxa"/>
            <w:vAlign w:val="bottom"/>
          </w:tcPr>
          <w:p w14:paraId="5876B51E" w14:textId="77777777" w:rsidR="00B628FF" w:rsidRDefault="005B2D2F">
            <w:pPr>
              <w:pStyle w:val="Summarytabletextrightaligned"/>
            </w:pPr>
            <w:r>
              <w:t>1.7</w:t>
            </w:r>
          </w:p>
        </w:tc>
        <w:tc>
          <w:tcPr>
            <w:tcW w:w="850" w:type="dxa"/>
            <w:shd w:val="clear" w:color="auto" w:fill="E6F2FF"/>
            <w:vAlign w:val="bottom"/>
          </w:tcPr>
          <w:p w14:paraId="5D0F3336" w14:textId="77777777" w:rsidR="00B628FF" w:rsidRDefault="005B2D2F">
            <w:pPr>
              <w:pStyle w:val="Summarytabletextrightaligned"/>
            </w:pPr>
            <w:r>
              <w:t>11.6</w:t>
            </w:r>
          </w:p>
        </w:tc>
        <w:tc>
          <w:tcPr>
            <w:tcW w:w="850" w:type="dxa"/>
            <w:vAlign w:val="bottom"/>
          </w:tcPr>
          <w:p w14:paraId="2B2C8D5D" w14:textId="77777777" w:rsidR="00B628FF" w:rsidRDefault="005B2D2F">
            <w:pPr>
              <w:pStyle w:val="Summarytabletextrightaligned"/>
            </w:pPr>
            <w:r>
              <w:t>46.7</w:t>
            </w:r>
          </w:p>
        </w:tc>
        <w:tc>
          <w:tcPr>
            <w:tcW w:w="850" w:type="dxa"/>
            <w:vAlign w:val="bottom"/>
          </w:tcPr>
          <w:p w14:paraId="6737EE17" w14:textId="77777777" w:rsidR="00B628FF" w:rsidRDefault="005B2D2F">
            <w:pPr>
              <w:pStyle w:val="Summarytabletextrightaligned"/>
            </w:pPr>
            <w:r>
              <w:t>20.0</w:t>
            </w:r>
          </w:p>
        </w:tc>
        <w:tc>
          <w:tcPr>
            <w:tcW w:w="850" w:type="dxa"/>
            <w:vAlign w:val="bottom"/>
          </w:tcPr>
          <w:p w14:paraId="67B5E93B" w14:textId="717FF356" w:rsidR="00B628FF" w:rsidRDefault="00B31B37">
            <w:pPr>
              <w:pStyle w:val="Summarytabletextrightaligned"/>
            </w:pPr>
            <w:r>
              <w:noBreakHyphen/>
            </w:r>
            <w:r w:rsidR="005B2D2F">
              <w:t>76.0</w:t>
            </w:r>
          </w:p>
        </w:tc>
      </w:tr>
      <w:tr w:rsidR="00B628FF" w14:paraId="17EC2C6F" w14:textId="77777777" w:rsidTr="5FA307DC">
        <w:tc>
          <w:tcPr>
            <w:tcW w:w="3471" w:type="dxa"/>
            <w:vAlign w:val="bottom"/>
          </w:tcPr>
          <w:p w14:paraId="3E84712B" w14:textId="77777777" w:rsidR="00B628FF" w:rsidRDefault="005B2D2F">
            <w:pPr>
              <w:pStyle w:val="SummaryMeasureTitlewithTheme"/>
            </w:pPr>
            <w:r>
              <w:t>Northern Territory Remote Aboriginal Investment – future arrangements</w:t>
            </w:r>
          </w:p>
        </w:tc>
        <w:tc>
          <w:tcPr>
            <w:tcW w:w="850" w:type="dxa"/>
            <w:vAlign w:val="bottom"/>
          </w:tcPr>
          <w:p w14:paraId="79F65037" w14:textId="2A341EAF" w:rsidR="00B628FF" w:rsidRDefault="00B31B37">
            <w:pPr>
              <w:pStyle w:val="Summarytabletextrightaligned"/>
            </w:pPr>
            <w:r>
              <w:noBreakHyphen/>
            </w:r>
          </w:p>
        </w:tc>
        <w:tc>
          <w:tcPr>
            <w:tcW w:w="850" w:type="dxa"/>
            <w:shd w:val="clear" w:color="auto" w:fill="E6F2FF"/>
            <w:vAlign w:val="bottom"/>
          </w:tcPr>
          <w:p w14:paraId="797046C3" w14:textId="43C7CDF7" w:rsidR="00B628FF" w:rsidRDefault="00B31B37">
            <w:pPr>
              <w:pStyle w:val="Summarytabletextrightaligned"/>
            </w:pPr>
            <w:r>
              <w:noBreakHyphen/>
            </w:r>
          </w:p>
        </w:tc>
        <w:tc>
          <w:tcPr>
            <w:tcW w:w="850" w:type="dxa"/>
            <w:vAlign w:val="bottom"/>
          </w:tcPr>
          <w:p w14:paraId="63579F8C" w14:textId="1010532C" w:rsidR="00B628FF" w:rsidRDefault="00B31B37">
            <w:pPr>
              <w:pStyle w:val="Summarytabletextrightaligned"/>
            </w:pPr>
            <w:r>
              <w:noBreakHyphen/>
            </w:r>
          </w:p>
        </w:tc>
        <w:tc>
          <w:tcPr>
            <w:tcW w:w="850" w:type="dxa"/>
            <w:vAlign w:val="bottom"/>
          </w:tcPr>
          <w:p w14:paraId="3390AFAD" w14:textId="65860899" w:rsidR="00B628FF" w:rsidRDefault="00B31B37">
            <w:pPr>
              <w:pStyle w:val="Summarytabletextrightaligned"/>
            </w:pPr>
            <w:r>
              <w:noBreakHyphen/>
            </w:r>
          </w:p>
        </w:tc>
        <w:tc>
          <w:tcPr>
            <w:tcW w:w="850" w:type="dxa"/>
            <w:vAlign w:val="bottom"/>
          </w:tcPr>
          <w:p w14:paraId="50B05650" w14:textId="6AF55AF2" w:rsidR="00B628FF" w:rsidRDefault="00B31B37">
            <w:pPr>
              <w:pStyle w:val="Summarytabletextrightaligned"/>
            </w:pPr>
            <w:r>
              <w:noBreakHyphen/>
            </w:r>
          </w:p>
        </w:tc>
      </w:tr>
      <w:tr w:rsidR="00B628FF" w14:paraId="2E7B4736" w14:textId="77777777" w:rsidTr="5FA307DC">
        <w:tc>
          <w:tcPr>
            <w:tcW w:w="3471" w:type="dxa"/>
            <w:vAlign w:val="bottom"/>
          </w:tcPr>
          <w:p w14:paraId="5A714AFB" w14:textId="77777777" w:rsidR="00B628FF" w:rsidRDefault="005B2D2F">
            <w:pPr>
              <w:pStyle w:val="SummaryMeasureTitlewithTheme"/>
            </w:pPr>
            <w:r>
              <w:t>Preventive Health, Wellbeing and Sport</w:t>
            </w:r>
          </w:p>
        </w:tc>
        <w:tc>
          <w:tcPr>
            <w:tcW w:w="850" w:type="dxa"/>
            <w:vAlign w:val="bottom"/>
          </w:tcPr>
          <w:p w14:paraId="475662EA" w14:textId="0BDD7FFF" w:rsidR="00B628FF" w:rsidRDefault="00B31B37">
            <w:pPr>
              <w:pStyle w:val="Summarytabletextrightaligned"/>
            </w:pPr>
            <w:r>
              <w:noBreakHyphen/>
            </w:r>
          </w:p>
        </w:tc>
        <w:tc>
          <w:tcPr>
            <w:tcW w:w="850" w:type="dxa"/>
            <w:shd w:val="clear" w:color="auto" w:fill="E6F2FF"/>
            <w:vAlign w:val="bottom"/>
          </w:tcPr>
          <w:p w14:paraId="581D7BC8" w14:textId="77777777" w:rsidR="00B628FF" w:rsidRDefault="005B2D2F">
            <w:pPr>
              <w:pStyle w:val="Summarytabletextrightaligned"/>
            </w:pPr>
            <w:r>
              <w:t>13.6</w:t>
            </w:r>
          </w:p>
        </w:tc>
        <w:tc>
          <w:tcPr>
            <w:tcW w:w="850" w:type="dxa"/>
            <w:vAlign w:val="bottom"/>
          </w:tcPr>
          <w:p w14:paraId="7E227A26" w14:textId="2592F0B7" w:rsidR="00B628FF" w:rsidRDefault="00B31B37">
            <w:pPr>
              <w:pStyle w:val="Summarytabletextrightaligned"/>
            </w:pPr>
            <w:r>
              <w:noBreakHyphen/>
            </w:r>
          </w:p>
        </w:tc>
        <w:tc>
          <w:tcPr>
            <w:tcW w:w="850" w:type="dxa"/>
            <w:vAlign w:val="bottom"/>
          </w:tcPr>
          <w:p w14:paraId="0BB5037C" w14:textId="7C87F229" w:rsidR="00B628FF" w:rsidRDefault="00B31B37">
            <w:pPr>
              <w:pStyle w:val="Summarytabletextrightaligned"/>
            </w:pPr>
            <w:r>
              <w:noBreakHyphen/>
            </w:r>
          </w:p>
        </w:tc>
        <w:tc>
          <w:tcPr>
            <w:tcW w:w="850" w:type="dxa"/>
            <w:vAlign w:val="bottom"/>
          </w:tcPr>
          <w:p w14:paraId="3A53734E" w14:textId="7812C49F" w:rsidR="00B628FF" w:rsidRDefault="00B31B37">
            <w:pPr>
              <w:pStyle w:val="Summarytabletextrightaligned"/>
            </w:pPr>
            <w:r>
              <w:noBreakHyphen/>
            </w:r>
          </w:p>
        </w:tc>
      </w:tr>
      <w:tr w:rsidR="00B628FF" w14:paraId="0475E254" w14:textId="77777777" w:rsidTr="5FA307DC">
        <w:tc>
          <w:tcPr>
            <w:tcW w:w="3471" w:type="dxa"/>
            <w:vAlign w:val="bottom"/>
          </w:tcPr>
          <w:p w14:paraId="4A67AE38" w14:textId="77777777" w:rsidR="00B628FF" w:rsidRDefault="005B2D2F">
            <w:pPr>
              <w:pStyle w:val="SummaryMeasureTitlewithTheme"/>
            </w:pPr>
            <w:r>
              <w:t>Restricting Foreign Ownership of Housing(b)</w:t>
            </w:r>
          </w:p>
        </w:tc>
        <w:tc>
          <w:tcPr>
            <w:tcW w:w="850" w:type="dxa"/>
            <w:vAlign w:val="bottom"/>
          </w:tcPr>
          <w:p w14:paraId="06937EC0" w14:textId="499F9FB8" w:rsidR="00B628FF" w:rsidRDefault="00B31B37">
            <w:pPr>
              <w:pStyle w:val="Summarytabletextrightaligned"/>
            </w:pPr>
            <w:r>
              <w:noBreakHyphen/>
            </w:r>
          </w:p>
        </w:tc>
        <w:tc>
          <w:tcPr>
            <w:tcW w:w="850" w:type="dxa"/>
            <w:shd w:val="clear" w:color="auto" w:fill="E6F2FF"/>
            <w:vAlign w:val="bottom"/>
          </w:tcPr>
          <w:p w14:paraId="63724E82" w14:textId="77777777" w:rsidR="00B628FF" w:rsidRDefault="005B2D2F">
            <w:pPr>
              <w:pStyle w:val="Summarytabletextrightaligned"/>
            </w:pPr>
            <w:r>
              <w:t>0.7</w:t>
            </w:r>
          </w:p>
        </w:tc>
        <w:tc>
          <w:tcPr>
            <w:tcW w:w="850" w:type="dxa"/>
            <w:vAlign w:val="bottom"/>
          </w:tcPr>
          <w:p w14:paraId="333ACB5C" w14:textId="77777777" w:rsidR="00B628FF" w:rsidRDefault="005B2D2F">
            <w:pPr>
              <w:pStyle w:val="Summarytabletextrightaligned"/>
            </w:pPr>
            <w:r>
              <w:t>0.8</w:t>
            </w:r>
          </w:p>
        </w:tc>
        <w:tc>
          <w:tcPr>
            <w:tcW w:w="850" w:type="dxa"/>
            <w:vAlign w:val="bottom"/>
          </w:tcPr>
          <w:p w14:paraId="7198651B" w14:textId="77777777" w:rsidR="00B628FF" w:rsidRDefault="005B2D2F">
            <w:pPr>
              <w:pStyle w:val="Summarytabletextrightaligned"/>
            </w:pPr>
            <w:r>
              <w:t>0.8</w:t>
            </w:r>
          </w:p>
        </w:tc>
        <w:tc>
          <w:tcPr>
            <w:tcW w:w="850" w:type="dxa"/>
            <w:vAlign w:val="bottom"/>
          </w:tcPr>
          <w:p w14:paraId="7E6BB118" w14:textId="77777777" w:rsidR="00B628FF" w:rsidRDefault="005B2D2F">
            <w:pPr>
              <w:pStyle w:val="Summarytabletextrightaligned"/>
            </w:pPr>
            <w:r>
              <w:t>0.5</w:t>
            </w:r>
          </w:p>
        </w:tc>
      </w:tr>
      <w:tr w:rsidR="00B628FF" w14:paraId="43B4319C" w14:textId="77777777" w:rsidTr="5FA307DC">
        <w:tc>
          <w:tcPr>
            <w:tcW w:w="3471" w:type="dxa"/>
            <w:vAlign w:val="bottom"/>
          </w:tcPr>
          <w:p w14:paraId="397866B1" w14:textId="77777777" w:rsidR="00B628FF" w:rsidRDefault="005B2D2F">
            <w:pPr>
              <w:pStyle w:val="SummaryMeasureTitlewithTheme"/>
            </w:pPr>
            <w:r>
              <w:t>Small Business and Franchisee Support and Protection</w:t>
            </w:r>
          </w:p>
        </w:tc>
        <w:tc>
          <w:tcPr>
            <w:tcW w:w="850" w:type="dxa"/>
            <w:vAlign w:val="bottom"/>
          </w:tcPr>
          <w:p w14:paraId="5B08544A" w14:textId="41F6C558" w:rsidR="00B628FF" w:rsidRDefault="00B31B37">
            <w:pPr>
              <w:pStyle w:val="Summarytabletextrightaligned"/>
            </w:pPr>
            <w:r>
              <w:noBreakHyphen/>
            </w:r>
          </w:p>
        </w:tc>
        <w:tc>
          <w:tcPr>
            <w:tcW w:w="850" w:type="dxa"/>
            <w:shd w:val="clear" w:color="auto" w:fill="E6F2FF"/>
            <w:vAlign w:val="bottom"/>
          </w:tcPr>
          <w:p w14:paraId="6996795D" w14:textId="77777777" w:rsidR="00B628FF" w:rsidRDefault="005B2D2F">
            <w:pPr>
              <w:pStyle w:val="Summarytabletextrightaligned"/>
            </w:pPr>
            <w:r>
              <w:t>0.3</w:t>
            </w:r>
          </w:p>
        </w:tc>
        <w:tc>
          <w:tcPr>
            <w:tcW w:w="850" w:type="dxa"/>
            <w:vAlign w:val="bottom"/>
          </w:tcPr>
          <w:p w14:paraId="4CBAE6DC" w14:textId="43826764" w:rsidR="00B628FF" w:rsidRDefault="00B31B37">
            <w:pPr>
              <w:pStyle w:val="Summarytabletextrightaligned"/>
            </w:pPr>
            <w:r>
              <w:noBreakHyphen/>
            </w:r>
          </w:p>
        </w:tc>
        <w:tc>
          <w:tcPr>
            <w:tcW w:w="850" w:type="dxa"/>
            <w:vAlign w:val="bottom"/>
          </w:tcPr>
          <w:p w14:paraId="39376C59" w14:textId="385609CB" w:rsidR="00B628FF" w:rsidRDefault="00B31B37">
            <w:pPr>
              <w:pStyle w:val="Summarytabletextrightaligned"/>
            </w:pPr>
            <w:r>
              <w:noBreakHyphen/>
            </w:r>
          </w:p>
        </w:tc>
        <w:tc>
          <w:tcPr>
            <w:tcW w:w="850" w:type="dxa"/>
            <w:vAlign w:val="bottom"/>
          </w:tcPr>
          <w:p w14:paraId="1E4477CA" w14:textId="59409CB8" w:rsidR="00B628FF" w:rsidRDefault="00B31B37">
            <w:pPr>
              <w:pStyle w:val="Summarytabletextrightaligned"/>
            </w:pPr>
            <w:r>
              <w:noBreakHyphen/>
            </w:r>
          </w:p>
        </w:tc>
      </w:tr>
      <w:tr w:rsidR="00B628FF" w14:paraId="6883E620" w14:textId="77777777" w:rsidTr="5FA307DC">
        <w:tc>
          <w:tcPr>
            <w:tcW w:w="3471" w:type="dxa"/>
            <w:vAlign w:val="bottom"/>
          </w:tcPr>
          <w:p w14:paraId="72E01479" w14:textId="77777777" w:rsidR="00B628FF" w:rsidRDefault="005B2D2F">
            <w:pPr>
              <w:pStyle w:val="SummaryMeasureTitlewithTheme"/>
            </w:pPr>
            <w:r>
              <w:t>Strengthening Justice System Response to Sexual Violence</w:t>
            </w:r>
          </w:p>
        </w:tc>
        <w:tc>
          <w:tcPr>
            <w:tcW w:w="850" w:type="dxa"/>
            <w:vAlign w:val="bottom"/>
          </w:tcPr>
          <w:p w14:paraId="197E47E4" w14:textId="27905789" w:rsidR="00B628FF" w:rsidRDefault="00B31B37">
            <w:pPr>
              <w:pStyle w:val="Summarytabletextrightaligned"/>
            </w:pPr>
            <w:r>
              <w:noBreakHyphen/>
            </w:r>
          </w:p>
        </w:tc>
        <w:tc>
          <w:tcPr>
            <w:tcW w:w="850" w:type="dxa"/>
            <w:shd w:val="clear" w:color="auto" w:fill="E6F2FF"/>
            <w:vAlign w:val="bottom"/>
          </w:tcPr>
          <w:p w14:paraId="1C98B8E4" w14:textId="77777777" w:rsidR="00B628FF" w:rsidRDefault="005B2D2F">
            <w:pPr>
              <w:pStyle w:val="Summarytabletextrightaligned"/>
            </w:pPr>
            <w:r>
              <w:t>3.8</w:t>
            </w:r>
          </w:p>
        </w:tc>
        <w:tc>
          <w:tcPr>
            <w:tcW w:w="850" w:type="dxa"/>
            <w:vAlign w:val="bottom"/>
          </w:tcPr>
          <w:p w14:paraId="29F9CC1C" w14:textId="77777777" w:rsidR="00B628FF" w:rsidRDefault="005B2D2F">
            <w:pPr>
              <w:pStyle w:val="Summarytabletextrightaligned"/>
            </w:pPr>
            <w:r>
              <w:t>9.4</w:t>
            </w:r>
          </w:p>
        </w:tc>
        <w:tc>
          <w:tcPr>
            <w:tcW w:w="850" w:type="dxa"/>
            <w:vAlign w:val="bottom"/>
          </w:tcPr>
          <w:p w14:paraId="6F181A5F" w14:textId="77777777" w:rsidR="00B628FF" w:rsidRDefault="005B2D2F">
            <w:pPr>
              <w:pStyle w:val="Summarytabletextrightaligned"/>
            </w:pPr>
            <w:r>
              <w:t>4.8</w:t>
            </w:r>
          </w:p>
        </w:tc>
        <w:tc>
          <w:tcPr>
            <w:tcW w:w="850" w:type="dxa"/>
            <w:vAlign w:val="bottom"/>
          </w:tcPr>
          <w:p w14:paraId="0AB8A44D" w14:textId="7262538D" w:rsidR="00B628FF" w:rsidRDefault="00B31B37">
            <w:pPr>
              <w:pStyle w:val="Summarytabletextrightaligned"/>
            </w:pPr>
            <w:r>
              <w:noBreakHyphen/>
            </w:r>
          </w:p>
        </w:tc>
      </w:tr>
      <w:tr w:rsidR="00B628FF" w14:paraId="1A0FB182" w14:textId="77777777" w:rsidTr="5FA307DC">
        <w:tc>
          <w:tcPr>
            <w:tcW w:w="3471" w:type="dxa"/>
            <w:vAlign w:val="bottom"/>
          </w:tcPr>
          <w:p w14:paraId="272056C2" w14:textId="77777777" w:rsidR="00B628FF" w:rsidRDefault="005B2D2F">
            <w:pPr>
              <w:pStyle w:val="SummaryMeasureTitlewithTheme"/>
            </w:pPr>
            <w:r>
              <w:t>Strengthening Medicare – Expanding Medicare Urgent Care Clinics</w:t>
            </w:r>
          </w:p>
        </w:tc>
        <w:tc>
          <w:tcPr>
            <w:tcW w:w="850" w:type="dxa"/>
            <w:vAlign w:val="bottom"/>
          </w:tcPr>
          <w:p w14:paraId="1EAD10FE" w14:textId="589EA978" w:rsidR="00B628FF" w:rsidRDefault="00B31B37">
            <w:pPr>
              <w:pStyle w:val="Summarytabletextrightaligned"/>
            </w:pPr>
            <w:r>
              <w:noBreakHyphen/>
            </w:r>
          </w:p>
        </w:tc>
        <w:tc>
          <w:tcPr>
            <w:tcW w:w="850" w:type="dxa"/>
            <w:shd w:val="clear" w:color="auto" w:fill="E6F2FF"/>
            <w:vAlign w:val="bottom"/>
          </w:tcPr>
          <w:p w14:paraId="7071A2CF" w14:textId="77777777" w:rsidR="00B628FF" w:rsidRDefault="005B2D2F">
            <w:pPr>
              <w:pStyle w:val="Summarytabletextrightaligned"/>
            </w:pPr>
            <w:r>
              <w:t>4.2</w:t>
            </w:r>
          </w:p>
        </w:tc>
        <w:tc>
          <w:tcPr>
            <w:tcW w:w="850" w:type="dxa"/>
            <w:vAlign w:val="bottom"/>
          </w:tcPr>
          <w:p w14:paraId="527FC46D" w14:textId="5685EEA9" w:rsidR="00B628FF" w:rsidRDefault="00B31B37">
            <w:pPr>
              <w:pStyle w:val="Summarytabletextrightaligned"/>
            </w:pPr>
            <w:r>
              <w:noBreakHyphen/>
            </w:r>
          </w:p>
        </w:tc>
        <w:tc>
          <w:tcPr>
            <w:tcW w:w="850" w:type="dxa"/>
            <w:vAlign w:val="bottom"/>
          </w:tcPr>
          <w:p w14:paraId="0A9F72BA" w14:textId="05911A30" w:rsidR="00B628FF" w:rsidRDefault="00B31B37">
            <w:pPr>
              <w:pStyle w:val="Summarytabletextrightaligned"/>
            </w:pPr>
            <w:r>
              <w:noBreakHyphen/>
            </w:r>
          </w:p>
        </w:tc>
        <w:tc>
          <w:tcPr>
            <w:tcW w:w="850" w:type="dxa"/>
            <w:vAlign w:val="bottom"/>
          </w:tcPr>
          <w:p w14:paraId="2200F6FB" w14:textId="4924EEE8" w:rsidR="00B628FF" w:rsidRDefault="00B31B37">
            <w:pPr>
              <w:pStyle w:val="Summarytabletextrightaligned"/>
            </w:pPr>
            <w:r>
              <w:noBreakHyphen/>
            </w:r>
          </w:p>
        </w:tc>
      </w:tr>
      <w:tr w:rsidR="00B628FF" w14:paraId="4C39BD3D" w14:textId="77777777" w:rsidTr="5FA307DC">
        <w:tc>
          <w:tcPr>
            <w:tcW w:w="3471" w:type="dxa"/>
            <w:vAlign w:val="bottom"/>
          </w:tcPr>
          <w:p w14:paraId="67199626" w14:textId="77777777" w:rsidR="00B628FF" w:rsidRDefault="005B2D2F">
            <w:pPr>
              <w:pStyle w:val="SummaryMeasureTitlewithTheme"/>
            </w:pPr>
            <w:r>
              <w:t>Strengthening Medicare – Health Workforce(b)</w:t>
            </w:r>
          </w:p>
        </w:tc>
        <w:tc>
          <w:tcPr>
            <w:tcW w:w="850" w:type="dxa"/>
            <w:vAlign w:val="bottom"/>
          </w:tcPr>
          <w:p w14:paraId="5BA22C69" w14:textId="4F6747DE" w:rsidR="00B628FF" w:rsidRDefault="00B31B37">
            <w:pPr>
              <w:pStyle w:val="Summarytabletextrightaligned"/>
            </w:pPr>
            <w:r>
              <w:noBreakHyphen/>
            </w:r>
          </w:p>
        </w:tc>
        <w:tc>
          <w:tcPr>
            <w:tcW w:w="850" w:type="dxa"/>
            <w:shd w:val="clear" w:color="auto" w:fill="E6F2FF"/>
            <w:vAlign w:val="bottom"/>
          </w:tcPr>
          <w:p w14:paraId="778E949A" w14:textId="624983ED" w:rsidR="00B628FF" w:rsidRDefault="00B31B37">
            <w:pPr>
              <w:pStyle w:val="Summarytabletextrightaligned"/>
            </w:pPr>
            <w:r>
              <w:noBreakHyphen/>
            </w:r>
          </w:p>
        </w:tc>
        <w:tc>
          <w:tcPr>
            <w:tcW w:w="850" w:type="dxa"/>
            <w:vAlign w:val="bottom"/>
          </w:tcPr>
          <w:p w14:paraId="33E7DDB2" w14:textId="5CAB370F" w:rsidR="00B628FF" w:rsidRDefault="00B31B37">
            <w:pPr>
              <w:pStyle w:val="Summarytabletextrightaligned"/>
            </w:pPr>
            <w:r>
              <w:noBreakHyphen/>
            </w:r>
          </w:p>
        </w:tc>
        <w:tc>
          <w:tcPr>
            <w:tcW w:w="850" w:type="dxa"/>
            <w:vAlign w:val="bottom"/>
          </w:tcPr>
          <w:p w14:paraId="6130B1FB" w14:textId="620DD8A3" w:rsidR="00B628FF" w:rsidRDefault="00B31B37">
            <w:pPr>
              <w:pStyle w:val="Summarytabletextrightaligned"/>
            </w:pPr>
            <w:r>
              <w:noBreakHyphen/>
            </w:r>
          </w:p>
        </w:tc>
        <w:tc>
          <w:tcPr>
            <w:tcW w:w="850" w:type="dxa"/>
            <w:vAlign w:val="bottom"/>
          </w:tcPr>
          <w:p w14:paraId="2428CC7E" w14:textId="6009B045" w:rsidR="00B628FF" w:rsidRDefault="00B31B37">
            <w:pPr>
              <w:pStyle w:val="Summarytabletextrightaligned"/>
            </w:pPr>
            <w:r>
              <w:noBreakHyphen/>
            </w:r>
          </w:p>
        </w:tc>
      </w:tr>
      <w:tr w:rsidR="00B628FF" w14:paraId="32304B18" w14:textId="77777777" w:rsidTr="5FA307DC">
        <w:tc>
          <w:tcPr>
            <w:tcW w:w="3471" w:type="dxa"/>
            <w:vAlign w:val="bottom"/>
          </w:tcPr>
          <w:p w14:paraId="5E1DA13A" w14:textId="29C93652" w:rsidR="00B628FF" w:rsidRDefault="005B2D2F">
            <w:pPr>
              <w:pStyle w:val="SummaryMeasureTitlewithTheme"/>
            </w:pPr>
            <w:r>
              <w:t>Strengthening Medicare – Women</w:t>
            </w:r>
            <w:r w:rsidR="00B31B37">
              <w:t>’</w:t>
            </w:r>
            <w:r>
              <w:t>s Health</w:t>
            </w:r>
          </w:p>
        </w:tc>
        <w:tc>
          <w:tcPr>
            <w:tcW w:w="850" w:type="dxa"/>
            <w:vAlign w:val="bottom"/>
          </w:tcPr>
          <w:p w14:paraId="31BF26A2" w14:textId="77777777" w:rsidR="00B628FF" w:rsidRDefault="005B2D2F">
            <w:pPr>
              <w:pStyle w:val="Summarytabletextrightaligned"/>
            </w:pPr>
            <w:r>
              <w:t>4.0</w:t>
            </w:r>
          </w:p>
        </w:tc>
        <w:tc>
          <w:tcPr>
            <w:tcW w:w="850" w:type="dxa"/>
            <w:shd w:val="clear" w:color="auto" w:fill="E6F2FF"/>
            <w:vAlign w:val="bottom"/>
          </w:tcPr>
          <w:p w14:paraId="0D39D24C" w14:textId="77777777" w:rsidR="00B628FF" w:rsidRDefault="005B2D2F">
            <w:pPr>
              <w:pStyle w:val="Summarytabletextrightaligned"/>
            </w:pPr>
            <w:r>
              <w:t>6.0</w:t>
            </w:r>
          </w:p>
        </w:tc>
        <w:tc>
          <w:tcPr>
            <w:tcW w:w="850" w:type="dxa"/>
            <w:vAlign w:val="bottom"/>
          </w:tcPr>
          <w:p w14:paraId="7E455EFC" w14:textId="77777777" w:rsidR="00B628FF" w:rsidRDefault="005B2D2F">
            <w:pPr>
              <w:pStyle w:val="Summarytabletextrightaligned"/>
            </w:pPr>
            <w:r>
              <w:t>3.0</w:t>
            </w:r>
          </w:p>
        </w:tc>
        <w:tc>
          <w:tcPr>
            <w:tcW w:w="850" w:type="dxa"/>
            <w:vAlign w:val="bottom"/>
          </w:tcPr>
          <w:p w14:paraId="4659DE49" w14:textId="77777777" w:rsidR="00B628FF" w:rsidRDefault="005B2D2F">
            <w:pPr>
              <w:pStyle w:val="Summarytabletextrightaligned"/>
            </w:pPr>
            <w:r>
              <w:t>2.0</w:t>
            </w:r>
          </w:p>
        </w:tc>
        <w:tc>
          <w:tcPr>
            <w:tcW w:w="850" w:type="dxa"/>
            <w:vAlign w:val="bottom"/>
          </w:tcPr>
          <w:p w14:paraId="00B1705D" w14:textId="77777777" w:rsidR="00B628FF" w:rsidRDefault="005B2D2F">
            <w:pPr>
              <w:pStyle w:val="Summarytabletextrightaligned"/>
            </w:pPr>
            <w:r>
              <w:t>1.0</w:t>
            </w:r>
          </w:p>
        </w:tc>
      </w:tr>
      <w:tr w:rsidR="00B628FF" w14:paraId="4128065A" w14:textId="77777777" w:rsidTr="5FA307DC">
        <w:tc>
          <w:tcPr>
            <w:tcW w:w="3471" w:type="dxa"/>
            <w:vAlign w:val="bottom"/>
          </w:tcPr>
          <w:p w14:paraId="01BDB11D" w14:textId="77777777" w:rsidR="00B628FF" w:rsidRDefault="005B2D2F">
            <w:pPr>
              <w:pStyle w:val="SummaryMeasureTitlewithTheme"/>
            </w:pPr>
            <w:r>
              <w:t>Strengthening Tax Integrity(b)</w:t>
            </w:r>
          </w:p>
        </w:tc>
        <w:tc>
          <w:tcPr>
            <w:tcW w:w="850" w:type="dxa"/>
            <w:vAlign w:val="bottom"/>
          </w:tcPr>
          <w:p w14:paraId="654058E6" w14:textId="4521551B" w:rsidR="00B628FF" w:rsidRDefault="00B31B37">
            <w:pPr>
              <w:pStyle w:val="Summarytabletextrightaligned"/>
            </w:pPr>
            <w:r>
              <w:noBreakHyphen/>
            </w:r>
          </w:p>
        </w:tc>
        <w:tc>
          <w:tcPr>
            <w:tcW w:w="850" w:type="dxa"/>
            <w:shd w:val="clear" w:color="auto" w:fill="E6F2FF"/>
            <w:vAlign w:val="bottom"/>
          </w:tcPr>
          <w:p w14:paraId="709F49F5" w14:textId="77777777" w:rsidR="00B628FF" w:rsidRDefault="005B2D2F">
            <w:pPr>
              <w:pStyle w:val="Summarytabletextrightaligned"/>
            </w:pPr>
            <w:r>
              <w:t>6.1</w:t>
            </w:r>
          </w:p>
        </w:tc>
        <w:tc>
          <w:tcPr>
            <w:tcW w:w="850" w:type="dxa"/>
            <w:vAlign w:val="bottom"/>
          </w:tcPr>
          <w:p w14:paraId="29E51F5C" w14:textId="77777777" w:rsidR="00B628FF" w:rsidRDefault="005B2D2F">
            <w:pPr>
              <w:pStyle w:val="Summarytabletextrightaligned"/>
            </w:pPr>
            <w:r>
              <w:t>47.5</w:t>
            </w:r>
          </w:p>
        </w:tc>
        <w:tc>
          <w:tcPr>
            <w:tcW w:w="850" w:type="dxa"/>
            <w:vAlign w:val="bottom"/>
          </w:tcPr>
          <w:p w14:paraId="55F0E0DD" w14:textId="77777777" w:rsidR="00B628FF" w:rsidRDefault="005B2D2F">
            <w:pPr>
              <w:pStyle w:val="Summarytabletextrightaligned"/>
            </w:pPr>
            <w:r>
              <w:t>91.0</w:t>
            </w:r>
          </w:p>
        </w:tc>
        <w:tc>
          <w:tcPr>
            <w:tcW w:w="850" w:type="dxa"/>
            <w:vAlign w:val="bottom"/>
          </w:tcPr>
          <w:p w14:paraId="14EF7353" w14:textId="77777777" w:rsidR="00B628FF" w:rsidRDefault="005B2D2F">
            <w:pPr>
              <w:pStyle w:val="Summarytabletextrightaligned"/>
            </w:pPr>
            <w:r>
              <w:t>258.0</w:t>
            </w:r>
          </w:p>
        </w:tc>
      </w:tr>
      <w:tr w:rsidR="00B628FF" w14:paraId="080C730E" w14:textId="77777777" w:rsidTr="5FA307DC">
        <w:tc>
          <w:tcPr>
            <w:tcW w:w="3471" w:type="dxa"/>
            <w:vAlign w:val="bottom"/>
          </w:tcPr>
          <w:p w14:paraId="3788844F" w14:textId="77777777" w:rsidR="00B628FF" w:rsidRDefault="005B2D2F">
            <w:pPr>
              <w:pStyle w:val="SummaryMeasureTitlewithTheme"/>
            </w:pPr>
            <w:r>
              <w:t>Support for People with Disability</w:t>
            </w:r>
          </w:p>
        </w:tc>
        <w:tc>
          <w:tcPr>
            <w:tcW w:w="850" w:type="dxa"/>
            <w:vAlign w:val="bottom"/>
          </w:tcPr>
          <w:p w14:paraId="0B48ADD5" w14:textId="3E7EB3A2" w:rsidR="00B628FF" w:rsidRDefault="00B31B37">
            <w:pPr>
              <w:pStyle w:val="Summarytabletextrightaligned"/>
            </w:pPr>
            <w:r>
              <w:noBreakHyphen/>
            </w:r>
          </w:p>
        </w:tc>
        <w:tc>
          <w:tcPr>
            <w:tcW w:w="850" w:type="dxa"/>
            <w:shd w:val="clear" w:color="auto" w:fill="E6F2FF"/>
            <w:vAlign w:val="bottom"/>
          </w:tcPr>
          <w:p w14:paraId="7E4183C4" w14:textId="24D72E06" w:rsidR="00B628FF" w:rsidRDefault="00B31B37">
            <w:pPr>
              <w:pStyle w:val="Summarytabletextrightaligned"/>
            </w:pPr>
            <w:r>
              <w:noBreakHyphen/>
            </w:r>
          </w:p>
        </w:tc>
        <w:tc>
          <w:tcPr>
            <w:tcW w:w="850" w:type="dxa"/>
            <w:vAlign w:val="bottom"/>
          </w:tcPr>
          <w:p w14:paraId="3268E9AB" w14:textId="13140AE9" w:rsidR="00B628FF" w:rsidRDefault="00B31B37">
            <w:pPr>
              <w:pStyle w:val="Summarytabletextrightaligned"/>
            </w:pPr>
            <w:r>
              <w:noBreakHyphen/>
            </w:r>
          </w:p>
        </w:tc>
        <w:tc>
          <w:tcPr>
            <w:tcW w:w="850" w:type="dxa"/>
            <w:vAlign w:val="bottom"/>
          </w:tcPr>
          <w:p w14:paraId="7DD91B83" w14:textId="4796C674" w:rsidR="00B628FF" w:rsidRDefault="00B31B37">
            <w:pPr>
              <w:pStyle w:val="Summarytabletextrightaligned"/>
            </w:pPr>
            <w:r>
              <w:noBreakHyphen/>
            </w:r>
          </w:p>
        </w:tc>
        <w:tc>
          <w:tcPr>
            <w:tcW w:w="850" w:type="dxa"/>
            <w:vAlign w:val="bottom"/>
          </w:tcPr>
          <w:p w14:paraId="0D015AFE" w14:textId="30CD32E1" w:rsidR="00B628FF" w:rsidRDefault="00B31B37">
            <w:pPr>
              <w:pStyle w:val="Summarytabletextrightaligned"/>
            </w:pPr>
            <w:r>
              <w:noBreakHyphen/>
            </w:r>
          </w:p>
        </w:tc>
      </w:tr>
      <w:tr w:rsidR="00B628FF" w14:paraId="6D17C4EC" w14:textId="77777777" w:rsidTr="5FA307DC">
        <w:tc>
          <w:tcPr>
            <w:tcW w:w="3471" w:type="dxa"/>
            <w:vAlign w:val="bottom"/>
          </w:tcPr>
          <w:p w14:paraId="60A69D13" w14:textId="77777777" w:rsidR="00B628FF" w:rsidRDefault="005B2D2F">
            <w:pPr>
              <w:pStyle w:val="SummaryMeasureTitlewithTheme"/>
            </w:pPr>
            <w:r>
              <w:t>Supporting the Giant Pandas at Adelaide Zoo</w:t>
            </w:r>
          </w:p>
        </w:tc>
        <w:tc>
          <w:tcPr>
            <w:tcW w:w="850" w:type="dxa"/>
            <w:vAlign w:val="bottom"/>
          </w:tcPr>
          <w:p w14:paraId="72E4DC8F" w14:textId="7E3B953B" w:rsidR="00B628FF" w:rsidRDefault="00B31B37">
            <w:pPr>
              <w:pStyle w:val="Summarytabletextrightaligned"/>
            </w:pPr>
            <w:r>
              <w:noBreakHyphen/>
            </w:r>
          </w:p>
        </w:tc>
        <w:tc>
          <w:tcPr>
            <w:tcW w:w="850" w:type="dxa"/>
            <w:shd w:val="clear" w:color="auto" w:fill="E6F2FF"/>
            <w:vAlign w:val="bottom"/>
          </w:tcPr>
          <w:p w14:paraId="50EE410D" w14:textId="760388BC" w:rsidR="00B628FF" w:rsidRDefault="00B31B37">
            <w:pPr>
              <w:pStyle w:val="Summarytabletextrightaligned"/>
            </w:pPr>
            <w:r>
              <w:noBreakHyphen/>
            </w:r>
          </w:p>
        </w:tc>
        <w:tc>
          <w:tcPr>
            <w:tcW w:w="850" w:type="dxa"/>
            <w:vAlign w:val="bottom"/>
          </w:tcPr>
          <w:p w14:paraId="5F42672A" w14:textId="4E134EFA" w:rsidR="00B628FF" w:rsidRDefault="00B31B37">
            <w:pPr>
              <w:pStyle w:val="Summarytabletextrightaligned"/>
            </w:pPr>
            <w:r>
              <w:noBreakHyphen/>
            </w:r>
          </w:p>
        </w:tc>
        <w:tc>
          <w:tcPr>
            <w:tcW w:w="850" w:type="dxa"/>
            <w:vAlign w:val="bottom"/>
          </w:tcPr>
          <w:p w14:paraId="117C8F20" w14:textId="372D7A73" w:rsidR="00B628FF" w:rsidRDefault="00B31B37">
            <w:pPr>
              <w:pStyle w:val="Summarytabletextrightaligned"/>
            </w:pPr>
            <w:r>
              <w:noBreakHyphen/>
            </w:r>
          </w:p>
        </w:tc>
        <w:tc>
          <w:tcPr>
            <w:tcW w:w="850" w:type="dxa"/>
            <w:vAlign w:val="bottom"/>
          </w:tcPr>
          <w:p w14:paraId="728B826F" w14:textId="56DD36BE" w:rsidR="00B628FF" w:rsidRDefault="00B31B37">
            <w:pPr>
              <w:pStyle w:val="Summarytabletextrightaligned"/>
            </w:pPr>
            <w:r>
              <w:noBreakHyphen/>
            </w:r>
          </w:p>
        </w:tc>
      </w:tr>
      <w:tr w:rsidR="00B628FF" w14:paraId="788F69AE" w14:textId="77777777" w:rsidTr="5FA307DC">
        <w:tc>
          <w:tcPr>
            <w:tcW w:w="3471" w:type="dxa"/>
            <w:vAlign w:val="bottom"/>
          </w:tcPr>
          <w:p w14:paraId="43EA8174" w14:textId="77777777" w:rsidR="00B628FF" w:rsidRDefault="005B2D2F">
            <w:pPr>
              <w:pStyle w:val="SummaryMeasureTitlewithTheme"/>
            </w:pPr>
            <w:r>
              <w:t>Supporting the Hospitality Sector and Alcohol Producers(b)</w:t>
            </w:r>
          </w:p>
        </w:tc>
        <w:tc>
          <w:tcPr>
            <w:tcW w:w="850" w:type="dxa"/>
            <w:vAlign w:val="bottom"/>
          </w:tcPr>
          <w:p w14:paraId="16751264" w14:textId="6CE0FDD0" w:rsidR="00B628FF" w:rsidRDefault="00B31B37">
            <w:pPr>
              <w:pStyle w:val="Summarytabletextrightaligned"/>
            </w:pPr>
            <w:r>
              <w:noBreakHyphen/>
            </w:r>
          </w:p>
        </w:tc>
        <w:tc>
          <w:tcPr>
            <w:tcW w:w="850" w:type="dxa"/>
            <w:shd w:val="clear" w:color="auto" w:fill="E6F2FF"/>
            <w:vAlign w:val="bottom"/>
          </w:tcPr>
          <w:p w14:paraId="244F323D" w14:textId="08AC7517" w:rsidR="00B628FF" w:rsidRDefault="00410E84">
            <w:pPr>
              <w:pStyle w:val="Summarytabletextrightaligned"/>
            </w:pPr>
            <w:r>
              <w:t>..</w:t>
            </w:r>
          </w:p>
        </w:tc>
        <w:tc>
          <w:tcPr>
            <w:tcW w:w="850" w:type="dxa"/>
            <w:vAlign w:val="bottom"/>
          </w:tcPr>
          <w:p w14:paraId="0D471293" w14:textId="41DE1039" w:rsidR="00B628FF" w:rsidRDefault="00410E84">
            <w:pPr>
              <w:pStyle w:val="Summarytabletextrightaligned"/>
            </w:pPr>
            <w:r>
              <w:t>..</w:t>
            </w:r>
          </w:p>
        </w:tc>
        <w:tc>
          <w:tcPr>
            <w:tcW w:w="850" w:type="dxa"/>
            <w:vAlign w:val="bottom"/>
          </w:tcPr>
          <w:p w14:paraId="7AA03EA8" w14:textId="398D5DA6" w:rsidR="00B628FF" w:rsidRDefault="00410E84">
            <w:pPr>
              <w:pStyle w:val="Summarytabletextrightaligned"/>
            </w:pPr>
            <w:r>
              <w:t>..</w:t>
            </w:r>
          </w:p>
        </w:tc>
        <w:tc>
          <w:tcPr>
            <w:tcW w:w="850" w:type="dxa"/>
            <w:vAlign w:val="bottom"/>
          </w:tcPr>
          <w:p w14:paraId="7090A824" w14:textId="03CA5FF1" w:rsidR="00B628FF" w:rsidRDefault="00410E84">
            <w:pPr>
              <w:pStyle w:val="Summarytabletextrightaligned"/>
            </w:pPr>
            <w:r>
              <w:t>..</w:t>
            </w:r>
          </w:p>
        </w:tc>
      </w:tr>
      <w:tr w:rsidR="00B628FF" w14:paraId="5EB1183F" w14:textId="77777777" w:rsidTr="5FA307DC">
        <w:tc>
          <w:tcPr>
            <w:tcW w:w="3471" w:type="dxa"/>
            <w:vAlign w:val="bottom"/>
          </w:tcPr>
          <w:p w14:paraId="30D63B1D" w14:textId="77777777" w:rsidR="00B628FF" w:rsidRDefault="005B2D2F">
            <w:pPr>
              <w:pStyle w:val="SummaryMeasureTitlewithTheme"/>
            </w:pPr>
            <w:r>
              <w:t>Treasury Portfolio – additional resourcing</w:t>
            </w:r>
          </w:p>
        </w:tc>
        <w:tc>
          <w:tcPr>
            <w:tcW w:w="850" w:type="dxa"/>
            <w:vAlign w:val="bottom"/>
          </w:tcPr>
          <w:p w14:paraId="25A6879A" w14:textId="60EB0D43" w:rsidR="00B628FF" w:rsidRDefault="00B31B37">
            <w:pPr>
              <w:pStyle w:val="Summarytabletextrightaligned"/>
            </w:pPr>
            <w:r>
              <w:noBreakHyphen/>
            </w:r>
          </w:p>
        </w:tc>
        <w:tc>
          <w:tcPr>
            <w:tcW w:w="850" w:type="dxa"/>
            <w:shd w:val="clear" w:color="auto" w:fill="E6F2FF"/>
            <w:vAlign w:val="bottom"/>
          </w:tcPr>
          <w:p w14:paraId="00ACDE0A" w14:textId="77777777" w:rsidR="00B628FF" w:rsidRDefault="005B2D2F">
            <w:pPr>
              <w:pStyle w:val="Summarytabletextrightaligned"/>
            </w:pPr>
            <w:r>
              <w:t>1.6</w:t>
            </w:r>
          </w:p>
        </w:tc>
        <w:tc>
          <w:tcPr>
            <w:tcW w:w="850" w:type="dxa"/>
            <w:vAlign w:val="bottom"/>
          </w:tcPr>
          <w:p w14:paraId="02CED6DD" w14:textId="77777777" w:rsidR="00B628FF" w:rsidRDefault="005B2D2F">
            <w:pPr>
              <w:pStyle w:val="Summarytabletextrightaligned"/>
            </w:pPr>
            <w:r>
              <w:t>1.1</w:t>
            </w:r>
          </w:p>
        </w:tc>
        <w:tc>
          <w:tcPr>
            <w:tcW w:w="850" w:type="dxa"/>
            <w:vAlign w:val="bottom"/>
          </w:tcPr>
          <w:p w14:paraId="54159CB9" w14:textId="77777777" w:rsidR="00B628FF" w:rsidRDefault="005B2D2F">
            <w:pPr>
              <w:pStyle w:val="Summarytabletextrightaligned"/>
            </w:pPr>
            <w:r>
              <w:t>0.9</w:t>
            </w:r>
          </w:p>
        </w:tc>
        <w:tc>
          <w:tcPr>
            <w:tcW w:w="850" w:type="dxa"/>
            <w:vAlign w:val="bottom"/>
          </w:tcPr>
          <w:p w14:paraId="5C2A52A3" w14:textId="2E7C4733" w:rsidR="00B628FF" w:rsidRDefault="00B31B37">
            <w:pPr>
              <w:pStyle w:val="Summarytabletextrightaligned"/>
            </w:pPr>
            <w:r>
              <w:noBreakHyphen/>
            </w:r>
          </w:p>
        </w:tc>
      </w:tr>
    </w:tbl>
    <w:p w14:paraId="4AFC0B58" w14:textId="77777777" w:rsidR="00997AF2" w:rsidRDefault="00997AF2" w:rsidP="00997AF2">
      <w:pPr>
        <w:sectPr w:rsidR="00997AF2" w:rsidSect="00A06F82">
          <w:pgSz w:w="11906" w:h="16838"/>
          <w:pgMar w:top="2835" w:right="2098" w:bottom="2466" w:left="2098" w:header="1814" w:footer="1814" w:gutter="0"/>
          <w:cols w:space="720"/>
          <w:docGrid w:linePitch="272"/>
        </w:sectPr>
      </w:pPr>
    </w:p>
    <w:p w14:paraId="424BFC5F" w14:textId="77777777" w:rsidR="00997AF2" w:rsidRDefault="00997AF2" w:rsidP="00997AF2">
      <w:pPr>
        <w:pStyle w:val="TableHeadingcontinued"/>
      </w:pPr>
      <w:r>
        <w:t>Table 2: Payment measures since the 2024–25 MYEFO</w:t>
      </w:r>
      <w:r>
        <w:rPr>
          <w:rFonts w:ascii="Cambria Math" w:hAnsi="Cambria Math" w:cs="Cambria Math"/>
        </w:rPr>
        <w:t>⁽</w:t>
      </w:r>
      <w:r>
        <w:rPr>
          <w:rFonts w:cs="Arial"/>
        </w:rPr>
        <w:t>ª</w:t>
      </w:r>
      <w:r>
        <w:rPr>
          <w:rFonts w:ascii="Cambria Math" w:hAnsi="Cambria Math" w:cs="Cambria Math"/>
        </w:rPr>
        <w:t>⁾</w:t>
      </w:r>
      <w:r>
        <w:t xml:space="preserve"> (continued)</w:t>
      </w:r>
    </w:p>
    <w:tbl>
      <w:tblPr>
        <w:tblOverlap w:val="never"/>
        <w:tblW w:w="7721" w:type="dxa"/>
        <w:tblBorders>
          <w:top w:val="single" w:sz="4" w:space="0" w:color="000000"/>
          <w:bottom w:val="single" w:sz="4" w:space="0" w:color="000000"/>
        </w:tblBorders>
        <w:tblLayout w:type="fixed"/>
        <w:tblCellMar>
          <w:left w:w="0" w:type="dxa"/>
          <w:right w:w="56" w:type="dxa"/>
        </w:tblCellMar>
        <w:tblLook w:val="04A0" w:firstRow="1" w:lastRow="0" w:firstColumn="1" w:lastColumn="0" w:noHBand="0" w:noVBand="1"/>
      </w:tblPr>
      <w:tblGrid>
        <w:gridCol w:w="3471"/>
        <w:gridCol w:w="850"/>
        <w:gridCol w:w="850"/>
        <w:gridCol w:w="850"/>
        <w:gridCol w:w="850"/>
        <w:gridCol w:w="850"/>
      </w:tblGrid>
      <w:tr w:rsidR="00997AF2" w14:paraId="29DE5D64" w14:textId="77777777" w:rsidTr="00997AF2">
        <w:tc>
          <w:tcPr>
            <w:tcW w:w="3471" w:type="dxa"/>
            <w:vAlign w:val="bottom"/>
          </w:tcPr>
          <w:p w14:paraId="781D9456" w14:textId="77777777" w:rsidR="00997AF2" w:rsidRDefault="00997AF2" w:rsidP="00997AF2"/>
        </w:tc>
        <w:tc>
          <w:tcPr>
            <w:tcW w:w="850" w:type="dxa"/>
            <w:tcBorders>
              <w:bottom w:val="nil"/>
            </w:tcBorders>
          </w:tcPr>
          <w:p w14:paraId="21D0A08E" w14:textId="34ACD36B" w:rsidR="00997AF2" w:rsidRDefault="00997AF2" w:rsidP="00997AF2">
            <w:pPr>
              <w:pStyle w:val="Summarytabletextrightaligned"/>
            </w:pPr>
            <w:r>
              <w:t>2024</w:t>
            </w:r>
            <w:r w:rsidR="00B31B37">
              <w:noBreakHyphen/>
            </w:r>
            <w:r>
              <w:t>25</w:t>
            </w:r>
          </w:p>
        </w:tc>
        <w:tc>
          <w:tcPr>
            <w:tcW w:w="850" w:type="dxa"/>
            <w:tcBorders>
              <w:bottom w:val="nil"/>
            </w:tcBorders>
            <w:shd w:val="clear" w:color="auto" w:fill="E6F2FF"/>
          </w:tcPr>
          <w:p w14:paraId="5BAC1E0F" w14:textId="1B9CFFF8" w:rsidR="00997AF2" w:rsidRDefault="00997AF2" w:rsidP="00997AF2">
            <w:pPr>
              <w:pStyle w:val="Summarytabletextrightaligned"/>
            </w:pPr>
            <w:r>
              <w:t>2025</w:t>
            </w:r>
            <w:r w:rsidR="00B31B37">
              <w:noBreakHyphen/>
            </w:r>
            <w:r>
              <w:t>26</w:t>
            </w:r>
          </w:p>
        </w:tc>
        <w:tc>
          <w:tcPr>
            <w:tcW w:w="850" w:type="dxa"/>
            <w:tcBorders>
              <w:bottom w:val="nil"/>
            </w:tcBorders>
          </w:tcPr>
          <w:p w14:paraId="750A014F" w14:textId="3BC5E501" w:rsidR="00997AF2" w:rsidRDefault="00997AF2" w:rsidP="00997AF2">
            <w:pPr>
              <w:pStyle w:val="Summarytabletextrightaligned"/>
            </w:pPr>
            <w:r>
              <w:t>2026</w:t>
            </w:r>
            <w:r w:rsidR="00B31B37">
              <w:noBreakHyphen/>
            </w:r>
            <w:r>
              <w:t>27</w:t>
            </w:r>
          </w:p>
        </w:tc>
        <w:tc>
          <w:tcPr>
            <w:tcW w:w="850" w:type="dxa"/>
            <w:tcBorders>
              <w:bottom w:val="nil"/>
            </w:tcBorders>
          </w:tcPr>
          <w:p w14:paraId="1BE12811" w14:textId="3DF503F2" w:rsidR="00997AF2" w:rsidRDefault="00997AF2" w:rsidP="00997AF2">
            <w:pPr>
              <w:pStyle w:val="Summarytabletextrightaligned"/>
            </w:pPr>
            <w:r>
              <w:t>2027</w:t>
            </w:r>
            <w:r w:rsidR="00B31B37">
              <w:noBreakHyphen/>
            </w:r>
            <w:r>
              <w:t>28</w:t>
            </w:r>
          </w:p>
        </w:tc>
        <w:tc>
          <w:tcPr>
            <w:tcW w:w="850" w:type="dxa"/>
            <w:tcBorders>
              <w:bottom w:val="nil"/>
            </w:tcBorders>
          </w:tcPr>
          <w:p w14:paraId="27CACB1A" w14:textId="0B55E841" w:rsidR="00997AF2" w:rsidRDefault="00997AF2" w:rsidP="00997AF2">
            <w:pPr>
              <w:pStyle w:val="Summarytabletextrightaligned"/>
            </w:pPr>
            <w:r>
              <w:t>2028</w:t>
            </w:r>
            <w:r w:rsidR="00B31B37">
              <w:noBreakHyphen/>
            </w:r>
            <w:r>
              <w:t>29</w:t>
            </w:r>
          </w:p>
        </w:tc>
      </w:tr>
      <w:tr w:rsidR="00997AF2" w14:paraId="0FC78728" w14:textId="77777777" w:rsidTr="00997AF2">
        <w:tc>
          <w:tcPr>
            <w:tcW w:w="3471" w:type="dxa"/>
            <w:vAlign w:val="bottom"/>
          </w:tcPr>
          <w:p w14:paraId="52B1A0F7" w14:textId="77777777" w:rsidR="00997AF2" w:rsidRDefault="00997AF2" w:rsidP="00997AF2"/>
        </w:tc>
        <w:tc>
          <w:tcPr>
            <w:tcW w:w="850" w:type="dxa"/>
            <w:tcBorders>
              <w:top w:val="nil"/>
              <w:bottom w:val="single" w:sz="4" w:space="0" w:color="auto"/>
            </w:tcBorders>
            <w:shd w:val="clear" w:color="auto" w:fill="auto"/>
          </w:tcPr>
          <w:p w14:paraId="03790331" w14:textId="77777777" w:rsidR="00997AF2" w:rsidRDefault="00997AF2" w:rsidP="00997AF2">
            <w:pPr>
              <w:pStyle w:val="Summarytabletextrightaligned"/>
            </w:pPr>
            <w:r>
              <w:t>$m</w:t>
            </w:r>
          </w:p>
        </w:tc>
        <w:tc>
          <w:tcPr>
            <w:tcW w:w="850" w:type="dxa"/>
            <w:tcBorders>
              <w:top w:val="nil"/>
              <w:bottom w:val="single" w:sz="4" w:space="0" w:color="auto"/>
            </w:tcBorders>
            <w:shd w:val="clear" w:color="auto" w:fill="E6F2FF"/>
          </w:tcPr>
          <w:p w14:paraId="547C3203" w14:textId="77777777" w:rsidR="00997AF2" w:rsidRDefault="00997AF2" w:rsidP="00997AF2">
            <w:pPr>
              <w:pStyle w:val="Summarytabletextrightaligned"/>
            </w:pPr>
            <w:r>
              <w:t>$m</w:t>
            </w:r>
          </w:p>
        </w:tc>
        <w:tc>
          <w:tcPr>
            <w:tcW w:w="850" w:type="dxa"/>
            <w:tcBorders>
              <w:top w:val="nil"/>
              <w:bottom w:val="single" w:sz="4" w:space="0" w:color="auto"/>
            </w:tcBorders>
            <w:shd w:val="clear" w:color="auto" w:fill="auto"/>
          </w:tcPr>
          <w:p w14:paraId="3B97744F" w14:textId="77777777" w:rsidR="00997AF2" w:rsidRDefault="00997AF2" w:rsidP="00997AF2">
            <w:pPr>
              <w:pStyle w:val="Summarytabletextrightaligned"/>
            </w:pPr>
            <w:r>
              <w:t>$m</w:t>
            </w:r>
          </w:p>
        </w:tc>
        <w:tc>
          <w:tcPr>
            <w:tcW w:w="850" w:type="dxa"/>
            <w:tcBorders>
              <w:top w:val="nil"/>
              <w:bottom w:val="single" w:sz="4" w:space="0" w:color="auto"/>
            </w:tcBorders>
            <w:shd w:val="clear" w:color="auto" w:fill="auto"/>
          </w:tcPr>
          <w:p w14:paraId="3C55BEA9" w14:textId="77777777" w:rsidR="00997AF2" w:rsidRDefault="00997AF2" w:rsidP="00997AF2">
            <w:pPr>
              <w:pStyle w:val="Summarytabletextrightaligned"/>
            </w:pPr>
            <w:r>
              <w:t>$m</w:t>
            </w:r>
          </w:p>
        </w:tc>
        <w:tc>
          <w:tcPr>
            <w:tcW w:w="850" w:type="dxa"/>
            <w:tcBorders>
              <w:top w:val="nil"/>
              <w:bottom w:val="single" w:sz="4" w:space="0" w:color="auto"/>
            </w:tcBorders>
            <w:shd w:val="clear" w:color="auto" w:fill="auto"/>
          </w:tcPr>
          <w:p w14:paraId="40802991" w14:textId="77777777" w:rsidR="00997AF2" w:rsidRDefault="00997AF2" w:rsidP="00997AF2">
            <w:pPr>
              <w:pStyle w:val="Summarytabletextrightaligned"/>
            </w:pPr>
            <w:r>
              <w:t>$m</w:t>
            </w:r>
          </w:p>
        </w:tc>
      </w:tr>
      <w:tr w:rsidR="00997AF2" w14:paraId="7D92A89B" w14:textId="77777777" w:rsidTr="00997AF2">
        <w:tc>
          <w:tcPr>
            <w:tcW w:w="3471" w:type="dxa"/>
            <w:tcBorders>
              <w:bottom w:val="nil"/>
            </w:tcBorders>
            <w:vAlign w:val="bottom"/>
          </w:tcPr>
          <w:p w14:paraId="7498B716" w14:textId="77777777" w:rsidR="00997AF2" w:rsidRPr="00997AF2" w:rsidRDefault="00997AF2" w:rsidP="00997AF2">
            <w:pPr>
              <w:pStyle w:val="SummaryMeasureTitlewithTheme"/>
              <w:rPr>
                <w:b/>
              </w:rPr>
            </w:pPr>
            <w:r w:rsidRPr="00997AF2">
              <w:rPr>
                <w:b/>
              </w:rPr>
              <w:t>TREASURY (continued)</w:t>
            </w:r>
          </w:p>
        </w:tc>
        <w:tc>
          <w:tcPr>
            <w:tcW w:w="850" w:type="dxa"/>
            <w:tcBorders>
              <w:top w:val="single" w:sz="4" w:space="0" w:color="auto"/>
              <w:bottom w:val="nil"/>
            </w:tcBorders>
          </w:tcPr>
          <w:p w14:paraId="21B4B19E" w14:textId="77777777" w:rsidR="00997AF2" w:rsidRDefault="00997AF2">
            <w:pPr>
              <w:pStyle w:val="SummaryAgencyTitle-BP2"/>
            </w:pPr>
          </w:p>
        </w:tc>
        <w:tc>
          <w:tcPr>
            <w:tcW w:w="850" w:type="dxa"/>
            <w:tcBorders>
              <w:top w:val="single" w:sz="4" w:space="0" w:color="auto"/>
              <w:bottom w:val="nil"/>
            </w:tcBorders>
            <w:shd w:val="clear" w:color="auto" w:fill="E6F2FF"/>
          </w:tcPr>
          <w:p w14:paraId="2C0EC029" w14:textId="77777777" w:rsidR="00997AF2" w:rsidRDefault="00997AF2">
            <w:pPr>
              <w:pStyle w:val="SummaryAgencyTitle-BP2"/>
            </w:pPr>
          </w:p>
        </w:tc>
        <w:tc>
          <w:tcPr>
            <w:tcW w:w="850" w:type="dxa"/>
            <w:tcBorders>
              <w:top w:val="single" w:sz="4" w:space="0" w:color="auto"/>
              <w:bottom w:val="nil"/>
            </w:tcBorders>
          </w:tcPr>
          <w:p w14:paraId="4CEE9C7E" w14:textId="77777777" w:rsidR="00997AF2" w:rsidRDefault="00997AF2">
            <w:pPr>
              <w:pStyle w:val="SummaryAgencyTitle-BP2"/>
            </w:pPr>
          </w:p>
        </w:tc>
        <w:tc>
          <w:tcPr>
            <w:tcW w:w="850" w:type="dxa"/>
            <w:tcBorders>
              <w:top w:val="single" w:sz="4" w:space="0" w:color="auto"/>
              <w:bottom w:val="nil"/>
            </w:tcBorders>
          </w:tcPr>
          <w:p w14:paraId="78F65F11" w14:textId="77777777" w:rsidR="00997AF2" w:rsidRDefault="00997AF2">
            <w:pPr>
              <w:pStyle w:val="SummaryAgencyTitle-BP2"/>
            </w:pPr>
          </w:p>
        </w:tc>
        <w:tc>
          <w:tcPr>
            <w:tcW w:w="850" w:type="dxa"/>
            <w:tcBorders>
              <w:top w:val="single" w:sz="4" w:space="0" w:color="auto"/>
              <w:bottom w:val="nil"/>
            </w:tcBorders>
          </w:tcPr>
          <w:p w14:paraId="1EAA1274" w14:textId="77777777" w:rsidR="00997AF2" w:rsidRDefault="00997AF2">
            <w:pPr>
              <w:pStyle w:val="SummaryAgencyTitle-BP2"/>
            </w:pPr>
          </w:p>
        </w:tc>
      </w:tr>
      <w:tr w:rsidR="00B628FF" w14:paraId="49FF7352" w14:textId="77777777" w:rsidTr="00997AF2">
        <w:tc>
          <w:tcPr>
            <w:tcW w:w="3471" w:type="dxa"/>
            <w:tcBorders>
              <w:top w:val="nil"/>
            </w:tcBorders>
            <w:vAlign w:val="bottom"/>
          </w:tcPr>
          <w:p w14:paraId="7E5B328C" w14:textId="77777777" w:rsidR="00B628FF" w:rsidRDefault="005B2D2F">
            <w:pPr>
              <w:pStyle w:val="SummaryAgencyTitle-BP2"/>
            </w:pPr>
            <w:r>
              <w:t>Housing Australia</w:t>
            </w:r>
          </w:p>
        </w:tc>
        <w:tc>
          <w:tcPr>
            <w:tcW w:w="850" w:type="dxa"/>
            <w:tcBorders>
              <w:top w:val="nil"/>
            </w:tcBorders>
          </w:tcPr>
          <w:p w14:paraId="0BAF28F6" w14:textId="77777777" w:rsidR="00B628FF" w:rsidRDefault="00B628FF">
            <w:pPr>
              <w:pStyle w:val="SummaryAgencyTitle-BP2"/>
            </w:pPr>
          </w:p>
        </w:tc>
        <w:tc>
          <w:tcPr>
            <w:tcW w:w="850" w:type="dxa"/>
            <w:tcBorders>
              <w:top w:val="nil"/>
            </w:tcBorders>
            <w:shd w:val="clear" w:color="auto" w:fill="E6F2FF"/>
          </w:tcPr>
          <w:p w14:paraId="59C321D5" w14:textId="77777777" w:rsidR="00B628FF" w:rsidRDefault="00B628FF">
            <w:pPr>
              <w:pStyle w:val="SummaryAgencyTitle-BP2"/>
            </w:pPr>
          </w:p>
        </w:tc>
        <w:tc>
          <w:tcPr>
            <w:tcW w:w="850" w:type="dxa"/>
            <w:tcBorders>
              <w:top w:val="nil"/>
            </w:tcBorders>
          </w:tcPr>
          <w:p w14:paraId="2DF5D89F" w14:textId="77777777" w:rsidR="00B628FF" w:rsidRDefault="00B628FF">
            <w:pPr>
              <w:pStyle w:val="SummaryAgencyTitle-BP2"/>
            </w:pPr>
          </w:p>
        </w:tc>
        <w:tc>
          <w:tcPr>
            <w:tcW w:w="850" w:type="dxa"/>
            <w:tcBorders>
              <w:top w:val="nil"/>
            </w:tcBorders>
          </w:tcPr>
          <w:p w14:paraId="4B842959" w14:textId="77777777" w:rsidR="00B628FF" w:rsidRDefault="00B628FF">
            <w:pPr>
              <w:pStyle w:val="SummaryAgencyTitle-BP2"/>
            </w:pPr>
          </w:p>
        </w:tc>
        <w:tc>
          <w:tcPr>
            <w:tcW w:w="850" w:type="dxa"/>
            <w:tcBorders>
              <w:top w:val="nil"/>
            </w:tcBorders>
          </w:tcPr>
          <w:p w14:paraId="28331027" w14:textId="77777777" w:rsidR="00B628FF" w:rsidRDefault="00B628FF">
            <w:pPr>
              <w:pStyle w:val="SummaryAgencyTitle-BP2"/>
            </w:pPr>
          </w:p>
        </w:tc>
      </w:tr>
      <w:tr w:rsidR="00B628FF" w14:paraId="200410B8" w14:textId="77777777" w:rsidTr="00997AF2">
        <w:tc>
          <w:tcPr>
            <w:tcW w:w="3471" w:type="dxa"/>
            <w:vAlign w:val="bottom"/>
          </w:tcPr>
          <w:p w14:paraId="67F7F1BF" w14:textId="487EF41A" w:rsidR="00B628FF" w:rsidRDefault="005B2D2F">
            <w:pPr>
              <w:pStyle w:val="SummaryMeasureTitlewithTheme"/>
            </w:pPr>
            <w:r>
              <w:t xml:space="preserve">Housing </w:t>
            </w:r>
            <w:r w:rsidR="00494012">
              <w:t>S</w:t>
            </w:r>
            <w:r>
              <w:t>upport(b)</w:t>
            </w:r>
          </w:p>
        </w:tc>
        <w:tc>
          <w:tcPr>
            <w:tcW w:w="850" w:type="dxa"/>
            <w:vAlign w:val="bottom"/>
          </w:tcPr>
          <w:p w14:paraId="2E0207E0" w14:textId="33C9613C" w:rsidR="00B628FF" w:rsidRDefault="00B31B37">
            <w:pPr>
              <w:pStyle w:val="Summarytabletextrightaligned"/>
            </w:pPr>
            <w:r>
              <w:noBreakHyphen/>
            </w:r>
          </w:p>
        </w:tc>
        <w:tc>
          <w:tcPr>
            <w:tcW w:w="850" w:type="dxa"/>
            <w:shd w:val="clear" w:color="auto" w:fill="E6F2FF"/>
            <w:vAlign w:val="bottom"/>
          </w:tcPr>
          <w:p w14:paraId="1EF4EDE6" w14:textId="77777777" w:rsidR="00B628FF" w:rsidRDefault="005B2D2F">
            <w:pPr>
              <w:pStyle w:val="Summarytabletextrightaligned"/>
            </w:pPr>
            <w:r>
              <w:t>0.9</w:t>
            </w:r>
          </w:p>
        </w:tc>
        <w:tc>
          <w:tcPr>
            <w:tcW w:w="850" w:type="dxa"/>
            <w:vAlign w:val="bottom"/>
          </w:tcPr>
          <w:p w14:paraId="35575C02" w14:textId="77777777" w:rsidR="00B628FF" w:rsidRDefault="005B2D2F">
            <w:pPr>
              <w:pStyle w:val="Summarytabletextrightaligned"/>
            </w:pPr>
            <w:r>
              <w:t>0.9</w:t>
            </w:r>
          </w:p>
        </w:tc>
        <w:tc>
          <w:tcPr>
            <w:tcW w:w="850" w:type="dxa"/>
            <w:vAlign w:val="bottom"/>
          </w:tcPr>
          <w:p w14:paraId="73718F31" w14:textId="77777777" w:rsidR="00B628FF" w:rsidRDefault="005B2D2F">
            <w:pPr>
              <w:pStyle w:val="Summarytabletextrightaligned"/>
            </w:pPr>
            <w:r>
              <w:t>0.9</w:t>
            </w:r>
          </w:p>
        </w:tc>
        <w:tc>
          <w:tcPr>
            <w:tcW w:w="850" w:type="dxa"/>
            <w:vAlign w:val="bottom"/>
          </w:tcPr>
          <w:p w14:paraId="668F3C2A" w14:textId="77777777" w:rsidR="00B628FF" w:rsidRDefault="005B2D2F">
            <w:pPr>
              <w:pStyle w:val="Summarytabletextrightaligned"/>
            </w:pPr>
            <w:r>
              <w:t>0.9</w:t>
            </w:r>
          </w:p>
        </w:tc>
      </w:tr>
      <w:tr w:rsidR="00B628FF" w14:paraId="7B00B914" w14:textId="77777777" w:rsidTr="00997AF2">
        <w:tc>
          <w:tcPr>
            <w:tcW w:w="3471" w:type="dxa"/>
            <w:vAlign w:val="bottom"/>
          </w:tcPr>
          <w:p w14:paraId="5702272D" w14:textId="77777777" w:rsidR="00B628FF" w:rsidRDefault="005B2D2F">
            <w:pPr>
              <w:pStyle w:val="Summarytabletextleftalignedbold"/>
            </w:pPr>
            <w:r>
              <w:t>Portfolio total</w:t>
            </w:r>
          </w:p>
        </w:tc>
        <w:tc>
          <w:tcPr>
            <w:tcW w:w="850" w:type="dxa"/>
            <w:tcBorders>
              <w:top w:val="single" w:sz="4" w:space="0" w:color="000000"/>
              <w:bottom w:val="single" w:sz="4" w:space="0" w:color="000000"/>
            </w:tcBorders>
            <w:vAlign w:val="bottom"/>
          </w:tcPr>
          <w:p w14:paraId="08A5DC5E" w14:textId="77777777" w:rsidR="00B628FF" w:rsidRDefault="005B2D2F">
            <w:pPr>
              <w:pStyle w:val="Summarytabletextrightalignedbold"/>
            </w:pPr>
            <w:r>
              <w:t>189.1</w:t>
            </w:r>
          </w:p>
        </w:tc>
        <w:tc>
          <w:tcPr>
            <w:tcW w:w="850" w:type="dxa"/>
            <w:tcBorders>
              <w:top w:val="single" w:sz="4" w:space="0" w:color="000000"/>
              <w:bottom w:val="single" w:sz="4" w:space="0" w:color="000000"/>
            </w:tcBorders>
            <w:shd w:val="clear" w:color="auto" w:fill="E6F2FF"/>
            <w:vAlign w:val="bottom"/>
          </w:tcPr>
          <w:p w14:paraId="5E03AEA8" w14:textId="77777777" w:rsidR="00B628FF" w:rsidRDefault="005B2D2F">
            <w:pPr>
              <w:pStyle w:val="Summarytabletextrightalignedbold"/>
            </w:pPr>
            <w:r>
              <w:t>3,985.9</w:t>
            </w:r>
          </w:p>
        </w:tc>
        <w:tc>
          <w:tcPr>
            <w:tcW w:w="850" w:type="dxa"/>
            <w:tcBorders>
              <w:top w:val="single" w:sz="4" w:space="0" w:color="000000"/>
              <w:bottom w:val="single" w:sz="4" w:space="0" w:color="000000"/>
            </w:tcBorders>
            <w:vAlign w:val="bottom"/>
          </w:tcPr>
          <w:p w14:paraId="4E5038D3" w14:textId="77777777" w:rsidR="00B628FF" w:rsidRDefault="005B2D2F">
            <w:pPr>
              <w:pStyle w:val="Summarytabletextrightalignedbold"/>
            </w:pPr>
            <w:r>
              <w:t>588.8</w:t>
            </w:r>
          </w:p>
        </w:tc>
        <w:tc>
          <w:tcPr>
            <w:tcW w:w="850" w:type="dxa"/>
            <w:tcBorders>
              <w:top w:val="single" w:sz="4" w:space="0" w:color="000000"/>
              <w:bottom w:val="single" w:sz="4" w:space="0" w:color="000000"/>
            </w:tcBorders>
            <w:vAlign w:val="bottom"/>
          </w:tcPr>
          <w:p w14:paraId="76A0CFAA" w14:textId="77777777" w:rsidR="00B628FF" w:rsidRDefault="005B2D2F">
            <w:pPr>
              <w:pStyle w:val="Summarytabletextrightalignedbold"/>
            </w:pPr>
            <w:r>
              <w:t>883.4</w:t>
            </w:r>
          </w:p>
        </w:tc>
        <w:tc>
          <w:tcPr>
            <w:tcW w:w="850" w:type="dxa"/>
            <w:tcBorders>
              <w:top w:val="single" w:sz="4" w:space="0" w:color="000000"/>
              <w:bottom w:val="single" w:sz="4" w:space="0" w:color="000000"/>
            </w:tcBorders>
            <w:vAlign w:val="bottom"/>
          </w:tcPr>
          <w:p w14:paraId="124BA4DF" w14:textId="77777777" w:rsidR="00B628FF" w:rsidRDefault="005B2D2F">
            <w:pPr>
              <w:pStyle w:val="Summarytabletextrightalignedbold"/>
            </w:pPr>
            <w:r>
              <w:t>1,827.0</w:t>
            </w:r>
          </w:p>
        </w:tc>
      </w:tr>
      <w:tr w:rsidR="00B628FF" w14:paraId="505BFC1C" w14:textId="77777777" w:rsidTr="00997AF2">
        <w:tc>
          <w:tcPr>
            <w:tcW w:w="3471" w:type="dxa"/>
            <w:vAlign w:val="bottom"/>
          </w:tcPr>
          <w:p w14:paraId="65C92BB3" w14:textId="62871593" w:rsidR="00B628FF" w:rsidRDefault="005B2D2F">
            <w:pPr>
              <w:pStyle w:val="Summarytabletextleftalignedbold"/>
            </w:pPr>
            <w:r>
              <w:t>Decisions taken but not yet announced</w:t>
            </w:r>
            <w:r w:rsidR="004F6829">
              <w:t xml:space="preserve"> and not for publication (nfp)</w:t>
            </w:r>
          </w:p>
        </w:tc>
        <w:tc>
          <w:tcPr>
            <w:tcW w:w="850" w:type="dxa"/>
            <w:tcBorders>
              <w:top w:val="single" w:sz="4" w:space="0" w:color="000000"/>
              <w:bottom w:val="single" w:sz="4" w:space="0" w:color="000000"/>
            </w:tcBorders>
            <w:vAlign w:val="bottom"/>
          </w:tcPr>
          <w:p w14:paraId="719E608B" w14:textId="77777777" w:rsidR="00B628FF" w:rsidRDefault="005B2D2F">
            <w:pPr>
              <w:pStyle w:val="Summarytabletextrightalignedbold"/>
            </w:pPr>
            <w:r>
              <w:t>13.3</w:t>
            </w:r>
          </w:p>
        </w:tc>
        <w:tc>
          <w:tcPr>
            <w:tcW w:w="850" w:type="dxa"/>
            <w:tcBorders>
              <w:top w:val="single" w:sz="4" w:space="0" w:color="000000"/>
              <w:bottom w:val="single" w:sz="4" w:space="0" w:color="000000"/>
            </w:tcBorders>
            <w:shd w:val="clear" w:color="auto" w:fill="E6F2FF"/>
            <w:vAlign w:val="bottom"/>
          </w:tcPr>
          <w:p w14:paraId="63EAB1A0" w14:textId="77777777" w:rsidR="00B628FF" w:rsidRDefault="005B2D2F">
            <w:pPr>
              <w:pStyle w:val="Summarytabletextrightalignedbold"/>
            </w:pPr>
            <w:r>
              <w:t>323.4</w:t>
            </w:r>
          </w:p>
        </w:tc>
        <w:tc>
          <w:tcPr>
            <w:tcW w:w="850" w:type="dxa"/>
            <w:tcBorders>
              <w:top w:val="single" w:sz="4" w:space="0" w:color="000000"/>
              <w:bottom w:val="single" w:sz="4" w:space="0" w:color="000000"/>
            </w:tcBorders>
            <w:vAlign w:val="bottom"/>
          </w:tcPr>
          <w:p w14:paraId="3DAD2E27" w14:textId="77777777" w:rsidR="00B628FF" w:rsidRDefault="005B2D2F">
            <w:pPr>
              <w:pStyle w:val="Summarytabletextrightalignedbold"/>
            </w:pPr>
            <w:r>
              <w:t>517.2</w:t>
            </w:r>
          </w:p>
        </w:tc>
        <w:tc>
          <w:tcPr>
            <w:tcW w:w="850" w:type="dxa"/>
            <w:tcBorders>
              <w:top w:val="single" w:sz="4" w:space="0" w:color="000000"/>
              <w:bottom w:val="single" w:sz="4" w:space="0" w:color="000000"/>
            </w:tcBorders>
            <w:vAlign w:val="bottom"/>
          </w:tcPr>
          <w:p w14:paraId="37D05EA4" w14:textId="77777777" w:rsidR="00B628FF" w:rsidRDefault="005B2D2F">
            <w:pPr>
              <w:pStyle w:val="Summarytabletextrightalignedbold"/>
            </w:pPr>
            <w:r>
              <w:t>414.7</w:t>
            </w:r>
          </w:p>
        </w:tc>
        <w:tc>
          <w:tcPr>
            <w:tcW w:w="850" w:type="dxa"/>
            <w:tcBorders>
              <w:top w:val="single" w:sz="4" w:space="0" w:color="000000"/>
              <w:bottom w:val="single" w:sz="4" w:space="0" w:color="000000"/>
            </w:tcBorders>
            <w:vAlign w:val="bottom"/>
          </w:tcPr>
          <w:p w14:paraId="4FCB9690" w14:textId="77777777" w:rsidR="00B628FF" w:rsidRDefault="005B2D2F">
            <w:pPr>
              <w:pStyle w:val="Summarytabletextrightalignedbold"/>
            </w:pPr>
            <w:r>
              <w:t>265.8</w:t>
            </w:r>
          </w:p>
        </w:tc>
      </w:tr>
      <w:tr w:rsidR="00B628FF" w14:paraId="65C620B7" w14:textId="77777777" w:rsidTr="00997AF2">
        <w:tc>
          <w:tcPr>
            <w:tcW w:w="3471" w:type="dxa"/>
            <w:tcBorders>
              <w:bottom w:val="single" w:sz="4" w:space="0" w:color="000000"/>
            </w:tcBorders>
            <w:vAlign w:val="bottom"/>
          </w:tcPr>
          <w:p w14:paraId="73E3AA4A" w14:textId="73538DB4" w:rsidR="00B628FF" w:rsidRDefault="005B2D2F">
            <w:pPr>
              <w:pStyle w:val="Summarytabletextleftalignedbold"/>
            </w:pPr>
            <w:r>
              <w:t>Total impact of payment measures(</w:t>
            </w:r>
            <w:r w:rsidR="001D021D">
              <w:t>c</w:t>
            </w:r>
            <w:r>
              <w:t>)</w:t>
            </w:r>
          </w:p>
        </w:tc>
        <w:tc>
          <w:tcPr>
            <w:tcW w:w="850" w:type="dxa"/>
            <w:tcBorders>
              <w:top w:val="single" w:sz="4" w:space="0" w:color="000000"/>
              <w:bottom w:val="single" w:sz="4" w:space="0" w:color="000000"/>
            </w:tcBorders>
            <w:vAlign w:val="bottom"/>
          </w:tcPr>
          <w:p w14:paraId="0008DD36" w14:textId="77777777" w:rsidR="00B628FF" w:rsidRDefault="005B2D2F">
            <w:pPr>
              <w:pStyle w:val="Summarytabletextrightalignedbold"/>
            </w:pPr>
            <w:r>
              <w:t>157.6</w:t>
            </w:r>
          </w:p>
        </w:tc>
        <w:tc>
          <w:tcPr>
            <w:tcW w:w="850" w:type="dxa"/>
            <w:tcBorders>
              <w:top w:val="single" w:sz="4" w:space="0" w:color="000000"/>
              <w:bottom w:val="single" w:sz="4" w:space="0" w:color="000000"/>
            </w:tcBorders>
            <w:shd w:val="clear" w:color="auto" w:fill="E6F2FF"/>
            <w:vAlign w:val="bottom"/>
          </w:tcPr>
          <w:p w14:paraId="6F1B0BB3" w14:textId="77777777" w:rsidR="00B628FF" w:rsidRDefault="005B2D2F">
            <w:pPr>
              <w:pStyle w:val="Summarytabletextrightalignedbold"/>
            </w:pPr>
            <w:r>
              <w:t>7,140.9</w:t>
            </w:r>
          </w:p>
        </w:tc>
        <w:tc>
          <w:tcPr>
            <w:tcW w:w="850" w:type="dxa"/>
            <w:tcBorders>
              <w:top w:val="single" w:sz="4" w:space="0" w:color="000000"/>
              <w:bottom w:val="single" w:sz="4" w:space="0" w:color="000000"/>
            </w:tcBorders>
            <w:vAlign w:val="bottom"/>
          </w:tcPr>
          <w:p w14:paraId="7B9CBCE0" w14:textId="77777777" w:rsidR="00B628FF" w:rsidRDefault="005B2D2F">
            <w:pPr>
              <w:pStyle w:val="Summarytabletextrightalignedbold"/>
            </w:pPr>
            <w:r>
              <w:t>4,230.4</w:t>
            </w:r>
          </w:p>
        </w:tc>
        <w:tc>
          <w:tcPr>
            <w:tcW w:w="850" w:type="dxa"/>
            <w:tcBorders>
              <w:top w:val="single" w:sz="4" w:space="0" w:color="000000"/>
              <w:bottom w:val="single" w:sz="4" w:space="0" w:color="000000"/>
            </w:tcBorders>
            <w:vAlign w:val="bottom"/>
          </w:tcPr>
          <w:p w14:paraId="4706C5C0" w14:textId="77777777" w:rsidR="00B628FF" w:rsidRDefault="005B2D2F">
            <w:pPr>
              <w:pStyle w:val="Summarytabletextrightalignedbold"/>
            </w:pPr>
            <w:r>
              <w:t>4,533.2</w:t>
            </w:r>
          </w:p>
        </w:tc>
        <w:tc>
          <w:tcPr>
            <w:tcW w:w="850" w:type="dxa"/>
            <w:tcBorders>
              <w:top w:val="single" w:sz="4" w:space="0" w:color="000000"/>
              <w:bottom w:val="single" w:sz="4" w:space="0" w:color="000000"/>
            </w:tcBorders>
            <w:vAlign w:val="bottom"/>
          </w:tcPr>
          <w:p w14:paraId="69DD31A3" w14:textId="77777777" w:rsidR="00B628FF" w:rsidRDefault="005B2D2F">
            <w:pPr>
              <w:pStyle w:val="Summarytabletextrightalignedbold"/>
            </w:pPr>
            <w:r>
              <w:t>4,644.1</w:t>
            </w:r>
          </w:p>
        </w:tc>
      </w:tr>
    </w:tbl>
    <w:p w14:paraId="65F880EB" w14:textId="0B0F93B4" w:rsidR="00422A9E" w:rsidRPr="00D000CD" w:rsidRDefault="00422A9E" w:rsidP="00D000CD">
      <w:pPr>
        <w:pStyle w:val="ChartandTableFootnote"/>
      </w:pPr>
      <w:r w:rsidRPr="00D000CD">
        <w:t>*</w:t>
      </w:r>
      <w:r w:rsidRPr="00D000CD">
        <w:tab/>
        <w:t>The nature of the measure is such that a reliable estimate cannot be provided.</w:t>
      </w:r>
    </w:p>
    <w:p w14:paraId="0976B45B" w14:textId="30B6BE60" w:rsidR="00422A9E" w:rsidRPr="00D000CD" w:rsidRDefault="00422A9E" w:rsidP="00D000CD">
      <w:pPr>
        <w:pStyle w:val="ChartandTableFootnote"/>
      </w:pPr>
      <w:r w:rsidRPr="00D000CD">
        <w:t>..</w:t>
      </w:r>
      <w:r w:rsidRPr="00D000CD">
        <w:tab/>
        <w:t xml:space="preserve">Not </w:t>
      </w:r>
      <w:proofErr w:type="gramStart"/>
      <w:r w:rsidRPr="00D000CD">
        <w:t>zero, but</w:t>
      </w:r>
      <w:proofErr w:type="gramEnd"/>
      <w:r w:rsidRPr="00D000CD">
        <w:t xml:space="preserve"> rounded to zero.</w:t>
      </w:r>
    </w:p>
    <w:p w14:paraId="29F1B9A3" w14:textId="60463619" w:rsidR="00422A9E" w:rsidRPr="00D000CD" w:rsidRDefault="00B31B37" w:rsidP="00D000CD">
      <w:pPr>
        <w:pStyle w:val="ChartandTableFootnote"/>
      </w:pPr>
      <w:r>
        <w:noBreakHyphen/>
      </w:r>
      <w:r w:rsidR="00422A9E" w:rsidRPr="00D000CD">
        <w:tab/>
        <w:t>Nil.</w:t>
      </w:r>
    </w:p>
    <w:p w14:paraId="7CE1F8E6" w14:textId="7FFF8614" w:rsidR="00B628FF" w:rsidRPr="00D000CD" w:rsidRDefault="00422A9E" w:rsidP="00D000CD">
      <w:pPr>
        <w:pStyle w:val="ChartandTableFootnote"/>
      </w:pPr>
      <w:r w:rsidRPr="00D000CD">
        <w:t>nfp</w:t>
      </w:r>
      <w:r w:rsidRPr="00D000CD">
        <w:tab/>
        <w:t>not for publication.</w:t>
      </w:r>
    </w:p>
    <w:p w14:paraId="64ECFC2F" w14:textId="1020CF42" w:rsidR="00B628FF" w:rsidRPr="003856D7" w:rsidRDefault="005B2D2F" w:rsidP="00657378">
      <w:pPr>
        <w:pStyle w:val="ChartandTableFootnoteAlpha"/>
        <w:numPr>
          <w:ilvl w:val="0"/>
          <w:numId w:val="41"/>
        </w:numPr>
      </w:pPr>
      <w:r w:rsidRPr="00911C60">
        <w:t>A minus sign before an estimate indicates a reduction in payments, no sign before an estimate indicates increased payments.</w:t>
      </w:r>
    </w:p>
    <w:p w14:paraId="72938AC3" w14:textId="55BBD517" w:rsidR="00B628FF" w:rsidRPr="003856D7" w:rsidRDefault="005B2D2F" w:rsidP="00657378">
      <w:pPr>
        <w:pStyle w:val="ChartandTableFootnoteAlpha"/>
        <w:numPr>
          <w:ilvl w:val="0"/>
          <w:numId w:val="41"/>
        </w:numPr>
      </w:pPr>
      <w:r w:rsidRPr="003856D7">
        <w:t>These measures can also be found in the receipt measures summary table.</w:t>
      </w:r>
    </w:p>
    <w:p w14:paraId="136FAAF5" w14:textId="4658E26D" w:rsidR="00B628FF" w:rsidRDefault="005B2D2F" w:rsidP="00657378">
      <w:pPr>
        <w:pStyle w:val="ChartandTableFootnoteAlpha"/>
        <w:numPr>
          <w:ilvl w:val="0"/>
          <w:numId w:val="41"/>
        </w:numPr>
      </w:pPr>
      <w:r w:rsidRPr="00911C60">
        <w:t>Measures may not add due to rounding.</w:t>
      </w:r>
    </w:p>
    <w:p w14:paraId="67F282F7" w14:textId="77777777" w:rsidR="00B628FF" w:rsidRDefault="00B628FF" w:rsidP="003C3E34">
      <w:pPr>
        <w:pStyle w:val="TableLine"/>
      </w:pPr>
    </w:p>
    <w:p w14:paraId="3DFE35FF" w14:textId="77777777" w:rsidR="0096604A" w:rsidRDefault="0096604A">
      <w:pPr>
        <w:sectPr w:rsidR="0096604A" w:rsidSect="00A06F82">
          <w:pgSz w:w="11906" w:h="16838"/>
          <w:pgMar w:top="2835" w:right="2098" w:bottom="2466" w:left="2098" w:header="1814" w:footer="1814" w:gutter="0"/>
          <w:cols w:space="720"/>
          <w:docGrid w:linePitch="272"/>
        </w:sectPr>
      </w:pPr>
    </w:p>
    <w:p w14:paraId="5C6A4BEE" w14:textId="77777777" w:rsidR="00B628FF" w:rsidRDefault="005B2D2F">
      <w:pPr>
        <w:pStyle w:val="PortfolioName"/>
      </w:pPr>
      <w:r>
        <w:t>Agriculture, Fisheries and Forestry</w:t>
      </w:r>
    </w:p>
    <w:p w14:paraId="74EFD08F" w14:textId="77777777" w:rsidR="00B628FF" w:rsidRDefault="005B2D2F">
      <w:pPr>
        <w:pStyle w:val="MeasureTitle"/>
      </w:pPr>
      <w:r>
        <w:t>Agricultural Priorities</w:t>
      </w:r>
    </w:p>
    <w:p w14:paraId="2F20FBC1" w14:textId="77777777" w:rsidR="00B628FF" w:rsidRDefault="005B2D2F">
      <w:pPr>
        <w:pStyle w:val="MeasureTableHeading"/>
      </w:pPr>
      <w:r>
        <w:t>Payments ($m)</w:t>
      </w:r>
    </w:p>
    <w:tbl>
      <w:tblPr>
        <w:tblOverlap w:val="never"/>
        <w:tblW w:w="7721" w:type="dxa"/>
        <w:tblBorders>
          <w:top w:val="single" w:sz="4" w:space="0" w:color="000000"/>
          <w:bottom w:val="single" w:sz="4" w:space="0" w:color="000000"/>
        </w:tblBorders>
        <w:tblLayout w:type="fixed"/>
        <w:tblLook w:val="04A0" w:firstRow="1" w:lastRow="0" w:firstColumn="1" w:lastColumn="0" w:noHBand="0" w:noVBand="1"/>
      </w:tblPr>
      <w:tblGrid>
        <w:gridCol w:w="2501"/>
        <w:gridCol w:w="1044"/>
        <w:gridCol w:w="1044"/>
        <w:gridCol w:w="1044"/>
        <w:gridCol w:w="1044"/>
        <w:gridCol w:w="1044"/>
      </w:tblGrid>
      <w:tr w:rsidR="00B628FF" w14:paraId="51B23238" w14:textId="77777777">
        <w:trPr>
          <w:cantSplit/>
        </w:trPr>
        <w:tc>
          <w:tcPr>
            <w:tcW w:w="2500" w:type="dxa"/>
            <w:tcBorders>
              <w:top w:val="single" w:sz="4" w:space="0" w:color="000000"/>
              <w:bottom w:val="single" w:sz="4" w:space="0" w:color="000000"/>
            </w:tcBorders>
          </w:tcPr>
          <w:p w14:paraId="1F66F40E" w14:textId="77777777" w:rsidR="00B628FF" w:rsidRDefault="00B628FF">
            <w:pPr>
              <w:pStyle w:val="MeasureTableYearHeadings"/>
              <w:keepNext/>
            </w:pPr>
          </w:p>
        </w:tc>
        <w:tc>
          <w:tcPr>
            <w:tcW w:w="1043" w:type="dxa"/>
            <w:tcBorders>
              <w:top w:val="single" w:sz="4" w:space="0" w:color="000000"/>
              <w:bottom w:val="single" w:sz="4" w:space="0" w:color="000000"/>
            </w:tcBorders>
          </w:tcPr>
          <w:p w14:paraId="4BAD87DD" w14:textId="20CDEA7E" w:rsidR="00B628FF" w:rsidRDefault="005B2D2F">
            <w:pPr>
              <w:pStyle w:val="MeasureTableYearHeadings"/>
              <w:keepNext/>
            </w:pPr>
            <w:r>
              <w:t>2024</w:t>
            </w:r>
            <w:r w:rsidR="00B31B37">
              <w:noBreakHyphen/>
            </w:r>
            <w:r>
              <w:t>25</w:t>
            </w:r>
          </w:p>
        </w:tc>
        <w:tc>
          <w:tcPr>
            <w:tcW w:w="1043" w:type="dxa"/>
            <w:tcBorders>
              <w:top w:val="single" w:sz="4" w:space="0" w:color="000000"/>
              <w:bottom w:val="single" w:sz="4" w:space="0" w:color="000000"/>
            </w:tcBorders>
          </w:tcPr>
          <w:p w14:paraId="5B420DC3" w14:textId="03055076" w:rsidR="00B628FF" w:rsidRDefault="005B2D2F">
            <w:pPr>
              <w:pStyle w:val="MeasureTableYearHeadings"/>
              <w:keepNext/>
            </w:pPr>
            <w:r>
              <w:t>2025</w:t>
            </w:r>
            <w:r w:rsidR="00B31B37">
              <w:noBreakHyphen/>
            </w:r>
            <w:r>
              <w:t>26</w:t>
            </w:r>
          </w:p>
        </w:tc>
        <w:tc>
          <w:tcPr>
            <w:tcW w:w="1043" w:type="dxa"/>
            <w:tcBorders>
              <w:top w:val="single" w:sz="4" w:space="0" w:color="000000"/>
              <w:bottom w:val="single" w:sz="4" w:space="0" w:color="000000"/>
            </w:tcBorders>
          </w:tcPr>
          <w:p w14:paraId="1016E1F0" w14:textId="743D2C72" w:rsidR="00B628FF" w:rsidRDefault="005B2D2F">
            <w:pPr>
              <w:pStyle w:val="MeasureTableYearHeadings"/>
              <w:keepNext/>
            </w:pPr>
            <w:r>
              <w:t>2026</w:t>
            </w:r>
            <w:r w:rsidR="00B31B37">
              <w:noBreakHyphen/>
            </w:r>
            <w:r>
              <w:t>27</w:t>
            </w:r>
          </w:p>
        </w:tc>
        <w:tc>
          <w:tcPr>
            <w:tcW w:w="1043" w:type="dxa"/>
            <w:tcBorders>
              <w:top w:val="single" w:sz="4" w:space="0" w:color="000000"/>
              <w:bottom w:val="single" w:sz="4" w:space="0" w:color="000000"/>
            </w:tcBorders>
          </w:tcPr>
          <w:p w14:paraId="58E65D79" w14:textId="2AA5CF53" w:rsidR="00B628FF" w:rsidRDefault="005B2D2F">
            <w:pPr>
              <w:pStyle w:val="MeasureTableYearHeadings"/>
              <w:keepNext/>
            </w:pPr>
            <w:r>
              <w:t>2027</w:t>
            </w:r>
            <w:r w:rsidR="00B31B37">
              <w:noBreakHyphen/>
            </w:r>
            <w:r>
              <w:t>28</w:t>
            </w:r>
          </w:p>
        </w:tc>
        <w:tc>
          <w:tcPr>
            <w:tcW w:w="1043" w:type="dxa"/>
            <w:tcBorders>
              <w:top w:val="single" w:sz="4" w:space="0" w:color="000000"/>
              <w:bottom w:val="single" w:sz="4" w:space="0" w:color="000000"/>
            </w:tcBorders>
          </w:tcPr>
          <w:p w14:paraId="189CC805" w14:textId="07B7366E" w:rsidR="00B628FF" w:rsidRDefault="005B2D2F">
            <w:pPr>
              <w:pStyle w:val="MeasureTableYearHeadings"/>
              <w:keepNext/>
            </w:pPr>
            <w:r>
              <w:t>2028</w:t>
            </w:r>
            <w:r w:rsidR="00B31B37">
              <w:noBreakHyphen/>
            </w:r>
            <w:r>
              <w:t>29</w:t>
            </w:r>
          </w:p>
        </w:tc>
      </w:tr>
      <w:tr w:rsidR="00B628FF" w14:paraId="6535421A" w14:textId="77777777">
        <w:trPr>
          <w:cantSplit/>
        </w:trPr>
        <w:tc>
          <w:tcPr>
            <w:tcW w:w="2500" w:type="dxa"/>
            <w:tcBorders>
              <w:top w:val="single" w:sz="4" w:space="0" w:color="000000"/>
              <w:bottom w:val="single" w:sz="4" w:space="0" w:color="000000"/>
            </w:tcBorders>
          </w:tcPr>
          <w:p w14:paraId="3C3D7658" w14:textId="77777777" w:rsidR="00B628FF" w:rsidRDefault="005B2D2F">
            <w:pPr>
              <w:pStyle w:val="MeasureTableHeadingleftalignedwith2ptsspacing"/>
              <w:keepNext/>
            </w:pPr>
            <w:r>
              <w:t>Department of Agriculture, Fisheries and Forestry</w:t>
            </w:r>
          </w:p>
        </w:tc>
        <w:tc>
          <w:tcPr>
            <w:tcW w:w="1043" w:type="dxa"/>
            <w:tcBorders>
              <w:top w:val="single" w:sz="4" w:space="0" w:color="000000"/>
              <w:bottom w:val="single" w:sz="4" w:space="0" w:color="000000"/>
            </w:tcBorders>
          </w:tcPr>
          <w:p w14:paraId="1CF1EC4E" w14:textId="632D0D18"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08033A1E" w14:textId="77777777" w:rsidR="00B628FF" w:rsidRDefault="005B2D2F">
            <w:pPr>
              <w:pStyle w:val="MeasureTableDataRightAlignedwith2ptsspacing"/>
              <w:keepNext/>
            </w:pPr>
            <w:r>
              <w:t>19.7</w:t>
            </w:r>
          </w:p>
        </w:tc>
        <w:tc>
          <w:tcPr>
            <w:tcW w:w="1043" w:type="dxa"/>
            <w:tcBorders>
              <w:top w:val="single" w:sz="4" w:space="0" w:color="000000"/>
              <w:bottom w:val="single" w:sz="4" w:space="0" w:color="000000"/>
            </w:tcBorders>
          </w:tcPr>
          <w:p w14:paraId="7ED932D6" w14:textId="77777777" w:rsidR="00B628FF" w:rsidRDefault="005B2D2F">
            <w:pPr>
              <w:pStyle w:val="MeasureTableDataRightAlignedwith2ptsspacing"/>
              <w:keepNext/>
            </w:pPr>
            <w:r>
              <w:t>8.4</w:t>
            </w:r>
          </w:p>
        </w:tc>
        <w:tc>
          <w:tcPr>
            <w:tcW w:w="1043" w:type="dxa"/>
            <w:tcBorders>
              <w:top w:val="single" w:sz="4" w:space="0" w:color="000000"/>
              <w:bottom w:val="single" w:sz="4" w:space="0" w:color="000000"/>
            </w:tcBorders>
          </w:tcPr>
          <w:p w14:paraId="6D8046CE" w14:textId="77777777" w:rsidR="00B628FF" w:rsidRDefault="005B2D2F">
            <w:pPr>
              <w:pStyle w:val="MeasureTableDataRightAlignedwith2ptsspacing"/>
              <w:keepNext/>
            </w:pPr>
            <w:r>
              <w:t>2.3</w:t>
            </w:r>
          </w:p>
        </w:tc>
        <w:tc>
          <w:tcPr>
            <w:tcW w:w="1043" w:type="dxa"/>
            <w:tcBorders>
              <w:top w:val="single" w:sz="4" w:space="0" w:color="000000"/>
              <w:bottom w:val="single" w:sz="4" w:space="0" w:color="000000"/>
            </w:tcBorders>
          </w:tcPr>
          <w:p w14:paraId="6D2951D5" w14:textId="37196670" w:rsidR="00B628FF" w:rsidRDefault="00B31B37">
            <w:pPr>
              <w:pStyle w:val="MeasureTableDataRightAlignedwith2ptsspacing"/>
              <w:keepNext/>
            </w:pPr>
            <w:r>
              <w:noBreakHyphen/>
            </w:r>
          </w:p>
        </w:tc>
      </w:tr>
      <w:tr w:rsidR="00B628FF" w14:paraId="4D28D821" w14:textId="77777777">
        <w:trPr>
          <w:cantSplit/>
        </w:trPr>
        <w:tc>
          <w:tcPr>
            <w:tcW w:w="2500" w:type="dxa"/>
            <w:tcBorders>
              <w:top w:val="single" w:sz="4" w:space="0" w:color="000000"/>
              <w:bottom w:val="single" w:sz="4" w:space="0" w:color="000000"/>
            </w:tcBorders>
          </w:tcPr>
          <w:p w14:paraId="4735C4AC" w14:textId="77777777" w:rsidR="00B628FF" w:rsidRDefault="005B2D2F">
            <w:pPr>
              <w:pStyle w:val="MeasureTableHeadingleftalignedwith2ptsspacing"/>
              <w:keepNext/>
            </w:pPr>
            <w:r>
              <w:t>Department of the Treasury</w:t>
            </w:r>
          </w:p>
        </w:tc>
        <w:tc>
          <w:tcPr>
            <w:tcW w:w="1043" w:type="dxa"/>
            <w:tcBorders>
              <w:top w:val="single" w:sz="4" w:space="0" w:color="000000"/>
              <w:bottom w:val="single" w:sz="4" w:space="0" w:color="000000"/>
            </w:tcBorders>
          </w:tcPr>
          <w:p w14:paraId="74C6E388" w14:textId="779D634F"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0D13CB93" w14:textId="77777777" w:rsidR="00B628FF" w:rsidRDefault="005B2D2F">
            <w:pPr>
              <w:pStyle w:val="MeasureTableDataRightAlignedwith2ptsspacing"/>
              <w:keepNext/>
            </w:pPr>
            <w:r>
              <w:t>5.0</w:t>
            </w:r>
          </w:p>
        </w:tc>
        <w:tc>
          <w:tcPr>
            <w:tcW w:w="1043" w:type="dxa"/>
            <w:tcBorders>
              <w:top w:val="single" w:sz="4" w:space="0" w:color="000000"/>
              <w:bottom w:val="single" w:sz="4" w:space="0" w:color="000000"/>
            </w:tcBorders>
          </w:tcPr>
          <w:p w14:paraId="4B7580EC" w14:textId="19922C0C"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75DFB240" w14:textId="6C73E568"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21C63D42" w14:textId="427DDD6B" w:rsidR="00B628FF" w:rsidRDefault="00B31B37">
            <w:pPr>
              <w:pStyle w:val="MeasureTableDataRightAlignedwith2ptsspacing"/>
              <w:keepNext/>
            </w:pPr>
            <w:r>
              <w:noBreakHyphen/>
            </w:r>
          </w:p>
        </w:tc>
      </w:tr>
      <w:tr w:rsidR="00B628FF" w14:paraId="3705369F" w14:textId="77777777">
        <w:trPr>
          <w:cantSplit/>
        </w:trPr>
        <w:tc>
          <w:tcPr>
            <w:tcW w:w="2500" w:type="dxa"/>
            <w:tcBorders>
              <w:top w:val="single" w:sz="4" w:space="0" w:color="000000"/>
              <w:bottom w:val="single" w:sz="4" w:space="0" w:color="000000"/>
            </w:tcBorders>
          </w:tcPr>
          <w:p w14:paraId="32F84AF2" w14:textId="77777777" w:rsidR="00B628FF" w:rsidRDefault="005B2D2F">
            <w:pPr>
              <w:pStyle w:val="Totalrowleftaligned"/>
              <w:keepNext/>
            </w:pPr>
            <w:r>
              <w:t>Total – Payments</w:t>
            </w:r>
          </w:p>
        </w:tc>
        <w:tc>
          <w:tcPr>
            <w:tcW w:w="1043" w:type="dxa"/>
            <w:tcBorders>
              <w:top w:val="single" w:sz="4" w:space="0" w:color="000000"/>
              <w:bottom w:val="single" w:sz="4" w:space="0" w:color="000000"/>
            </w:tcBorders>
          </w:tcPr>
          <w:p w14:paraId="7A600166" w14:textId="416D1F74" w:rsidR="00B628FF" w:rsidRDefault="00B31B37">
            <w:pPr>
              <w:pStyle w:val="Totaldatarowrightaligned"/>
              <w:keepNext/>
            </w:pPr>
            <w:r>
              <w:noBreakHyphen/>
            </w:r>
          </w:p>
        </w:tc>
        <w:tc>
          <w:tcPr>
            <w:tcW w:w="1043" w:type="dxa"/>
            <w:tcBorders>
              <w:top w:val="single" w:sz="4" w:space="0" w:color="000000"/>
              <w:bottom w:val="single" w:sz="4" w:space="0" w:color="000000"/>
            </w:tcBorders>
          </w:tcPr>
          <w:p w14:paraId="50229DF0" w14:textId="77777777" w:rsidR="00B628FF" w:rsidRDefault="005B2D2F">
            <w:pPr>
              <w:pStyle w:val="Totaldatarowrightaligned"/>
              <w:keepNext/>
            </w:pPr>
            <w:r>
              <w:t>24.7</w:t>
            </w:r>
          </w:p>
        </w:tc>
        <w:tc>
          <w:tcPr>
            <w:tcW w:w="1043" w:type="dxa"/>
            <w:tcBorders>
              <w:top w:val="single" w:sz="4" w:space="0" w:color="000000"/>
              <w:bottom w:val="single" w:sz="4" w:space="0" w:color="000000"/>
            </w:tcBorders>
          </w:tcPr>
          <w:p w14:paraId="5B11F201" w14:textId="77777777" w:rsidR="00B628FF" w:rsidRDefault="005B2D2F">
            <w:pPr>
              <w:pStyle w:val="Totaldatarowrightaligned"/>
              <w:keepNext/>
            </w:pPr>
            <w:r>
              <w:t>8.4</w:t>
            </w:r>
          </w:p>
        </w:tc>
        <w:tc>
          <w:tcPr>
            <w:tcW w:w="1043" w:type="dxa"/>
            <w:tcBorders>
              <w:top w:val="single" w:sz="4" w:space="0" w:color="000000"/>
              <w:bottom w:val="single" w:sz="4" w:space="0" w:color="000000"/>
            </w:tcBorders>
          </w:tcPr>
          <w:p w14:paraId="5A7DE6D4" w14:textId="77777777" w:rsidR="00B628FF" w:rsidRDefault="005B2D2F">
            <w:pPr>
              <w:pStyle w:val="Totaldatarowrightaligned"/>
              <w:keepNext/>
            </w:pPr>
            <w:r>
              <w:t>2.3</w:t>
            </w:r>
          </w:p>
        </w:tc>
        <w:tc>
          <w:tcPr>
            <w:tcW w:w="1043" w:type="dxa"/>
            <w:tcBorders>
              <w:top w:val="single" w:sz="4" w:space="0" w:color="000000"/>
              <w:bottom w:val="single" w:sz="4" w:space="0" w:color="000000"/>
            </w:tcBorders>
          </w:tcPr>
          <w:p w14:paraId="2B0D4462" w14:textId="02942872" w:rsidR="00B628FF" w:rsidRDefault="00B31B37">
            <w:pPr>
              <w:pStyle w:val="Totaldatarowrightaligned"/>
              <w:keepNext/>
            </w:pPr>
            <w:r>
              <w:noBreakHyphen/>
            </w:r>
          </w:p>
        </w:tc>
      </w:tr>
    </w:tbl>
    <w:p w14:paraId="5E0D557D" w14:textId="77777777" w:rsidR="00B628FF" w:rsidRDefault="00B628FF">
      <w:pPr>
        <w:keepNext/>
        <w:spacing w:line="226" w:lineRule="exact"/>
        <w:rPr>
          <w:sz w:val="16"/>
        </w:rPr>
      </w:pPr>
    </w:p>
    <w:p w14:paraId="4095938C" w14:textId="77777777" w:rsidR="00B628FF" w:rsidRDefault="005B2D2F">
      <w:pPr>
        <w:pStyle w:val="Normal2"/>
      </w:pPr>
      <w:r>
        <w:t>The Government will provide $45.2 million over three years from 2025–‍26 to support priorities in the Agriculture, Fisheries and Forestry portfolio. Funding includes:</w:t>
      </w:r>
    </w:p>
    <w:p w14:paraId="454A345B" w14:textId="77777777" w:rsidR="00B628FF" w:rsidRDefault="005B2D2F">
      <w:pPr>
        <w:pStyle w:val="Bullet"/>
      </w:pPr>
      <w:r>
        <w:t>$23.8 million over three years from 2025–‍26 to sponsor agricultural trade events</w:t>
      </w:r>
    </w:p>
    <w:p w14:paraId="4AC7605F" w14:textId="77777777" w:rsidR="00B628FF" w:rsidRDefault="005B2D2F">
      <w:pPr>
        <w:pStyle w:val="Bullet"/>
      </w:pPr>
      <w:r>
        <w:t>$11.0 million in 2025–‍26 to continue efforts to reduce the economic and environmental burden of established feral animals, pests and weeds</w:t>
      </w:r>
    </w:p>
    <w:p w14:paraId="5DC90A21" w14:textId="1C5ECFF5" w:rsidR="00B628FF" w:rsidRDefault="005B2D2F">
      <w:pPr>
        <w:pStyle w:val="Bullet"/>
      </w:pPr>
      <w:r>
        <w:t>$6.8 million in 2025–‍26 for the Department of Agriculture, Fisheries and Forestry to sustain non‑regulatory agricultural export and trade functions, including international engagement in multilateral for</w:t>
      </w:r>
      <w:r w:rsidR="00B10E08">
        <w:t>ums</w:t>
      </w:r>
      <w:r>
        <w:t xml:space="preserve"> and technical market access services</w:t>
      </w:r>
    </w:p>
    <w:p w14:paraId="04968A3B" w14:textId="77777777" w:rsidR="00B628FF" w:rsidRDefault="005B2D2F">
      <w:pPr>
        <w:pStyle w:val="Bullet"/>
      </w:pPr>
      <w:r>
        <w:t>$3.5 million over two years from 2025–‍26 to develop a National Food Security Strategy.</w:t>
      </w:r>
    </w:p>
    <w:p w14:paraId="1E419EAD" w14:textId="77777777" w:rsidR="00B628FF" w:rsidRDefault="005B2D2F">
      <w:pPr>
        <w:pStyle w:val="Normal2"/>
      </w:pPr>
      <w:r w:rsidRPr="5FA307DC">
        <w:rPr>
          <w:lang w:val="en-US"/>
        </w:rPr>
        <w:t>The cost of this measure will be partially met from savings identified in the Agriculture, Fisheries and Forestry portfolio and from within the existing resourcing of the Department of Agriculture, Fisheries and Forestry.</w:t>
      </w:r>
    </w:p>
    <w:p w14:paraId="567110E3" w14:textId="77777777" w:rsidR="00B628FF" w:rsidRDefault="005B2D2F">
      <w:pPr>
        <w:pStyle w:val="Normal2"/>
      </w:pPr>
      <w:r>
        <w:t xml:space="preserve">This measure builds on the 2022–‍23 October Budget measure titled </w:t>
      </w:r>
      <w:r w:rsidRPr="005B2D2F">
        <w:rPr>
          <w:i/>
        </w:rPr>
        <w:t xml:space="preserve">Support for Regional Trade Events. </w:t>
      </w:r>
    </w:p>
    <w:p w14:paraId="4AA1BD97" w14:textId="77777777" w:rsidR="00B628FF" w:rsidRDefault="005B2D2F">
      <w:pPr>
        <w:pStyle w:val="Normal2"/>
      </w:pPr>
      <w:r>
        <w:t>The Treasury manages Commonwealth payments to the states and territories.</w:t>
      </w:r>
    </w:p>
    <w:p w14:paraId="39F31DA0" w14:textId="77777777" w:rsidR="00B628FF" w:rsidRDefault="00B628FF">
      <w:pPr>
        <w:sectPr w:rsidR="00B628FF" w:rsidSect="00A06F82">
          <w:headerReference w:type="even" r:id="rId33"/>
          <w:headerReference w:type="default" r:id="rId34"/>
          <w:footerReference w:type="even" r:id="rId35"/>
          <w:footerReference w:type="default" r:id="rId36"/>
          <w:headerReference w:type="first" r:id="rId37"/>
          <w:footerReference w:type="first" r:id="rId38"/>
          <w:pgSz w:w="11906" w:h="16838"/>
          <w:pgMar w:top="2835" w:right="2098" w:bottom="2466" w:left="2098" w:header="1814" w:footer="1814" w:gutter="0"/>
          <w:cols w:space="720"/>
          <w:docGrid w:linePitch="272"/>
        </w:sectPr>
      </w:pPr>
    </w:p>
    <w:p w14:paraId="3EC45FD0" w14:textId="5421485C" w:rsidR="00B628FF" w:rsidRDefault="005B2D2F">
      <w:pPr>
        <w:pStyle w:val="PortfolioName"/>
      </w:pPr>
      <w:r>
        <w:t>Attorney‑General</w:t>
      </w:r>
      <w:r w:rsidR="00B31B37">
        <w:t>’</w:t>
      </w:r>
      <w:r>
        <w:t>s</w:t>
      </w:r>
    </w:p>
    <w:p w14:paraId="0E9C7C7E" w14:textId="439274BB" w:rsidR="00B628FF" w:rsidRDefault="005B2D2F">
      <w:pPr>
        <w:pStyle w:val="MeasureTitle"/>
      </w:pPr>
      <w:r w:rsidRPr="5FA307DC">
        <w:rPr>
          <w:lang w:val="en-US"/>
        </w:rPr>
        <w:t>Attorney‑General</w:t>
      </w:r>
      <w:r w:rsidR="00B31B37">
        <w:rPr>
          <w:lang w:val="en-US"/>
        </w:rPr>
        <w:t>’</w:t>
      </w:r>
      <w:r w:rsidRPr="5FA307DC">
        <w:rPr>
          <w:lang w:val="en-US"/>
        </w:rPr>
        <w:t>s Portfolio – additional resourcing</w:t>
      </w:r>
    </w:p>
    <w:p w14:paraId="24609DA8" w14:textId="77777777" w:rsidR="00B628FF" w:rsidRDefault="005B2D2F">
      <w:pPr>
        <w:pStyle w:val="MeasureTableHeading"/>
      </w:pPr>
      <w:r>
        <w:t>Payments ($m)</w:t>
      </w:r>
    </w:p>
    <w:tbl>
      <w:tblPr>
        <w:tblOverlap w:val="never"/>
        <w:tblW w:w="7721" w:type="dxa"/>
        <w:tblBorders>
          <w:top w:val="single" w:sz="4" w:space="0" w:color="000000"/>
          <w:bottom w:val="single" w:sz="4" w:space="0" w:color="000000"/>
        </w:tblBorders>
        <w:tblLayout w:type="fixed"/>
        <w:tblLook w:val="04A0" w:firstRow="1" w:lastRow="0" w:firstColumn="1" w:lastColumn="0" w:noHBand="0" w:noVBand="1"/>
      </w:tblPr>
      <w:tblGrid>
        <w:gridCol w:w="2501"/>
        <w:gridCol w:w="1044"/>
        <w:gridCol w:w="1044"/>
        <w:gridCol w:w="1044"/>
        <w:gridCol w:w="1044"/>
        <w:gridCol w:w="1044"/>
      </w:tblGrid>
      <w:tr w:rsidR="00B628FF" w14:paraId="74AFBB58" w14:textId="77777777">
        <w:trPr>
          <w:cantSplit/>
        </w:trPr>
        <w:tc>
          <w:tcPr>
            <w:tcW w:w="2500" w:type="dxa"/>
            <w:tcBorders>
              <w:top w:val="single" w:sz="4" w:space="0" w:color="000000"/>
              <w:bottom w:val="single" w:sz="4" w:space="0" w:color="000000"/>
            </w:tcBorders>
          </w:tcPr>
          <w:p w14:paraId="298CEC22" w14:textId="77777777" w:rsidR="00B628FF" w:rsidRDefault="00B628FF">
            <w:pPr>
              <w:pStyle w:val="MeasureTableYearHeadings"/>
              <w:keepNext/>
            </w:pPr>
          </w:p>
        </w:tc>
        <w:tc>
          <w:tcPr>
            <w:tcW w:w="1043" w:type="dxa"/>
            <w:tcBorders>
              <w:top w:val="single" w:sz="4" w:space="0" w:color="000000"/>
              <w:bottom w:val="single" w:sz="4" w:space="0" w:color="000000"/>
            </w:tcBorders>
          </w:tcPr>
          <w:p w14:paraId="1E4B8D60" w14:textId="1EAEE1F9" w:rsidR="00B628FF" w:rsidRDefault="005B2D2F">
            <w:pPr>
              <w:pStyle w:val="MeasureTableYearHeadings"/>
              <w:keepNext/>
            </w:pPr>
            <w:r>
              <w:t>2024</w:t>
            </w:r>
            <w:r w:rsidR="00B31B37">
              <w:noBreakHyphen/>
            </w:r>
            <w:r>
              <w:t>25</w:t>
            </w:r>
          </w:p>
        </w:tc>
        <w:tc>
          <w:tcPr>
            <w:tcW w:w="1043" w:type="dxa"/>
            <w:tcBorders>
              <w:top w:val="single" w:sz="4" w:space="0" w:color="000000"/>
              <w:bottom w:val="single" w:sz="4" w:space="0" w:color="000000"/>
            </w:tcBorders>
          </w:tcPr>
          <w:p w14:paraId="537B581E" w14:textId="7DA30AB7" w:rsidR="00B628FF" w:rsidRDefault="005B2D2F">
            <w:pPr>
              <w:pStyle w:val="MeasureTableYearHeadings"/>
              <w:keepNext/>
            </w:pPr>
            <w:r>
              <w:t>2025</w:t>
            </w:r>
            <w:r w:rsidR="00B31B37">
              <w:noBreakHyphen/>
            </w:r>
            <w:r>
              <w:t>26</w:t>
            </w:r>
          </w:p>
        </w:tc>
        <w:tc>
          <w:tcPr>
            <w:tcW w:w="1043" w:type="dxa"/>
            <w:tcBorders>
              <w:top w:val="single" w:sz="4" w:space="0" w:color="000000"/>
              <w:bottom w:val="single" w:sz="4" w:space="0" w:color="000000"/>
            </w:tcBorders>
          </w:tcPr>
          <w:p w14:paraId="3DF0523D" w14:textId="6EF8E749" w:rsidR="00B628FF" w:rsidRDefault="005B2D2F">
            <w:pPr>
              <w:pStyle w:val="MeasureTableYearHeadings"/>
              <w:keepNext/>
            </w:pPr>
            <w:r>
              <w:t>2026</w:t>
            </w:r>
            <w:r w:rsidR="00B31B37">
              <w:noBreakHyphen/>
            </w:r>
            <w:r>
              <w:t>27</w:t>
            </w:r>
          </w:p>
        </w:tc>
        <w:tc>
          <w:tcPr>
            <w:tcW w:w="1043" w:type="dxa"/>
            <w:tcBorders>
              <w:top w:val="single" w:sz="4" w:space="0" w:color="000000"/>
              <w:bottom w:val="single" w:sz="4" w:space="0" w:color="000000"/>
            </w:tcBorders>
          </w:tcPr>
          <w:p w14:paraId="478FB1BF" w14:textId="3C762556" w:rsidR="00B628FF" w:rsidRDefault="005B2D2F">
            <w:pPr>
              <w:pStyle w:val="MeasureTableYearHeadings"/>
              <w:keepNext/>
            </w:pPr>
            <w:r>
              <w:t>2027</w:t>
            </w:r>
            <w:r w:rsidR="00B31B37">
              <w:noBreakHyphen/>
            </w:r>
            <w:r>
              <w:t>28</w:t>
            </w:r>
          </w:p>
        </w:tc>
        <w:tc>
          <w:tcPr>
            <w:tcW w:w="1043" w:type="dxa"/>
            <w:tcBorders>
              <w:top w:val="single" w:sz="4" w:space="0" w:color="000000"/>
              <w:bottom w:val="single" w:sz="4" w:space="0" w:color="000000"/>
            </w:tcBorders>
          </w:tcPr>
          <w:p w14:paraId="6EA2C014" w14:textId="1060E644" w:rsidR="00B628FF" w:rsidRDefault="005B2D2F">
            <w:pPr>
              <w:pStyle w:val="MeasureTableYearHeadings"/>
              <w:keepNext/>
            </w:pPr>
            <w:r>
              <w:t>2028</w:t>
            </w:r>
            <w:r w:rsidR="00B31B37">
              <w:noBreakHyphen/>
            </w:r>
            <w:r>
              <w:t>29</w:t>
            </w:r>
          </w:p>
        </w:tc>
      </w:tr>
      <w:tr w:rsidR="00B628FF" w14:paraId="44790663" w14:textId="77777777">
        <w:trPr>
          <w:cantSplit/>
        </w:trPr>
        <w:tc>
          <w:tcPr>
            <w:tcW w:w="2500" w:type="dxa"/>
            <w:tcBorders>
              <w:top w:val="single" w:sz="4" w:space="0" w:color="000000"/>
              <w:bottom w:val="single" w:sz="4" w:space="0" w:color="000000"/>
            </w:tcBorders>
          </w:tcPr>
          <w:p w14:paraId="14B31762" w14:textId="77777777" w:rsidR="00B628FF" w:rsidRDefault="005B2D2F">
            <w:pPr>
              <w:pStyle w:val="MeasureTableHeadingleftalignedwith2ptsspacing"/>
              <w:keepNext/>
            </w:pPr>
            <w:r>
              <w:t>Office of the Australian Information Commissioner</w:t>
            </w:r>
          </w:p>
        </w:tc>
        <w:tc>
          <w:tcPr>
            <w:tcW w:w="1043" w:type="dxa"/>
            <w:tcBorders>
              <w:top w:val="single" w:sz="4" w:space="0" w:color="000000"/>
              <w:bottom w:val="single" w:sz="4" w:space="0" w:color="000000"/>
            </w:tcBorders>
          </w:tcPr>
          <w:p w14:paraId="3594BA2F" w14:textId="77777777" w:rsidR="00B628FF" w:rsidRDefault="005B2D2F">
            <w:pPr>
              <w:pStyle w:val="MeasureTableDataRightAlignedwith2ptsspacing"/>
              <w:keepNext/>
            </w:pPr>
            <w:r>
              <w:t>0.4</w:t>
            </w:r>
          </w:p>
        </w:tc>
        <w:tc>
          <w:tcPr>
            <w:tcW w:w="1043" w:type="dxa"/>
            <w:tcBorders>
              <w:top w:val="single" w:sz="4" w:space="0" w:color="000000"/>
              <w:bottom w:val="single" w:sz="4" w:space="0" w:color="000000"/>
            </w:tcBorders>
          </w:tcPr>
          <w:p w14:paraId="25B75DAA" w14:textId="77777777" w:rsidR="00B628FF" w:rsidRDefault="005B2D2F">
            <w:pPr>
              <w:pStyle w:val="MeasureTableDataRightAlignedwith2ptsspacing"/>
              <w:keepNext/>
            </w:pPr>
            <w:r>
              <w:t>10.5</w:t>
            </w:r>
          </w:p>
        </w:tc>
        <w:tc>
          <w:tcPr>
            <w:tcW w:w="1043" w:type="dxa"/>
            <w:tcBorders>
              <w:top w:val="single" w:sz="4" w:space="0" w:color="000000"/>
              <w:bottom w:val="single" w:sz="4" w:space="0" w:color="000000"/>
            </w:tcBorders>
          </w:tcPr>
          <w:p w14:paraId="06910C44" w14:textId="77777777" w:rsidR="00B628FF" w:rsidRDefault="005B2D2F">
            <w:pPr>
              <w:pStyle w:val="MeasureTableDataRightAlignedwith2ptsspacing"/>
              <w:keepNext/>
            </w:pPr>
            <w:r>
              <w:t>3.1</w:t>
            </w:r>
          </w:p>
        </w:tc>
        <w:tc>
          <w:tcPr>
            <w:tcW w:w="1043" w:type="dxa"/>
            <w:tcBorders>
              <w:top w:val="single" w:sz="4" w:space="0" w:color="000000"/>
              <w:bottom w:val="single" w:sz="4" w:space="0" w:color="000000"/>
            </w:tcBorders>
          </w:tcPr>
          <w:p w14:paraId="05904773" w14:textId="568412E0"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0B11C9D7" w14:textId="3DD57960" w:rsidR="00B628FF" w:rsidRDefault="00B31B37">
            <w:pPr>
              <w:pStyle w:val="MeasureTableDataRightAlignedwith2ptsspacing"/>
              <w:keepNext/>
            </w:pPr>
            <w:r>
              <w:noBreakHyphen/>
            </w:r>
          </w:p>
        </w:tc>
      </w:tr>
      <w:tr w:rsidR="00B628FF" w14:paraId="446B7540" w14:textId="77777777">
        <w:trPr>
          <w:cantSplit/>
        </w:trPr>
        <w:tc>
          <w:tcPr>
            <w:tcW w:w="2500" w:type="dxa"/>
            <w:tcBorders>
              <w:top w:val="single" w:sz="4" w:space="0" w:color="000000"/>
              <w:bottom w:val="single" w:sz="4" w:space="0" w:color="000000"/>
            </w:tcBorders>
          </w:tcPr>
          <w:p w14:paraId="71F6D02A" w14:textId="77777777" w:rsidR="00B628FF" w:rsidRDefault="005B2D2F">
            <w:pPr>
              <w:pStyle w:val="MeasureTableHeadingleftalignedwith2ptsspacing"/>
              <w:keepNext/>
            </w:pPr>
            <w:r>
              <w:t>Australian Criminal Intelligence Commission</w:t>
            </w:r>
          </w:p>
        </w:tc>
        <w:tc>
          <w:tcPr>
            <w:tcW w:w="1043" w:type="dxa"/>
            <w:tcBorders>
              <w:top w:val="single" w:sz="4" w:space="0" w:color="000000"/>
              <w:bottom w:val="single" w:sz="4" w:space="0" w:color="000000"/>
            </w:tcBorders>
          </w:tcPr>
          <w:p w14:paraId="249CD10C" w14:textId="6AE6622C"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2F0C8184" w14:textId="77777777" w:rsidR="00B628FF" w:rsidRDefault="005B2D2F">
            <w:pPr>
              <w:pStyle w:val="MeasureTableDataRightAlignedwith2ptsspacing"/>
              <w:keepNext/>
            </w:pPr>
            <w:r>
              <w:t>51.4</w:t>
            </w:r>
          </w:p>
        </w:tc>
        <w:tc>
          <w:tcPr>
            <w:tcW w:w="1043" w:type="dxa"/>
            <w:tcBorders>
              <w:top w:val="single" w:sz="4" w:space="0" w:color="000000"/>
              <w:bottom w:val="single" w:sz="4" w:space="0" w:color="000000"/>
            </w:tcBorders>
          </w:tcPr>
          <w:p w14:paraId="0DD17BB9" w14:textId="77E06827"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388428B9" w14:textId="21E0441E"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411B03BE" w14:textId="6A0C0920" w:rsidR="00B628FF" w:rsidRDefault="00B31B37">
            <w:pPr>
              <w:pStyle w:val="MeasureTableDataRightAlignedwith2ptsspacing"/>
              <w:keepNext/>
            </w:pPr>
            <w:r>
              <w:noBreakHyphen/>
            </w:r>
          </w:p>
        </w:tc>
      </w:tr>
      <w:tr w:rsidR="00B628FF" w14:paraId="0139BBDA" w14:textId="77777777">
        <w:trPr>
          <w:cantSplit/>
        </w:trPr>
        <w:tc>
          <w:tcPr>
            <w:tcW w:w="2500" w:type="dxa"/>
            <w:tcBorders>
              <w:top w:val="single" w:sz="4" w:space="0" w:color="000000"/>
              <w:bottom w:val="single" w:sz="4" w:space="0" w:color="000000"/>
            </w:tcBorders>
          </w:tcPr>
          <w:p w14:paraId="697E014C" w14:textId="77777777" w:rsidR="00B628FF" w:rsidRDefault="005B2D2F">
            <w:pPr>
              <w:pStyle w:val="MeasureTableHeadingleftalignedwith2ptsspacing"/>
              <w:keepNext/>
            </w:pPr>
            <w:r>
              <w:t>Australian Federal Police</w:t>
            </w:r>
          </w:p>
        </w:tc>
        <w:tc>
          <w:tcPr>
            <w:tcW w:w="1043" w:type="dxa"/>
            <w:tcBorders>
              <w:top w:val="single" w:sz="4" w:space="0" w:color="000000"/>
              <w:bottom w:val="single" w:sz="4" w:space="0" w:color="000000"/>
            </w:tcBorders>
          </w:tcPr>
          <w:p w14:paraId="2204B3C7" w14:textId="6DCCD580"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297193BD" w14:textId="77777777" w:rsidR="00B628FF" w:rsidRDefault="005B2D2F">
            <w:pPr>
              <w:pStyle w:val="MeasureTableDataRightAlignedwith2ptsspacing"/>
              <w:keepNext/>
            </w:pPr>
            <w:r>
              <w:t>20.1</w:t>
            </w:r>
          </w:p>
        </w:tc>
        <w:tc>
          <w:tcPr>
            <w:tcW w:w="1043" w:type="dxa"/>
            <w:tcBorders>
              <w:top w:val="single" w:sz="4" w:space="0" w:color="000000"/>
              <w:bottom w:val="single" w:sz="4" w:space="0" w:color="000000"/>
            </w:tcBorders>
          </w:tcPr>
          <w:p w14:paraId="053D8737" w14:textId="77777777" w:rsidR="00B628FF" w:rsidRDefault="005B2D2F">
            <w:pPr>
              <w:pStyle w:val="MeasureTableDataRightAlignedwith2ptsspacing"/>
              <w:keepNext/>
            </w:pPr>
            <w:r>
              <w:t>12.8</w:t>
            </w:r>
          </w:p>
        </w:tc>
        <w:tc>
          <w:tcPr>
            <w:tcW w:w="1043" w:type="dxa"/>
            <w:tcBorders>
              <w:top w:val="single" w:sz="4" w:space="0" w:color="000000"/>
              <w:bottom w:val="single" w:sz="4" w:space="0" w:color="000000"/>
            </w:tcBorders>
          </w:tcPr>
          <w:p w14:paraId="2478FC62" w14:textId="77777777" w:rsidR="00B628FF" w:rsidRDefault="005B2D2F">
            <w:pPr>
              <w:pStyle w:val="MeasureTableDataRightAlignedwith2ptsspacing"/>
              <w:keepNext/>
            </w:pPr>
            <w:r>
              <w:t>2.9</w:t>
            </w:r>
          </w:p>
        </w:tc>
        <w:tc>
          <w:tcPr>
            <w:tcW w:w="1043" w:type="dxa"/>
            <w:tcBorders>
              <w:top w:val="single" w:sz="4" w:space="0" w:color="000000"/>
              <w:bottom w:val="single" w:sz="4" w:space="0" w:color="000000"/>
            </w:tcBorders>
          </w:tcPr>
          <w:p w14:paraId="5077064E" w14:textId="77777777" w:rsidR="00B628FF" w:rsidRDefault="005B2D2F">
            <w:pPr>
              <w:pStyle w:val="MeasureTableDataRightAlignedwith2ptsspacing"/>
              <w:keepNext/>
            </w:pPr>
            <w:r>
              <w:t>2.4</w:t>
            </w:r>
          </w:p>
        </w:tc>
      </w:tr>
      <w:tr w:rsidR="00B628FF" w14:paraId="281C7085" w14:textId="77777777">
        <w:trPr>
          <w:cantSplit/>
        </w:trPr>
        <w:tc>
          <w:tcPr>
            <w:tcW w:w="2500" w:type="dxa"/>
            <w:tcBorders>
              <w:top w:val="single" w:sz="4" w:space="0" w:color="000000"/>
              <w:bottom w:val="single" w:sz="4" w:space="0" w:color="000000"/>
            </w:tcBorders>
          </w:tcPr>
          <w:p w14:paraId="1EE841AF" w14:textId="44D847ED" w:rsidR="00B628FF" w:rsidRDefault="005B2D2F">
            <w:pPr>
              <w:pStyle w:val="MeasureTableHeadingleftalignedwith2ptsspacing"/>
              <w:keepNext/>
            </w:pPr>
            <w:r>
              <w:t>Attorney‑General</w:t>
            </w:r>
            <w:r w:rsidR="00B31B37">
              <w:t>’</w:t>
            </w:r>
            <w:r>
              <w:t>s Department</w:t>
            </w:r>
          </w:p>
        </w:tc>
        <w:tc>
          <w:tcPr>
            <w:tcW w:w="1043" w:type="dxa"/>
            <w:tcBorders>
              <w:top w:val="single" w:sz="4" w:space="0" w:color="000000"/>
              <w:bottom w:val="single" w:sz="4" w:space="0" w:color="000000"/>
            </w:tcBorders>
          </w:tcPr>
          <w:p w14:paraId="4F2CA5D9" w14:textId="1608C66B"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7EE361EA" w14:textId="77777777" w:rsidR="00B628FF" w:rsidRDefault="005B2D2F">
            <w:pPr>
              <w:pStyle w:val="MeasureTableDataRightAlignedwith2ptsspacing"/>
              <w:keepNext/>
            </w:pPr>
            <w:r>
              <w:t>9.5</w:t>
            </w:r>
          </w:p>
        </w:tc>
        <w:tc>
          <w:tcPr>
            <w:tcW w:w="1043" w:type="dxa"/>
            <w:tcBorders>
              <w:top w:val="single" w:sz="4" w:space="0" w:color="000000"/>
              <w:bottom w:val="single" w:sz="4" w:space="0" w:color="000000"/>
            </w:tcBorders>
          </w:tcPr>
          <w:p w14:paraId="74303BB3" w14:textId="39C60708"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796F3F3B" w14:textId="4AEC4C00"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3BD9A85B" w14:textId="55B3E81E" w:rsidR="00B628FF" w:rsidRDefault="00B31B37">
            <w:pPr>
              <w:pStyle w:val="MeasureTableDataRightAlignedwith2ptsspacing"/>
              <w:keepNext/>
            </w:pPr>
            <w:r>
              <w:noBreakHyphen/>
            </w:r>
          </w:p>
        </w:tc>
      </w:tr>
      <w:tr w:rsidR="00B628FF" w14:paraId="79A812ED" w14:textId="77777777">
        <w:trPr>
          <w:cantSplit/>
        </w:trPr>
        <w:tc>
          <w:tcPr>
            <w:tcW w:w="2500" w:type="dxa"/>
            <w:tcBorders>
              <w:top w:val="single" w:sz="4" w:space="0" w:color="000000"/>
              <w:bottom w:val="single" w:sz="4" w:space="0" w:color="000000"/>
            </w:tcBorders>
          </w:tcPr>
          <w:p w14:paraId="66156067" w14:textId="77777777" w:rsidR="00B628FF" w:rsidRDefault="005B2D2F">
            <w:pPr>
              <w:pStyle w:val="MeasureTableHeadingleftalignedwith2ptsspacing"/>
              <w:keepNext/>
            </w:pPr>
            <w:r>
              <w:t>Office of the Director of Public Prosecutions</w:t>
            </w:r>
          </w:p>
        </w:tc>
        <w:tc>
          <w:tcPr>
            <w:tcW w:w="1043" w:type="dxa"/>
            <w:tcBorders>
              <w:top w:val="single" w:sz="4" w:space="0" w:color="000000"/>
              <w:bottom w:val="single" w:sz="4" w:space="0" w:color="000000"/>
            </w:tcBorders>
          </w:tcPr>
          <w:p w14:paraId="5D203133" w14:textId="39347724"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370C4CF1" w14:textId="77777777" w:rsidR="00B628FF" w:rsidRDefault="005B2D2F">
            <w:pPr>
              <w:pStyle w:val="MeasureTableDataRightAlignedwith2ptsspacing"/>
              <w:keepNext/>
            </w:pPr>
            <w:r>
              <w:t>3.5</w:t>
            </w:r>
          </w:p>
        </w:tc>
        <w:tc>
          <w:tcPr>
            <w:tcW w:w="1043" w:type="dxa"/>
            <w:tcBorders>
              <w:top w:val="single" w:sz="4" w:space="0" w:color="000000"/>
              <w:bottom w:val="single" w:sz="4" w:space="0" w:color="000000"/>
            </w:tcBorders>
          </w:tcPr>
          <w:p w14:paraId="6DF0841A" w14:textId="153EFBFA"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3F08CF62" w14:textId="62DC386F"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5008B8D8" w14:textId="52629611" w:rsidR="00B628FF" w:rsidRDefault="00B31B37">
            <w:pPr>
              <w:pStyle w:val="MeasureTableDataRightAlignedwith2ptsspacing"/>
              <w:keepNext/>
            </w:pPr>
            <w:r>
              <w:noBreakHyphen/>
            </w:r>
          </w:p>
        </w:tc>
      </w:tr>
      <w:tr w:rsidR="00B628FF" w14:paraId="0BCCD7B8" w14:textId="77777777">
        <w:trPr>
          <w:cantSplit/>
        </w:trPr>
        <w:tc>
          <w:tcPr>
            <w:tcW w:w="2500" w:type="dxa"/>
            <w:tcBorders>
              <w:top w:val="single" w:sz="4" w:space="0" w:color="000000"/>
              <w:bottom w:val="single" w:sz="4" w:space="0" w:color="000000"/>
            </w:tcBorders>
          </w:tcPr>
          <w:p w14:paraId="3FEB13D8" w14:textId="77777777" w:rsidR="00B628FF" w:rsidRDefault="005B2D2F">
            <w:pPr>
              <w:pStyle w:val="MeasureTableHeadingleftalignedwith2ptsspacing"/>
              <w:keepNext/>
            </w:pPr>
            <w:r>
              <w:t>Office of the Commonwealth Ombudsman</w:t>
            </w:r>
          </w:p>
        </w:tc>
        <w:tc>
          <w:tcPr>
            <w:tcW w:w="1043" w:type="dxa"/>
            <w:tcBorders>
              <w:top w:val="single" w:sz="4" w:space="0" w:color="000000"/>
              <w:bottom w:val="single" w:sz="4" w:space="0" w:color="000000"/>
            </w:tcBorders>
          </w:tcPr>
          <w:p w14:paraId="38652826" w14:textId="1ABB8175"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1BC21C1D" w14:textId="77777777" w:rsidR="00B628FF" w:rsidRDefault="005B2D2F">
            <w:pPr>
              <w:pStyle w:val="MeasureTableDataRightAlignedwith2ptsspacing"/>
              <w:keepNext/>
            </w:pPr>
            <w:r>
              <w:t>1.5</w:t>
            </w:r>
          </w:p>
        </w:tc>
        <w:tc>
          <w:tcPr>
            <w:tcW w:w="1043" w:type="dxa"/>
            <w:tcBorders>
              <w:top w:val="single" w:sz="4" w:space="0" w:color="000000"/>
              <w:bottom w:val="single" w:sz="4" w:space="0" w:color="000000"/>
            </w:tcBorders>
          </w:tcPr>
          <w:p w14:paraId="00BD4401" w14:textId="1BF22C08"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77E68811" w14:textId="10904865"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61FEECBC" w14:textId="5624F51E" w:rsidR="00B628FF" w:rsidRDefault="00B31B37">
            <w:pPr>
              <w:pStyle w:val="MeasureTableDataRightAlignedwith2ptsspacing"/>
              <w:keepNext/>
            </w:pPr>
            <w:r>
              <w:noBreakHyphen/>
            </w:r>
          </w:p>
        </w:tc>
      </w:tr>
      <w:tr w:rsidR="00B628FF" w14:paraId="1FC77135" w14:textId="77777777">
        <w:trPr>
          <w:cantSplit/>
        </w:trPr>
        <w:tc>
          <w:tcPr>
            <w:tcW w:w="2500" w:type="dxa"/>
            <w:tcBorders>
              <w:top w:val="single" w:sz="4" w:space="0" w:color="000000"/>
              <w:bottom w:val="single" w:sz="4" w:space="0" w:color="000000"/>
            </w:tcBorders>
          </w:tcPr>
          <w:p w14:paraId="4C7C6524" w14:textId="77777777" w:rsidR="00B628FF" w:rsidRDefault="005B2D2F">
            <w:pPr>
              <w:pStyle w:val="MeasureTableHeadingleftalignedwith2ptsspacing"/>
              <w:keepNext/>
            </w:pPr>
            <w:r>
              <w:t>Department of Home Affairs</w:t>
            </w:r>
          </w:p>
        </w:tc>
        <w:tc>
          <w:tcPr>
            <w:tcW w:w="1043" w:type="dxa"/>
            <w:tcBorders>
              <w:top w:val="single" w:sz="4" w:space="0" w:color="000000"/>
              <w:bottom w:val="single" w:sz="4" w:space="0" w:color="000000"/>
            </w:tcBorders>
          </w:tcPr>
          <w:p w14:paraId="5B40F1DD" w14:textId="3BBEAA12"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658B98AE" w14:textId="77777777" w:rsidR="00B628FF" w:rsidRDefault="005B2D2F">
            <w:pPr>
              <w:pStyle w:val="MeasureTableDataRightAlignedwith2ptsspacing"/>
              <w:keepNext/>
            </w:pPr>
            <w:r>
              <w:t>0.5</w:t>
            </w:r>
          </w:p>
        </w:tc>
        <w:tc>
          <w:tcPr>
            <w:tcW w:w="1043" w:type="dxa"/>
            <w:tcBorders>
              <w:top w:val="single" w:sz="4" w:space="0" w:color="000000"/>
              <w:bottom w:val="single" w:sz="4" w:space="0" w:color="000000"/>
            </w:tcBorders>
          </w:tcPr>
          <w:p w14:paraId="376D2C8B" w14:textId="428A9C38"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7252A876" w14:textId="0FDAABF1"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68159A25" w14:textId="326E91D6" w:rsidR="00B628FF" w:rsidRDefault="00B31B37">
            <w:pPr>
              <w:pStyle w:val="MeasureTableDataRightAlignedwith2ptsspacing"/>
              <w:keepNext/>
            </w:pPr>
            <w:r>
              <w:noBreakHyphen/>
            </w:r>
          </w:p>
        </w:tc>
      </w:tr>
      <w:tr w:rsidR="00B628FF" w14:paraId="06AFAF9A" w14:textId="77777777">
        <w:trPr>
          <w:cantSplit/>
        </w:trPr>
        <w:tc>
          <w:tcPr>
            <w:tcW w:w="2500" w:type="dxa"/>
            <w:tcBorders>
              <w:top w:val="single" w:sz="4" w:space="0" w:color="000000"/>
              <w:bottom w:val="single" w:sz="4" w:space="0" w:color="000000"/>
            </w:tcBorders>
          </w:tcPr>
          <w:p w14:paraId="414ECA15" w14:textId="77777777" w:rsidR="00B628FF" w:rsidRDefault="005B2D2F">
            <w:pPr>
              <w:pStyle w:val="MeasureTableHeadingleftalignedwith2ptsspacing"/>
              <w:keepNext/>
            </w:pPr>
            <w:r>
              <w:t>Australian Institute of Criminology</w:t>
            </w:r>
          </w:p>
        </w:tc>
        <w:tc>
          <w:tcPr>
            <w:tcW w:w="1043" w:type="dxa"/>
            <w:tcBorders>
              <w:top w:val="single" w:sz="4" w:space="0" w:color="000000"/>
              <w:bottom w:val="single" w:sz="4" w:space="0" w:color="000000"/>
            </w:tcBorders>
          </w:tcPr>
          <w:p w14:paraId="06AB5A94" w14:textId="0E2D9E10"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76BE9629" w14:textId="77777777" w:rsidR="00B628FF" w:rsidRDefault="005B2D2F">
            <w:pPr>
              <w:pStyle w:val="MeasureTableDataRightAlignedwith2ptsspacing"/>
              <w:keepNext/>
            </w:pPr>
            <w:r>
              <w:t>0.1</w:t>
            </w:r>
          </w:p>
        </w:tc>
        <w:tc>
          <w:tcPr>
            <w:tcW w:w="1043" w:type="dxa"/>
            <w:tcBorders>
              <w:top w:val="single" w:sz="4" w:space="0" w:color="000000"/>
              <w:bottom w:val="single" w:sz="4" w:space="0" w:color="000000"/>
            </w:tcBorders>
          </w:tcPr>
          <w:p w14:paraId="08939E28" w14:textId="5FEBFE1A"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2227105E" w14:textId="7E091D21"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4FABA397" w14:textId="6D9452DB" w:rsidR="00B628FF" w:rsidRDefault="00B31B37">
            <w:pPr>
              <w:pStyle w:val="MeasureTableDataRightAlignedwith2ptsspacing"/>
              <w:keepNext/>
            </w:pPr>
            <w:r>
              <w:noBreakHyphen/>
            </w:r>
          </w:p>
        </w:tc>
      </w:tr>
      <w:tr w:rsidR="00B628FF" w14:paraId="4378C529" w14:textId="77777777">
        <w:trPr>
          <w:cantSplit/>
        </w:trPr>
        <w:tc>
          <w:tcPr>
            <w:tcW w:w="2500" w:type="dxa"/>
            <w:tcBorders>
              <w:top w:val="single" w:sz="4" w:space="0" w:color="000000"/>
              <w:bottom w:val="single" w:sz="4" w:space="0" w:color="000000"/>
            </w:tcBorders>
          </w:tcPr>
          <w:p w14:paraId="1CF04EF6" w14:textId="77777777" w:rsidR="00B628FF" w:rsidRDefault="005B2D2F">
            <w:pPr>
              <w:pStyle w:val="MeasureTableHeadingleftalignedwith2ptsspacing"/>
              <w:keepNext/>
            </w:pPr>
            <w:r>
              <w:t>Department of Finance</w:t>
            </w:r>
          </w:p>
        </w:tc>
        <w:tc>
          <w:tcPr>
            <w:tcW w:w="1043" w:type="dxa"/>
            <w:tcBorders>
              <w:top w:val="single" w:sz="4" w:space="0" w:color="000000"/>
              <w:bottom w:val="single" w:sz="4" w:space="0" w:color="000000"/>
            </w:tcBorders>
          </w:tcPr>
          <w:p w14:paraId="4A11E6B1" w14:textId="7CA01E84"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2BCBFE67" w14:textId="77777777" w:rsidR="00B628FF" w:rsidRDefault="005B2D2F">
            <w:pPr>
              <w:pStyle w:val="MeasureTableDataRightAlignedwith2ptsspacing"/>
              <w:keepNext/>
            </w:pPr>
            <w:r>
              <w:t>0.1</w:t>
            </w:r>
          </w:p>
        </w:tc>
        <w:tc>
          <w:tcPr>
            <w:tcW w:w="1043" w:type="dxa"/>
            <w:tcBorders>
              <w:top w:val="single" w:sz="4" w:space="0" w:color="000000"/>
              <w:bottom w:val="single" w:sz="4" w:space="0" w:color="000000"/>
            </w:tcBorders>
          </w:tcPr>
          <w:p w14:paraId="4BEB70B0" w14:textId="455B0859"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224EDD6A" w14:textId="77744906"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4690FE4E" w14:textId="1B2238E8" w:rsidR="00B628FF" w:rsidRDefault="00B31B37">
            <w:pPr>
              <w:pStyle w:val="MeasureTableDataRightAlignedwith2ptsspacing"/>
              <w:keepNext/>
            </w:pPr>
            <w:r>
              <w:noBreakHyphen/>
            </w:r>
          </w:p>
        </w:tc>
      </w:tr>
      <w:tr w:rsidR="00B628FF" w14:paraId="5C96D866" w14:textId="77777777">
        <w:trPr>
          <w:cantSplit/>
        </w:trPr>
        <w:tc>
          <w:tcPr>
            <w:tcW w:w="2500" w:type="dxa"/>
            <w:tcBorders>
              <w:top w:val="single" w:sz="4" w:space="0" w:color="000000"/>
              <w:bottom w:val="single" w:sz="4" w:space="0" w:color="000000"/>
            </w:tcBorders>
          </w:tcPr>
          <w:p w14:paraId="0B309309" w14:textId="77777777" w:rsidR="00B628FF" w:rsidRDefault="005B2D2F">
            <w:pPr>
              <w:pStyle w:val="MeasureTableHeadingleftalignedwith2ptsspacing"/>
              <w:keepNext/>
            </w:pPr>
            <w:r>
              <w:t>Department of Defence</w:t>
            </w:r>
          </w:p>
        </w:tc>
        <w:tc>
          <w:tcPr>
            <w:tcW w:w="1043" w:type="dxa"/>
            <w:tcBorders>
              <w:top w:val="single" w:sz="4" w:space="0" w:color="000000"/>
              <w:bottom w:val="single" w:sz="4" w:space="0" w:color="000000"/>
            </w:tcBorders>
          </w:tcPr>
          <w:p w14:paraId="61856B47" w14:textId="5F81C012"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567166AC" w14:textId="48763C66" w:rsidR="00B628FF" w:rsidRDefault="00B31B37">
            <w:pPr>
              <w:pStyle w:val="MeasureTableDataRightAlignedwith2ptsspacing"/>
              <w:keepNext/>
            </w:pPr>
            <w:r>
              <w:noBreakHyphen/>
            </w:r>
            <w:r w:rsidR="005B2D2F">
              <w:t>41.9</w:t>
            </w:r>
          </w:p>
        </w:tc>
        <w:tc>
          <w:tcPr>
            <w:tcW w:w="1043" w:type="dxa"/>
            <w:tcBorders>
              <w:top w:val="single" w:sz="4" w:space="0" w:color="000000"/>
              <w:bottom w:val="single" w:sz="4" w:space="0" w:color="000000"/>
            </w:tcBorders>
          </w:tcPr>
          <w:p w14:paraId="577CB331" w14:textId="1463BB11"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65F34F6A" w14:textId="5A585A7F"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423A95EF" w14:textId="017C29CE" w:rsidR="00B628FF" w:rsidRDefault="00B31B37">
            <w:pPr>
              <w:pStyle w:val="MeasureTableDataRightAlignedwith2ptsspacing"/>
              <w:keepNext/>
            </w:pPr>
            <w:r>
              <w:noBreakHyphen/>
            </w:r>
          </w:p>
        </w:tc>
      </w:tr>
      <w:tr w:rsidR="00B628FF" w14:paraId="50D7972B" w14:textId="77777777">
        <w:trPr>
          <w:cantSplit/>
        </w:trPr>
        <w:tc>
          <w:tcPr>
            <w:tcW w:w="2500" w:type="dxa"/>
            <w:tcBorders>
              <w:top w:val="single" w:sz="4" w:space="0" w:color="000000"/>
              <w:bottom w:val="single" w:sz="4" w:space="0" w:color="000000"/>
            </w:tcBorders>
          </w:tcPr>
          <w:p w14:paraId="21F8B472" w14:textId="77777777" w:rsidR="00B628FF" w:rsidRDefault="005B2D2F">
            <w:pPr>
              <w:pStyle w:val="MeasureTableHeadingleftalignedwith2ptsspacing"/>
              <w:keepNext/>
            </w:pPr>
            <w:r>
              <w:t>Office of the Special Investigator</w:t>
            </w:r>
          </w:p>
        </w:tc>
        <w:tc>
          <w:tcPr>
            <w:tcW w:w="1043" w:type="dxa"/>
            <w:tcBorders>
              <w:top w:val="single" w:sz="4" w:space="0" w:color="000000"/>
              <w:bottom w:val="single" w:sz="4" w:space="0" w:color="000000"/>
            </w:tcBorders>
          </w:tcPr>
          <w:p w14:paraId="5D2F48C3" w14:textId="5EDB3867" w:rsidR="00B628FF" w:rsidRDefault="00B31B37">
            <w:pPr>
              <w:pStyle w:val="MeasureTableDataRightAlignedwith2ptsspacing"/>
              <w:keepNext/>
            </w:pPr>
            <w:r>
              <w:noBreakHyphen/>
            </w:r>
            <w:r w:rsidR="005B2D2F">
              <w:t>12.5</w:t>
            </w:r>
          </w:p>
        </w:tc>
        <w:tc>
          <w:tcPr>
            <w:tcW w:w="1043" w:type="dxa"/>
            <w:tcBorders>
              <w:top w:val="single" w:sz="4" w:space="0" w:color="000000"/>
              <w:bottom w:val="single" w:sz="4" w:space="0" w:color="000000"/>
            </w:tcBorders>
          </w:tcPr>
          <w:p w14:paraId="7A074863" w14:textId="77777777" w:rsidR="00B628FF" w:rsidRDefault="005B2D2F">
            <w:pPr>
              <w:pStyle w:val="MeasureTableDataRightAlignedwith2ptsspacing"/>
              <w:keepNext/>
            </w:pPr>
            <w:r>
              <w:t>47.5</w:t>
            </w:r>
          </w:p>
        </w:tc>
        <w:tc>
          <w:tcPr>
            <w:tcW w:w="1043" w:type="dxa"/>
            <w:tcBorders>
              <w:top w:val="single" w:sz="4" w:space="0" w:color="000000"/>
              <w:bottom w:val="single" w:sz="4" w:space="0" w:color="000000"/>
            </w:tcBorders>
          </w:tcPr>
          <w:p w14:paraId="0470FF38" w14:textId="46CD4785"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7DFBC78E" w14:textId="70E17B99"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3F2385FA" w14:textId="282DB490" w:rsidR="00B628FF" w:rsidRDefault="00B31B37">
            <w:pPr>
              <w:pStyle w:val="MeasureTableDataRightAlignedwith2ptsspacing"/>
              <w:keepNext/>
            </w:pPr>
            <w:r>
              <w:noBreakHyphen/>
            </w:r>
          </w:p>
        </w:tc>
      </w:tr>
      <w:tr w:rsidR="00B628FF" w14:paraId="6611DD67" w14:textId="77777777">
        <w:trPr>
          <w:cantSplit/>
        </w:trPr>
        <w:tc>
          <w:tcPr>
            <w:tcW w:w="2500" w:type="dxa"/>
            <w:tcBorders>
              <w:top w:val="single" w:sz="4" w:space="0" w:color="000000"/>
              <w:bottom w:val="single" w:sz="4" w:space="0" w:color="000000"/>
            </w:tcBorders>
          </w:tcPr>
          <w:p w14:paraId="79CF342B" w14:textId="77777777" w:rsidR="00B628FF" w:rsidRDefault="005B2D2F">
            <w:pPr>
              <w:pStyle w:val="Totalrowleftaligned"/>
              <w:keepNext/>
            </w:pPr>
            <w:r>
              <w:t>Total – Payments</w:t>
            </w:r>
          </w:p>
        </w:tc>
        <w:tc>
          <w:tcPr>
            <w:tcW w:w="1043" w:type="dxa"/>
            <w:tcBorders>
              <w:top w:val="single" w:sz="4" w:space="0" w:color="000000"/>
              <w:bottom w:val="single" w:sz="4" w:space="0" w:color="000000"/>
            </w:tcBorders>
          </w:tcPr>
          <w:p w14:paraId="1D1156E0" w14:textId="2850181C" w:rsidR="00B628FF" w:rsidRDefault="00B31B37">
            <w:pPr>
              <w:pStyle w:val="Totaldatarowrightaligned"/>
              <w:keepNext/>
            </w:pPr>
            <w:r>
              <w:noBreakHyphen/>
            </w:r>
            <w:r w:rsidR="005B2D2F">
              <w:t>12.1</w:t>
            </w:r>
          </w:p>
        </w:tc>
        <w:tc>
          <w:tcPr>
            <w:tcW w:w="1043" w:type="dxa"/>
            <w:tcBorders>
              <w:top w:val="single" w:sz="4" w:space="0" w:color="000000"/>
              <w:bottom w:val="single" w:sz="4" w:space="0" w:color="000000"/>
            </w:tcBorders>
          </w:tcPr>
          <w:p w14:paraId="3D3E8F97" w14:textId="77777777" w:rsidR="00B628FF" w:rsidRDefault="005B2D2F">
            <w:pPr>
              <w:pStyle w:val="Totaldatarowrightaligned"/>
              <w:keepNext/>
            </w:pPr>
            <w:r>
              <w:t>102.7</w:t>
            </w:r>
          </w:p>
        </w:tc>
        <w:tc>
          <w:tcPr>
            <w:tcW w:w="1043" w:type="dxa"/>
            <w:tcBorders>
              <w:top w:val="single" w:sz="4" w:space="0" w:color="000000"/>
              <w:bottom w:val="single" w:sz="4" w:space="0" w:color="000000"/>
            </w:tcBorders>
          </w:tcPr>
          <w:p w14:paraId="241760E2" w14:textId="77777777" w:rsidR="00B628FF" w:rsidRDefault="005B2D2F">
            <w:pPr>
              <w:pStyle w:val="Totaldatarowrightaligned"/>
              <w:keepNext/>
            </w:pPr>
            <w:r>
              <w:t>15.8</w:t>
            </w:r>
          </w:p>
        </w:tc>
        <w:tc>
          <w:tcPr>
            <w:tcW w:w="1043" w:type="dxa"/>
            <w:tcBorders>
              <w:top w:val="single" w:sz="4" w:space="0" w:color="000000"/>
              <w:bottom w:val="single" w:sz="4" w:space="0" w:color="000000"/>
            </w:tcBorders>
          </w:tcPr>
          <w:p w14:paraId="2FEC8D74" w14:textId="77777777" w:rsidR="00B628FF" w:rsidRDefault="005B2D2F">
            <w:pPr>
              <w:pStyle w:val="Totaldatarowrightaligned"/>
              <w:keepNext/>
            </w:pPr>
            <w:r>
              <w:t>2.9</w:t>
            </w:r>
          </w:p>
        </w:tc>
        <w:tc>
          <w:tcPr>
            <w:tcW w:w="1043" w:type="dxa"/>
            <w:tcBorders>
              <w:top w:val="single" w:sz="4" w:space="0" w:color="000000"/>
              <w:bottom w:val="single" w:sz="4" w:space="0" w:color="000000"/>
            </w:tcBorders>
          </w:tcPr>
          <w:p w14:paraId="20FB5C55" w14:textId="77777777" w:rsidR="00B628FF" w:rsidRDefault="005B2D2F">
            <w:pPr>
              <w:pStyle w:val="Totaldatarowrightaligned"/>
              <w:keepNext/>
            </w:pPr>
            <w:r>
              <w:t>2.4</w:t>
            </w:r>
          </w:p>
        </w:tc>
      </w:tr>
    </w:tbl>
    <w:p w14:paraId="56679EEB" w14:textId="77777777" w:rsidR="00B628FF" w:rsidRDefault="00B628FF">
      <w:pPr>
        <w:keepNext/>
        <w:spacing w:line="226" w:lineRule="exact"/>
        <w:rPr>
          <w:sz w:val="16"/>
        </w:rPr>
      </w:pPr>
    </w:p>
    <w:p w14:paraId="604889CA" w14:textId="5F71B256" w:rsidR="00B628FF" w:rsidRDefault="005B2D2F">
      <w:pPr>
        <w:pStyle w:val="Normal2"/>
      </w:pPr>
      <w:r>
        <w:t>The Government will provide $194.5 million over five years from 2024–‍25 (including $41.6 million in capital funding over three years from 2025–‍26) to support the delivery of Government priorities in the Attorney‑General</w:t>
      </w:r>
      <w:r w:rsidR="00B31B37">
        <w:t>’</w:t>
      </w:r>
      <w:r>
        <w:t>s portfolio, including:</w:t>
      </w:r>
    </w:p>
    <w:p w14:paraId="59DB0437" w14:textId="77777777" w:rsidR="00B628FF" w:rsidRDefault="005B2D2F">
      <w:pPr>
        <w:pStyle w:val="Bullet"/>
      </w:pPr>
      <w:r>
        <w:t>$54.4 million in 2025–‍26 to continue the work of the Office of the Special Investigator to investigate and support the prosecution of war crimes alleged to have been committed by the Australian Defence Force in Afghanistan</w:t>
      </w:r>
    </w:p>
    <w:p w14:paraId="423D9928" w14:textId="77777777" w:rsidR="00B628FF" w:rsidRDefault="005B2D2F">
      <w:pPr>
        <w:pStyle w:val="Bullet"/>
      </w:pPr>
      <w:r>
        <w:t>$51.3 million in 2025–‍26 to sustain the operational activities of the Australian Criminal Intelligence Commission (ACIC) and enhance core capabilities to disrupt transnational, serious and organised crime</w:t>
      </w:r>
    </w:p>
    <w:p w14:paraId="502971F1" w14:textId="77777777" w:rsidR="00B628FF" w:rsidRDefault="005B2D2F">
      <w:pPr>
        <w:pStyle w:val="Bullet"/>
      </w:pPr>
      <w:r>
        <w:t>$38.2 million over four years from 2025–‍26 (and $2.4 million per year ongoing) to the Australian Federal Police for the fit‑out and sustainment of shared Commonwealth facilities at Western Sydney International (Nancy‑Bird Walton) Airport to support federal policing required to enable airport operations</w:t>
      </w:r>
    </w:p>
    <w:p w14:paraId="6104FF4B" w14:textId="77CF7823" w:rsidR="00B628FF" w:rsidRDefault="005B2D2F">
      <w:pPr>
        <w:pStyle w:val="Bullet"/>
      </w:pPr>
      <w:r>
        <w:t>$28.3 million over four years from 2025–‍26 (and $7.3 million per year ongoing) to the Attorney‑General</w:t>
      </w:r>
      <w:r w:rsidR="00B31B37">
        <w:t>’</w:t>
      </w:r>
      <w:r>
        <w:t>s Department (AGD) to establish a Commonwealth Parole Board</w:t>
      </w:r>
    </w:p>
    <w:p w14:paraId="17C2CACC" w14:textId="77777777" w:rsidR="00B628FF" w:rsidRDefault="005B2D2F">
      <w:pPr>
        <w:pStyle w:val="Bullet"/>
      </w:pPr>
      <w:r>
        <w:t>$8.7 million over three years from 2024–‍25 to the Office of the Australian Information Commissioner (OAIC) to support enforcement activity</w:t>
      </w:r>
    </w:p>
    <w:p w14:paraId="26EAB2D4" w14:textId="58DC134F" w:rsidR="00B628FF" w:rsidRDefault="005B2D2F">
      <w:pPr>
        <w:pStyle w:val="Bullet"/>
      </w:pPr>
      <w:r>
        <w:t>$5.3 million in 2025–‍26 to the OAIC to continue its regulatory oversight of the Digital ID and Identity Verification Service program</w:t>
      </w:r>
      <w:r w:rsidR="00B10E08">
        <w:t>s</w:t>
      </w:r>
    </w:p>
    <w:p w14:paraId="14DB23C5" w14:textId="77777777" w:rsidR="00B628FF" w:rsidRDefault="005B2D2F">
      <w:pPr>
        <w:pStyle w:val="Bullet"/>
      </w:pPr>
      <w:r>
        <w:t>$3.4 million in 2025–‍26 to AGD and the Australian Institute of Criminology to strengthen counter‑fraud arrangements across the Commonwealth through the continuation of the Commonwealth Fraud Prevention Centre</w:t>
      </w:r>
    </w:p>
    <w:p w14:paraId="35F7EB3F" w14:textId="77777777" w:rsidR="00B628FF" w:rsidRDefault="005B2D2F">
      <w:pPr>
        <w:pStyle w:val="Bullet"/>
      </w:pPr>
      <w:r>
        <w:t>$2.2 million in 2025–‍26 for the Office of the Commonwealth Ombudsman, the Department of Home Affairs and the ACIC to continue to support access to data for law enforcement and national security purposes under the AUS‑US Data Access Agreement</w:t>
      </w:r>
    </w:p>
    <w:p w14:paraId="0308AFF3" w14:textId="77777777" w:rsidR="00B628FF" w:rsidRDefault="005B2D2F">
      <w:pPr>
        <w:pStyle w:val="Bullet"/>
      </w:pPr>
      <w:r>
        <w:t>$1.6 million in 2025–‍26 to AGD to continue law and justice capacity building in the Pacific</w:t>
      </w:r>
    </w:p>
    <w:p w14:paraId="7F52AB81" w14:textId="77777777" w:rsidR="00B628FF" w:rsidRDefault="005B2D2F">
      <w:pPr>
        <w:pStyle w:val="Bullet"/>
      </w:pPr>
      <w:r>
        <w:t>$1.0 million in 2025–‍26 to AGD to provide grants for community‑based projects to prevent modern slavery</w:t>
      </w:r>
    </w:p>
    <w:p w14:paraId="218A76D8" w14:textId="77777777" w:rsidR="00B628FF" w:rsidRDefault="005B2D2F">
      <w:pPr>
        <w:pStyle w:val="Bullet"/>
      </w:pPr>
      <w:r>
        <w:t>$0.3 million in 2025–‍26 to AGD to support consultation on a national database for hate crimes and incidents.</w:t>
      </w:r>
    </w:p>
    <w:p w14:paraId="57FDF424" w14:textId="77777777" w:rsidR="00B628FF" w:rsidRDefault="005B2D2F">
      <w:pPr>
        <w:pStyle w:val="Normal2"/>
      </w:pPr>
      <w:r w:rsidRPr="5FA307DC">
        <w:rPr>
          <w:lang w:val="en-US"/>
        </w:rPr>
        <w:t>The cost of this measure will be partially met by redirecting funding from the Department of Defence and from uncommitted funding of the Office of the Special Investigator.</w:t>
      </w:r>
    </w:p>
    <w:p w14:paraId="448BE158" w14:textId="77777777" w:rsidR="00B628FF" w:rsidRDefault="005B2D2F">
      <w:pPr>
        <w:pStyle w:val="Normal2"/>
      </w:pPr>
      <w:r>
        <w:t>The Government has already provided partial funding for this measure.</w:t>
      </w:r>
    </w:p>
    <w:p w14:paraId="4550C5C2" w14:textId="77777777" w:rsidR="00B628FF" w:rsidRDefault="005B2D2F">
      <w:pPr>
        <w:pStyle w:val="MeasureTitle"/>
      </w:pPr>
      <w:r>
        <w:t>National Strategy to Prevent and Respond to Child Sexual Abuse – continuation</w:t>
      </w:r>
    </w:p>
    <w:p w14:paraId="46BF86AE" w14:textId="77777777" w:rsidR="00B628FF" w:rsidRDefault="005B2D2F">
      <w:pPr>
        <w:pStyle w:val="MeasureTableHeading"/>
      </w:pPr>
      <w:r>
        <w:t>Payments ($m)</w:t>
      </w:r>
    </w:p>
    <w:tbl>
      <w:tblPr>
        <w:tblOverlap w:val="never"/>
        <w:tblW w:w="7721" w:type="dxa"/>
        <w:tblBorders>
          <w:top w:val="single" w:sz="4" w:space="0" w:color="000000"/>
          <w:bottom w:val="single" w:sz="4" w:space="0" w:color="000000"/>
        </w:tblBorders>
        <w:tblLayout w:type="fixed"/>
        <w:tblLook w:val="04A0" w:firstRow="1" w:lastRow="0" w:firstColumn="1" w:lastColumn="0" w:noHBand="0" w:noVBand="1"/>
      </w:tblPr>
      <w:tblGrid>
        <w:gridCol w:w="2501"/>
        <w:gridCol w:w="1044"/>
        <w:gridCol w:w="1044"/>
        <w:gridCol w:w="1044"/>
        <w:gridCol w:w="1044"/>
        <w:gridCol w:w="1044"/>
      </w:tblGrid>
      <w:tr w:rsidR="00B628FF" w14:paraId="0778E371" w14:textId="77777777">
        <w:trPr>
          <w:cantSplit/>
        </w:trPr>
        <w:tc>
          <w:tcPr>
            <w:tcW w:w="2500" w:type="dxa"/>
            <w:tcBorders>
              <w:top w:val="single" w:sz="4" w:space="0" w:color="000000"/>
              <w:bottom w:val="single" w:sz="4" w:space="0" w:color="000000"/>
            </w:tcBorders>
          </w:tcPr>
          <w:p w14:paraId="3C9EADEF" w14:textId="77777777" w:rsidR="00B628FF" w:rsidRDefault="00B628FF">
            <w:pPr>
              <w:pStyle w:val="MeasureTableYearHeadings"/>
              <w:keepNext/>
            </w:pPr>
          </w:p>
        </w:tc>
        <w:tc>
          <w:tcPr>
            <w:tcW w:w="1043" w:type="dxa"/>
            <w:tcBorders>
              <w:top w:val="single" w:sz="4" w:space="0" w:color="000000"/>
              <w:bottom w:val="single" w:sz="4" w:space="0" w:color="000000"/>
            </w:tcBorders>
          </w:tcPr>
          <w:p w14:paraId="2E8372CE" w14:textId="25F5578B" w:rsidR="00B628FF" w:rsidRDefault="005B2D2F">
            <w:pPr>
              <w:pStyle w:val="MeasureTableYearHeadings"/>
              <w:keepNext/>
            </w:pPr>
            <w:r>
              <w:t>2024</w:t>
            </w:r>
            <w:r w:rsidR="00B31B37">
              <w:noBreakHyphen/>
            </w:r>
            <w:r>
              <w:t>25</w:t>
            </w:r>
          </w:p>
        </w:tc>
        <w:tc>
          <w:tcPr>
            <w:tcW w:w="1043" w:type="dxa"/>
            <w:tcBorders>
              <w:top w:val="single" w:sz="4" w:space="0" w:color="000000"/>
              <w:bottom w:val="single" w:sz="4" w:space="0" w:color="000000"/>
            </w:tcBorders>
          </w:tcPr>
          <w:p w14:paraId="03D81F88" w14:textId="4B76D766" w:rsidR="00B628FF" w:rsidRDefault="005B2D2F">
            <w:pPr>
              <w:pStyle w:val="MeasureTableYearHeadings"/>
              <w:keepNext/>
            </w:pPr>
            <w:r>
              <w:t>2025</w:t>
            </w:r>
            <w:r w:rsidR="00B31B37">
              <w:noBreakHyphen/>
            </w:r>
            <w:r>
              <w:t>26</w:t>
            </w:r>
          </w:p>
        </w:tc>
        <w:tc>
          <w:tcPr>
            <w:tcW w:w="1043" w:type="dxa"/>
            <w:tcBorders>
              <w:top w:val="single" w:sz="4" w:space="0" w:color="000000"/>
              <w:bottom w:val="single" w:sz="4" w:space="0" w:color="000000"/>
            </w:tcBorders>
          </w:tcPr>
          <w:p w14:paraId="153E5DF4" w14:textId="0A406C0D" w:rsidR="00B628FF" w:rsidRDefault="005B2D2F">
            <w:pPr>
              <w:pStyle w:val="MeasureTableYearHeadings"/>
              <w:keepNext/>
            </w:pPr>
            <w:r>
              <w:t>2026</w:t>
            </w:r>
            <w:r w:rsidR="00B31B37">
              <w:noBreakHyphen/>
            </w:r>
            <w:r>
              <w:t>27</w:t>
            </w:r>
          </w:p>
        </w:tc>
        <w:tc>
          <w:tcPr>
            <w:tcW w:w="1043" w:type="dxa"/>
            <w:tcBorders>
              <w:top w:val="single" w:sz="4" w:space="0" w:color="000000"/>
              <w:bottom w:val="single" w:sz="4" w:space="0" w:color="000000"/>
            </w:tcBorders>
          </w:tcPr>
          <w:p w14:paraId="14A7204D" w14:textId="4F976AF4" w:rsidR="00B628FF" w:rsidRDefault="005B2D2F">
            <w:pPr>
              <w:pStyle w:val="MeasureTableYearHeadings"/>
              <w:keepNext/>
            </w:pPr>
            <w:r>
              <w:t>2027</w:t>
            </w:r>
            <w:r w:rsidR="00B31B37">
              <w:noBreakHyphen/>
            </w:r>
            <w:r>
              <w:t>28</w:t>
            </w:r>
          </w:p>
        </w:tc>
        <w:tc>
          <w:tcPr>
            <w:tcW w:w="1043" w:type="dxa"/>
            <w:tcBorders>
              <w:top w:val="single" w:sz="4" w:space="0" w:color="000000"/>
              <w:bottom w:val="single" w:sz="4" w:space="0" w:color="000000"/>
            </w:tcBorders>
          </w:tcPr>
          <w:p w14:paraId="6A8EE876" w14:textId="2F3DB8FF" w:rsidR="00B628FF" w:rsidRDefault="005B2D2F">
            <w:pPr>
              <w:pStyle w:val="MeasureTableYearHeadings"/>
              <w:keepNext/>
            </w:pPr>
            <w:r>
              <w:t>2028</w:t>
            </w:r>
            <w:r w:rsidR="00B31B37">
              <w:noBreakHyphen/>
            </w:r>
            <w:r>
              <w:t>29</w:t>
            </w:r>
          </w:p>
        </w:tc>
      </w:tr>
      <w:tr w:rsidR="00B628FF" w14:paraId="64100607" w14:textId="77777777">
        <w:trPr>
          <w:cantSplit/>
        </w:trPr>
        <w:tc>
          <w:tcPr>
            <w:tcW w:w="2500" w:type="dxa"/>
            <w:tcBorders>
              <w:top w:val="single" w:sz="4" w:space="0" w:color="000000"/>
              <w:bottom w:val="single" w:sz="4" w:space="0" w:color="000000"/>
            </w:tcBorders>
          </w:tcPr>
          <w:p w14:paraId="43BA2118" w14:textId="6B53C92F" w:rsidR="00B628FF" w:rsidRDefault="005B2D2F">
            <w:pPr>
              <w:pStyle w:val="MeasureTableHeadingleftalignedwith2ptsspacing"/>
              <w:keepNext/>
            </w:pPr>
            <w:r>
              <w:t>Attorney‑General</w:t>
            </w:r>
            <w:r w:rsidR="00B31B37">
              <w:t>’</w:t>
            </w:r>
            <w:r>
              <w:t>s Department</w:t>
            </w:r>
          </w:p>
        </w:tc>
        <w:tc>
          <w:tcPr>
            <w:tcW w:w="1043" w:type="dxa"/>
            <w:tcBorders>
              <w:top w:val="single" w:sz="4" w:space="0" w:color="000000"/>
              <w:bottom w:val="single" w:sz="4" w:space="0" w:color="000000"/>
            </w:tcBorders>
          </w:tcPr>
          <w:p w14:paraId="569474A7" w14:textId="7CB91745"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184C09D4" w14:textId="77777777" w:rsidR="00B628FF" w:rsidRDefault="005B2D2F">
            <w:pPr>
              <w:pStyle w:val="MeasureTableDataRightAlignedwith2ptsspacing"/>
              <w:keepNext/>
            </w:pPr>
            <w:r>
              <w:t>15.7</w:t>
            </w:r>
          </w:p>
        </w:tc>
        <w:tc>
          <w:tcPr>
            <w:tcW w:w="1043" w:type="dxa"/>
            <w:tcBorders>
              <w:top w:val="single" w:sz="4" w:space="0" w:color="000000"/>
              <w:bottom w:val="single" w:sz="4" w:space="0" w:color="000000"/>
            </w:tcBorders>
          </w:tcPr>
          <w:p w14:paraId="3821D7B8" w14:textId="2739C243"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055D6F2F" w14:textId="037A22CC"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6C7F2089" w14:textId="297CD626" w:rsidR="00B628FF" w:rsidRDefault="00B31B37">
            <w:pPr>
              <w:pStyle w:val="MeasureTableDataRightAlignedwith2ptsspacing"/>
              <w:keepNext/>
            </w:pPr>
            <w:r>
              <w:noBreakHyphen/>
            </w:r>
          </w:p>
        </w:tc>
      </w:tr>
      <w:tr w:rsidR="00B628FF" w14:paraId="0C88ADD9" w14:textId="77777777">
        <w:trPr>
          <w:cantSplit/>
        </w:trPr>
        <w:tc>
          <w:tcPr>
            <w:tcW w:w="2500" w:type="dxa"/>
            <w:tcBorders>
              <w:top w:val="single" w:sz="4" w:space="0" w:color="000000"/>
              <w:bottom w:val="single" w:sz="4" w:space="0" w:color="000000"/>
            </w:tcBorders>
          </w:tcPr>
          <w:p w14:paraId="55C427DD" w14:textId="77777777" w:rsidR="00B628FF" w:rsidRDefault="005B2D2F">
            <w:pPr>
              <w:pStyle w:val="MeasureTableHeadingleftalignedwith2ptsspacing"/>
              <w:keepNext/>
            </w:pPr>
            <w:r>
              <w:t>National Indigenous Australians Agency</w:t>
            </w:r>
          </w:p>
        </w:tc>
        <w:tc>
          <w:tcPr>
            <w:tcW w:w="1043" w:type="dxa"/>
            <w:tcBorders>
              <w:top w:val="single" w:sz="4" w:space="0" w:color="000000"/>
              <w:bottom w:val="single" w:sz="4" w:space="0" w:color="000000"/>
            </w:tcBorders>
          </w:tcPr>
          <w:p w14:paraId="613A23A6" w14:textId="174F9E95"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0E767365" w14:textId="77777777" w:rsidR="00B628FF" w:rsidRDefault="005B2D2F">
            <w:pPr>
              <w:pStyle w:val="MeasureTableDataRightAlignedwith2ptsspacing"/>
              <w:keepNext/>
            </w:pPr>
            <w:r>
              <w:t>2.0</w:t>
            </w:r>
          </w:p>
        </w:tc>
        <w:tc>
          <w:tcPr>
            <w:tcW w:w="1043" w:type="dxa"/>
            <w:tcBorders>
              <w:top w:val="single" w:sz="4" w:space="0" w:color="000000"/>
              <w:bottom w:val="single" w:sz="4" w:space="0" w:color="000000"/>
            </w:tcBorders>
          </w:tcPr>
          <w:p w14:paraId="7135A63B" w14:textId="2474BDED"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32371CA5" w14:textId="792714DC"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0752BF7C" w14:textId="32832F52" w:rsidR="00B628FF" w:rsidRDefault="00B31B37">
            <w:pPr>
              <w:pStyle w:val="MeasureTableDataRightAlignedwith2ptsspacing"/>
              <w:keepNext/>
            </w:pPr>
            <w:r>
              <w:noBreakHyphen/>
            </w:r>
          </w:p>
        </w:tc>
      </w:tr>
      <w:tr w:rsidR="00B628FF" w14:paraId="5DFA8A03" w14:textId="77777777">
        <w:trPr>
          <w:cantSplit/>
        </w:trPr>
        <w:tc>
          <w:tcPr>
            <w:tcW w:w="2500" w:type="dxa"/>
            <w:tcBorders>
              <w:top w:val="single" w:sz="4" w:space="0" w:color="000000"/>
              <w:bottom w:val="single" w:sz="4" w:space="0" w:color="000000"/>
            </w:tcBorders>
          </w:tcPr>
          <w:p w14:paraId="72822157" w14:textId="77777777" w:rsidR="00B628FF" w:rsidRDefault="005B2D2F">
            <w:pPr>
              <w:pStyle w:val="MeasureTableHeadingleftalignedwith2ptsspacing"/>
              <w:keepNext/>
            </w:pPr>
            <w:r>
              <w:t>Department of the Treasury</w:t>
            </w:r>
          </w:p>
        </w:tc>
        <w:tc>
          <w:tcPr>
            <w:tcW w:w="1043" w:type="dxa"/>
            <w:tcBorders>
              <w:top w:val="single" w:sz="4" w:space="0" w:color="000000"/>
              <w:bottom w:val="single" w:sz="4" w:space="0" w:color="000000"/>
            </w:tcBorders>
          </w:tcPr>
          <w:p w14:paraId="0545F9B3" w14:textId="42D248A9"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6888FB80" w14:textId="77777777" w:rsidR="00B628FF" w:rsidRDefault="005B2D2F">
            <w:pPr>
              <w:pStyle w:val="MeasureTableDataRightAlignedwith2ptsspacing"/>
              <w:keepNext/>
            </w:pPr>
            <w:r>
              <w:t>1.4</w:t>
            </w:r>
          </w:p>
        </w:tc>
        <w:tc>
          <w:tcPr>
            <w:tcW w:w="1043" w:type="dxa"/>
            <w:tcBorders>
              <w:top w:val="single" w:sz="4" w:space="0" w:color="000000"/>
              <w:bottom w:val="single" w:sz="4" w:space="0" w:color="000000"/>
            </w:tcBorders>
          </w:tcPr>
          <w:p w14:paraId="6A255588" w14:textId="0F804082"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354F4229" w14:textId="5964ECA1"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3CA9ED1F" w14:textId="3B348527" w:rsidR="00B628FF" w:rsidRDefault="00B31B37">
            <w:pPr>
              <w:pStyle w:val="MeasureTableDataRightAlignedwith2ptsspacing"/>
              <w:keepNext/>
            </w:pPr>
            <w:r>
              <w:noBreakHyphen/>
            </w:r>
          </w:p>
        </w:tc>
      </w:tr>
      <w:tr w:rsidR="00B628FF" w14:paraId="028C875E" w14:textId="77777777">
        <w:trPr>
          <w:cantSplit/>
        </w:trPr>
        <w:tc>
          <w:tcPr>
            <w:tcW w:w="2500" w:type="dxa"/>
            <w:tcBorders>
              <w:top w:val="single" w:sz="4" w:space="0" w:color="000000"/>
              <w:bottom w:val="single" w:sz="4" w:space="0" w:color="000000"/>
            </w:tcBorders>
          </w:tcPr>
          <w:p w14:paraId="6F8D876E" w14:textId="77777777" w:rsidR="00B628FF" w:rsidRDefault="005B2D2F">
            <w:pPr>
              <w:pStyle w:val="MeasureTableHeadingleftalignedwith2ptsspacing"/>
              <w:keepNext/>
            </w:pPr>
            <w:r>
              <w:t>Australian Federal Police</w:t>
            </w:r>
          </w:p>
        </w:tc>
        <w:tc>
          <w:tcPr>
            <w:tcW w:w="1043" w:type="dxa"/>
            <w:tcBorders>
              <w:top w:val="single" w:sz="4" w:space="0" w:color="000000"/>
              <w:bottom w:val="single" w:sz="4" w:space="0" w:color="000000"/>
            </w:tcBorders>
          </w:tcPr>
          <w:p w14:paraId="239167D8" w14:textId="356EECDD"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1C499E11" w14:textId="77777777" w:rsidR="00B628FF" w:rsidRDefault="005B2D2F">
            <w:pPr>
              <w:pStyle w:val="MeasureTableDataRightAlignedwith2ptsspacing"/>
              <w:keepNext/>
            </w:pPr>
            <w:r>
              <w:t>1.2</w:t>
            </w:r>
          </w:p>
        </w:tc>
        <w:tc>
          <w:tcPr>
            <w:tcW w:w="1043" w:type="dxa"/>
            <w:tcBorders>
              <w:top w:val="single" w:sz="4" w:space="0" w:color="000000"/>
              <w:bottom w:val="single" w:sz="4" w:space="0" w:color="000000"/>
            </w:tcBorders>
          </w:tcPr>
          <w:p w14:paraId="4F41A86C" w14:textId="39528806"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24E7248F" w14:textId="5F54356C"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527235F3" w14:textId="544A3FE6" w:rsidR="00B628FF" w:rsidRDefault="00B31B37">
            <w:pPr>
              <w:pStyle w:val="MeasureTableDataRightAlignedwith2ptsspacing"/>
              <w:keepNext/>
            </w:pPr>
            <w:r>
              <w:noBreakHyphen/>
            </w:r>
          </w:p>
        </w:tc>
      </w:tr>
      <w:tr w:rsidR="00B628FF" w14:paraId="0843E4D8" w14:textId="77777777">
        <w:trPr>
          <w:cantSplit/>
        </w:trPr>
        <w:tc>
          <w:tcPr>
            <w:tcW w:w="2500" w:type="dxa"/>
            <w:tcBorders>
              <w:top w:val="single" w:sz="4" w:space="0" w:color="000000"/>
              <w:bottom w:val="single" w:sz="4" w:space="0" w:color="000000"/>
            </w:tcBorders>
          </w:tcPr>
          <w:p w14:paraId="6431DDB0" w14:textId="77777777" w:rsidR="00B628FF" w:rsidRDefault="005B2D2F">
            <w:pPr>
              <w:pStyle w:val="MeasureTableHeadingleftalignedwith2ptsspacing"/>
              <w:keepNext/>
            </w:pPr>
            <w:r>
              <w:t>Australian Communications and Media Authority</w:t>
            </w:r>
          </w:p>
        </w:tc>
        <w:tc>
          <w:tcPr>
            <w:tcW w:w="1043" w:type="dxa"/>
            <w:tcBorders>
              <w:top w:val="single" w:sz="4" w:space="0" w:color="000000"/>
              <w:bottom w:val="single" w:sz="4" w:space="0" w:color="000000"/>
            </w:tcBorders>
          </w:tcPr>
          <w:p w14:paraId="6812A026" w14:textId="03C739D9"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2D96C246" w14:textId="77777777" w:rsidR="00B628FF" w:rsidRDefault="005B2D2F">
            <w:pPr>
              <w:pStyle w:val="MeasureTableDataRightAlignedwith2ptsspacing"/>
              <w:keepNext/>
            </w:pPr>
            <w:r>
              <w:t>0.6</w:t>
            </w:r>
          </w:p>
        </w:tc>
        <w:tc>
          <w:tcPr>
            <w:tcW w:w="1043" w:type="dxa"/>
            <w:tcBorders>
              <w:top w:val="single" w:sz="4" w:space="0" w:color="000000"/>
              <w:bottom w:val="single" w:sz="4" w:space="0" w:color="000000"/>
            </w:tcBorders>
          </w:tcPr>
          <w:p w14:paraId="0BA7C38F" w14:textId="4240196D"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3E060D68" w14:textId="474C506E"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093D1B10" w14:textId="4FBD0E8B" w:rsidR="00B628FF" w:rsidRDefault="00B31B37">
            <w:pPr>
              <w:pStyle w:val="MeasureTableDataRightAlignedwith2ptsspacing"/>
              <w:keepNext/>
            </w:pPr>
            <w:r>
              <w:noBreakHyphen/>
            </w:r>
          </w:p>
        </w:tc>
      </w:tr>
      <w:tr w:rsidR="00B628FF" w14:paraId="7E5FFF03" w14:textId="77777777">
        <w:trPr>
          <w:cantSplit/>
        </w:trPr>
        <w:tc>
          <w:tcPr>
            <w:tcW w:w="2500" w:type="dxa"/>
            <w:tcBorders>
              <w:top w:val="single" w:sz="4" w:space="0" w:color="000000"/>
              <w:bottom w:val="single" w:sz="4" w:space="0" w:color="000000"/>
            </w:tcBorders>
          </w:tcPr>
          <w:p w14:paraId="2FAEF681" w14:textId="77777777" w:rsidR="00B628FF" w:rsidRDefault="005B2D2F">
            <w:pPr>
              <w:pStyle w:val="MeasureTableHeadingleftalignedwith2ptsspacing"/>
              <w:keepNext/>
            </w:pPr>
            <w:r>
              <w:t>Australian Institute of Criminology</w:t>
            </w:r>
          </w:p>
        </w:tc>
        <w:tc>
          <w:tcPr>
            <w:tcW w:w="1043" w:type="dxa"/>
            <w:tcBorders>
              <w:top w:val="single" w:sz="4" w:space="0" w:color="000000"/>
              <w:bottom w:val="single" w:sz="4" w:space="0" w:color="000000"/>
            </w:tcBorders>
          </w:tcPr>
          <w:p w14:paraId="66338A01" w14:textId="17856231"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62422BB7" w14:textId="77777777" w:rsidR="00B628FF" w:rsidRDefault="005B2D2F">
            <w:pPr>
              <w:pStyle w:val="MeasureTableDataRightAlignedwith2ptsspacing"/>
              <w:keepNext/>
            </w:pPr>
            <w:r>
              <w:t>0.3</w:t>
            </w:r>
          </w:p>
        </w:tc>
        <w:tc>
          <w:tcPr>
            <w:tcW w:w="1043" w:type="dxa"/>
            <w:tcBorders>
              <w:top w:val="single" w:sz="4" w:space="0" w:color="000000"/>
              <w:bottom w:val="single" w:sz="4" w:space="0" w:color="000000"/>
            </w:tcBorders>
          </w:tcPr>
          <w:p w14:paraId="1F940624" w14:textId="7C658BD2"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0CBC53D2" w14:textId="6BA177D4"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2FE8505E" w14:textId="1EAB5C81" w:rsidR="00B628FF" w:rsidRDefault="00B31B37">
            <w:pPr>
              <w:pStyle w:val="MeasureTableDataRightAlignedwith2ptsspacing"/>
              <w:keepNext/>
            </w:pPr>
            <w:r>
              <w:noBreakHyphen/>
            </w:r>
          </w:p>
        </w:tc>
      </w:tr>
      <w:tr w:rsidR="00B628FF" w14:paraId="4230251B" w14:textId="77777777">
        <w:trPr>
          <w:cantSplit/>
        </w:trPr>
        <w:tc>
          <w:tcPr>
            <w:tcW w:w="2500" w:type="dxa"/>
            <w:tcBorders>
              <w:top w:val="single" w:sz="4" w:space="0" w:color="000000"/>
              <w:bottom w:val="single" w:sz="4" w:space="0" w:color="000000"/>
            </w:tcBorders>
          </w:tcPr>
          <w:p w14:paraId="43C70043" w14:textId="77777777" w:rsidR="00B628FF" w:rsidRDefault="005B2D2F">
            <w:pPr>
              <w:pStyle w:val="Totalrowleftaligned"/>
              <w:keepNext/>
            </w:pPr>
            <w:r>
              <w:t>Total – Payments</w:t>
            </w:r>
          </w:p>
        </w:tc>
        <w:tc>
          <w:tcPr>
            <w:tcW w:w="1043" w:type="dxa"/>
            <w:tcBorders>
              <w:top w:val="single" w:sz="4" w:space="0" w:color="000000"/>
              <w:bottom w:val="single" w:sz="4" w:space="0" w:color="000000"/>
            </w:tcBorders>
          </w:tcPr>
          <w:p w14:paraId="4461F304" w14:textId="75ED7689" w:rsidR="00B628FF" w:rsidRDefault="00B31B37">
            <w:pPr>
              <w:pStyle w:val="Totaldatarowrightaligned"/>
              <w:keepNext/>
            </w:pPr>
            <w:r>
              <w:noBreakHyphen/>
            </w:r>
          </w:p>
        </w:tc>
        <w:tc>
          <w:tcPr>
            <w:tcW w:w="1043" w:type="dxa"/>
            <w:tcBorders>
              <w:top w:val="single" w:sz="4" w:space="0" w:color="000000"/>
              <w:bottom w:val="single" w:sz="4" w:space="0" w:color="000000"/>
            </w:tcBorders>
          </w:tcPr>
          <w:p w14:paraId="7CB4B0C6" w14:textId="77777777" w:rsidR="00B628FF" w:rsidRDefault="005B2D2F">
            <w:pPr>
              <w:pStyle w:val="Totaldatarowrightaligned"/>
              <w:keepNext/>
            </w:pPr>
            <w:r>
              <w:t>21.2</w:t>
            </w:r>
          </w:p>
        </w:tc>
        <w:tc>
          <w:tcPr>
            <w:tcW w:w="1043" w:type="dxa"/>
            <w:tcBorders>
              <w:top w:val="single" w:sz="4" w:space="0" w:color="000000"/>
              <w:bottom w:val="single" w:sz="4" w:space="0" w:color="000000"/>
            </w:tcBorders>
          </w:tcPr>
          <w:p w14:paraId="3AEE9158" w14:textId="62D7292B" w:rsidR="00B628FF" w:rsidRDefault="00B31B37">
            <w:pPr>
              <w:pStyle w:val="Totaldatarowrightaligned"/>
              <w:keepNext/>
            </w:pPr>
            <w:r>
              <w:noBreakHyphen/>
            </w:r>
          </w:p>
        </w:tc>
        <w:tc>
          <w:tcPr>
            <w:tcW w:w="1043" w:type="dxa"/>
            <w:tcBorders>
              <w:top w:val="single" w:sz="4" w:space="0" w:color="000000"/>
              <w:bottom w:val="single" w:sz="4" w:space="0" w:color="000000"/>
            </w:tcBorders>
          </w:tcPr>
          <w:p w14:paraId="6D4AA8B8" w14:textId="5D95E113" w:rsidR="00B628FF" w:rsidRDefault="00B31B37">
            <w:pPr>
              <w:pStyle w:val="Totaldatarowrightaligned"/>
              <w:keepNext/>
            </w:pPr>
            <w:r>
              <w:noBreakHyphen/>
            </w:r>
          </w:p>
        </w:tc>
        <w:tc>
          <w:tcPr>
            <w:tcW w:w="1043" w:type="dxa"/>
            <w:tcBorders>
              <w:top w:val="single" w:sz="4" w:space="0" w:color="000000"/>
              <w:bottom w:val="single" w:sz="4" w:space="0" w:color="000000"/>
            </w:tcBorders>
          </w:tcPr>
          <w:p w14:paraId="64378D2F" w14:textId="48553831" w:rsidR="00B628FF" w:rsidRDefault="00B31B37">
            <w:pPr>
              <w:pStyle w:val="Totaldatarowrightaligned"/>
              <w:keepNext/>
            </w:pPr>
            <w:r>
              <w:noBreakHyphen/>
            </w:r>
          </w:p>
        </w:tc>
      </w:tr>
    </w:tbl>
    <w:p w14:paraId="4C0C5F44" w14:textId="77777777" w:rsidR="00B628FF" w:rsidRDefault="00B628FF">
      <w:pPr>
        <w:keepNext/>
        <w:spacing w:line="226" w:lineRule="exact"/>
        <w:rPr>
          <w:sz w:val="16"/>
        </w:rPr>
      </w:pPr>
    </w:p>
    <w:p w14:paraId="11AF811B" w14:textId="018E4CC9" w:rsidR="00B628FF" w:rsidRDefault="005B2D2F">
      <w:pPr>
        <w:pStyle w:val="Normal2"/>
      </w:pPr>
      <w:r>
        <w:t>The Government will provide $21.2 million in 2025–‍26 to the Attorney‑General</w:t>
      </w:r>
      <w:r w:rsidR="00B31B37">
        <w:t>’</w:t>
      </w:r>
      <w:r>
        <w:t>s Department, National Indigenous Australians Agency, Australian Federal Police, Australian Communications and Media Authority, Australian Institute of Criminology and</w:t>
      </w:r>
      <w:r w:rsidR="00754964">
        <w:t xml:space="preserve"> </w:t>
      </w:r>
      <w:r>
        <w:t>Department of the Treasury to continue initiatives to prevent, disrupt and combat child sexual abuse, and maintain support services for victims and survivors of child sexual</w:t>
      </w:r>
      <w:r w:rsidR="00754964">
        <w:t> </w:t>
      </w:r>
      <w:r>
        <w:t>abuse.</w:t>
      </w:r>
    </w:p>
    <w:p w14:paraId="14F8B4A4" w14:textId="77777777" w:rsidR="00B628FF" w:rsidRDefault="005B2D2F">
      <w:pPr>
        <w:pStyle w:val="Normal2"/>
      </w:pPr>
      <w:r>
        <w:t>The Treasury manages Commonwealth payments to the states and territories.</w:t>
      </w:r>
    </w:p>
    <w:p w14:paraId="2436A42A" w14:textId="77777777" w:rsidR="00B628FF" w:rsidRDefault="005B2D2F">
      <w:pPr>
        <w:pStyle w:val="MeasureTitle"/>
      </w:pPr>
      <w:r>
        <w:t>Strengthening Justice System Response to Sexual Violence</w:t>
      </w:r>
    </w:p>
    <w:p w14:paraId="5F4495A7" w14:textId="77777777" w:rsidR="00B628FF" w:rsidRDefault="005B2D2F">
      <w:pPr>
        <w:pStyle w:val="MeasureTableHeading"/>
      </w:pPr>
      <w:r>
        <w:t>Payments ($m)</w:t>
      </w:r>
    </w:p>
    <w:tbl>
      <w:tblPr>
        <w:tblOverlap w:val="never"/>
        <w:tblW w:w="7721" w:type="dxa"/>
        <w:tblBorders>
          <w:top w:val="single" w:sz="4" w:space="0" w:color="000000"/>
          <w:bottom w:val="single" w:sz="4" w:space="0" w:color="000000"/>
        </w:tblBorders>
        <w:tblLayout w:type="fixed"/>
        <w:tblLook w:val="04A0" w:firstRow="1" w:lastRow="0" w:firstColumn="1" w:lastColumn="0" w:noHBand="0" w:noVBand="1"/>
      </w:tblPr>
      <w:tblGrid>
        <w:gridCol w:w="2501"/>
        <w:gridCol w:w="1044"/>
        <w:gridCol w:w="1044"/>
        <w:gridCol w:w="1044"/>
        <w:gridCol w:w="1044"/>
        <w:gridCol w:w="1044"/>
      </w:tblGrid>
      <w:tr w:rsidR="00B628FF" w14:paraId="3D3B92D4" w14:textId="77777777">
        <w:trPr>
          <w:cantSplit/>
        </w:trPr>
        <w:tc>
          <w:tcPr>
            <w:tcW w:w="2500" w:type="dxa"/>
            <w:tcBorders>
              <w:top w:val="single" w:sz="4" w:space="0" w:color="000000"/>
              <w:bottom w:val="single" w:sz="4" w:space="0" w:color="000000"/>
            </w:tcBorders>
          </w:tcPr>
          <w:p w14:paraId="652E22EC" w14:textId="77777777" w:rsidR="00B628FF" w:rsidRDefault="00B628FF">
            <w:pPr>
              <w:pStyle w:val="MeasureTableYearHeadings"/>
              <w:keepNext/>
            </w:pPr>
          </w:p>
        </w:tc>
        <w:tc>
          <w:tcPr>
            <w:tcW w:w="1043" w:type="dxa"/>
            <w:tcBorders>
              <w:top w:val="single" w:sz="4" w:space="0" w:color="000000"/>
              <w:bottom w:val="single" w:sz="4" w:space="0" w:color="000000"/>
            </w:tcBorders>
          </w:tcPr>
          <w:p w14:paraId="35FEB038" w14:textId="6D10B51C" w:rsidR="00B628FF" w:rsidRDefault="005B2D2F">
            <w:pPr>
              <w:pStyle w:val="MeasureTableYearHeadings"/>
              <w:keepNext/>
            </w:pPr>
            <w:r>
              <w:t>2024</w:t>
            </w:r>
            <w:r w:rsidR="00B31B37">
              <w:noBreakHyphen/>
            </w:r>
            <w:r>
              <w:t>25</w:t>
            </w:r>
          </w:p>
        </w:tc>
        <w:tc>
          <w:tcPr>
            <w:tcW w:w="1043" w:type="dxa"/>
            <w:tcBorders>
              <w:top w:val="single" w:sz="4" w:space="0" w:color="000000"/>
              <w:bottom w:val="single" w:sz="4" w:space="0" w:color="000000"/>
            </w:tcBorders>
          </w:tcPr>
          <w:p w14:paraId="06BB312F" w14:textId="0096BADA" w:rsidR="00B628FF" w:rsidRDefault="005B2D2F">
            <w:pPr>
              <w:pStyle w:val="MeasureTableYearHeadings"/>
              <w:keepNext/>
            </w:pPr>
            <w:r>
              <w:t>2025</w:t>
            </w:r>
            <w:r w:rsidR="00B31B37">
              <w:noBreakHyphen/>
            </w:r>
            <w:r>
              <w:t>26</w:t>
            </w:r>
          </w:p>
        </w:tc>
        <w:tc>
          <w:tcPr>
            <w:tcW w:w="1043" w:type="dxa"/>
            <w:tcBorders>
              <w:top w:val="single" w:sz="4" w:space="0" w:color="000000"/>
              <w:bottom w:val="single" w:sz="4" w:space="0" w:color="000000"/>
            </w:tcBorders>
          </w:tcPr>
          <w:p w14:paraId="565A8D92" w14:textId="37854796" w:rsidR="00B628FF" w:rsidRDefault="005B2D2F">
            <w:pPr>
              <w:pStyle w:val="MeasureTableYearHeadings"/>
              <w:keepNext/>
            </w:pPr>
            <w:r>
              <w:t>2026</w:t>
            </w:r>
            <w:r w:rsidR="00B31B37">
              <w:noBreakHyphen/>
            </w:r>
            <w:r>
              <w:t>27</w:t>
            </w:r>
          </w:p>
        </w:tc>
        <w:tc>
          <w:tcPr>
            <w:tcW w:w="1043" w:type="dxa"/>
            <w:tcBorders>
              <w:top w:val="single" w:sz="4" w:space="0" w:color="000000"/>
              <w:bottom w:val="single" w:sz="4" w:space="0" w:color="000000"/>
            </w:tcBorders>
          </w:tcPr>
          <w:p w14:paraId="6AF60E67" w14:textId="27F769CD" w:rsidR="00B628FF" w:rsidRDefault="005B2D2F">
            <w:pPr>
              <w:pStyle w:val="MeasureTableYearHeadings"/>
              <w:keepNext/>
            </w:pPr>
            <w:r>
              <w:t>2027</w:t>
            </w:r>
            <w:r w:rsidR="00B31B37">
              <w:noBreakHyphen/>
            </w:r>
            <w:r>
              <w:t>28</w:t>
            </w:r>
          </w:p>
        </w:tc>
        <w:tc>
          <w:tcPr>
            <w:tcW w:w="1043" w:type="dxa"/>
            <w:tcBorders>
              <w:top w:val="single" w:sz="4" w:space="0" w:color="000000"/>
              <w:bottom w:val="single" w:sz="4" w:space="0" w:color="000000"/>
            </w:tcBorders>
          </w:tcPr>
          <w:p w14:paraId="7C9362A0" w14:textId="4EB07427" w:rsidR="00B628FF" w:rsidRDefault="005B2D2F">
            <w:pPr>
              <w:pStyle w:val="MeasureTableYearHeadings"/>
              <w:keepNext/>
            </w:pPr>
            <w:r>
              <w:t>2028</w:t>
            </w:r>
            <w:r w:rsidR="00B31B37">
              <w:noBreakHyphen/>
            </w:r>
            <w:r>
              <w:t>29</w:t>
            </w:r>
          </w:p>
        </w:tc>
      </w:tr>
      <w:tr w:rsidR="00B628FF" w14:paraId="7E7481FC" w14:textId="77777777">
        <w:trPr>
          <w:cantSplit/>
        </w:trPr>
        <w:tc>
          <w:tcPr>
            <w:tcW w:w="2500" w:type="dxa"/>
            <w:tcBorders>
              <w:top w:val="single" w:sz="4" w:space="0" w:color="000000"/>
              <w:bottom w:val="single" w:sz="4" w:space="0" w:color="000000"/>
            </w:tcBorders>
          </w:tcPr>
          <w:p w14:paraId="317CAEDA" w14:textId="77777777" w:rsidR="00B628FF" w:rsidRDefault="005B2D2F">
            <w:pPr>
              <w:pStyle w:val="MeasureTableHeadingleftalignedwith2ptsspacing"/>
              <w:keepNext/>
            </w:pPr>
            <w:r>
              <w:t>Department of the Treasury</w:t>
            </w:r>
          </w:p>
        </w:tc>
        <w:tc>
          <w:tcPr>
            <w:tcW w:w="1043" w:type="dxa"/>
            <w:tcBorders>
              <w:top w:val="single" w:sz="4" w:space="0" w:color="000000"/>
              <w:bottom w:val="single" w:sz="4" w:space="0" w:color="000000"/>
            </w:tcBorders>
          </w:tcPr>
          <w:p w14:paraId="174CA0E3" w14:textId="52BA8DA8"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71C4E713" w14:textId="77777777" w:rsidR="00B628FF" w:rsidRDefault="005B2D2F">
            <w:pPr>
              <w:pStyle w:val="MeasureTableDataRightAlignedwith2ptsspacing"/>
              <w:keepNext/>
            </w:pPr>
            <w:r>
              <w:t>3.8</w:t>
            </w:r>
          </w:p>
        </w:tc>
        <w:tc>
          <w:tcPr>
            <w:tcW w:w="1043" w:type="dxa"/>
            <w:tcBorders>
              <w:top w:val="single" w:sz="4" w:space="0" w:color="000000"/>
              <w:bottom w:val="single" w:sz="4" w:space="0" w:color="000000"/>
            </w:tcBorders>
          </w:tcPr>
          <w:p w14:paraId="29E1B01A" w14:textId="77777777" w:rsidR="00B628FF" w:rsidRDefault="005B2D2F">
            <w:pPr>
              <w:pStyle w:val="MeasureTableDataRightAlignedwith2ptsspacing"/>
              <w:keepNext/>
            </w:pPr>
            <w:r>
              <w:t>9.4</w:t>
            </w:r>
          </w:p>
        </w:tc>
        <w:tc>
          <w:tcPr>
            <w:tcW w:w="1043" w:type="dxa"/>
            <w:tcBorders>
              <w:top w:val="single" w:sz="4" w:space="0" w:color="000000"/>
              <w:bottom w:val="single" w:sz="4" w:space="0" w:color="000000"/>
            </w:tcBorders>
          </w:tcPr>
          <w:p w14:paraId="522D9402" w14:textId="77777777" w:rsidR="00B628FF" w:rsidRDefault="005B2D2F">
            <w:pPr>
              <w:pStyle w:val="MeasureTableDataRightAlignedwith2ptsspacing"/>
              <w:keepNext/>
            </w:pPr>
            <w:r>
              <w:t>4.8</w:t>
            </w:r>
          </w:p>
        </w:tc>
        <w:tc>
          <w:tcPr>
            <w:tcW w:w="1043" w:type="dxa"/>
            <w:tcBorders>
              <w:top w:val="single" w:sz="4" w:space="0" w:color="000000"/>
              <w:bottom w:val="single" w:sz="4" w:space="0" w:color="000000"/>
            </w:tcBorders>
          </w:tcPr>
          <w:p w14:paraId="39940444" w14:textId="7CF8B0C0" w:rsidR="00B628FF" w:rsidRDefault="00B31B37">
            <w:pPr>
              <w:pStyle w:val="MeasureTableDataRightAlignedwith2ptsspacing"/>
              <w:keepNext/>
            </w:pPr>
            <w:r>
              <w:noBreakHyphen/>
            </w:r>
          </w:p>
        </w:tc>
      </w:tr>
      <w:tr w:rsidR="00B628FF" w14:paraId="31DC8646" w14:textId="77777777">
        <w:trPr>
          <w:cantSplit/>
        </w:trPr>
        <w:tc>
          <w:tcPr>
            <w:tcW w:w="2500" w:type="dxa"/>
            <w:tcBorders>
              <w:top w:val="single" w:sz="4" w:space="0" w:color="000000"/>
              <w:bottom w:val="single" w:sz="4" w:space="0" w:color="000000"/>
            </w:tcBorders>
          </w:tcPr>
          <w:p w14:paraId="56ABA638" w14:textId="50C0E386" w:rsidR="00B628FF" w:rsidRDefault="005B2D2F">
            <w:pPr>
              <w:pStyle w:val="MeasureTableHeadingleftalignedwith2ptsspacing"/>
              <w:keepNext/>
            </w:pPr>
            <w:r>
              <w:t>Attorney‑General</w:t>
            </w:r>
            <w:r w:rsidR="00B31B37">
              <w:t>’</w:t>
            </w:r>
            <w:r>
              <w:t>s Department</w:t>
            </w:r>
          </w:p>
        </w:tc>
        <w:tc>
          <w:tcPr>
            <w:tcW w:w="1043" w:type="dxa"/>
            <w:tcBorders>
              <w:top w:val="single" w:sz="4" w:space="0" w:color="000000"/>
              <w:bottom w:val="single" w:sz="4" w:space="0" w:color="000000"/>
            </w:tcBorders>
          </w:tcPr>
          <w:p w14:paraId="12148DFC" w14:textId="36C55844"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3997B5A5" w14:textId="77777777" w:rsidR="00B628FF" w:rsidRDefault="005B2D2F">
            <w:pPr>
              <w:pStyle w:val="MeasureTableDataRightAlignedwith2ptsspacing"/>
              <w:keepNext/>
            </w:pPr>
            <w:r>
              <w:t>2.0</w:t>
            </w:r>
          </w:p>
        </w:tc>
        <w:tc>
          <w:tcPr>
            <w:tcW w:w="1043" w:type="dxa"/>
            <w:tcBorders>
              <w:top w:val="single" w:sz="4" w:space="0" w:color="000000"/>
              <w:bottom w:val="single" w:sz="4" w:space="0" w:color="000000"/>
            </w:tcBorders>
          </w:tcPr>
          <w:p w14:paraId="0C203E28" w14:textId="77777777" w:rsidR="00B628FF" w:rsidRDefault="005B2D2F">
            <w:pPr>
              <w:pStyle w:val="MeasureTableDataRightAlignedwith2ptsspacing"/>
              <w:keepNext/>
            </w:pPr>
            <w:r>
              <w:t>0.8</w:t>
            </w:r>
          </w:p>
        </w:tc>
        <w:tc>
          <w:tcPr>
            <w:tcW w:w="1043" w:type="dxa"/>
            <w:tcBorders>
              <w:top w:val="single" w:sz="4" w:space="0" w:color="000000"/>
              <w:bottom w:val="single" w:sz="4" w:space="0" w:color="000000"/>
            </w:tcBorders>
          </w:tcPr>
          <w:p w14:paraId="4BFD3562" w14:textId="77777777" w:rsidR="00B628FF" w:rsidRDefault="005B2D2F">
            <w:pPr>
              <w:pStyle w:val="MeasureTableDataRightAlignedwith2ptsspacing"/>
              <w:keepNext/>
            </w:pPr>
            <w:r>
              <w:t>0.6</w:t>
            </w:r>
          </w:p>
        </w:tc>
        <w:tc>
          <w:tcPr>
            <w:tcW w:w="1043" w:type="dxa"/>
            <w:tcBorders>
              <w:top w:val="single" w:sz="4" w:space="0" w:color="000000"/>
              <w:bottom w:val="single" w:sz="4" w:space="0" w:color="000000"/>
            </w:tcBorders>
          </w:tcPr>
          <w:p w14:paraId="4BF5DAED" w14:textId="3884A491" w:rsidR="00B628FF" w:rsidRDefault="00B31B37">
            <w:pPr>
              <w:pStyle w:val="MeasureTableDataRightAlignedwith2ptsspacing"/>
              <w:keepNext/>
            </w:pPr>
            <w:r>
              <w:noBreakHyphen/>
            </w:r>
          </w:p>
        </w:tc>
      </w:tr>
      <w:tr w:rsidR="00B628FF" w14:paraId="168CE904" w14:textId="77777777">
        <w:trPr>
          <w:cantSplit/>
        </w:trPr>
        <w:tc>
          <w:tcPr>
            <w:tcW w:w="2500" w:type="dxa"/>
            <w:tcBorders>
              <w:top w:val="single" w:sz="4" w:space="0" w:color="000000"/>
              <w:bottom w:val="single" w:sz="4" w:space="0" w:color="000000"/>
            </w:tcBorders>
          </w:tcPr>
          <w:p w14:paraId="7417EC8A" w14:textId="77777777" w:rsidR="00B628FF" w:rsidRDefault="005B2D2F">
            <w:pPr>
              <w:pStyle w:val="Totalrowleftaligned"/>
              <w:keepNext/>
            </w:pPr>
            <w:r>
              <w:t>Total – Payments</w:t>
            </w:r>
          </w:p>
        </w:tc>
        <w:tc>
          <w:tcPr>
            <w:tcW w:w="1043" w:type="dxa"/>
            <w:tcBorders>
              <w:top w:val="single" w:sz="4" w:space="0" w:color="000000"/>
              <w:bottom w:val="single" w:sz="4" w:space="0" w:color="000000"/>
            </w:tcBorders>
          </w:tcPr>
          <w:p w14:paraId="54DA646A" w14:textId="3FD0396C" w:rsidR="00B628FF" w:rsidRDefault="00B31B37">
            <w:pPr>
              <w:pStyle w:val="Totaldatarowrightaligned"/>
              <w:keepNext/>
            </w:pPr>
            <w:r>
              <w:noBreakHyphen/>
            </w:r>
          </w:p>
        </w:tc>
        <w:tc>
          <w:tcPr>
            <w:tcW w:w="1043" w:type="dxa"/>
            <w:tcBorders>
              <w:top w:val="single" w:sz="4" w:space="0" w:color="000000"/>
              <w:bottom w:val="single" w:sz="4" w:space="0" w:color="000000"/>
            </w:tcBorders>
          </w:tcPr>
          <w:p w14:paraId="594B2121" w14:textId="77777777" w:rsidR="00B628FF" w:rsidRDefault="005B2D2F">
            <w:pPr>
              <w:pStyle w:val="Totaldatarowrightaligned"/>
              <w:keepNext/>
            </w:pPr>
            <w:r>
              <w:t>5.8</w:t>
            </w:r>
          </w:p>
        </w:tc>
        <w:tc>
          <w:tcPr>
            <w:tcW w:w="1043" w:type="dxa"/>
            <w:tcBorders>
              <w:top w:val="single" w:sz="4" w:space="0" w:color="000000"/>
              <w:bottom w:val="single" w:sz="4" w:space="0" w:color="000000"/>
            </w:tcBorders>
          </w:tcPr>
          <w:p w14:paraId="3242DB09" w14:textId="77777777" w:rsidR="00B628FF" w:rsidRDefault="005B2D2F">
            <w:pPr>
              <w:pStyle w:val="Totaldatarowrightaligned"/>
              <w:keepNext/>
            </w:pPr>
            <w:r>
              <w:t>10.2</w:t>
            </w:r>
          </w:p>
        </w:tc>
        <w:tc>
          <w:tcPr>
            <w:tcW w:w="1043" w:type="dxa"/>
            <w:tcBorders>
              <w:top w:val="single" w:sz="4" w:space="0" w:color="000000"/>
              <w:bottom w:val="single" w:sz="4" w:space="0" w:color="000000"/>
            </w:tcBorders>
          </w:tcPr>
          <w:p w14:paraId="49D9BF43" w14:textId="77777777" w:rsidR="00B628FF" w:rsidRDefault="005B2D2F">
            <w:pPr>
              <w:pStyle w:val="Totaldatarowrightaligned"/>
              <w:keepNext/>
            </w:pPr>
            <w:r>
              <w:t>5.4</w:t>
            </w:r>
          </w:p>
        </w:tc>
        <w:tc>
          <w:tcPr>
            <w:tcW w:w="1043" w:type="dxa"/>
            <w:tcBorders>
              <w:top w:val="single" w:sz="4" w:space="0" w:color="000000"/>
              <w:bottom w:val="single" w:sz="4" w:space="0" w:color="000000"/>
            </w:tcBorders>
          </w:tcPr>
          <w:p w14:paraId="418B42C2" w14:textId="1E1980DF" w:rsidR="00B628FF" w:rsidRDefault="00B31B37">
            <w:pPr>
              <w:pStyle w:val="Totaldatarowrightaligned"/>
              <w:keepNext/>
            </w:pPr>
            <w:r>
              <w:noBreakHyphen/>
            </w:r>
          </w:p>
        </w:tc>
      </w:tr>
    </w:tbl>
    <w:p w14:paraId="36D3FE71" w14:textId="77777777" w:rsidR="00B628FF" w:rsidRDefault="00B628FF">
      <w:pPr>
        <w:keepNext/>
        <w:spacing w:line="226" w:lineRule="exact"/>
        <w:rPr>
          <w:sz w:val="16"/>
        </w:rPr>
      </w:pPr>
    </w:p>
    <w:p w14:paraId="7DD51388" w14:textId="5F1C47B6" w:rsidR="00B628FF" w:rsidRDefault="005B2D2F">
      <w:pPr>
        <w:pStyle w:val="Normal2"/>
      </w:pPr>
      <w:r>
        <w:t>The Government will provide $21.4 million over three years from 2025–‍26 to improve victim and survivor engagement in the justice system and inform a broader response to the Australian Law Reform Commission</w:t>
      </w:r>
      <w:r w:rsidR="00B31B37">
        <w:t>’</w:t>
      </w:r>
      <w:r>
        <w:t>s (ALRC) Inquiry into the Justice System</w:t>
      </w:r>
      <w:r w:rsidR="00B31B37">
        <w:t>’</w:t>
      </w:r>
      <w:r>
        <w:t>s Response to Sexual Violence. Funding includes:</w:t>
      </w:r>
    </w:p>
    <w:p w14:paraId="725B4A7B" w14:textId="77777777" w:rsidR="00B628FF" w:rsidRDefault="005B2D2F">
      <w:pPr>
        <w:pStyle w:val="Bullet"/>
      </w:pPr>
      <w:r>
        <w:t>$19.6 million over three years from 2025–‍26 to extend three specialist trauma‑informed sexual assault legal services pilots in Victoria, Western Australia and the Australian Capital Territory, expand the pilots nationally and trial additional non‑legal support services, including culturally safe justice system navigators and supporting access to restorative justice pathways</w:t>
      </w:r>
    </w:p>
    <w:p w14:paraId="3345371D" w14:textId="17C08B92" w:rsidR="00B628FF" w:rsidRDefault="005B2D2F">
      <w:pPr>
        <w:pStyle w:val="Bullet"/>
      </w:pPr>
      <w:r>
        <w:t>$1.2 million over two years from 2025–‍26 to extend the ALRC</w:t>
      </w:r>
      <w:r w:rsidR="00B31B37">
        <w:t>’</w:t>
      </w:r>
      <w:r>
        <w:t>s lived</w:t>
      </w:r>
      <w:r w:rsidR="00FC5306">
        <w:t xml:space="preserve"> </w:t>
      </w:r>
      <w:r>
        <w:t xml:space="preserve">experience Advisory Group for one year to advise on implementation of the ALRC Inquiry report </w:t>
      </w:r>
      <w:proofErr w:type="gramStart"/>
      <w:r>
        <w:t>and also</w:t>
      </w:r>
      <w:proofErr w:type="gramEnd"/>
      <w:r>
        <w:t xml:space="preserve"> to support engagement with a range of sector stakeholders and experts to provide advice on the ALRC</w:t>
      </w:r>
      <w:r w:rsidR="00B31B37">
        <w:t>’</w:t>
      </w:r>
      <w:r>
        <w:t>s recommendations</w:t>
      </w:r>
    </w:p>
    <w:p w14:paraId="016012B4" w14:textId="77777777" w:rsidR="00B628FF" w:rsidRDefault="005B2D2F">
      <w:pPr>
        <w:pStyle w:val="Bullet"/>
      </w:pPr>
      <w:r>
        <w:t>$0.6 million in 2025–‍26 to engage academics and other experts to research systemic reasons for the withdrawal of complaints, review supports provided during the police investigation phase and commence scoping an independent complaints mechanism to seek review of police decisions not to pursue charges.</w:t>
      </w:r>
    </w:p>
    <w:p w14:paraId="5DBA3B96" w14:textId="77777777" w:rsidR="00B628FF" w:rsidRDefault="005B2D2F">
      <w:pPr>
        <w:pStyle w:val="Normal2"/>
      </w:pPr>
      <w:r>
        <w:t>The Treasury manages Commonwealth payments to the states and territories.</w:t>
      </w:r>
    </w:p>
    <w:p w14:paraId="4C8CCC2C" w14:textId="77777777" w:rsidR="00B628FF" w:rsidRDefault="005B2D2F">
      <w:pPr>
        <w:pStyle w:val="Normal2"/>
      </w:pPr>
      <w:r>
        <w:t>This measure supports the implementation of the National Plan to End Violence against Women and Children 2022–‍2032.</w:t>
      </w:r>
    </w:p>
    <w:p w14:paraId="5081A1C1" w14:textId="77777777" w:rsidR="00B628FF" w:rsidRDefault="00B628FF">
      <w:pPr>
        <w:sectPr w:rsidR="00B628FF" w:rsidSect="00A06F82">
          <w:headerReference w:type="even" r:id="rId39"/>
          <w:headerReference w:type="default" r:id="rId40"/>
          <w:footerReference w:type="even" r:id="rId41"/>
          <w:footerReference w:type="default" r:id="rId42"/>
          <w:headerReference w:type="first" r:id="rId43"/>
          <w:footerReference w:type="first" r:id="rId44"/>
          <w:pgSz w:w="11906" w:h="16838"/>
          <w:pgMar w:top="2835" w:right="2098" w:bottom="2466" w:left="2098" w:header="1814" w:footer="1814" w:gutter="0"/>
          <w:cols w:space="720"/>
          <w:docGrid w:linePitch="272"/>
        </w:sectPr>
      </w:pPr>
    </w:p>
    <w:p w14:paraId="182746ED" w14:textId="77777777" w:rsidR="00B628FF" w:rsidRDefault="005B2D2F">
      <w:pPr>
        <w:pStyle w:val="PortfolioName"/>
      </w:pPr>
      <w:r>
        <w:t>Climate Change, Energy, the Environment and Water</w:t>
      </w:r>
    </w:p>
    <w:p w14:paraId="35D8B576" w14:textId="77777777" w:rsidR="00B628FF" w:rsidRDefault="005B2D2F">
      <w:pPr>
        <w:pStyle w:val="MeasureTitle"/>
      </w:pPr>
      <w:r w:rsidRPr="5FA307DC">
        <w:rPr>
          <w:lang w:val="en-US"/>
        </w:rPr>
        <w:t>Additional Support for the Maugean Skate</w:t>
      </w:r>
    </w:p>
    <w:p w14:paraId="55B62EA8" w14:textId="77777777" w:rsidR="00B628FF" w:rsidRDefault="005B2D2F">
      <w:pPr>
        <w:pStyle w:val="MeasureTableHeading"/>
      </w:pPr>
      <w:r>
        <w:t>Payments ($m)</w:t>
      </w:r>
    </w:p>
    <w:tbl>
      <w:tblPr>
        <w:tblOverlap w:val="never"/>
        <w:tblW w:w="7721" w:type="dxa"/>
        <w:tblBorders>
          <w:top w:val="single" w:sz="4" w:space="0" w:color="000000"/>
          <w:bottom w:val="single" w:sz="4" w:space="0" w:color="000000"/>
        </w:tblBorders>
        <w:tblLayout w:type="fixed"/>
        <w:tblLook w:val="04A0" w:firstRow="1" w:lastRow="0" w:firstColumn="1" w:lastColumn="0" w:noHBand="0" w:noVBand="1"/>
      </w:tblPr>
      <w:tblGrid>
        <w:gridCol w:w="2501"/>
        <w:gridCol w:w="1044"/>
        <w:gridCol w:w="1044"/>
        <w:gridCol w:w="1044"/>
        <w:gridCol w:w="1044"/>
        <w:gridCol w:w="1044"/>
      </w:tblGrid>
      <w:tr w:rsidR="00B628FF" w14:paraId="247AB350" w14:textId="77777777">
        <w:trPr>
          <w:cantSplit/>
        </w:trPr>
        <w:tc>
          <w:tcPr>
            <w:tcW w:w="2500" w:type="dxa"/>
            <w:tcBorders>
              <w:top w:val="single" w:sz="4" w:space="0" w:color="000000"/>
              <w:bottom w:val="single" w:sz="4" w:space="0" w:color="000000"/>
            </w:tcBorders>
          </w:tcPr>
          <w:p w14:paraId="4928C51D" w14:textId="77777777" w:rsidR="00B628FF" w:rsidRDefault="00B628FF">
            <w:pPr>
              <w:pStyle w:val="MeasureTableYearHeadings"/>
              <w:keepNext/>
            </w:pPr>
          </w:p>
        </w:tc>
        <w:tc>
          <w:tcPr>
            <w:tcW w:w="1043" w:type="dxa"/>
            <w:tcBorders>
              <w:top w:val="single" w:sz="4" w:space="0" w:color="000000"/>
              <w:bottom w:val="single" w:sz="4" w:space="0" w:color="000000"/>
            </w:tcBorders>
          </w:tcPr>
          <w:p w14:paraId="3C1EBA75" w14:textId="4BDC506C" w:rsidR="00B628FF" w:rsidRDefault="005B2D2F">
            <w:pPr>
              <w:pStyle w:val="MeasureTableYearHeadings"/>
              <w:keepNext/>
            </w:pPr>
            <w:r>
              <w:t>2024</w:t>
            </w:r>
            <w:r w:rsidR="00B31B37">
              <w:noBreakHyphen/>
            </w:r>
            <w:r>
              <w:t>25</w:t>
            </w:r>
          </w:p>
        </w:tc>
        <w:tc>
          <w:tcPr>
            <w:tcW w:w="1043" w:type="dxa"/>
            <w:tcBorders>
              <w:top w:val="single" w:sz="4" w:space="0" w:color="000000"/>
              <w:bottom w:val="single" w:sz="4" w:space="0" w:color="000000"/>
            </w:tcBorders>
          </w:tcPr>
          <w:p w14:paraId="01E3FAF1" w14:textId="2C21F262" w:rsidR="00B628FF" w:rsidRDefault="005B2D2F">
            <w:pPr>
              <w:pStyle w:val="MeasureTableYearHeadings"/>
              <w:keepNext/>
            </w:pPr>
            <w:r>
              <w:t>2025</w:t>
            </w:r>
            <w:r w:rsidR="00B31B37">
              <w:noBreakHyphen/>
            </w:r>
            <w:r>
              <w:t>26</w:t>
            </w:r>
          </w:p>
        </w:tc>
        <w:tc>
          <w:tcPr>
            <w:tcW w:w="1043" w:type="dxa"/>
            <w:tcBorders>
              <w:top w:val="single" w:sz="4" w:space="0" w:color="000000"/>
              <w:bottom w:val="single" w:sz="4" w:space="0" w:color="000000"/>
            </w:tcBorders>
          </w:tcPr>
          <w:p w14:paraId="221E9A43" w14:textId="4EF385A7" w:rsidR="00B628FF" w:rsidRDefault="005B2D2F">
            <w:pPr>
              <w:pStyle w:val="MeasureTableYearHeadings"/>
              <w:keepNext/>
            </w:pPr>
            <w:r>
              <w:t>2026</w:t>
            </w:r>
            <w:r w:rsidR="00B31B37">
              <w:noBreakHyphen/>
            </w:r>
            <w:r>
              <w:t>27</w:t>
            </w:r>
          </w:p>
        </w:tc>
        <w:tc>
          <w:tcPr>
            <w:tcW w:w="1043" w:type="dxa"/>
            <w:tcBorders>
              <w:top w:val="single" w:sz="4" w:space="0" w:color="000000"/>
              <w:bottom w:val="single" w:sz="4" w:space="0" w:color="000000"/>
            </w:tcBorders>
          </w:tcPr>
          <w:p w14:paraId="0B10C45A" w14:textId="1A13C80E" w:rsidR="00B628FF" w:rsidRDefault="005B2D2F">
            <w:pPr>
              <w:pStyle w:val="MeasureTableYearHeadings"/>
              <w:keepNext/>
            </w:pPr>
            <w:r>
              <w:t>2027</w:t>
            </w:r>
            <w:r w:rsidR="00B31B37">
              <w:noBreakHyphen/>
            </w:r>
            <w:r>
              <w:t>28</w:t>
            </w:r>
          </w:p>
        </w:tc>
        <w:tc>
          <w:tcPr>
            <w:tcW w:w="1043" w:type="dxa"/>
            <w:tcBorders>
              <w:top w:val="single" w:sz="4" w:space="0" w:color="000000"/>
              <w:bottom w:val="single" w:sz="4" w:space="0" w:color="000000"/>
            </w:tcBorders>
          </w:tcPr>
          <w:p w14:paraId="1D496A2B" w14:textId="6EEBFF1E" w:rsidR="00B628FF" w:rsidRDefault="005B2D2F">
            <w:pPr>
              <w:pStyle w:val="MeasureTableYearHeadings"/>
              <w:keepNext/>
            </w:pPr>
            <w:r>
              <w:t>2028</w:t>
            </w:r>
            <w:r w:rsidR="00B31B37">
              <w:noBreakHyphen/>
            </w:r>
            <w:r>
              <w:t>29</w:t>
            </w:r>
          </w:p>
        </w:tc>
      </w:tr>
      <w:tr w:rsidR="00B628FF" w14:paraId="0A0BB3ED" w14:textId="77777777">
        <w:trPr>
          <w:cantSplit/>
        </w:trPr>
        <w:tc>
          <w:tcPr>
            <w:tcW w:w="2500" w:type="dxa"/>
            <w:tcBorders>
              <w:top w:val="single" w:sz="4" w:space="0" w:color="000000"/>
              <w:bottom w:val="single" w:sz="4" w:space="0" w:color="000000"/>
            </w:tcBorders>
          </w:tcPr>
          <w:p w14:paraId="123DC6AD" w14:textId="77777777" w:rsidR="00B628FF" w:rsidRDefault="005B2D2F">
            <w:pPr>
              <w:pStyle w:val="MeasureTableHeadingleftalignedwith2ptsspacing"/>
              <w:keepNext/>
            </w:pPr>
            <w:r>
              <w:t>Department of Climate Change, Energy, the Environment and Water</w:t>
            </w:r>
          </w:p>
        </w:tc>
        <w:tc>
          <w:tcPr>
            <w:tcW w:w="1043" w:type="dxa"/>
            <w:tcBorders>
              <w:top w:val="single" w:sz="4" w:space="0" w:color="000000"/>
              <w:bottom w:val="single" w:sz="4" w:space="0" w:color="000000"/>
            </w:tcBorders>
          </w:tcPr>
          <w:p w14:paraId="66FBA0AE" w14:textId="1CA05386"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5E501823" w14:textId="186EDC39" w:rsidR="00B628FF" w:rsidRDefault="00B31B37">
            <w:pPr>
              <w:pStyle w:val="MeasureTableDataRightAlignedwith2ptsspacing"/>
              <w:keepNext/>
            </w:pPr>
            <w:r>
              <w:noBreakHyphen/>
            </w:r>
            <w:r w:rsidR="005B2D2F">
              <w:t>2.4</w:t>
            </w:r>
          </w:p>
        </w:tc>
        <w:tc>
          <w:tcPr>
            <w:tcW w:w="1043" w:type="dxa"/>
            <w:tcBorders>
              <w:top w:val="single" w:sz="4" w:space="0" w:color="000000"/>
              <w:bottom w:val="single" w:sz="4" w:space="0" w:color="000000"/>
            </w:tcBorders>
          </w:tcPr>
          <w:p w14:paraId="41BAEA41" w14:textId="77777777" w:rsidR="00B628FF" w:rsidRDefault="005B2D2F">
            <w:pPr>
              <w:pStyle w:val="MeasureTableDataRightAlignedwith2ptsspacing"/>
              <w:keepNext/>
            </w:pPr>
            <w:r>
              <w:t>1.0</w:t>
            </w:r>
          </w:p>
        </w:tc>
        <w:tc>
          <w:tcPr>
            <w:tcW w:w="1043" w:type="dxa"/>
            <w:tcBorders>
              <w:top w:val="single" w:sz="4" w:space="0" w:color="000000"/>
              <w:bottom w:val="single" w:sz="4" w:space="0" w:color="000000"/>
            </w:tcBorders>
          </w:tcPr>
          <w:p w14:paraId="3AB99CE6" w14:textId="77777777" w:rsidR="00B628FF" w:rsidRDefault="005B2D2F">
            <w:pPr>
              <w:pStyle w:val="MeasureTableDataRightAlignedwith2ptsspacing"/>
              <w:keepNext/>
            </w:pPr>
            <w:r>
              <w:t>1.4</w:t>
            </w:r>
          </w:p>
        </w:tc>
        <w:tc>
          <w:tcPr>
            <w:tcW w:w="1043" w:type="dxa"/>
            <w:tcBorders>
              <w:top w:val="single" w:sz="4" w:space="0" w:color="000000"/>
              <w:bottom w:val="single" w:sz="4" w:space="0" w:color="000000"/>
            </w:tcBorders>
          </w:tcPr>
          <w:p w14:paraId="7DC502DC" w14:textId="458A1255" w:rsidR="00B628FF" w:rsidRDefault="00B31B37">
            <w:pPr>
              <w:pStyle w:val="MeasureTableDataRightAlignedwith2ptsspacing"/>
              <w:keepNext/>
            </w:pPr>
            <w:r>
              <w:noBreakHyphen/>
            </w:r>
          </w:p>
        </w:tc>
      </w:tr>
    </w:tbl>
    <w:p w14:paraId="7E024444" w14:textId="77777777" w:rsidR="00B628FF" w:rsidRDefault="00B628FF">
      <w:pPr>
        <w:keepNext/>
        <w:spacing w:line="226" w:lineRule="exact"/>
        <w:rPr>
          <w:sz w:val="16"/>
        </w:rPr>
      </w:pPr>
    </w:p>
    <w:p w14:paraId="3801D53F" w14:textId="77777777" w:rsidR="00B628FF" w:rsidRDefault="005B2D2F">
      <w:pPr>
        <w:pStyle w:val="Normal2"/>
      </w:pPr>
      <w:r w:rsidRPr="5FA307DC">
        <w:rPr>
          <w:lang w:val="en-US"/>
        </w:rPr>
        <w:t xml:space="preserve">The Government will provide an additional $3.0 million over three years from 2025–‍26 for the Maugean skate captive breeding program to support the increasing number of </w:t>
      </w:r>
      <w:proofErr w:type="gramStart"/>
      <w:r w:rsidRPr="5FA307DC">
        <w:rPr>
          <w:lang w:val="en-US"/>
        </w:rPr>
        <w:t>baby</w:t>
      </w:r>
      <w:proofErr w:type="gramEnd"/>
      <w:r w:rsidRPr="5FA307DC">
        <w:rPr>
          <w:lang w:val="en-US"/>
        </w:rPr>
        <w:t xml:space="preserve"> Maugean skates following successful breeding in captivity.</w:t>
      </w:r>
    </w:p>
    <w:p w14:paraId="395EA522" w14:textId="77777777" w:rsidR="00B628FF" w:rsidRDefault="005B2D2F">
      <w:pPr>
        <w:pStyle w:val="Normal2"/>
      </w:pPr>
      <w:r w:rsidRPr="5FA307DC">
        <w:rPr>
          <w:lang w:val="en-US"/>
        </w:rPr>
        <w:t>The cost of this measure will be met from within the existing resourcing of the Department of Climate Change, Energy, the Environment and Water.</w:t>
      </w:r>
    </w:p>
    <w:p w14:paraId="7EF1DB9F" w14:textId="77777777" w:rsidR="00B628FF" w:rsidRDefault="005B2D2F">
      <w:pPr>
        <w:pStyle w:val="Normal2"/>
      </w:pPr>
      <w:r w:rsidRPr="5FA307DC">
        <w:rPr>
          <w:lang w:val="en-US"/>
        </w:rPr>
        <w:t xml:space="preserve">This measure builds on the 2024–‍25 MYEFO measure titled </w:t>
      </w:r>
      <w:r w:rsidRPr="5FA307DC">
        <w:rPr>
          <w:i/>
          <w:iCs/>
          <w:lang w:val="en-US"/>
        </w:rPr>
        <w:t>Priority Conservation and Recovery Actions for the Maugean Skate.</w:t>
      </w:r>
    </w:p>
    <w:p w14:paraId="1F834D89" w14:textId="77777777" w:rsidR="00B628FF" w:rsidRDefault="005B2D2F">
      <w:pPr>
        <w:pStyle w:val="MeasureTitle"/>
      </w:pPr>
      <w:r>
        <w:t>Climate Change, Energy, the Environment and Water – savings</w:t>
      </w:r>
    </w:p>
    <w:p w14:paraId="0B425478" w14:textId="77777777" w:rsidR="00B628FF" w:rsidRDefault="005B2D2F">
      <w:pPr>
        <w:pStyle w:val="MeasureTableHeading"/>
      </w:pPr>
      <w:r>
        <w:t>Payments ($m)</w:t>
      </w:r>
    </w:p>
    <w:tbl>
      <w:tblPr>
        <w:tblOverlap w:val="never"/>
        <w:tblW w:w="7721" w:type="dxa"/>
        <w:tblBorders>
          <w:top w:val="single" w:sz="4" w:space="0" w:color="000000"/>
          <w:bottom w:val="single" w:sz="4" w:space="0" w:color="000000"/>
        </w:tblBorders>
        <w:tblLayout w:type="fixed"/>
        <w:tblLook w:val="04A0" w:firstRow="1" w:lastRow="0" w:firstColumn="1" w:lastColumn="0" w:noHBand="0" w:noVBand="1"/>
      </w:tblPr>
      <w:tblGrid>
        <w:gridCol w:w="2501"/>
        <w:gridCol w:w="1044"/>
        <w:gridCol w:w="1044"/>
        <w:gridCol w:w="1044"/>
        <w:gridCol w:w="1044"/>
        <w:gridCol w:w="1044"/>
      </w:tblGrid>
      <w:tr w:rsidR="00B628FF" w14:paraId="05EAFCEB" w14:textId="77777777">
        <w:trPr>
          <w:cantSplit/>
        </w:trPr>
        <w:tc>
          <w:tcPr>
            <w:tcW w:w="2500" w:type="dxa"/>
            <w:tcBorders>
              <w:top w:val="single" w:sz="4" w:space="0" w:color="000000"/>
              <w:bottom w:val="single" w:sz="4" w:space="0" w:color="000000"/>
            </w:tcBorders>
          </w:tcPr>
          <w:p w14:paraId="0AAF2EF4" w14:textId="77777777" w:rsidR="00B628FF" w:rsidRDefault="00B628FF">
            <w:pPr>
              <w:pStyle w:val="MeasureTableYearHeadings"/>
              <w:keepNext/>
            </w:pPr>
          </w:p>
        </w:tc>
        <w:tc>
          <w:tcPr>
            <w:tcW w:w="1043" w:type="dxa"/>
            <w:tcBorders>
              <w:top w:val="single" w:sz="4" w:space="0" w:color="000000"/>
              <w:bottom w:val="single" w:sz="4" w:space="0" w:color="000000"/>
            </w:tcBorders>
          </w:tcPr>
          <w:p w14:paraId="7DA8F252" w14:textId="349299BA" w:rsidR="00B628FF" w:rsidRDefault="005B2D2F">
            <w:pPr>
              <w:pStyle w:val="MeasureTableYearHeadings"/>
              <w:keepNext/>
            </w:pPr>
            <w:r>
              <w:t>2024</w:t>
            </w:r>
            <w:r w:rsidR="00B31B37">
              <w:noBreakHyphen/>
            </w:r>
            <w:r>
              <w:t>25</w:t>
            </w:r>
          </w:p>
        </w:tc>
        <w:tc>
          <w:tcPr>
            <w:tcW w:w="1043" w:type="dxa"/>
            <w:tcBorders>
              <w:top w:val="single" w:sz="4" w:space="0" w:color="000000"/>
              <w:bottom w:val="single" w:sz="4" w:space="0" w:color="000000"/>
            </w:tcBorders>
          </w:tcPr>
          <w:p w14:paraId="55653005" w14:textId="2B283DF1" w:rsidR="00B628FF" w:rsidRDefault="005B2D2F">
            <w:pPr>
              <w:pStyle w:val="MeasureTableYearHeadings"/>
              <w:keepNext/>
            </w:pPr>
            <w:r>
              <w:t>2025</w:t>
            </w:r>
            <w:r w:rsidR="00B31B37">
              <w:noBreakHyphen/>
            </w:r>
            <w:r>
              <w:t>26</w:t>
            </w:r>
          </w:p>
        </w:tc>
        <w:tc>
          <w:tcPr>
            <w:tcW w:w="1043" w:type="dxa"/>
            <w:tcBorders>
              <w:top w:val="single" w:sz="4" w:space="0" w:color="000000"/>
              <w:bottom w:val="single" w:sz="4" w:space="0" w:color="000000"/>
            </w:tcBorders>
          </w:tcPr>
          <w:p w14:paraId="25F00FF4" w14:textId="596482B1" w:rsidR="00B628FF" w:rsidRDefault="005B2D2F">
            <w:pPr>
              <w:pStyle w:val="MeasureTableYearHeadings"/>
              <w:keepNext/>
            </w:pPr>
            <w:r>
              <w:t>2026</w:t>
            </w:r>
            <w:r w:rsidR="00B31B37">
              <w:noBreakHyphen/>
            </w:r>
            <w:r>
              <w:t>27</w:t>
            </w:r>
          </w:p>
        </w:tc>
        <w:tc>
          <w:tcPr>
            <w:tcW w:w="1043" w:type="dxa"/>
            <w:tcBorders>
              <w:top w:val="single" w:sz="4" w:space="0" w:color="000000"/>
              <w:bottom w:val="single" w:sz="4" w:space="0" w:color="000000"/>
            </w:tcBorders>
          </w:tcPr>
          <w:p w14:paraId="05A0B8D8" w14:textId="3386DD1D" w:rsidR="00B628FF" w:rsidRDefault="005B2D2F">
            <w:pPr>
              <w:pStyle w:val="MeasureTableYearHeadings"/>
              <w:keepNext/>
            </w:pPr>
            <w:r>
              <w:t>2027</w:t>
            </w:r>
            <w:r w:rsidR="00B31B37">
              <w:noBreakHyphen/>
            </w:r>
            <w:r>
              <w:t>28</w:t>
            </w:r>
          </w:p>
        </w:tc>
        <w:tc>
          <w:tcPr>
            <w:tcW w:w="1043" w:type="dxa"/>
            <w:tcBorders>
              <w:top w:val="single" w:sz="4" w:space="0" w:color="000000"/>
              <w:bottom w:val="single" w:sz="4" w:space="0" w:color="000000"/>
            </w:tcBorders>
          </w:tcPr>
          <w:p w14:paraId="01DFE89A" w14:textId="62EA908D" w:rsidR="00B628FF" w:rsidRDefault="005B2D2F">
            <w:pPr>
              <w:pStyle w:val="MeasureTableYearHeadings"/>
              <w:keepNext/>
            </w:pPr>
            <w:r>
              <w:t>2028</w:t>
            </w:r>
            <w:r w:rsidR="00B31B37">
              <w:noBreakHyphen/>
            </w:r>
            <w:r>
              <w:t>29</w:t>
            </w:r>
          </w:p>
        </w:tc>
      </w:tr>
      <w:tr w:rsidR="00B628FF" w14:paraId="41EAA432" w14:textId="77777777">
        <w:trPr>
          <w:cantSplit/>
        </w:trPr>
        <w:tc>
          <w:tcPr>
            <w:tcW w:w="2500" w:type="dxa"/>
            <w:tcBorders>
              <w:top w:val="single" w:sz="4" w:space="0" w:color="000000"/>
              <w:bottom w:val="single" w:sz="4" w:space="0" w:color="000000"/>
            </w:tcBorders>
          </w:tcPr>
          <w:p w14:paraId="22F573DB" w14:textId="77777777" w:rsidR="00B628FF" w:rsidRDefault="005B2D2F">
            <w:pPr>
              <w:pStyle w:val="MeasureTableHeadingleftalignedwith2ptsspacing"/>
              <w:keepNext/>
            </w:pPr>
            <w:r>
              <w:t>Department of the Treasury</w:t>
            </w:r>
          </w:p>
        </w:tc>
        <w:tc>
          <w:tcPr>
            <w:tcW w:w="1043" w:type="dxa"/>
            <w:tcBorders>
              <w:top w:val="single" w:sz="4" w:space="0" w:color="000000"/>
              <w:bottom w:val="single" w:sz="4" w:space="0" w:color="000000"/>
            </w:tcBorders>
          </w:tcPr>
          <w:p w14:paraId="3D6A50AC" w14:textId="4A469DEA"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32A5A2F3" w14:textId="2C3EB971"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176918F3" w14:textId="6EDEDB0A"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35EEDF7F" w14:textId="0CDA9D30"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2800CDF9" w14:textId="04C78795" w:rsidR="00B628FF" w:rsidRDefault="00B31B37">
            <w:pPr>
              <w:pStyle w:val="MeasureTableDataRightAlignedwith2ptsspacing"/>
              <w:keepNext/>
            </w:pPr>
            <w:r>
              <w:noBreakHyphen/>
            </w:r>
          </w:p>
        </w:tc>
      </w:tr>
      <w:tr w:rsidR="00B628FF" w14:paraId="015021B9" w14:textId="77777777">
        <w:trPr>
          <w:cantSplit/>
        </w:trPr>
        <w:tc>
          <w:tcPr>
            <w:tcW w:w="2500" w:type="dxa"/>
            <w:tcBorders>
              <w:top w:val="single" w:sz="4" w:space="0" w:color="000000"/>
              <w:bottom w:val="single" w:sz="4" w:space="0" w:color="000000"/>
            </w:tcBorders>
          </w:tcPr>
          <w:p w14:paraId="61A9EABA" w14:textId="77777777" w:rsidR="00B628FF" w:rsidRDefault="005B2D2F">
            <w:pPr>
              <w:pStyle w:val="MeasureTableHeadingleftalignedwith2ptsspacing"/>
              <w:keepNext/>
            </w:pPr>
            <w:r>
              <w:t>Department of Climate Change, Energy, the Environment and Water</w:t>
            </w:r>
          </w:p>
        </w:tc>
        <w:tc>
          <w:tcPr>
            <w:tcW w:w="1043" w:type="dxa"/>
            <w:tcBorders>
              <w:top w:val="single" w:sz="4" w:space="0" w:color="000000"/>
              <w:bottom w:val="single" w:sz="4" w:space="0" w:color="000000"/>
            </w:tcBorders>
          </w:tcPr>
          <w:p w14:paraId="4E9ED63C" w14:textId="717DDE83" w:rsidR="00B628FF" w:rsidRDefault="00B31B37">
            <w:pPr>
              <w:pStyle w:val="MeasureTableDataRightAlignedwith2ptsspacing"/>
              <w:keepNext/>
            </w:pPr>
            <w:r>
              <w:noBreakHyphen/>
            </w:r>
            <w:r w:rsidR="005B2D2F">
              <w:t>10.6</w:t>
            </w:r>
          </w:p>
        </w:tc>
        <w:tc>
          <w:tcPr>
            <w:tcW w:w="1043" w:type="dxa"/>
            <w:tcBorders>
              <w:top w:val="single" w:sz="4" w:space="0" w:color="000000"/>
              <w:bottom w:val="single" w:sz="4" w:space="0" w:color="000000"/>
            </w:tcBorders>
          </w:tcPr>
          <w:p w14:paraId="3E8D8E85" w14:textId="79180351"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57A14C2C" w14:textId="38CF2CB8"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61F4153D" w14:textId="572F9F58"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6BDFBC85" w14:textId="125009C0" w:rsidR="00B628FF" w:rsidRDefault="00B31B37">
            <w:pPr>
              <w:pStyle w:val="MeasureTableDataRightAlignedwith2ptsspacing"/>
              <w:keepNext/>
            </w:pPr>
            <w:r>
              <w:noBreakHyphen/>
            </w:r>
          </w:p>
        </w:tc>
      </w:tr>
      <w:tr w:rsidR="00B628FF" w14:paraId="3693DE77" w14:textId="77777777">
        <w:trPr>
          <w:cantSplit/>
        </w:trPr>
        <w:tc>
          <w:tcPr>
            <w:tcW w:w="2500" w:type="dxa"/>
            <w:tcBorders>
              <w:top w:val="single" w:sz="4" w:space="0" w:color="000000"/>
              <w:bottom w:val="single" w:sz="4" w:space="0" w:color="000000"/>
            </w:tcBorders>
          </w:tcPr>
          <w:p w14:paraId="7A2A5CCB" w14:textId="77777777" w:rsidR="00B628FF" w:rsidRDefault="005B2D2F">
            <w:pPr>
              <w:pStyle w:val="Totalrowleftaligned"/>
              <w:keepNext/>
            </w:pPr>
            <w:r>
              <w:t>Total – Payments</w:t>
            </w:r>
          </w:p>
        </w:tc>
        <w:tc>
          <w:tcPr>
            <w:tcW w:w="1043" w:type="dxa"/>
            <w:tcBorders>
              <w:top w:val="single" w:sz="4" w:space="0" w:color="000000"/>
              <w:bottom w:val="single" w:sz="4" w:space="0" w:color="000000"/>
            </w:tcBorders>
          </w:tcPr>
          <w:p w14:paraId="4636C67E" w14:textId="4E9B941F" w:rsidR="00B628FF" w:rsidRDefault="00B31B37">
            <w:pPr>
              <w:pStyle w:val="Totaldatarowrightaligned"/>
              <w:keepNext/>
            </w:pPr>
            <w:r>
              <w:noBreakHyphen/>
            </w:r>
            <w:r w:rsidR="005B2D2F">
              <w:t>10.6</w:t>
            </w:r>
          </w:p>
        </w:tc>
        <w:tc>
          <w:tcPr>
            <w:tcW w:w="1043" w:type="dxa"/>
            <w:tcBorders>
              <w:top w:val="single" w:sz="4" w:space="0" w:color="000000"/>
              <w:bottom w:val="single" w:sz="4" w:space="0" w:color="000000"/>
            </w:tcBorders>
          </w:tcPr>
          <w:p w14:paraId="3E69A09F" w14:textId="0C3AB0E5" w:rsidR="00B628FF" w:rsidRDefault="00B31B37">
            <w:pPr>
              <w:pStyle w:val="Totaldatarowrightaligned"/>
              <w:keepNext/>
            </w:pPr>
            <w:r>
              <w:noBreakHyphen/>
            </w:r>
          </w:p>
        </w:tc>
        <w:tc>
          <w:tcPr>
            <w:tcW w:w="1043" w:type="dxa"/>
            <w:tcBorders>
              <w:top w:val="single" w:sz="4" w:space="0" w:color="000000"/>
              <w:bottom w:val="single" w:sz="4" w:space="0" w:color="000000"/>
            </w:tcBorders>
          </w:tcPr>
          <w:p w14:paraId="7543CD39" w14:textId="322DA8EF" w:rsidR="00B628FF" w:rsidRDefault="00B31B37">
            <w:pPr>
              <w:pStyle w:val="Totaldatarowrightaligned"/>
              <w:keepNext/>
            </w:pPr>
            <w:r>
              <w:noBreakHyphen/>
            </w:r>
          </w:p>
        </w:tc>
        <w:tc>
          <w:tcPr>
            <w:tcW w:w="1043" w:type="dxa"/>
            <w:tcBorders>
              <w:top w:val="single" w:sz="4" w:space="0" w:color="000000"/>
              <w:bottom w:val="single" w:sz="4" w:space="0" w:color="000000"/>
            </w:tcBorders>
          </w:tcPr>
          <w:p w14:paraId="4524FF44" w14:textId="274A3CEF" w:rsidR="00B628FF" w:rsidRDefault="00B31B37">
            <w:pPr>
              <w:pStyle w:val="Totaldatarowrightaligned"/>
              <w:keepNext/>
            </w:pPr>
            <w:r>
              <w:noBreakHyphen/>
            </w:r>
          </w:p>
        </w:tc>
        <w:tc>
          <w:tcPr>
            <w:tcW w:w="1043" w:type="dxa"/>
            <w:tcBorders>
              <w:top w:val="single" w:sz="4" w:space="0" w:color="000000"/>
              <w:bottom w:val="single" w:sz="4" w:space="0" w:color="000000"/>
            </w:tcBorders>
          </w:tcPr>
          <w:p w14:paraId="37619B69" w14:textId="1C275D2A" w:rsidR="00B628FF" w:rsidRDefault="00B31B37">
            <w:pPr>
              <w:pStyle w:val="Totaldatarowrightaligned"/>
              <w:keepNext/>
            </w:pPr>
            <w:r>
              <w:noBreakHyphen/>
            </w:r>
          </w:p>
        </w:tc>
      </w:tr>
    </w:tbl>
    <w:p w14:paraId="61CA5478" w14:textId="77777777" w:rsidR="00B628FF" w:rsidRDefault="00B628FF">
      <w:pPr>
        <w:keepNext/>
        <w:spacing w:line="226" w:lineRule="exact"/>
        <w:rPr>
          <w:sz w:val="16"/>
        </w:rPr>
      </w:pPr>
    </w:p>
    <w:p w14:paraId="2A17663F" w14:textId="77777777" w:rsidR="00B628FF" w:rsidRDefault="005B2D2F">
      <w:pPr>
        <w:pStyle w:val="Normal2"/>
      </w:pPr>
      <w:r>
        <w:t>The Government will achieve savings of $100.3 million over four years from 2024–‍25 by redirecting funding across the Climate Change, Energy, the Environment and Water portfolio. Savings include:</w:t>
      </w:r>
    </w:p>
    <w:p w14:paraId="5EBA52E1" w14:textId="77777777" w:rsidR="00B628FF" w:rsidRDefault="005B2D2F">
      <w:pPr>
        <w:pStyle w:val="Bullet"/>
      </w:pPr>
      <w:r>
        <w:t xml:space="preserve">$75.0 million from the partial reversal of the 2022–‍23 October Budget measure titled </w:t>
      </w:r>
      <w:r w:rsidRPr="005B2D2F">
        <w:rPr>
          <w:i/>
        </w:rPr>
        <w:t>Powering Australia – Driving the Nation Fund – establishment</w:t>
      </w:r>
      <w:r>
        <w:t>, by reducing uncommitted funding from the</w:t>
      </w:r>
      <w:r w:rsidRPr="005B2D2F">
        <w:rPr>
          <w:i/>
        </w:rPr>
        <w:t xml:space="preserve"> Hydrogen Highways </w:t>
      </w:r>
      <w:r>
        <w:t>program</w:t>
      </w:r>
    </w:p>
    <w:p w14:paraId="2D0A7355" w14:textId="4DD55E59" w:rsidR="00B628FF" w:rsidRDefault="005B2D2F">
      <w:pPr>
        <w:pStyle w:val="Bullet"/>
      </w:pPr>
      <w:r>
        <w:t>$14.7 million from the partial reversal of the 2021–‍22 Budget measure titled</w:t>
      </w:r>
      <w:r w:rsidRPr="005B2D2F">
        <w:rPr>
          <w:i/>
        </w:rPr>
        <w:t xml:space="preserve"> Emissions</w:t>
      </w:r>
      <w:r w:rsidR="00D04B12">
        <w:rPr>
          <w:i/>
        </w:rPr>
        <w:t> </w:t>
      </w:r>
      <w:r w:rsidRPr="005B2D2F">
        <w:rPr>
          <w:i/>
        </w:rPr>
        <w:t>Reduction and New Investments under the Technology Investment Roadmap</w:t>
      </w:r>
      <w:r>
        <w:t xml:space="preserve">, including reducing funding from the </w:t>
      </w:r>
      <w:r w:rsidRPr="005B2D2F">
        <w:rPr>
          <w:i/>
        </w:rPr>
        <w:t xml:space="preserve">Strategic International Partnerships Investment Stream </w:t>
      </w:r>
      <w:r>
        <w:t>program</w:t>
      </w:r>
    </w:p>
    <w:p w14:paraId="04F74572" w14:textId="1B015A4A" w:rsidR="00B628FF" w:rsidRDefault="005B2D2F">
      <w:pPr>
        <w:pStyle w:val="Bullet"/>
      </w:pPr>
      <w:r>
        <w:t xml:space="preserve">$10.6 million from the partial reversal of the 2020–‍21 Budget measure titled </w:t>
      </w:r>
      <w:r w:rsidRPr="005B2D2F">
        <w:rPr>
          <w:i/>
        </w:rPr>
        <w:t>JobMaker Plan – securing Australia</w:t>
      </w:r>
      <w:r w:rsidR="00B31B37">
        <w:rPr>
          <w:i/>
        </w:rPr>
        <w:t>’</w:t>
      </w:r>
      <w:r w:rsidRPr="005B2D2F">
        <w:rPr>
          <w:i/>
        </w:rPr>
        <w:t>s liquid fuel stocks</w:t>
      </w:r>
      <w:r>
        <w:t>, including reducing uncommitted funding for diesel storage projects not taken up by industry</w:t>
      </w:r>
      <w:r w:rsidR="00D6153C">
        <w:t xml:space="preserve">. </w:t>
      </w:r>
    </w:p>
    <w:p w14:paraId="1D2FD76B" w14:textId="77777777" w:rsidR="00B628FF" w:rsidRDefault="005B2D2F">
      <w:pPr>
        <w:pStyle w:val="Normal2"/>
      </w:pPr>
      <w:r>
        <w:t>The Government has already provided partial savings for this measure.</w:t>
      </w:r>
    </w:p>
    <w:p w14:paraId="4F67F5C4" w14:textId="77777777" w:rsidR="00B628FF" w:rsidRDefault="005B2D2F">
      <w:pPr>
        <w:pStyle w:val="Normal2"/>
      </w:pPr>
      <w:r>
        <w:t>The savings will be redirected to fund other Government priorities in the Climate Change, Energy, the Environment and Water portfolio.</w:t>
      </w:r>
    </w:p>
    <w:p w14:paraId="624C4E7F" w14:textId="77777777" w:rsidR="00B628FF" w:rsidRDefault="005B2D2F">
      <w:pPr>
        <w:pStyle w:val="MeasureTitle"/>
      </w:pPr>
      <w:r>
        <w:t>Continuing Implementation of the Murray‑Darling Basin Plan</w:t>
      </w:r>
    </w:p>
    <w:p w14:paraId="246C465D" w14:textId="77777777" w:rsidR="00B628FF" w:rsidRDefault="005B2D2F">
      <w:pPr>
        <w:pStyle w:val="MeasureTableHeading"/>
      </w:pPr>
      <w:r>
        <w:t>Payments ($m)</w:t>
      </w:r>
    </w:p>
    <w:tbl>
      <w:tblPr>
        <w:tblOverlap w:val="never"/>
        <w:tblW w:w="7721" w:type="dxa"/>
        <w:tblBorders>
          <w:top w:val="single" w:sz="4" w:space="0" w:color="000000"/>
          <w:bottom w:val="single" w:sz="4" w:space="0" w:color="000000"/>
        </w:tblBorders>
        <w:tblLayout w:type="fixed"/>
        <w:tblLook w:val="04A0" w:firstRow="1" w:lastRow="0" w:firstColumn="1" w:lastColumn="0" w:noHBand="0" w:noVBand="1"/>
      </w:tblPr>
      <w:tblGrid>
        <w:gridCol w:w="2501"/>
        <w:gridCol w:w="1044"/>
        <w:gridCol w:w="1044"/>
        <w:gridCol w:w="1044"/>
        <w:gridCol w:w="1044"/>
        <w:gridCol w:w="1044"/>
      </w:tblGrid>
      <w:tr w:rsidR="00B628FF" w14:paraId="7D1F0609" w14:textId="77777777">
        <w:trPr>
          <w:cantSplit/>
        </w:trPr>
        <w:tc>
          <w:tcPr>
            <w:tcW w:w="2500" w:type="dxa"/>
            <w:tcBorders>
              <w:top w:val="single" w:sz="4" w:space="0" w:color="000000"/>
              <w:bottom w:val="single" w:sz="4" w:space="0" w:color="000000"/>
            </w:tcBorders>
          </w:tcPr>
          <w:p w14:paraId="68D42AA9" w14:textId="77777777" w:rsidR="00B628FF" w:rsidRDefault="00B628FF">
            <w:pPr>
              <w:pStyle w:val="MeasureTableYearHeadings"/>
              <w:keepNext/>
            </w:pPr>
          </w:p>
        </w:tc>
        <w:tc>
          <w:tcPr>
            <w:tcW w:w="1043" w:type="dxa"/>
            <w:tcBorders>
              <w:top w:val="single" w:sz="4" w:space="0" w:color="000000"/>
              <w:bottom w:val="single" w:sz="4" w:space="0" w:color="000000"/>
            </w:tcBorders>
          </w:tcPr>
          <w:p w14:paraId="2E757D2C" w14:textId="50150BD0" w:rsidR="00B628FF" w:rsidRDefault="005B2D2F">
            <w:pPr>
              <w:pStyle w:val="MeasureTableYearHeadings"/>
              <w:keepNext/>
            </w:pPr>
            <w:r>
              <w:t>2024</w:t>
            </w:r>
            <w:r w:rsidR="00B31B37">
              <w:noBreakHyphen/>
            </w:r>
            <w:r>
              <w:t>25</w:t>
            </w:r>
          </w:p>
        </w:tc>
        <w:tc>
          <w:tcPr>
            <w:tcW w:w="1043" w:type="dxa"/>
            <w:tcBorders>
              <w:top w:val="single" w:sz="4" w:space="0" w:color="000000"/>
              <w:bottom w:val="single" w:sz="4" w:space="0" w:color="000000"/>
            </w:tcBorders>
          </w:tcPr>
          <w:p w14:paraId="6C4FCA69" w14:textId="23821DD0" w:rsidR="00B628FF" w:rsidRDefault="005B2D2F">
            <w:pPr>
              <w:pStyle w:val="MeasureTableYearHeadings"/>
              <w:keepNext/>
            </w:pPr>
            <w:r>
              <w:t>2025</w:t>
            </w:r>
            <w:r w:rsidR="00B31B37">
              <w:noBreakHyphen/>
            </w:r>
            <w:r>
              <w:t>26</w:t>
            </w:r>
          </w:p>
        </w:tc>
        <w:tc>
          <w:tcPr>
            <w:tcW w:w="1043" w:type="dxa"/>
            <w:tcBorders>
              <w:top w:val="single" w:sz="4" w:space="0" w:color="000000"/>
              <w:bottom w:val="single" w:sz="4" w:space="0" w:color="000000"/>
            </w:tcBorders>
          </w:tcPr>
          <w:p w14:paraId="4C151EA5" w14:textId="146A2E1D" w:rsidR="00B628FF" w:rsidRDefault="005B2D2F">
            <w:pPr>
              <w:pStyle w:val="MeasureTableYearHeadings"/>
              <w:keepNext/>
            </w:pPr>
            <w:r>
              <w:t>2026</w:t>
            </w:r>
            <w:r w:rsidR="00B31B37">
              <w:noBreakHyphen/>
            </w:r>
            <w:r>
              <w:t>27</w:t>
            </w:r>
          </w:p>
        </w:tc>
        <w:tc>
          <w:tcPr>
            <w:tcW w:w="1043" w:type="dxa"/>
            <w:tcBorders>
              <w:top w:val="single" w:sz="4" w:space="0" w:color="000000"/>
              <w:bottom w:val="single" w:sz="4" w:space="0" w:color="000000"/>
            </w:tcBorders>
          </w:tcPr>
          <w:p w14:paraId="61458D8F" w14:textId="35FBB785" w:rsidR="00B628FF" w:rsidRDefault="005B2D2F">
            <w:pPr>
              <w:pStyle w:val="MeasureTableYearHeadings"/>
              <w:keepNext/>
            </w:pPr>
            <w:r>
              <w:t>2027</w:t>
            </w:r>
            <w:r w:rsidR="00B31B37">
              <w:noBreakHyphen/>
            </w:r>
            <w:r>
              <w:t>28</w:t>
            </w:r>
          </w:p>
        </w:tc>
        <w:tc>
          <w:tcPr>
            <w:tcW w:w="1043" w:type="dxa"/>
            <w:tcBorders>
              <w:top w:val="single" w:sz="4" w:space="0" w:color="000000"/>
              <w:bottom w:val="single" w:sz="4" w:space="0" w:color="000000"/>
            </w:tcBorders>
          </w:tcPr>
          <w:p w14:paraId="44549D30" w14:textId="1540E904" w:rsidR="00B628FF" w:rsidRDefault="005B2D2F">
            <w:pPr>
              <w:pStyle w:val="MeasureTableYearHeadings"/>
              <w:keepNext/>
            </w:pPr>
            <w:r>
              <w:t>2028</w:t>
            </w:r>
            <w:r w:rsidR="00B31B37">
              <w:noBreakHyphen/>
            </w:r>
            <w:r>
              <w:t>29</w:t>
            </w:r>
          </w:p>
        </w:tc>
      </w:tr>
      <w:tr w:rsidR="00B628FF" w14:paraId="019C68D8" w14:textId="77777777">
        <w:trPr>
          <w:cantSplit/>
        </w:trPr>
        <w:tc>
          <w:tcPr>
            <w:tcW w:w="2500" w:type="dxa"/>
            <w:tcBorders>
              <w:top w:val="single" w:sz="4" w:space="0" w:color="000000"/>
              <w:bottom w:val="single" w:sz="4" w:space="0" w:color="000000"/>
            </w:tcBorders>
          </w:tcPr>
          <w:p w14:paraId="2A37920A" w14:textId="77777777" w:rsidR="00B628FF" w:rsidRDefault="005B2D2F">
            <w:pPr>
              <w:pStyle w:val="MeasureTableHeadingleftalignedwith2ptsspacing"/>
              <w:keepNext/>
            </w:pPr>
            <w:r>
              <w:t>Department of Climate Change, Energy, the Environment and Water</w:t>
            </w:r>
          </w:p>
        </w:tc>
        <w:tc>
          <w:tcPr>
            <w:tcW w:w="1043" w:type="dxa"/>
            <w:tcBorders>
              <w:top w:val="single" w:sz="4" w:space="0" w:color="000000"/>
              <w:bottom w:val="single" w:sz="4" w:space="0" w:color="000000"/>
            </w:tcBorders>
          </w:tcPr>
          <w:p w14:paraId="30EA4C65" w14:textId="5E1D688B"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27819277" w14:textId="77777777" w:rsidR="00B628FF" w:rsidRDefault="005B2D2F">
            <w:pPr>
              <w:pStyle w:val="MeasureTableDataRightAlignedwith2ptsspacing"/>
              <w:keepNext/>
            </w:pPr>
            <w:r>
              <w:t>nfp</w:t>
            </w:r>
          </w:p>
        </w:tc>
        <w:tc>
          <w:tcPr>
            <w:tcW w:w="1043" w:type="dxa"/>
            <w:tcBorders>
              <w:top w:val="single" w:sz="4" w:space="0" w:color="000000"/>
              <w:bottom w:val="single" w:sz="4" w:space="0" w:color="000000"/>
            </w:tcBorders>
          </w:tcPr>
          <w:p w14:paraId="30DC958E" w14:textId="77777777" w:rsidR="00B628FF" w:rsidRDefault="005B2D2F">
            <w:pPr>
              <w:pStyle w:val="MeasureTableDataRightAlignedwith2ptsspacing"/>
              <w:keepNext/>
            </w:pPr>
            <w:r>
              <w:t>nfp</w:t>
            </w:r>
          </w:p>
        </w:tc>
        <w:tc>
          <w:tcPr>
            <w:tcW w:w="1043" w:type="dxa"/>
            <w:tcBorders>
              <w:top w:val="single" w:sz="4" w:space="0" w:color="000000"/>
              <w:bottom w:val="single" w:sz="4" w:space="0" w:color="000000"/>
            </w:tcBorders>
          </w:tcPr>
          <w:p w14:paraId="19623684" w14:textId="77777777" w:rsidR="00B628FF" w:rsidRDefault="005B2D2F">
            <w:pPr>
              <w:pStyle w:val="MeasureTableDataRightAlignedwith2ptsspacing"/>
              <w:keepNext/>
            </w:pPr>
            <w:r>
              <w:t>nfp</w:t>
            </w:r>
          </w:p>
        </w:tc>
        <w:tc>
          <w:tcPr>
            <w:tcW w:w="1043" w:type="dxa"/>
            <w:tcBorders>
              <w:top w:val="single" w:sz="4" w:space="0" w:color="000000"/>
              <w:bottom w:val="single" w:sz="4" w:space="0" w:color="000000"/>
            </w:tcBorders>
          </w:tcPr>
          <w:p w14:paraId="67D215D5" w14:textId="28959817" w:rsidR="00B628FF" w:rsidRDefault="00B31B37">
            <w:pPr>
              <w:pStyle w:val="MeasureTableDataRightAlignedwith2ptsspacing"/>
              <w:keepNext/>
            </w:pPr>
            <w:r>
              <w:noBreakHyphen/>
            </w:r>
          </w:p>
        </w:tc>
      </w:tr>
    </w:tbl>
    <w:p w14:paraId="686EDF7D" w14:textId="77777777" w:rsidR="00B628FF" w:rsidRDefault="00B628FF">
      <w:pPr>
        <w:keepNext/>
        <w:spacing w:line="226" w:lineRule="exact"/>
        <w:rPr>
          <w:sz w:val="16"/>
        </w:rPr>
      </w:pPr>
    </w:p>
    <w:p w14:paraId="0080A105" w14:textId="42D0B9CC" w:rsidR="00B628FF" w:rsidRDefault="005B2D2F">
      <w:pPr>
        <w:pStyle w:val="Normal2"/>
      </w:pPr>
      <w:r w:rsidRPr="5FA307DC">
        <w:rPr>
          <w:lang w:val="en-US"/>
        </w:rPr>
        <w:t>The Government will provide funding over three years from 2025–‍26 to continue implementation of the Murray‑Darling Basin Plan through additional voluntary water purchases that will contribute towards better environmental outcomes under the Basin</w:t>
      </w:r>
      <w:r w:rsidR="00440098" w:rsidRPr="5FA307DC">
        <w:rPr>
          <w:lang w:val="en-US"/>
        </w:rPr>
        <w:t> </w:t>
      </w:r>
      <w:r w:rsidRPr="5FA307DC">
        <w:rPr>
          <w:lang w:val="en-US"/>
        </w:rPr>
        <w:t>Plan.</w:t>
      </w:r>
    </w:p>
    <w:p w14:paraId="61ADFD41" w14:textId="5867171D" w:rsidR="00B628FF" w:rsidRDefault="005B2D2F">
      <w:pPr>
        <w:pStyle w:val="Normal2"/>
      </w:pPr>
      <w:r w:rsidRPr="5FA307DC">
        <w:rPr>
          <w:lang w:val="en-US"/>
        </w:rPr>
        <w:t>The financial implications of this measure are not for publication (nfp) because they would impair the Commonwealth</w:t>
      </w:r>
      <w:r w:rsidR="00B31B37">
        <w:rPr>
          <w:lang w:val="en-US"/>
        </w:rPr>
        <w:t>’</w:t>
      </w:r>
      <w:r w:rsidRPr="5FA307DC">
        <w:rPr>
          <w:lang w:val="en-US"/>
        </w:rPr>
        <w:t>s position in negotiating contracts.</w:t>
      </w:r>
    </w:p>
    <w:p w14:paraId="6AD9888B" w14:textId="77777777" w:rsidR="00B628FF" w:rsidRDefault="005B2D2F">
      <w:pPr>
        <w:pStyle w:val="Normal2"/>
      </w:pPr>
      <w:r w:rsidRPr="5FA307DC">
        <w:rPr>
          <w:lang w:val="en-US"/>
        </w:rPr>
        <w:t xml:space="preserve">This measure builds on the 2024–‍25 MYEFO measure titled </w:t>
      </w:r>
      <w:r w:rsidRPr="5FA307DC">
        <w:rPr>
          <w:i/>
          <w:iCs/>
          <w:lang w:val="en-US"/>
        </w:rPr>
        <w:t>Murray‑Darling Basin Plan – additional funding</w:t>
      </w:r>
      <w:r w:rsidRPr="5FA307DC">
        <w:rPr>
          <w:lang w:val="en-US"/>
        </w:rPr>
        <w:t>.</w:t>
      </w:r>
    </w:p>
    <w:p w14:paraId="3658314F" w14:textId="77777777" w:rsidR="00B628FF" w:rsidRDefault="005B2D2F">
      <w:pPr>
        <w:pStyle w:val="MeasureTitle"/>
      </w:pPr>
      <w:r>
        <w:t>National Water Grid Fund – responsible investment in water infrastructure</w:t>
      </w:r>
    </w:p>
    <w:p w14:paraId="7068846E" w14:textId="77777777" w:rsidR="00B628FF" w:rsidRDefault="005B2D2F">
      <w:pPr>
        <w:pStyle w:val="MeasureTableHeading"/>
      </w:pPr>
      <w:r>
        <w:t>Payments ($m)</w:t>
      </w:r>
    </w:p>
    <w:tbl>
      <w:tblPr>
        <w:tblOverlap w:val="never"/>
        <w:tblW w:w="7721" w:type="dxa"/>
        <w:tblBorders>
          <w:top w:val="single" w:sz="4" w:space="0" w:color="000000"/>
          <w:bottom w:val="single" w:sz="4" w:space="0" w:color="000000"/>
        </w:tblBorders>
        <w:tblLayout w:type="fixed"/>
        <w:tblLook w:val="04A0" w:firstRow="1" w:lastRow="0" w:firstColumn="1" w:lastColumn="0" w:noHBand="0" w:noVBand="1"/>
      </w:tblPr>
      <w:tblGrid>
        <w:gridCol w:w="2501"/>
        <w:gridCol w:w="1044"/>
        <w:gridCol w:w="1044"/>
        <w:gridCol w:w="1044"/>
        <w:gridCol w:w="1044"/>
        <w:gridCol w:w="1044"/>
      </w:tblGrid>
      <w:tr w:rsidR="00B628FF" w14:paraId="414F91D6" w14:textId="77777777">
        <w:trPr>
          <w:cantSplit/>
        </w:trPr>
        <w:tc>
          <w:tcPr>
            <w:tcW w:w="2500" w:type="dxa"/>
            <w:tcBorders>
              <w:top w:val="single" w:sz="4" w:space="0" w:color="000000"/>
              <w:bottom w:val="single" w:sz="4" w:space="0" w:color="000000"/>
            </w:tcBorders>
          </w:tcPr>
          <w:p w14:paraId="74AD5CE7" w14:textId="77777777" w:rsidR="00B628FF" w:rsidRDefault="00B628FF">
            <w:pPr>
              <w:pStyle w:val="MeasureTableYearHeadings"/>
              <w:keepNext/>
            </w:pPr>
          </w:p>
        </w:tc>
        <w:tc>
          <w:tcPr>
            <w:tcW w:w="1043" w:type="dxa"/>
            <w:tcBorders>
              <w:top w:val="single" w:sz="4" w:space="0" w:color="000000"/>
              <w:bottom w:val="single" w:sz="4" w:space="0" w:color="000000"/>
            </w:tcBorders>
          </w:tcPr>
          <w:p w14:paraId="39D20E51" w14:textId="0DD8332C" w:rsidR="00B628FF" w:rsidRDefault="005B2D2F">
            <w:pPr>
              <w:pStyle w:val="MeasureTableYearHeadings"/>
              <w:keepNext/>
            </w:pPr>
            <w:r>
              <w:t>2024</w:t>
            </w:r>
            <w:r w:rsidR="00B31B37">
              <w:noBreakHyphen/>
            </w:r>
            <w:r>
              <w:t>25</w:t>
            </w:r>
          </w:p>
        </w:tc>
        <w:tc>
          <w:tcPr>
            <w:tcW w:w="1043" w:type="dxa"/>
            <w:tcBorders>
              <w:top w:val="single" w:sz="4" w:space="0" w:color="000000"/>
              <w:bottom w:val="single" w:sz="4" w:space="0" w:color="000000"/>
            </w:tcBorders>
          </w:tcPr>
          <w:p w14:paraId="4A7C11C4" w14:textId="596A365D" w:rsidR="00B628FF" w:rsidRDefault="005B2D2F">
            <w:pPr>
              <w:pStyle w:val="MeasureTableYearHeadings"/>
              <w:keepNext/>
            </w:pPr>
            <w:r>
              <w:t>2025</w:t>
            </w:r>
            <w:r w:rsidR="00B31B37">
              <w:noBreakHyphen/>
            </w:r>
            <w:r>
              <w:t>26</w:t>
            </w:r>
          </w:p>
        </w:tc>
        <w:tc>
          <w:tcPr>
            <w:tcW w:w="1043" w:type="dxa"/>
            <w:tcBorders>
              <w:top w:val="single" w:sz="4" w:space="0" w:color="000000"/>
              <w:bottom w:val="single" w:sz="4" w:space="0" w:color="000000"/>
            </w:tcBorders>
          </w:tcPr>
          <w:p w14:paraId="14C26BF7" w14:textId="574B6789" w:rsidR="00B628FF" w:rsidRDefault="005B2D2F">
            <w:pPr>
              <w:pStyle w:val="MeasureTableYearHeadings"/>
              <w:keepNext/>
            </w:pPr>
            <w:r>
              <w:t>2026</w:t>
            </w:r>
            <w:r w:rsidR="00B31B37">
              <w:noBreakHyphen/>
            </w:r>
            <w:r>
              <w:t>27</w:t>
            </w:r>
          </w:p>
        </w:tc>
        <w:tc>
          <w:tcPr>
            <w:tcW w:w="1043" w:type="dxa"/>
            <w:tcBorders>
              <w:top w:val="single" w:sz="4" w:space="0" w:color="000000"/>
              <w:bottom w:val="single" w:sz="4" w:space="0" w:color="000000"/>
            </w:tcBorders>
          </w:tcPr>
          <w:p w14:paraId="01B49B75" w14:textId="7AB539A6" w:rsidR="00B628FF" w:rsidRDefault="005B2D2F">
            <w:pPr>
              <w:pStyle w:val="MeasureTableYearHeadings"/>
              <w:keepNext/>
            </w:pPr>
            <w:r>
              <w:t>2027</w:t>
            </w:r>
            <w:r w:rsidR="00B31B37">
              <w:noBreakHyphen/>
            </w:r>
            <w:r>
              <w:t>28</w:t>
            </w:r>
          </w:p>
        </w:tc>
        <w:tc>
          <w:tcPr>
            <w:tcW w:w="1043" w:type="dxa"/>
            <w:tcBorders>
              <w:top w:val="single" w:sz="4" w:space="0" w:color="000000"/>
              <w:bottom w:val="single" w:sz="4" w:space="0" w:color="000000"/>
            </w:tcBorders>
          </w:tcPr>
          <w:p w14:paraId="08BC77E0" w14:textId="405C5218" w:rsidR="00B628FF" w:rsidRDefault="005B2D2F">
            <w:pPr>
              <w:pStyle w:val="MeasureTableYearHeadings"/>
              <w:keepNext/>
            </w:pPr>
            <w:r>
              <w:t>2028</w:t>
            </w:r>
            <w:r w:rsidR="00B31B37">
              <w:noBreakHyphen/>
            </w:r>
            <w:r>
              <w:t>29</w:t>
            </w:r>
          </w:p>
        </w:tc>
      </w:tr>
      <w:tr w:rsidR="00B628FF" w14:paraId="42F86C17" w14:textId="77777777">
        <w:trPr>
          <w:cantSplit/>
        </w:trPr>
        <w:tc>
          <w:tcPr>
            <w:tcW w:w="2500" w:type="dxa"/>
            <w:tcBorders>
              <w:top w:val="single" w:sz="4" w:space="0" w:color="000000"/>
              <w:bottom w:val="single" w:sz="4" w:space="0" w:color="000000"/>
            </w:tcBorders>
          </w:tcPr>
          <w:p w14:paraId="249A97D3" w14:textId="77777777" w:rsidR="00B628FF" w:rsidRDefault="005B2D2F">
            <w:pPr>
              <w:pStyle w:val="MeasureTableHeadingleftalignedwith2ptsspacing"/>
              <w:keepNext/>
            </w:pPr>
            <w:r>
              <w:t>Department of the Treasury</w:t>
            </w:r>
          </w:p>
        </w:tc>
        <w:tc>
          <w:tcPr>
            <w:tcW w:w="1043" w:type="dxa"/>
            <w:tcBorders>
              <w:top w:val="single" w:sz="4" w:space="0" w:color="000000"/>
              <w:bottom w:val="single" w:sz="4" w:space="0" w:color="000000"/>
            </w:tcBorders>
          </w:tcPr>
          <w:p w14:paraId="59BF4315" w14:textId="77777777" w:rsidR="00B628FF" w:rsidRDefault="005B2D2F">
            <w:pPr>
              <w:pStyle w:val="MeasureTableDataRightAlignedwith2ptsspacing"/>
              <w:keepNext/>
            </w:pPr>
            <w:r>
              <w:t>1.7</w:t>
            </w:r>
          </w:p>
        </w:tc>
        <w:tc>
          <w:tcPr>
            <w:tcW w:w="1043" w:type="dxa"/>
            <w:tcBorders>
              <w:top w:val="single" w:sz="4" w:space="0" w:color="000000"/>
              <w:bottom w:val="single" w:sz="4" w:space="0" w:color="000000"/>
            </w:tcBorders>
          </w:tcPr>
          <w:p w14:paraId="197D56C5" w14:textId="77777777" w:rsidR="00B628FF" w:rsidRDefault="005B2D2F">
            <w:pPr>
              <w:pStyle w:val="MeasureTableDataRightAlignedwith2ptsspacing"/>
              <w:keepNext/>
            </w:pPr>
            <w:r>
              <w:t>11.6</w:t>
            </w:r>
          </w:p>
        </w:tc>
        <w:tc>
          <w:tcPr>
            <w:tcW w:w="1043" w:type="dxa"/>
            <w:tcBorders>
              <w:top w:val="single" w:sz="4" w:space="0" w:color="000000"/>
              <w:bottom w:val="single" w:sz="4" w:space="0" w:color="000000"/>
            </w:tcBorders>
          </w:tcPr>
          <w:p w14:paraId="78768ABF" w14:textId="77777777" w:rsidR="00B628FF" w:rsidRDefault="005B2D2F">
            <w:pPr>
              <w:pStyle w:val="MeasureTableDataRightAlignedwith2ptsspacing"/>
              <w:keepNext/>
            </w:pPr>
            <w:r>
              <w:t>46.7</w:t>
            </w:r>
          </w:p>
        </w:tc>
        <w:tc>
          <w:tcPr>
            <w:tcW w:w="1043" w:type="dxa"/>
            <w:tcBorders>
              <w:top w:val="single" w:sz="4" w:space="0" w:color="000000"/>
              <w:bottom w:val="single" w:sz="4" w:space="0" w:color="000000"/>
            </w:tcBorders>
          </w:tcPr>
          <w:p w14:paraId="76B5B0A7" w14:textId="77777777" w:rsidR="00B628FF" w:rsidRDefault="005B2D2F">
            <w:pPr>
              <w:pStyle w:val="MeasureTableDataRightAlignedwith2ptsspacing"/>
              <w:keepNext/>
            </w:pPr>
            <w:r>
              <w:t>20.0</w:t>
            </w:r>
          </w:p>
        </w:tc>
        <w:tc>
          <w:tcPr>
            <w:tcW w:w="1043" w:type="dxa"/>
            <w:tcBorders>
              <w:top w:val="single" w:sz="4" w:space="0" w:color="000000"/>
              <w:bottom w:val="single" w:sz="4" w:space="0" w:color="000000"/>
            </w:tcBorders>
          </w:tcPr>
          <w:p w14:paraId="3346ECD5" w14:textId="3E61BEE4" w:rsidR="00B628FF" w:rsidRDefault="00B31B37">
            <w:pPr>
              <w:pStyle w:val="MeasureTableDataRightAlignedwith2ptsspacing"/>
              <w:keepNext/>
            </w:pPr>
            <w:r>
              <w:noBreakHyphen/>
            </w:r>
            <w:r w:rsidR="005B2D2F">
              <w:t>76.0</w:t>
            </w:r>
          </w:p>
        </w:tc>
      </w:tr>
      <w:tr w:rsidR="00B628FF" w14:paraId="6CEE92AF" w14:textId="77777777">
        <w:trPr>
          <w:cantSplit/>
        </w:trPr>
        <w:tc>
          <w:tcPr>
            <w:tcW w:w="2500" w:type="dxa"/>
            <w:tcBorders>
              <w:top w:val="single" w:sz="4" w:space="0" w:color="000000"/>
              <w:bottom w:val="single" w:sz="4" w:space="0" w:color="000000"/>
            </w:tcBorders>
          </w:tcPr>
          <w:p w14:paraId="4F57777C" w14:textId="77777777" w:rsidR="00B628FF" w:rsidRDefault="005B2D2F">
            <w:pPr>
              <w:pStyle w:val="MeasureTableHeadingleftalignedwith2ptsspacing"/>
              <w:keepNext/>
            </w:pPr>
            <w:r>
              <w:t>Department of Climate Change, Energy, the Environment and Water</w:t>
            </w:r>
          </w:p>
        </w:tc>
        <w:tc>
          <w:tcPr>
            <w:tcW w:w="1043" w:type="dxa"/>
            <w:tcBorders>
              <w:top w:val="single" w:sz="4" w:space="0" w:color="000000"/>
              <w:bottom w:val="single" w:sz="4" w:space="0" w:color="000000"/>
            </w:tcBorders>
          </w:tcPr>
          <w:p w14:paraId="698FB4AC" w14:textId="5BCE742E" w:rsidR="00B628FF" w:rsidRDefault="00B31B37">
            <w:pPr>
              <w:pStyle w:val="MeasureTableDataRightAlignedwith2ptsspacing"/>
              <w:keepNext/>
            </w:pPr>
            <w:r>
              <w:noBreakHyphen/>
            </w:r>
            <w:r w:rsidR="005B2D2F">
              <w:t>1.7</w:t>
            </w:r>
          </w:p>
        </w:tc>
        <w:tc>
          <w:tcPr>
            <w:tcW w:w="1043" w:type="dxa"/>
            <w:tcBorders>
              <w:top w:val="single" w:sz="4" w:space="0" w:color="000000"/>
              <w:bottom w:val="single" w:sz="4" w:space="0" w:color="000000"/>
            </w:tcBorders>
          </w:tcPr>
          <w:p w14:paraId="49132883" w14:textId="6E081854" w:rsidR="00B628FF" w:rsidRDefault="00B31B37">
            <w:pPr>
              <w:pStyle w:val="MeasureTableDataRightAlignedwith2ptsspacing"/>
              <w:keepNext/>
            </w:pPr>
            <w:r>
              <w:noBreakHyphen/>
            </w:r>
            <w:r w:rsidR="005B2D2F">
              <w:t>1.2</w:t>
            </w:r>
          </w:p>
        </w:tc>
        <w:tc>
          <w:tcPr>
            <w:tcW w:w="1043" w:type="dxa"/>
            <w:tcBorders>
              <w:top w:val="single" w:sz="4" w:space="0" w:color="000000"/>
              <w:bottom w:val="single" w:sz="4" w:space="0" w:color="000000"/>
            </w:tcBorders>
          </w:tcPr>
          <w:p w14:paraId="7F06175B" w14:textId="0543A099" w:rsidR="00B628FF" w:rsidRDefault="00B31B37">
            <w:pPr>
              <w:pStyle w:val="MeasureTableDataRightAlignedwith2ptsspacing"/>
              <w:keepNext/>
            </w:pPr>
            <w:r>
              <w:noBreakHyphen/>
            </w:r>
            <w:r w:rsidR="005B2D2F">
              <w:t>1.2</w:t>
            </w:r>
          </w:p>
        </w:tc>
        <w:tc>
          <w:tcPr>
            <w:tcW w:w="1043" w:type="dxa"/>
            <w:tcBorders>
              <w:top w:val="single" w:sz="4" w:space="0" w:color="000000"/>
              <w:bottom w:val="single" w:sz="4" w:space="0" w:color="000000"/>
            </w:tcBorders>
          </w:tcPr>
          <w:p w14:paraId="27BB023C" w14:textId="3055CBAA"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4C517B28" w14:textId="674FACBE" w:rsidR="00B628FF" w:rsidRDefault="00B31B37">
            <w:pPr>
              <w:pStyle w:val="MeasureTableDataRightAlignedwith2ptsspacing"/>
              <w:keepNext/>
            </w:pPr>
            <w:r>
              <w:noBreakHyphen/>
            </w:r>
          </w:p>
        </w:tc>
      </w:tr>
      <w:tr w:rsidR="00B628FF" w14:paraId="5A6CDB7E" w14:textId="77777777">
        <w:trPr>
          <w:cantSplit/>
        </w:trPr>
        <w:tc>
          <w:tcPr>
            <w:tcW w:w="2500" w:type="dxa"/>
            <w:tcBorders>
              <w:top w:val="single" w:sz="4" w:space="0" w:color="000000"/>
              <w:bottom w:val="single" w:sz="4" w:space="0" w:color="000000"/>
            </w:tcBorders>
          </w:tcPr>
          <w:p w14:paraId="177E25A8" w14:textId="77777777" w:rsidR="00B628FF" w:rsidRDefault="005B2D2F">
            <w:pPr>
              <w:pStyle w:val="Totalrowleftaligned"/>
              <w:keepNext/>
            </w:pPr>
            <w:r>
              <w:t>Total – Payments</w:t>
            </w:r>
          </w:p>
        </w:tc>
        <w:tc>
          <w:tcPr>
            <w:tcW w:w="1043" w:type="dxa"/>
            <w:tcBorders>
              <w:top w:val="single" w:sz="4" w:space="0" w:color="000000"/>
              <w:bottom w:val="single" w:sz="4" w:space="0" w:color="000000"/>
            </w:tcBorders>
          </w:tcPr>
          <w:p w14:paraId="5D776F07" w14:textId="6402AB1D" w:rsidR="00B628FF" w:rsidRDefault="00B31B37">
            <w:pPr>
              <w:pStyle w:val="Totaldatarowrightaligned"/>
              <w:keepNext/>
            </w:pPr>
            <w:r>
              <w:noBreakHyphen/>
            </w:r>
          </w:p>
        </w:tc>
        <w:tc>
          <w:tcPr>
            <w:tcW w:w="1043" w:type="dxa"/>
            <w:tcBorders>
              <w:top w:val="single" w:sz="4" w:space="0" w:color="000000"/>
              <w:bottom w:val="single" w:sz="4" w:space="0" w:color="000000"/>
            </w:tcBorders>
          </w:tcPr>
          <w:p w14:paraId="49EB46F2" w14:textId="77777777" w:rsidR="00B628FF" w:rsidRDefault="005B2D2F">
            <w:pPr>
              <w:pStyle w:val="Totaldatarowrightaligned"/>
              <w:keepNext/>
            </w:pPr>
            <w:r>
              <w:t>10.4</w:t>
            </w:r>
          </w:p>
        </w:tc>
        <w:tc>
          <w:tcPr>
            <w:tcW w:w="1043" w:type="dxa"/>
            <w:tcBorders>
              <w:top w:val="single" w:sz="4" w:space="0" w:color="000000"/>
              <w:bottom w:val="single" w:sz="4" w:space="0" w:color="000000"/>
            </w:tcBorders>
          </w:tcPr>
          <w:p w14:paraId="620D7EDD" w14:textId="77777777" w:rsidR="00B628FF" w:rsidRDefault="005B2D2F">
            <w:pPr>
              <w:pStyle w:val="Totaldatarowrightaligned"/>
              <w:keepNext/>
            </w:pPr>
            <w:r>
              <w:t>45.5</w:t>
            </w:r>
          </w:p>
        </w:tc>
        <w:tc>
          <w:tcPr>
            <w:tcW w:w="1043" w:type="dxa"/>
            <w:tcBorders>
              <w:top w:val="single" w:sz="4" w:space="0" w:color="000000"/>
              <w:bottom w:val="single" w:sz="4" w:space="0" w:color="000000"/>
            </w:tcBorders>
          </w:tcPr>
          <w:p w14:paraId="3AC8D308" w14:textId="77777777" w:rsidR="00B628FF" w:rsidRDefault="005B2D2F">
            <w:pPr>
              <w:pStyle w:val="Totaldatarowrightaligned"/>
              <w:keepNext/>
            </w:pPr>
            <w:r>
              <w:t>20.0</w:t>
            </w:r>
          </w:p>
        </w:tc>
        <w:tc>
          <w:tcPr>
            <w:tcW w:w="1043" w:type="dxa"/>
            <w:tcBorders>
              <w:top w:val="single" w:sz="4" w:space="0" w:color="000000"/>
              <w:bottom w:val="single" w:sz="4" w:space="0" w:color="000000"/>
            </w:tcBorders>
          </w:tcPr>
          <w:p w14:paraId="45549F37" w14:textId="11C45A0D" w:rsidR="00B628FF" w:rsidRDefault="00B31B37">
            <w:pPr>
              <w:pStyle w:val="Totaldatarowrightaligned"/>
              <w:keepNext/>
            </w:pPr>
            <w:r>
              <w:noBreakHyphen/>
            </w:r>
            <w:r w:rsidR="005B2D2F">
              <w:t>76.0</w:t>
            </w:r>
          </w:p>
        </w:tc>
      </w:tr>
    </w:tbl>
    <w:p w14:paraId="1D2D5ACD" w14:textId="77777777" w:rsidR="00B628FF" w:rsidRDefault="00B628FF">
      <w:pPr>
        <w:keepNext/>
        <w:spacing w:line="226" w:lineRule="exact"/>
        <w:rPr>
          <w:sz w:val="16"/>
        </w:rPr>
      </w:pPr>
    </w:p>
    <w:p w14:paraId="70011EC5" w14:textId="77777777" w:rsidR="00B628FF" w:rsidRDefault="005B2D2F">
      <w:pPr>
        <w:pStyle w:val="Normal2"/>
      </w:pPr>
      <w:r>
        <w:t>The Government will provide $87.7 million over three years from 2025–‍26 to deliver new water infrastructure projects. Funding includes:</w:t>
      </w:r>
    </w:p>
    <w:p w14:paraId="76066386" w14:textId="77777777" w:rsidR="00B628FF" w:rsidRDefault="005B2D2F">
      <w:pPr>
        <w:pStyle w:val="Bullet"/>
      </w:pPr>
      <w:r>
        <w:t>$87.5 million over three years from 2025–‍26 in additional funding for the Cairns Water Security Project in Queensland to secure long‑term water security for Cairns</w:t>
      </w:r>
    </w:p>
    <w:p w14:paraId="6E250489" w14:textId="1ACFEAF2" w:rsidR="00B628FF" w:rsidRDefault="005B2D2F">
      <w:pPr>
        <w:pStyle w:val="Bullet"/>
      </w:pPr>
      <w:r>
        <w:t>$0.2 million in 2025–‍26 to provide rainwater tanks for the remote First</w:t>
      </w:r>
      <w:r w:rsidR="00254599">
        <w:t> </w:t>
      </w:r>
      <w:r>
        <w:t>Nations community of Truwana / Cape Barren Island in Tasmania.</w:t>
      </w:r>
    </w:p>
    <w:p w14:paraId="1D2BFB86" w14:textId="5C74AF1C" w:rsidR="00B628FF" w:rsidRDefault="005B2D2F">
      <w:pPr>
        <w:pStyle w:val="Normal2"/>
      </w:pPr>
      <w:r w:rsidRPr="5FA307DC">
        <w:rPr>
          <w:lang w:val="en-US"/>
        </w:rPr>
        <w:t>The Government will also redirect $21.1 million over three years from 2024–‍25 from projects no longer proceeding to new water infrastructure projects and repurpose funding</w:t>
      </w:r>
      <w:r w:rsidR="00D249F3" w:rsidRPr="5FA307DC">
        <w:rPr>
          <w:lang w:val="en-US"/>
        </w:rPr>
        <w:t> </w:t>
      </w:r>
      <w:r w:rsidRPr="5FA307DC">
        <w:rPr>
          <w:lang w:val="en-US"/>
        </w:rPr>
        <w:t>provided for capacity building in First Nations communities to support urgent First Nations water infrastructure priorities.</w:t>
      </w:r>
    </w:p>
    <w:p w14:paraId="3B5D11FB" w14:textId="77777777" w:rsidR="00B628FF" w:rsidRDefault="005B2D2F">
      <w:pPr>
        <w:pStyle w:val="Normal2"/>
      </w:pPr>
      <w:r>
        <w:t>Deferral of $190.2 million in 2028–‍29 for the Paradise Dam Improvement, Hughenden Irrigation Scheme and Big Rocks Weir projects in Queensland will better align funding with expected timing of final investment decisions.</w:t>
      </w:r>
    </w:p>
    <w:p w14:paraId="7C879CE7" w14:textId="77777777" w:rsidR="00B628FF" w:rsidRDefault="005B2D2F">
      <w:pPr>
        <w:pStyle w:val="Normal2"/>
      </w:pPr>
      <w:r>
        <w:t>The cost of this measure will be met by reallocating funding from within the National Water Grid Fund.</w:t>
      </w:r>
    </w:p>
    <w:p w14:paraId="799B3822" w14:textId="77777777" w:rsidR="00B628FF" w:rsidRDefault="005B2D2F">
      <w:pPr>
        <w:pStyle w:val="Normal2"/>
      </w:pPr>
      <w:r>
        <w:t>The Treasury manages Commonwealth payments to the states and territories.</w:t>
      </w:r>
    </w:p>
    <w:p w14:paraId="52C5780C" w14:textId="3DDB4BD1" w:rsidR="00B628FF" w:rsidRDefault="005B2D2F">
      <w:pPr>
        <w:pStyle w:val="Normal2"/>
      </w:pPr>
      <w:r>
        <w:t xml:space="preserve">This measure builds on the 2024–‍25 MYEFO measure titled </w:t>
      </w:r>
      <w:r w:rsidRPr="005B2D2F">
        <w:rPr>
          <w:i/>
        </w:rPr>
        <w:t xml:space="preserve">National Water Grid Fund – continuing delivery, </w:t>
      </w:r>
      <w:r>
        <w:t>the 2024–‍25 Budget measure titled</w:t>
      </w:r>
      <w:r w:rsidRPr="005B2D2F">
        <w:rPr>
          <w:i/>
        </w:rPr>
        <w:t xml:space="preserve"> National Water Grid Fund – responsible investment in water infrastructure for the regions, </w:t>
      </w:r>
      <w:r>
        <w:t>the 2023–‍24 MYEFO measure titled</w:t>
      </w:r>
      <w:r w:rsidRPr="005B2D2F">
        <w:rPr>
          <w:i/>
        </w:rPr>
        <w:t xml:space="preserve"> National Water Grid Fund – delivering commitments, </w:t>
      </w:r>
      <w:r>
        <w:t>and the 2022–‍23 October</w:t>
      </w:r>
      <w:r w:rsidR="006F05C0">
        <w:t> </w:t>
      </w:r>
      <w:r>
        <w:t xml:space="preserve">Budget measure titled </w:t>
      </w:r>
      <w:r w:rsidRPr="005B2D2F">
        <w:rPr>
          <w:i/>
        </w:rPr>
        <w:t>National Water Grid – delivering commitments.</w:t>
      </w:r>
    </w:p>
    <w:p w14:paraId="7C9B3C66" w14:textId="2C78C4A0" w:rsidR="00B628FF" w:rsidRDefault="005B2D2F">
      <w:pPr>
        <w:pStyle w:val="MeasureTitle"/>
      </w:pPr>
      <w:r>
        <w:t>Protecting Australia</w:t>
      </w:r>
      <w:r w:rsidR="00B31B37">
        <w:t>’</w:t>
      </w:r>
      <w:r>
        <w:t>s Iconic National Parks – continuing delivery</w:t>
      </w:r>
    </w:p>
    <w:p w14:paraId="6A68FF4D" w14:textId="77777777" w:rsidR="00B628FF" w:rsidRDefault="005B2D2F">
      <w:pPr>
        <w:pStyle w:val="MeasureTableHeading"/>
      </w:pPr>
      <w:r>
        <w:t>Payments ($m)</w:t>
      </w:r>
    </w:p>
    <w:tbl>
      <w:tblPr>
        <w:tblOverlap w:val="never"/>
        <w:tblW w:w="7721" w:type="dxa"/>
        <w:tblBorders>
          <w:top w:val="single" w:sz="4" w:space="0" w:color="000000"/>
          <w:bottom w:val="single" w:sz="4" w:space="0" w:color="000000"/>
        </w:tblBorders>
        <w:tblLayout w:type="fixed"/>
        <w:tblLook w:val="04A0" w:firstRow="1" w:lastRow="0" w:firstColumn="1" w:lastColumn="0" w:noHBand="0" w:noVBand="1"/>
      </w:tblPr>
      <w:tblGrid>
        <w:gridCol w:w="2501"/>
        <w:gridCol w:w="1044"/>
        <w:gridCol w:w="1044"/>
        <w:gridCol w:w="1044"/>
        <w:gridCol w:w="1044"/>
        <w:gridCol w:w="1044"/>
      </w:tblGrid>
      <w:tr w:rsidR="00B628FF" w14:paraId="4256DFCF" w14:textId="77777777">
        <w:trPr>
          <w:cantSplit/>
        </w:trPr>
        <w:tc>
          <w:tcPr>
            <w:tcW w:w="2500" w:type="dxa"/>
            <w:tcBorders>
              <w:top w:val="single" w:sz="4" w:space="0" w:color="000000"/>
              <w:bottom w:val="single" w:sz="4" w:space="0" w:color="000000"/>
            </w:tcBorders>
          </w:tcPr>
          <w:p w14:paraId="59171CB1" w14:textId="77777777" w:rsidR="00B628FF" w:rsidRDefault="00B628FF">
            <w:pPr>
              <w:pStyle w:val="MeasureTableYearHeadings"/>
              <w:keepNext/>
            </w:pPr>
          </w:p>
        </w:tc>
        <w:tc>
          <w:tcPr>
            <w:tcW w:w="1043" w:type="dxa"/>
            <w:tcBorders>
              <w:top w:val="single" w:sz="4" w:space="0" w:color="000000"/>
              <w:bottom w:val="single" w:sz="4" w:space="0" w:color="000000"/>
            </w:tcBorders>
          </w:tcPr>
          <w:p w14:paraId="66B48578" w14:textId="2A42FE3D" w:rsidR="00B628FF" w:rsidRDefault="005B2D2F">
            <w:pPr>
              <w:pStyle w:val="MeasureTableYearHeadings"/>
              <w:keepNext/>
            </w:pPr>
            <w:r>
              <w:t>2024</w:t>
            </w:r>
            <w:r w:rsidR="00B31B37">
              <w:noBreakHyphen/>
            </w:r>
            <w:r>
              <w:t>25</w:t>
            </w:r>
          </w:p>
        </w:tc>
        <w:tc>
          <w:tcPr>
            <w:tcW w:w="1043" w:type="dxa"/>
            <w:tcBorders>
              <w:top w:val="single" w:sz="4" w:space="0" w:color="000000"/>
              <w:bottom w:val="single" w:sz="4" w:space="0" w:color="000000"/>
            </w:tcBorders>
          </w:tcPr>
          <w:p w14:paraId="36713E43" w14:textId="57E3F374" w:rsidR="00B628FF" w:rsidRDefault="005B2D2F">
            <w:pPr>
              <w:pStyle w:val="MeasureTableYearHeadings"/>
              <w:keepNext/>
            </w:pPr>
            <w:r>
              <w:t>2025</w:t>
            </w:r>
            <w:r w:rsidR="00B31B37">
              <w:noBreakHyphen/>
            </w:r>
            <w:r>
              <w:t>26</w:t>
            </w:r>
          </w:p>
        </w:tc>
        <w:tc>
          <w:tcPr>
            <w:tcW w:w="1043" w:type="dxa"/>
            <w:tcBorders>
              <w:top w:val="single" w:sz="4" w:space="0" w:color="000000"/>
              <w:bottom w:val="single" w:sz="4" w:space="0" w:color="000000"/>
            </w:tcBorders>
          </w:tcPr>
          <w:p w14:paraId="316E58DF" w14:textId="0B67A7D3" w:rsidR="00B628FF" w:rsidRDefault="005B2D2F">
            <w:pPr>
              <w:pStyle w:val="MeasureTableYearHeadings"/>
              <w:keepNext/>
            </w:pPr>
            <w:r>
              <w:t>2026</w:t>
            </w:r>
            <w:r w:rsidR="00B31B37">
              <w:noBreakHyphen/>
            </w:r>
            <w:r>
              <w:t>27</w:t>
            </w:r>
          </w:p>
        </w:tc>
        <w:tc>
          <w:tcPr>
            <w:tcW w:w="1043" w:type="dxa"/>
            <w:tcBorders>
              <w:top w:val="single" w:sz="4" w:space="0" w:color="000000"/>
              <w:bottom w:val="single" w:sz="4" w:space="0" w:color="000000"/>
            </w:tcBorders>
          </w:tcPr>
          <w:p w14:paraId="71543641" w14:textId="22C26420" w:rsidR="00B628FF" w:rsidRDefault="005B2D2F">
            <w:pPr>
              <w:pStyle w:val="MeasureTableYearHeadings"/>
              <w:keepNext/>
            </w:pPr>
            <w:r>
              <w:t>2027</w:t>
            </w:r>
            <w:r w:rsidR="00B31B37">
              <w:noBreakHyphen/>
            </w:r>
            <w:r>
              <w:t>28</w:t>
            </w:r>
          </w:p>
        </w:tc>
        <w:tc>
          <w:tcPr>
            <w:tcW w:w="1043" w:type="dxa"/>
            <w:tcBorders>
              <w:top w:val="single" w:sz="4" w:space="0" w:color="000000"/>
              <w:bottom w:val="single" w:sz="4" w:space="0" w:color="000000"/>
            </w:tcBorders>
          </w:tcPr>
          <w:p w14:paraId="46B2543F" w14:textId="78E4A2A0" w:rsidR="00B628FF" w:rsidRDefault="005B2D2F">
            <w:pPr>
              <w:pStyle w:val="MeasureTableYearHeadings"/>
              <w:keepNext/>
            </w:pPr>
            <w:r>
              <w:t>2028</w:t>
            </w:r>
            <w:r w:rsidR="00B31B37">
              <w:noBreakHyphen/>
            </w:r>
            <w:r>
              <w:t>29</w:t>
            </w:r>
          </w:p>
        </w:tc>
      </w:tr>
      <w:tr w:rsidR="00B628FF" w14:paraId="0416F507" w14:textId="77777777">
        <w:trPr>
          <w:cantSplit/>
        </w:trPr>
        <w:tc>
          <w:tcPr>
            <w:tcW w:w="2500" w:type="dxa"/>
            <w:tcBorders>
              <w:top w:val="single" w:sz="4" w:space="0" w:color="000000"/>
              <w:bottom w:val="single" w:sz="4" w:space="0" w:color="000000"/>
            </w:tcBorders>
          </w:tcPr>
          <w:p w14:paraId="19D4E9C2" w14:textId="77777777" w:rsidR="00B628FF" w:rsidRDefault="005B2D2F">
            <w:pPr>
              <w:pStyle w:val="MeasureTableHeadingleftalignedwith2ptsspacing"/>
              <w:keepNext/>
            </w:pPr>
            <w:r>
              <w:t>Director of National Parks</w:t>
            </w:r>
          </w:p>
        </w:tc>
        <w:tc>
          <w:tcPr>
            <w:tcW w:w="1043" w:type="dxa"/>
            <w:tcBorders>
              <w:top w:val="single" w:sz="4" w:space="0" w:color="000000"/>
              <w:bottom w:val="single" w:sz="4" w:space="0" w:color="000000"/>
            </w:tcBorders>
          </w:tcPr>
          <w:p w14:paraId="18187DFD" w14:textId="074EC876"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7EA60376" w14:textId="77777777" w:rsidR="00B628FF" w:rsidRDefault="005B2D2F">
            <w:pPr>
              <w:pStyle w:val="MeasureTableDataRightAlignedwith2ptsspacing"/>
              <w:keepNext/>
            </w:pPr>
            <w:r>
              <w:t>13.9</w:t>
            </w:r>
          </w:p>
        </w:tc>
        <w:tc>
          <w:tcPr>
            <w:tcW w:w="1043" w:type="dxa"/>
            <w:tcBorders>
              <w:top w:val="single" w:sz="4" w:space="0" w:color="000000"/>
              <w:bottom w:val="single" w:sz="4" w:space="0" w:color="000000"/>
            </w:tcBorders>
          </w:tcPr>
          <w:p w14:paraId="41DFBAAE" w14:textId="77777777" w:rsidR="00B628FF" w:rsidRDefault="005B2D2F">
            <w:pPr>
              <w:pStyle w:val="MeasureTableDataRightAlignedwith2ptsspacing"/>
              <w:keepNext/>
            </w:pPr>
            <w:r>
              <w:t>13.6</w:t>
            </w:r>
          </w:p>
        </w:tc>
        <w:tc>
          <w:tcPr>
            <w:tcW w:w="1043" w:type="dxa"/>
            <w:tcBorders>
              <w:top w:val="single" w:sz="4" w:space="0" w:color="000000"/>
              <w:bottom w:val="single" w:sz="4" w:space="0" w:color="000000"/>
            </w:tcBorders>
          </w:tcPr>
          <w:p w14:paraId="3F0985F2" w14:textId="77777777" w:rsidR="00B628FF" w:rsidRDefault="005B2D2F">
            <w:pPr>
              <w:pStyle w:val="MeasureTableDataRightAlignedwith2ptsspacing"/>
              <w:keepNext/>
            </w:pPr>
            <w:r>
              <w:t>13.8</w:t>
            </w:r>
          </w:p>
        </w:tc>
        <w:tc>
          <w:tcPr>
            <w:tcW w:w="1043" w:type="dxa"/>
            <w:tcBorders>
              <w:top w:val="single" w:sz="4" w:space="0" w:color="000000"/>
              <w:bottom w:val="single" w:sz="4" w:space="0" w:color="000000"/>
            </w:tcBorders>
          </w:tcPr>
          <w:p w14:paraId="6B645B7F" w14:textId="77777777" w:rsidR="00B628FF" w:rsidRDefault="005B2D2F">
            <w:pPr>
              <w:pStyle w:val="MeasureTableDataRightAlignedwith2ptsspacing"/>
              <w:keepNext/>
            </w:pPr>
            <w:r>
              <w:t>13.9</w:t>
            </w:r>
          </w:p>
        </w:tc>
      </w:tr>
    </w:tbl>
    <w:p w14:paraId="7FC2B194" w14:textId="77777777" w:rsidR="00B628FF" w:rsidRDefault="00B628FF">
      <w:pPr>
        <w:keepNext/>
        <w:spacing w:line="226" w:lineRule="exact"/>
        <w:rPr>
          <w:sz w:val="16"/>
        </w:rPr>
      </w:pPr>
    </w:p>
    <w:p w14:paraId="6B238921" w14:textId="3BFA9C77" w:rsidR="00B628FF" w:rsidRDefault="005B2D2F">
      <w:pPr>
        <w:pStyle w:val="Normal2"/>
      </w:pPr>
      <w:r w:rsidRPr="5FA307DC">
        <w:rPr>
          <w:lang w:val="en-US"/>
        </w:rPr>
        <w:t>The Government will provide $55.2 million over four years from 2025–‍26 (and $14.1 million per year ongoing) to renew lease arrangements with the Traditional Owners of the jointly managed Booderee, Kakadu, and Uluṟu‑Kata Tjuṯa National Parks. Funding will support the Government</w:t>
      </w:r>
      <w:r w:rsidR="00B31B37">
        <w:rPr>
          <w:lang w:val="en-US"/>
        </w:rPr>
        <w:t>’</w:t>
      </w:r>
      <w:r w:rsidRPr="5FA307DC">
        <w:rPr>
          <w:lang w:val="en-US"/>
        </w:rPr>
        <w:t xml:space="preserve">s commitment to restore trust and confidence in the management of Commonwealth national parks, as detailed in the </w:t>
      </w:r>
      <w:r w:rsidRPr="5FA307DC">
        <w:rPr>
          <w:i/>
          <w:iCs/>
          <w:lang w:val="en-US"/>
        </w:rPr>
        <w:t>Nature Positive Plan: better for the environment, better for business.</w:t>
      </w:r>
    </w:p>
    <w:p w14:paraId="4D509553" w14:textId="77777777" w:rsidR="00B628FF" w:rsidRDefault="005B2D2F">
      <w:pPr>
        <w:pStyle w:val="MeasureTitle"/>
      </w:pPr>
      <w:r>
        <w:t>Protecting Our Environment</w:t>
      </w:r>
    </w:p>
    <w:p w14:paraId="277D5F01" w14:textId="77777777" w:rsidR="00B628FF" w:rsidRDefault="005B2D2F">
      <w:pPr>
        <w:pStyle w:val="MeasureTableHeading"/>
      </w:pPr>
      <w:r>
        <w:t>Payments ($m)</w:t>
      </w:r>
    </w:p>
    <w:tbl>
      <w:tblPr>
        <w:tblOverlap w:val="never"/>
        <w:tblW w:w="7721" w:type="dxa"/>
        <w:tblBorders>
          <w:top w:val="single" w:sz="4" w:space="0" w:color="000000"/>
          <w:bottom w:val="single" w:sz="4" w:space="0" w:color="000000"/>
        </w:tblBorders>
        <w:tblLayout w:type="fixed"/>
        <w:tblLook w:val="04A0" w:firstRow="1" w:lastRow="0" w:firstColumn="1" w:lastColumn="0" w:noHBand="0" w:noVBand="1"/>
      </w:tblPr>
      <w:tblGrid>
        <w:gridCol w:w="2501"/>
        <w:gridCol w:w="1044"/>
        <w:gridCol w:w="1044"/>
        <w:gridCol w:w="1044"/>
        <w:gridCol w:w="1044"/>
        <w:gridCol w:w="1044"/>
      </w:tblGrid>
      <w:tr w:rsidR="00B628FF" w14:paraId="0E7242A0" w14:textId="77777777">
        <w:trPr>
          <w:cantSplit/>
        </w:trPr>
        <w:tc>
          <w:tcPr>
            <w:tcW w:w="2500" w:type="dxa"/>
            <w:tcBorders>
              <w:top w:val="single" w:sz="4" w:space="0" w:color="000000"/>
              <w:bottom w:val="single" w:sz="4" w:space="0" w:color="000000"/>
            </w:tcBorders>
          </w:tcPr>
          <w:p w14:paraId="0FB278A4" w14:textId="77777777" w:rsidR="00B628FF" w:rsidRDefault="00B628FF">
            <w:pPr>
              <w:pStyle w:val="MeasureTableYearHeadings"/>
              <w:keepNext/>
            </w:pPr>
          </w:p>
        </w:tc>
        <w:tc>
          <w:tcPr>
            <w:tcW w:w="1043" w:type="dxa"/>
            <w:tcBorders>
              <w:top w:val="single" w:sz="4" w:space="0" w:color="000000"/>
              <w:bottom w:val="single" w:sz="4" w:space="0" w:color="000000"/>
            </w:tcBorders>
          </w:tcPr>
          <w:p w14:paraId="4CCAE5CC" w14:textId="13D6FECD" w:rsidR="00B628FF" w:rsidRDefault="005B2D2F">
            <w:pPr>
              <w:pStyle w:val="MeasureTableYearHeadings"/>
              <w:keepNext/>
            </w:pPr>
            <w:r>
              <w:t>2024</w:t>
            </w:r>
            <w:r w:rsidR="00B31B37">
              <w:noBreakHyphen/>
            </w:r>
            <w:r>
              <w:t>25</w:t>
            </w:r>
          </w:p>
        </w:tc>
        <w:tc>
          <w:tcPr>
            <w:tcW w:w="1043" w:type="dxa"/>
            <w:tcBorders>
              <w:top w:val="single" w:sz="4" w:space="0" w:color="000000"/>
              <w:bottom w:val="single" w:sz="4" w:space="0" w:color="000000"/>
            </w:tcBorders>
          </w:tcPr>
          <w:p w14:paraId="1EDEA21F" w14:textId="3E5164BD" w:rsidR="00B628FF" w:rsidRDefault="005B2D2F">
            <w:pPr>
              <w:pStyle w:val="MeasureTableYearHeadings"/>
              <w:keepNext/>
            </w:pPr>
            <w:r>
              <w:t>2025</w:t>
            </w:r>
            <w:r w:rsidR="00B31B37">
              <w:noBreakHyphen/>
            </w:r>
            <w:r>
              <w:t>26</w:t>
            </w:r>
          </w:p>
        </w:tc>
        <w:tc>
          <w:tcPr>
            <w:tcW w:w="1043" w:type="dxa"/>
            <w:tcBorders>
              <w:top w:val="single" w:sz="4" w:space="0" w:color="000000"/>
              <w:bottom w:val="single" w:sz="4" w:space="0" w:color="000000"/>
            </w:tcBorders>
          </w:tcPr>
          <w:p w14:paraId="5DFE3F06" w14:textId="35D4461F" w:rsidR="00B628FF" w:rsidRDefault="005B2D2F">
            <w:pPr>
              <w:pStyle w:val="MeasureTableYearHeadings"/>
              <w:keepNext/>
            </w:pPr>
            <w:r>
              <w:t>2026</w:t>
            </w:r>
            <w:r w:rsidR="00B31B37">
              <w:noBreakHyphen/>
            </w:r>
            <w:r>
              <w:t>27</w:t>
            </w:r>
          </w:p>
        </w:tc>
        <w:tc>
          <w:tcPr>
            <w:tcW w:w="1043" w:type="dxa"/>
            <w:tcBorders>
              <w:top w:val="single" w:sz="4" w:space="0" w:color="000000"/>
              <w:bottom w:val="single" w:sz="4" w:space="0" w:color="000000"/>
            </w:tcBorders>
          </w:tcPr>
          <w:p w14:paraId="7DC4B91E" w14:textId="3E3754C6" w:rsidR="00B628FF" w:rsidRDefault="005B2D2F">
            <w:pPr>
              <w:pStyle w:val="MeasureTableYearHeadings"/>
              <w:keepNext/>
            </w:pPr>
            <w:r>
              <w:t>2027</w:t>
            </w:r>
            <w:r w:rsidR="00B31B37">
              <w:noBreakHyphen/>
            </w:r>
            <w:r>
              <w:t>28</w:t>
            </w:r>
          </w:p>
        </w:tc>
        <w:tc>
          <w:tcPr>
            <w:tcW w:w="1043" w:type="dxa"/>
            <w:tcBorders>
              <w:top w:val="single" w:sz="4" w:space="0" w:color="000000"/>
              <w:bottom w:val="single" w:sz="4" w:space="0" w:color="000000"/>
            </w:tcBorders>
          </w:tcPr>
          <w:p w14:paraId="7EFEC255" w14:textId="26FAE5CF" w:rsidR="00B628FF" w:rsidRDefault="005B2D2F">
            <w:pPr>
              <w:pStyle w:val="MeasureTableYearHeadings"/>
              <w:keepNext/>
            </w:pPr>
            <w:r>
              <w:t>2028</w:t>
            </w:r>
            <w:r w:rsidR="00B31B37">
              <w:noBreakHyphen/>
            </w:r>
            <w:r>
              <w:t>29</w:t>
            </w:r>
          </w:p>
        </w:tc>
      </w:tr>
      <w:tr w:rsidR="00B628FF" w14:paraId="5250F371" w14:textId="77777777">
        <w:trPr>
          <w:cantSplit/>
        </w:trPr>
        <w:tc>
          <w:tcPr>
            <w:tcW w:w="2500" w:type="dxa"/>
            <w:tcBorders>
              <w:top w:val="single" w:sz="4" w:space="0" w:color="000000"/>
              <w:bottom w:val="single" w:sz="4" w:space="0" w:color="000000"/>
            </w:tcBorders>
          </w:tcPr>
          <w:p w14:paraId="50729E75" w14:textId="77777777" w:rsidR="00B628FF" w:rsidRDefault="005B2D2F">
            <w:pPr>
              <w:pStyle w:val="MeasureTableHeadingleftalignedwith2ptsspacing"/>
              <w:keepNext/>
            </w:pPr>
            <w:r>
              <w:t>Department of Climate Change, Energy, the Environment and Water</w:t>
            </w:r>
          </w:p>
        </w:tc>
        <w:tc>
          <w:tcPr>
            <w:tcW w:w="1043" w:type="dxa"/>
            <w:tcBorders>
              <w:top w:val="single" w:sz="4" w:space="0" w:color="000000"/>
              <w:bottom w:val="single" w:sz="4" w:space="0" w:color="000000"/>
            </w:tcBorders>
          </w:tcPr>
          <w:p w14:paraId="5835E065" w14:textId="2DCB2572"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25EE6021" w14:textId="77777777" w:rsidR="00B628FF" w:rsidRDefault="005B2D2F">
            <w:pPr>
              <w:pStyle w:val="MeasureTableDataRightAlignedwith2ptsspacing"/>
              <w:keepNext/>
            </w:pPr>
            <w:r>
              <w:t>50.0</w:t>
            </w:r>
          </w:p>
        </w:tc>
        <w:tc>
          <w:tcPr>
            <w:tcW w:w="1043" w:type="dxa"/>
            <w:tcBorders>
              <w:top w:val="single" w:sz="4" w:space="0" w:color="000000"/>
              <w:bottom w:val="single" w:sz="4" w:space="0" w:color="000000"/>
            </w:tcBorders>
          </w:tcPr>
          <w:p w14:paraId="44EA98DF" w14:textId="77777777" w:rsidR="00B628FF" w:rsidRDefault="005B2D2F">
            <w:pPr>
              <w:pStyle w:val="MeasureTableDataRightAlignedwith2ptsspacing"/>
              <w:keepNext/>
            </w:pPr>
            <w:r>
              <w:t>50.0</w:t>
            </w:r>
          </w:p>
        </w:tc>
        <w:tc>
          <w:tcPr>
            <w:tcW w:w="1043" w:type="dxa"/>
            <w:tcBorders>
              <w:top w:val="single" w:sz="4" w:space="0" w:color="000000"/>
              <w:bottom w:val="single" w:sz="4" w:space="0" w:color="000000"/>
            </w:tcBorders>
          </w:tcPr>
          <w:p w14:paraId="76F77667" w14:textId="77777777" w:rsidR="00B628FF" w:rsidRDefault="005B2D2F">
            <w:pPr>
              <w:pStyle w:val="MeasureTableDataRightAlignedwith2ptsspacing"/>
              <w:keepNext/>
            </w:pPr>
            <w:r>
              <w:t>50.0</w:t>
            </w:r>
          </w:p>
        </w:tc>
        <w:tc>
          <w:tcPr>
            <w:tcW w:w="1043" w:type="dxa"/>
            <w:tcBorders>
              <w:top w:val="single" w:sz="4" w:space="0" w:color="000000"/>
              <w:bottom w:val="single" w:sz="4" w:space="0" w:color="000000"/>
            </w:tcBorders>
          </w:tcPr>
          <w:p w14:paraId="0E8653FE" w14:textId="77777777" w:rsidR="00B628FF" w:rsidRDefault="005B2D2F">
            <w:pPr>
              <w:pStyle w:val="MeasureTableDataRightAlignedwith2ptsspacing"/>
              <w:keepNext/>
            </w:pPr>
            <w:r>
              <w:t>50.0</w:t>
            </w:r>
          </w:p>
        </w:tc>
      </w:tr>
      <w:tr w:rsidR="00B628FF" w14:paraId="361F0A3D" w14:textId="77777777">
        <w:trPr>
          <w:cantSplit/>
        </w:trPr>
        <w:tc>
          <w:tcPr>
            <w:tcW w:w="2500" w:type="dxa"/>
            <w:tcBorders>
              <w:top w:val="single" w:sz="4" w:space="0" w:color="000000"/>
              <w:bottom w:val="single" w:sz="4" w:space="0" w:color="000000"/>
            </w:tcBorders>
          </w:tcPr>
          <w:p w14:paraId="06980A6D" w14:textId="77777777" w:rsidR="00B628FF" w:rsidRDefault="005B2D2F">
            <w:pPr>
              <w:pStyle w:val="MeasureTableHeadingleftalignedwith2ptsspacing"/>
              <w:keepNext/>
            </w:pPr>
            <w:r>
              <w:t>Director of National Parks</w:t>
            </w:r>
          </w:p>
        </w:tc>
        <w:tc>
          <w:tcPr>
            <w:tcW w:w="1043" w:type="dxa"/>
            <w:tcBorders>
              <w:top w:val="single" w:sz="4" w:space="0" w:color="000000"/>
              <w:bottom w:val="single" w:sz="4" w:space="0" w:color="000000"/>
            </w:tcBorders>
          </w:tcPr>
          <w:p w14:paraId="11D498F2" w14:textId="6CF46C4F"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23FC28E0" w14:textId="77777777" w:rsidR="00B628FF" w:rsidRDefault="005B2D2F">
            <w:pPr>
              <w:pStyle w:val="MeasureTableDataRightAlignedwith2ptsspacing"/>
              <w:keepNext/>
            </w:pPr>
            <w:r>
              <w:t>1.4</w:t>
            </w:r>
          </w:p>
        </w:tc>
        <w:tc>
          <w:tcPr>
            <w:tcW w:w="1043" w:type="dxa"/>
            <w:tcBorders>
              <w:top w:val="single" w:sz="4" w:space="0" w:color="000000"/>
              <w:bottom w:val="single" w:sz="4" w:space="0" w:color="000000"/>
            </w:tcBorders>
          </w:tcPr>
          <w:p w14:paraId="1BB8CC41" w14:textId="77777777" w:rsidR="00B628FF" w:rsidRDefault="005B2D2F">
            <w:pPr>
              <w:pStyle w:val="MeasureTableDataRightAlignedwith2ptsspacing"/>
              <w:keepNext/>
            </w:pPr>
            <w:r>
              <w:t>2.0</w:t>
            </w:r>
          </w:p>
        </w:tc>
        <w:tc>
          <w:tcPr>
            <w:tcW w:w="1043" w:type="dxa"/>
            <w:tcBorders>
              <w:top w:val="single" w:sz="4" w:space="0" w:color="000000"/>
              <w:bottom w:val="single" w:sz="4" w:space="0" w:color="000000"/>
            </w:tcBorders>
          </w:tcPr>
          <w:p w14:paraId="1B8099E8" w14:textId="77777777" w:rsidR="00B628FF" w:rsidRDefault="005B2D2F">
            <w:pPr>
              <w:pStyle w:val="MeasureTableDataRightAlignedwith2ptsspacing"/>
              <w:keepNext/>
            </w:pPr>
            <w:r>
              <w:t>0.8</w:t>
            </w:r>
          </w:p>
        </w:tc>
        <w:tc>
          <w:tcPr>
            <w:tcW w:w="1043" w:type="dxa"/>
            <w:tcBorders>
              <w:top w:val="single" w:sz="4" w:space="0" w:color="000000"/>
              <w:bottom w:val="single" w:sz="4" w:space="0" w:color="000000"/>
            </w:tcBorders>
          </w:tcPr>
          <w:p w14:paraId="2F9D06EA" w14:textId="77777777" w:rsidR="00B628FF" w:rsidRDefault="005B2D2F">
            <w:pPr>
              <w:pStyle w:val="MeasureTableDataRightAlignedwith2ptsspacing"/>
              <w:keepNext/>
            </w:pPr>
            <w:r>
              <w:t>7.7</w:t>
            </w:r>
          </w:p>
        </w:tc>
      </w:tr>
      <w:tr w:rsidR="00B628FF" w14:paraId="63B77633" w14:textId="77777777">
        <w:trPr>
          <w:cantSplit/>
        </w:trPr>
        <w:tc>
          <w:tcPr>
            <w:tcW w:w="2500" w:type="dxa"/>
            <w:tcBorders>
              <w:top w:val="single" w:sz="4" w:space="0" w:color="000000"/>
              <w:bottom w:val="single" w:sz="4" w:space="0" w:color="000000"/>
            </w:tcBorders>
          </w:tcPr>
          <w:p w14:paraId="5FD887B9" w14:textId="77777777" w:rsidR="00B628FF" w:rsidRDefault="005B2D2F">
            <w:pPr>
              <w:pStyle w:val="Totalrowleftaligned"/>
              <w:keepNext/>
            </w:pPr>
            <w:r>
              <w:t>Total – Payments</w:t>
            </w:r>
          </w:p>
        </w:tc>
        <w:tc>
          <w:tcPr>
            <w:tcW w:w="1043" w:type="dxa"/>
            <w:tcBorders>
              <w:top w:val="single" w:sz="4" w:space="0" w:color="000000"/>
              <w:bottom w:val="single" w:sz="4" w:space="0" w:color="000000"/>
            </w:tcBorders>
          </w:tcPr>
          <w:p w14:paraId="10DB9B94" w14:textId="32C9C5D7" w:rsidR="00B628FF" w:rsidRDefault="00B31B37">
            <w:pPr>
              <w:pStyle w:val="Totaldatarowrightaligned"/>
              <w:keepNext/>
            </w:pPr>
            <w:r>
              <w:noBreakHyphen/>
            </w:r>
          </w:p>
        </w:tc>
        <w:tc>
          <w:tcPr>
            <w:tcW w:w="1043" w:type="dxa"/>
            <w:tcBorders>
              <w:top w:val="single" w:sz="4" w:space="0" w:color="000000"/>
              <w:bottom w:val="single" w:sz="4" w:space="0" w:color="000000"/>
            </w:tcBorders>
          </w:tcPr>
          <w:p w14:paraId="53EC284C" w14:textId="77777777" w:rsidR="00B628FF" w:rsidRDefault="005B2D2F">
            <w:pPr>
              <w:pStyle w:val="Totaldatarowrightaligned"/>
              <w:keepNext/>
            </w:pPr>
            <w:r>
              <w:t>51.4</w:t>
            </w:r>
          </w:p>
        </w:tc>
        <w:tc>
          <w:tcPr>
            <w:tcW w:w="1043" w:type="dxa"/>
            <w:tcBorders>
              <w:top w:val="single" w:sz="4" w:space="0" w:color="000000"/>
              <w:bottom w:val="single" w:sz="4" w:space="0" w:color="000000"/>
            </w:tcBorders>
          </w:tcPr>
          <w:p w14:paraId="25D2D9E8" w14:textId="77777777" w:rsidR="00B628FF" w:rsidRDefault="005B2D2F">
            <w:pPr>
              <w:pStyle w:val="Totaldatarowrightaligned"/>
              <w:keepNext/>
            </w:pPr>
            <w:r>
              <w:t>52.0</w:t>
            </w:r>
          </w:p>
        </w:tc>
        <w:tc>
          <w:tcPr>
            <w:tcW w:w="1043" w:type="dxa"/>
            <w:tcBorders>
              <w:top w:val="single" w:sz="4" w:space="0" w:color="000000"/>
              <w:bottom w:val="single" w:sz="4" w:space="0" w:color="000000"/>
            </w:tcBorders>
          </w:tcPr>
          <w:p w14:paraId="24FE5B25" w14:textId="77777777" w:rsidR="00B628FF" w:rsidRDefault="005B2D2F">
            <w:pPr>
              <w:pStyle w:val="Totaldatarowrightaligned"/>
              <w:keepNext/>
            </w:pPr>
            <w:r>
              <w:t>50.8</w:t>
            </w:r>
          </w:p>
        </w:tc>
        <w:tc>
          <w:tcPr>
            <w:tcW w:w="1043" w:type="dxa"/>
            <w:tcBorders>
              <w:top w:val="single" w:sz="4" w:space="0" w:color="000000"/>
              <w:bottom w:val="single" w:sz="4" w:space="0" w:color="000000"/>
            </w:tcBorders>
          </w:tcPr>
          <w:p w14:paraId="4CFB6751" w14:textId="77777777" w:rsidR="00B628FF" w:rsidRDefault="005B2D2F">
            <w:pPr>
              <w:pStyle w:val="Totaldatarowrightaligned"/>
              <w:keepNext/>
            </w:pPr>
            <w:r>
              <w:t>57.7</w:t>
            </w:r>
          </w:p>
        </w:tc>
      </w:tr>
    </w:tbl>
    <w:p w14:paraId="103E7253" w14:textId="77777777" w:rsidR="00B628FF" w:rsidRDefault="00B628FF">
      <w:pPr>
        <w:keepNext/>
        <w:spacing w:line="226" w:lineRule="exact"/>
        <w:rPr>
          <w:sz w:val="16"/>
        </w:rPr>
      </w:pPr>
    </w:p>
    <w:p w14:paraId="46B48DED" w14:textId="5CE8795A" w:rsidR="00B628FF" w:rsidRDefault="005B2D2F">
      <w:pPr>
        <w:pStyle w:val="Normal2"/>
      </w:pPr>
      <w:r w:rsidRPr="5FA307DC">
        <w:rPr>
          <w:lang w:val="en-US"/>
        </w:rPr>
        <w:t>The Government will provide $212.0 million over four years from 2025–‍26 (and an additional $50.0 million in 2029–‍30) to protect more of Australia</w:t>
      </w:r>
      <w:r w:rsidR="00B31B37">
        <w:rPr>
          <w:lang w:val="en-US"/>
        </w:rPr>
        <w:t>’</w:t>
      </w:r>
      <w:r w:rsidRPr="5FA307DC">
        <w:rPr>
          <w:lang w:val="en-US"/>
        </w:rPr>
        <w:t>s natural environment and to help meet the Government</w:t>
      </w:r>
      <w:r w:rsidR="00B31B37">
        <w:rPr>
          <w:lang w:val="en-US"/>
        </w:rPr>
        <w:t>’</w:t>
      </w:r>
      <w:r w:rsidRPr="5FA307DC">
        <w:rPr>
          <w:lang w:val="en-US"/>
        </w:rPr>
        <w:t>s commitment to protect 30</w:t>
      </w:r>
      <w:r w:rsidR="006F05C0" w:rsidRPr="5FA307DC">
        <w:rPr>
          <w:lang w:val="en-US"/>
        </w:rPr>
        <w:t> </w:t>
      </w:r>
      <w:r w:rsidRPr="5FA307DC">
        <w:rPr>
          <w:lang w:val="en-US"/>
        </w:rPr>
        <w:t>per cent of Australia</w:t>
      </w:r>
      <w:r w:rsidR="00B31B37">
        <w:rPr>
          <w:lang w:val="en-US"/>
        </w:rPr>
        <w:t>’</w:t>
      </w:r>
      <w:r w:rsidRPr="5FA307DC">
        <w:rPr>
          <w:lang w:val="en-US"/>
        </w:rPr>
        <w:t>s landmass and territorial waters by</w:t>
      </w:r>
      <w:r w:rsidR="006F05C0" w:rsidRPr="5FA307DC">
        <w:rPr>
          <w:lang w:val="en-US"/>
        </w:rPr>
        <w:t> </w:t>
      </w:r>
      <w:r w:rsidRPr="5FA307DC">
        <w:rPr>
          <w:lang w:val="en-US"/>
        </w:rPr>
        <w:t>2030</w:t>
      </w:r>
      <w:r w:rsidR="00FC5306" w:rsidRPr="5FA307DC">
        <w:rPr>
          <w:lang w:val="en-US"/>
        </w:rPr>
        <w:t>. Funding includes</w:t>
      </w:r>
      <w:r w:rsidRPr="5FA307DC">
        <w:rPr>
          <w:lang w:val="en-US"/>
        </w:rPr>
        <w:t>:</w:t>
      </w:r>
    </w:p>
    <w:p w14:paraId="17B5AAA5" w14:textId="3B158D1E" w:rsidR="00B628FF" w:rsidRDefault="005B2D2F">
      <w:pPr>
        <w:pStyle w:val="Bullet"/>
      </w:pPr>
      <w:r>
        <w:t>$200.0 million over four years from 2025–‍26 (and an additional $50.0 million in 2029–‍30) for the Saving Australia</w:t>
      </w:r>
      <w:r w:rsidR="00B31B37">
        <w:t>’</w:t>
      </w:r>
      <w:r>
        <w:t>s Bushland program to provide better pest management and incentives for private land conservation, increasing partnerships with state and local governments to expand protected areas, and establish new Indigenous Protected Areas</w:t>
      </w:r>
    </w:p>
    <w:p w14:paraId="2F6044D9" w14:textId="038DB135" w:rsidR="00B628FF" w:rsidRDefault="005B2D2F">
      <w:pPr>
        <w:pStyle w:val="Bullet"/>
      </w:pPr>
      <w:r>
        <w:t>$12.0 million over four years from 2025–‍26 to build on the Government</w:t>
      </w:r>
      <w:r w:rsidR="00B31B37">
        <w:t>’</w:t>
      </w:r>
      <w:r>
        <w:t>s investment to deliver increased ocean protection.</w:t>
      </w:r>
    </w:p>
    <w:p w14:paraId="1B3E088F" w14:textId="77777777" w:rsidR="00B628FF" w:rsidRDefault="005B2D2F">
      <w:pPr>
        <w:pStyle w:val="Normal2"/>
      </w:pPr>
      <w:r>
        <w:t>Funding for this measure will be held in the Contingency Reserve.</w:t>
      </w:r>
    </w:p>
    <w:p w14:paraId="35DB139E" w14:textId="77777777" w:rsidR="00B628FF" w:rsidRDefault="005B2D2F">
      <w:pPr>
        <w:pStyle w:val="MeasureTitle"/>
      </w:pPr>
      <w:r>
        <w:t>Strengthening the Clean Energy Finance Corporation</w:t>
      </w:r>
    </w:p>
    <w:p w14:paraId="308C5AAF" w14:textId="77777777" w:rsidR="00B628FF" w:rsidRDefault="005B2D2F">
      <w:pPr>
        <w:pStyle w:val="MeasureTableHeading"/>
      </w:pPr>
      <w:r>
        <w:t>Payments ($m)</w:t>
      </w:r>
    </w:p>
    <w:tbl>
      <w:tblPr>
        <w:tblOverlap w:val="never"/>
        <w:tblW w:w="7721" w:type="dxa"/>
        <w:tblBorders>
          <w:top w:val="single" w:sz="4" w:space="0" w:color="000000"/>
          <w:bottom w:val="single" w:sz="4" w:space="0" w:color="000000"/>
        </w:tblBorders>
        <w:tblLayout w:type="fixed"/>
        <w:tblLook w:val="04A0" w:firstRow="1" w:lastRow="0" w:firstColumn="1" w:lastColumn="0" w:noHBand="0" w:noVBand="1"/>
      </w:tblPr>
      <w:tblGrid>
        <w:gridCol w:w="2501"/>
        <w:gridCol w:w="1044"/>
        <w:gridCol w:w="1044"/>
        <w:gridCol w:w="1044"/>
        <w:gridCol w:w="1044"/>
        <w:gridCol w:w="1044"/>
      </w:tblGrid>
      <w:tr w:rsidR="00B628FF" w14:paraId="07FEBE7C" w14:textId="77777777">
        <w:trPr>
          <w:cantSplit/>
        </w:trPr>
        <w:tc>
          <w:tcPr>
            <w:tcW w:w="2500" w:type="dxa"/>
            <w:tcBorders>
              <w:top w:val="single" w:sz="4" w:space="0" w:color="000000"/>
              <w:bottom w:val="single" w:sz="4" w:space="0" w:color="000000"/>
            </w:tcBorders>
          </w:tcPr>
          <w:p w14:paraId="137FAD97" w14:textId="77777777" w:rsidR="00B628FF" w:rsidRDefault="00B628FF">
            <w:pPr>
              <w:pStyle w:val="MeasureTableYearHeadings"/>
              <w:keepNext/>
            </w:pPr>
          </w:p>
        </w:tc>
        <w:tc>
          <w:tcPr>
            <w:tcW w:w="1043" w:type="dxa"/>
            <w:tcBorders>
              <w:top w:val="single" w:sz="4" w:space="0" w:color="000000"/>
              <w:bottom w:val="single" w:sz="4" w:space="0" w:color="000000"/>
            </w:tcBorders>
          </w:tcPr>
          <w:p w14:paraId="24332E4F" w14:textId="7CDBF09E" w:rsidR="00B628FF" w:rsidRDefault="005B2D2F">
            <w:pPr>
              <w:pStyle w:val="MeasureTableYearHeadings"/>
              <w:keepNext/>
            </w:pPr>
            <w:r>
              <w:t>2024</w:t>
            </w:r>
            <w:r w:rsidR="00B31B37">
              <w:noBreakHyphen/>
            </w:r>
            <w:r>
              <w:t>25</w:t>
            </w:r>
          </w:p>
        </w:tc>
        <w:tc>
          <w:tcPr>
            <w:tcW w:w="1043" w:type="dxa"/>
            <w:tcBorders>
              <w:top w:val="single" w:sz="4" w:space="0" w:color="000000"/>
              <w:bottom w:val="single" w:sz="4" w:space="0" w:color="000000"/>
            </w:tcBorders>
          </w:tcPr>
          <w:p w14:paraId="5A8445DE" w14:textId="61240FB5" w:rsidR="00B628FF" w:rsidRDefault="005B2D2F">
            <w:pPr>
              <w:pStyle w:val="MeasureTableYearHeadings"/>
              <w:keepNext/>
            </w:pPr>
            <w:r>
              <w:t>2025</w:t>
            </w:r>
            <w:r w:rsidR="00B31B37">
              <w:noBreakHyphen/>
            </w:r>
            <w:r>
              <w:t>26</w:t>
            </w:r>
          </w:p>
        </w:tc>
        <w:tc>
          <w:tcPr>
            <w:tcW w:w="1043" w:type="dxa"/>
            <w:tcBorders>
              <w:top w:val="single" w:sz="4" w:space="0" w:color="000000"/>
              <w:bottom w:val="single" w:sz="4" w:space="0" w:color="000000"/>
            </w:tcBorders>
          </w:tcPr>
          <w:p w14:paraId="1F794631" w14:textId="7DC26C39" w:rsidR="00B628FF" w:rsidRDefault="005B2D2F">
            <w:pPr>
              <w:pStyle w:val="MeasureTableYearHeadings"/>
              <w:keepNext/>
            </w:pPr>
            <w:r>
              <w:t>2026</w:t>
            </w:r>
            <w:r w:rsidR="00B31B37">
              <w:noBreakHyphen/>
            </w:r>
            <w:r>
              <w:t>27</w:t>
            </w:r>
          </w:p>
        </w:tc>
        <w:tc>
          <w:tcPr>
            <w:tcW w:w="1043" w:type="dxa"/>
            <w:tcBorders>
              <w:top w:val="single" w:sz="4" w:space="0" w:color="000000"/>
              <w:bottom w:val="single" w:sz="4" w:space="0" w:color="000000"/>
            </w:tcBorders>
          </w:tcPr>
          <w:p w14:paraId="0A8698E6" w14:textId="7EAE1827" w:rsidR="00B628FF" w:rsidRDefault="005B2D2F">
            <w:pPr>
              <w:pStyle w:val="MeasureTableYearHeadings"/>
              <w:keepNext/>
            </w:pPr>
            <w:r>
              <w:t>2027</w:t>
            </w:r>
            <w:r w:rsidR="00B31B37">
              <w:noBreakHyphen/>
            </w:r>
            <w:r>
              <w:t>28</w:t>
            </w:r>
          </w:p>
        </w:tc>
        <w:tc>
          <w:tcPr>
            <w:tcW w:w="1043" w:type="dxa"/>
            <w:tcBorders>
              <w:top w:val="single" w:sz="4" w:space="0" w:color="000000"/>
              <w:bottom w:val="single" w:sz="4" w:space="0" w:color="000000"/>
            </w:tcBorders>
          </w:tcPr>
          <w:p w14:paraId="68A473E3" w14:textId="2072A09B" w:rsidR="00B628FF" w:rsidRDefault="005B2D2F">
            <w:pPr>
              <w:pStyle w:val="MeasureTableYearHeadings"/>
              <w:keepNext/>
            </w:pPr>
            <w:r>
              <w:t>2028</w:t>
            </w:r>
            <w:r w:rsidR="00B31B37">
              <w:noBreakHyphen/>
            </w:r>
            <w:r>
              <w:t>29</w:t>
            </w:r>
          </w:p>
        </w:tc>
      </w:tr>
      <w:tr w:rsidR="00B628FF" w14:paraId="406F84C9" w14:textId="77777777">
        <w:trPr>
          <w:cantSplit/>
        </w:trPr>
        <w:tc>
          <w:tcPr>
            <w:tcW w:w="2500" w:type="dxa"/>
            <w:tcBorders>
              <w:top w:val="single" w:sz="4" w:space="0" w:color="000000"/>
              <w:bottom w:val="single" w:sz="4" w:space="0" w:color="000000"/>
            </w:tcBorders>
          </w:tcPr>
          <w:p w14:paraId="52DE478E" w14:textId="77777777" w:rsidR="00B628FF" w:rsidRDefault="005B2D2F">
            <w:pPr>
              <w:pStyle w:val="MeasureTableHeadingleftalignedwith2ptsspacing"/>
              <w:keepNext/>
            </w:pPr>
            <w:r>
              <w:t>Clean Energy Finance Corporation</w:t>
            </w:r>
          </w:p>
        </w:tc>
        <w:tc>
          <w:tcPr>
            <w:tcW w:w="1043" w:type="dxa"/>
            <w:tcBorders>
              <w:top w:val="single" w:sz="4" w:space="0" w:color="000000"/>
              <w:bottom w:val="single" w:sz="4" w:space="0" w:color="000000"/>
            </w:tcBorders>
          </w:tcPr>
          <w:p w14:paraId="346BE861" w14:textId="4B3CF360"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2ABEAA41" w14:textId="5D791DB0"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6F96515C" w14:textId="3CD418CB"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74BC16C7" w14:textId="24920999"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6EC2C0E8" w14:textId="04BADF7F" w:rsidR="00B628FF" w:rsidRDefault="00B31B37">
            <w:pPr>
              <w:pStyle w:val="MeasureTableDataRightAlignedwith2ptsspacing"/>
              <w:keepNext/>
            </w:pPr>
            <w:r>
              <w:noBreakHyphen/>
            </w:r>
          </w:p>
        </w:tc>
      </w:tr>
      <w:tr w:rsidR="00B628FF" w14:paraId="4E4BC36D" w14:textId="77777777">
        <w:trPr>
          <w:cantSplit/>
        </w:trPr>
        <w:tc>
          <w:tcPr>
            <w:tcW w:w="2500" w:type="dxa"/>
          </w:tcPr>
          <w:p w14:paraId="1145DA48" w14:textId="77777777" w:rsidR="00B628FF" w:rsidRDefault="005B2D2F">
            <w:pPr>
              <w:pStyle w:val="AgencyName"/>
              <w:keepNext/>
            </w:pPr>
            <w:r>
              <w:t>Related receipts ($m)</w:t>
            </w:r>
          </w:p>
        </w:tc>
        <w:tc>
          <w:tcPr>
            <w:tcW w:w="1043" w:type="dxa"/>
          </w:tcPr>
          <w:p w14:paraId="3FD3A5AB" w14:textId="77777777" w:rsidR="00B628FF" w:rsidRDefault="00B628FF">
            <w:pPr>
              <w:pStyle w:val="AgencyName"/>
              <w:keepNext/>
            </w:pPr>
          </w:p>
        </w:tc>
        <w:tc>
          <w:tcPr>
            <w:tcW w:w="1043" w:type="dxa"/>
          </w:tcPr>
          <w:p w14:paraId="35875CBA" w14:textId="77777777" w:rsidR="00B628FF" w:rsidRDefault="00B628FF">
            <w:pPr>
              <w:pStyle w:val="AgencyName"/>
              <w:keepNext/>
            </w:pPr>
          </w:p>
        </w:tc>
        <w:tc>
          <w:tcPr>
            <w:tcW w:w="1043" w:type="dxa"/>
          </w:tcPr>
          <w:p w14:paraId="24FD099D" w14:textId="77777777" w:rsidR="00B628FF" w:rsidRDefault="00B628FF">
            <w:pPr>
              <w:pStyle w:val="AgencyName"/>
              <w:keepNext/>
            </w:pPr>
          </w:p>
        </w:tc>
        <w:tc>
          <w:tcPr>
            <w:tcW w:w="1043" w:type="dxa"/>
          </w:tcPr>
          <w:p w14:paraId="1A668ECD" w14:textId="77777777" w:rsidR="00B628FF" w:rsidRDefault="00B628FF">
            <w:pPr>
              <w:pStyle w:val="AgencyName"/>
              <w:keepNext/>
            </w:pPr>
          </w:p>
        </w:tc>
        <w:tc>
          <w:tcPr>
            <w:tcW w:w="1043" w:type="dxa"/>
          </w:tcPr>
          <w:p w14:paraId="6B80FBE0" w14:textId="77777777" w:rsidR="00B628FF" w:rsidRDefault="00B628FF">
            <w:pPr>
              <w:pStyle w:val="AgencyName"/>
              <w:keepNext/>
            </w:pPr>
          </w:p>
        </w:tc>
      </w:tr>
      <w:tr w:rsidR="00B628FF" w14:paraId="43FD10C7" w14:textId="77777777">
        <w:tc>
          <w:tcPr>
            <w:tcW w:w="2500" w:type="dxa"/>
          </w:tcPr>
          <w:p w14:paraId="4B94FA99" w14:textId="77777777" w:rsidR="00B628FF" w:rsidRDefault="005B2D2F">
            <w:pPr>
              <w:pStyle w:val="AgencyNamewith2ptsspacing"/>
              <w:keepNext/>
            </w:pPr>
            <w:r>
              <w:t>Clean Energy Finance Corporation</w:t>
            </w:r>
          </w:p>
        </w:tc>
        <w:tc>
          <w:tcPr>
            <w:tcW w:w="1043" w:type="dxa"/>
          </w:tcPr>
          <w:p w14:paraId="2D5E9CCB" w14:textId="3A9295A8" w:rsidR="00B628FF" w:rsidRDefault="00B31B37">
            <w:pPr>
              <w:pStyle w:val="Measuretabledatarightaligneditalics"/>
              <w:keepNext/>
            </w:pPr>
            <w:r>
              <w:noBreakHyphen/>
            </w:r>
          </w:p>
        </w:tc>
        <w:tc>
          <w:tcPr>
            <w:tcW w:w="1043" w:type="dxa"/>
          </w:tcPr>
          <w:p w14:paraId="21B1F017" w14:textId="79EC8ADB" w:rsidR="00B628FF" w:rsidRDefault="00B31B37">
            <w:pPr>
              <w:pStyle w:val="Measuretabledatarightaligneditalics"/>
              <w:keepNext/>
            </w:pPr>
            <w:r>
              <w:noBreakHyphen/>
            </w:r>
          </w:p>
        </w:tc>
        <w:tc>
          <w:tcPr>
            <w:tcW w:w="1043" w:type="dxa"/>
          </w:tcPr>
          <w:p w14:paraId="42545BC0" w14:textId="1BA003E1" w:rsidR="00B628FF" w:rsidRDefault="00B31B37">
            <w:pPr>
              <w:pStyle w:val="Measuretabledatarightaligneditalics"/>
              <w:keepNext/>
            </w:pPr>
            <w:r>
              <w:noBreakHyphen/>
            </w:r>
          </w:p>
        </w:tc>
        <w:tc>
          <w:tcPr>
            <w:tcW w:w="1043" w:type="dxa"/>
          </w:tcPr>
          <w:p w14:paraId="3950B3D6" w14:textId="732E0CCB" w:rsidR="00B628FF" w:rsidRDefault="00B31B37">
            <w:pPr>
              <w:pStyle w:val="Measuretabledatarightaligneditalics"/>
              <w:keepNext/>
            </w:pPr>
            <w:r>
              <w:noBreakHyphen/>
            </w:r>
          </w:p>
        </w:tc>
        <w:tc>
          <w:tcPr>
            <w:tcW w:w="1043" w:type="dxa"/>
          </w:tcPr>
          <w:p w14:paraId="680FDF79" w14:textId="4BFF5C7E" w:rsidR="00B628FF" w:rsidRDefault="00B31B37">
            <w:pPr>
              <w:pStyle w:val="Measuretabledatarightaligneditalics"/>
              <w:keepNext/>
            </w:pPr>
            <w:r>
              <w:noBreakHyphen/>
            </w:r>
          </w:p>
        </w:tc>
      </w:tr>
    </w:tbl>
    <w:p w14:paraId="5E798ABE" w14:textId="77777777" w:rsidR="00B628FF" w:rsidRDefault="00B628FF">
      <w:pPr>
        <w:keepNext/>
        <w:spacing w:line="226" w:lineRule="exact"/>
        <w:rPr>
          <w:sz w:val="16"/>
        </w:rPr>
      </w:pPr>
    </w:p>
    <w:p w14:paraId="77CC7CCD" w14:textId="796E123A" w:rsidR="00B628FF" w:rsidRDefault="005B2D2F">
      <w:pPr>
        <w:pStyle w:val="Normal2"/>
      </w:pPr>
      <w:r w:rsidRPr="53C5BB3A">
        <w:rPr>
          <w:lang w:val="en-US"/>
        </w:rPr>
        <w:t>The Government will provide $2.0</w:t>
      </w:r>
      <w:r w:rsidR="006F05C0">
        <w:rPr>
          <w:lang w:val="en-US"/>
        </w:rPr>
        <w:t> </w:t>
      </w:r>
      <w:r w:rsidRPr="53C5BB3A">
        <w:rPr>
          <w:lang w:val="en-US"/>
        </w:rPr>
        <w:t>billion to recapitalise the Clean Energy Finance Corporation to invest in renewable energy, energy efficiency and low emissions technologies.</w:t>
      </w:r>
    </w:p>
    <w:p w14:paraId="7ADCC63F" w14:textId="77777777" w:rsidR="00B628FF" w:rsidRDefault="005B2D2F">
      <w:pPr>
        <w:pStyle w:val="Normal2"/>
      </w:pPr>
      <w:r>
        <w:t>The Government has already provided funding for this measure.</w:t>
      </w:r>
    </w:p>
    <w:p w14:paraId="02AE4FCF" w14:textId="77777777" w:rsidR="00B628FF" w:rsidRDefault="00B628FF">
      <w:pPr>
        <w:sectPr w:rsidR="00B628FF" w:rsidSect="00A06F82">
          <w:headerReference w:type="even" r:id="rId45"/>
          <w:headerReference w:type="default" r:id="rId46"/>
          <w:footerReference w:type="even" r:id="rId47"/>
          <w:footerReference w:type="default" r:id="rId48"/>
          <w:headerReference w:type="first" r:id="rId49"/>
          <w:footerReference w:type="first" r:id="rId50"/>
          <w:pgSz w:w="11906" w:h="16838"/>
          <w:pgMar w:top="2835" w:right="2098" w:bottom="2466" w:left="2098" w:header="1814" w:footer="1814" w:gutter="0"/>
          <w:cols w:space="720"/>
          <w:docGrid w:linePitch="272"/>
        </w:sectPr>
      </w:pPr>
    </w:p>
    <w:p w14:paraId="7438617B" w14:textId="77777777" w:rsidR="00B628FF" w:rsidRDefault="005B2D2F">
      <w:pPr>
        <w:pStyle w:val="PortfolioName"/>
      </w:pPr>
      <w:r>
        <w:t>Cross Portfolio</w:t>
      </w:r>
    </w:p>
    <w:p w14:paraId="3200AF1D" w14:textId="77777777" w:rsidR="00B628FF" w:rsidRDefault="005B2D2F">
      <w:pPr>
        <w:pStyle w:val="MeasureTitle"/>
      </w:pPr>
      <w:r>
        <w:t>Closing the Gap – further investments</w:t>
      </w:r>
    </w:p>
    <w:p w14:paraId="5F4AA6A7" w14:textId="77777777" w:rsidR="00B628FF" w:rsidRDefault="005B2D2F">
      <w:pPr>
        <w:pStyle w:val="MeasureTableHeading"/>
      </w:pPr>
      <w:r>
        <w:t>Payments ($m)</w:t>
      </w:r>
    </w:p>
    <w:tbl>
      <w:tblPr>
        <w:tblOverlap w:val="never"/>
        <w:tblW w:w="7721" w:type="dxa"/>
        <w:tblBorders>
          <w:top w:val="single" w:sz="4" w:space="0" w:color="000000"/>
          <w:bottom w:val="single" w:sz="4" w:space="0" w:color="000000"/>
        </w:tblBorders>
        <w:tblLayout w:type="fixed"/>
        <w:tblLook w:val="04A0" w:firstRow="1" w:lastRow="0" w:firstColumn="1" w:lastColumn="0" w:noHBand="0" w:noVBand="1"/>
      </w:tblPr>
      <w:tblGrid>
        <w:gridCol w:w="2501"/>
        <w:gridCol w:w="1044"/>
        <w:gridCol w:w="1044"/>
        <w:gridCol w:w="1044"/>
        <w:gridCol w:w="1044"/>
        <w:gridCol w:w="1044"/>
      </w:tblGrid>
      <w:tr w:rsidR="00B628FF" w14:paraId="1A52841C" w14:textId="77777777">
        <w:trPr>
          <w:cantSplit/>
        </w:trPr>
        <w:tc>
          <w:tcPr>
            <w:tcW w:w="2500" w:type="dxa"/>
            <w:tcBorders>
              <w:top w:val="single" w:sz="4" w:space="0" w:color="000000"/>
              <w:bottom w:val="single" w:sz="4" w:space="0" w:color="000000"/>
            </w:tcBorders>
          </w:tcPr>
          <w:p w14:paraId="4DE83A92" w14:textId="77777777" w:rsidR="00B628FF" w:rsidRDefault="00B628FF">
            <w:pPr>
              <w:pStyle w:val="MeasureTableYearHeadings"/>
              <w:keepNext/>
            </w:pPr>
          </w:p>
        </w:tc>
        <w:tc>
          <w:tcPr>
            <w:tcW w:w="1043" w:type="dxa"/>
            <w:tcBorders>
              <w:top w:val="single" w:sz="4" w:space="0" w:color="000000"/>
              <w:bottom w:val="single" w:sz="4" w:space="0" w:color="000000"/>
            </w:tcBorders>
          </w:tcPr>
          <w:p w14:paraId="611BCE13" w14:textId="01DB6395" w:rsidR="00B628FF" w:rsidRDefault="005B2D2F">
            <w:pPr>
              <w:pStyle w:val="MeasureTableYearHeadings"/>
              <w:keepNext/>
            </w:pPr>
            <w:r>
              <w:t>2024</w:t>
            </w:r>
            <w:r w:rsidR="00B31B37">
              <w:noBreakHyphen/>
            </w:r>
            <w:r>
              <w:t>25</w:t>
            </w:r>
          </w:p>
        </w:tc>
        <w:tc>
          <w:tcPr>
            <w:tcW w:w="1043" w:type="dxa"/>
            <w:tcBorders>
              <w:top w:val="single" w:sz="4" w:space="0" w:color="000000"/>
              <w:bottom w:val="single" w:sz="4" w:space="0" w:color="000000"/>
            </w:tcBorders>
          </w:tcPr>
          <w:p w14:paraId="02BDA358" w14:textId="738FF9DE" w:rsidR="00B628FF" w:rsidRDefault="005B2D2F">
            <w:pPr>
              <w:pStyle w:val="MeasureTableYearHeadings"/>
              <w:keepNext/>
            </w:pPr>
            <w:r>
              <w:t>2025</w:t>
            </w:r>
            <w:r w:rsidR="00B31B37">
              <w:noBreakHyphen/>
            </w:r>
            <w:r>
              <w:t>26</w:t>
            </w:r>
          </w:p>
        </w:tc>
        <w:tc>
          <w:tcPr>
            <w:tcW w:w="1043" w:type="dxa"/>
            <w:tcBorders>
              <w:top w:val="single" w:sz="4" w:space="0" w:color="000000"/>
              <w:bottom w:val="single" w:sz="4" w:space="0" w:color="000000"/>
            </w:tcBorders>
          </w:tcPr>
          <w:p w14:paraId="403024C9" w14:textId="27C2A8A2" w:rsidR="00B628FF" w:rsidRDefault="005B2D2F">
            <w:pPr>
              <w:pStyle w:val="MeasureTableYearHeadings"/>
              <w:keepNext/>
            </w:pPr>
            <w:r>
              <w:t>2026</w:t>
            </w:r>
            <w:r w:rsidR="00B31B37">
              <w:noBreakHyphen/>
            </w:r>
            <w:r>
              <w:t>27</w:t>
            </w:r>
          </w:p>
        </w:tc>
        <w:tc>
          <w:tcPr>
            <w:tcW w:w="1043" w:type="dxa"/>
            <w:tcBorders>
              <w:top w:val="single" w:sz="4" w:space="0" w:color="000000"/>
              <w:bottom w:val="single" w:sz="4" w:space="0" w:color="000000"/>
            </w:tcBorders>
          </w:tcPr>
          <w:p w14:paraId="1200073F" w14:textId="3D060538" w:rsidR="00B628FF" w:rsidRDefault="005B2D2F">
            <w:pPr>
              <w:pStyle w:val="MeasureTableYearHeadings"/>
              <w:keepNext/>
            </w:pPr>
            <w:r>
              <w:t>2027</w:t>
            </w:r>
            <w:r w:rsidR="00B31B37">
              <w:noBreakHyphen/>
            </w:r>
            <w:r>
              <w:t>28</w:t>
            </w:r>
          </w:p>
        </w:tc>
        <w:tc>
          <w:tcPr>
            <w:tcW w:w="1043" w:type="dxa"/>
            <w:tcBorders>
              <w:top w:val="single" w:sz="4" w:space="0" w:color="000000"/>
              <w:bottom w:val="single" w:sz="4" w:space="0" w:color="000000"/>
            </w:tcBorders>
          </w:tcPr>
          <w:p w14:paraId="2622A64C" w14:textId="2F02D467" w:rsidR="00B628FF" w:rsidRDefault="005B2D2F">
            <w:pPr>
              <w:pStyle w:val="MeasureTableYearHeadings"/>
              <w:keepNext/>
            </w:pPr>
            <w:r>
              <w:t>2028</w:t>
            </w:r>
            <w:r w:rsidR="00B31B37">
              <w:noBreakHyphen/>
            </w:r>
            <w:r>
              <w:t>29</w:t>
            </w:r>
          </w:p>
        </w:tc>
      </w:tr>
      <w:tr w:rsidR="00B628FF" w14:paraId="643DE860" w14:textId="77777777">
        <w:trPr>
          <w:cantSplit/>
        </w:trPr>
        <w:tc>
          <w:tcPr>
            <w:tcW w:w="2500" w:type="dxa"/>
            <w:tcBorders>
              <w:top w:val="single" w:sz="4" w:space="0" w:color="000000"/>
              <w:bottom w:val="single" w:sz="4" w:space="0" w:color="000000"/>
            </w:tcBorders>
          </w:tcPr>
          <w:p w14:paraId="6AA2D91F" w14:textId="77777777" w:rsidR="00B628FF" w:rsidRDefault="005B2D2F">
            <w:pPr>
              <w:pStyle w:val="MeasureTableHeadingleftalignedwith2ptsspacing"/>
              <w:keepNext/>
            </w:pPr>
            <w:r>
              <w:t>Department of the Treasury</w:t>
            </w:r>
          </w:p>
        </w:tc>
        <w:tc>
          <w:tcPr>
            <w:tcW w:w="1043" w:type="dxa"/>
            <w:tcBorders>
              <w:top w:val="single" w:sz="4" w:space="0" w:color="000000"/>
              <w:bottom w:val="single" w:sz="4" w:space="0" w:color="000000"/>
            </w:tcBorders>
          </w:tcPr>
          <w:p w14:paraId="047067E3" w14:textId="77777777" w:rsidR="00B628FF" w:rsidRDefault="005B2D2F">
            <w:pPr>
              <w:pStyle w:val="MeasureTableDataRightAlignedwith2ptsspacing"/>
              <w:keepNext/>
            </w:pPr>
            <w:r>
              <w:t>3.0</w:t>
            </w:r>
          </w:p>
        </w:tc>
        <w:tc>
          <w:tcPr>
            <w:tcW w:w="1043" w:type="dxa"/>
            <w:tcBorders>
              <w:top w:val="single" w:sz="4" w:space="0" w:color="000000"/>
              <w:bottom w:val="single" w:sz="4" w:space="0" w:color="000000"/>
            </w:tcBorders>
          </w:tcPr>
          <w:p w14:paraId="674E18F9" w14:textId="77777777" w:rsidR="00B628FF" w:rsidRDefault="005B2D2F">
            <w:pPr>
              <w:pStyle w:val="MeasureTableDataRightAlignedwith2ptsspacing"/>
              <w:keepNext/>
            </w:pPr>
            <w:r>
              <w:t>6.1</w:t>
            </w:r>
          </w:p>
        </w:tc>
        <w:tc>
          <w:tcPr>
            <w:tcW w:w="1043" w:type="dxa"/>
            <w:tcBorders>
              <w:top w:val="single" w:sz="4" w:space="0" w:color="000000"/>
              <w:bottom w:val="single" w:sz="4" w:space="0" w:color="000000"/>
            </w:tcBorders>
          </w:tcPr>
          <w:p w14:paraId="3A20FA6C" w14:textId="77777777" w:rsidR="00B628FF" w:rsidRDefault="005B2D2F">
            <w:pPr>
              <w:pStyle w:val="MeasureTableDataRightAlignedwith2ptsspacing"/>
              <w:keepNext/>
            </w:pPr>
            <w:r>
              <w:t>3.1</w:t>
            </w:r>
          </w:p>
        </w:tc>
        <w:tc>
          <w:tcPr>
            <w:tcW w:w="1043" w:type="dxa"/>
            <w:tcBorders>
              <w:top w:val="single" w:sz="4" w:space="0" w:color="000000"/>
              <w:bottom w:val="single" w:sz="4" w:space="0" w:color="000000"/>
            </w:tcBorders>
          </w:tcPr>
          <w:p w14:paraId="1E33E5A4" w14:textId="77777777" w:rsidR="00B628FF" w:rsidRDefault="005B2D2F">
            <w:pPr>
              <w:pStyle w:val="MeasureTableDataRightAlignedwith2ptsspacing"/>
              <w:keepNext/>
            </w:pPr>
            <w:r>
              <w:t>3.1</w:t>
            </w:r>
          </w:p>
        </w:tc>
        <w:tc>
          <w:tcPr>
            <w:tcW w:w="1043" w:type="dxa"/>
            <w:tcBorders>
              <w:top w:val="single" w:sz="4" w:space="0" w:color="000000"/>
              <w:bottom w:val="single" w:sz="4" w:space="0" w:color="000000"/>
            </w:tcBorders>
          </w:tcPr>
          <w:p w14:paraId="47FD8757" w14:textId="521AF838" w:rsidR="00B628FF" w:rsidRDefault="00B31B37">
            <w:pPr>
              <w:pStyle w:val="MeasureTableDataRightAlignedwith2ptsspacing"/>
              <w:keepNext/>
            </w:pPr>
            <w:r>
              <w:noBreakHyphen/>
            </w:r>
          </w:p>
        </w:tc>
      </w:tr>
      <w:tr w:rsidR="00B628FF" w14:paraId="0E38ACCB" w14:textId="77777777">
        <w:trPr>
          <w:cantSplit/>
        </w:trPr>
        <w:tc>
          <w:tcPr>
            <w:tcW w:w="2500" w:type="dxa"/>
            <w:tcBorders>
              <w:top w:val="single" w:sz="4" w:space="0" w:color="000000"/>
              <w:bottom w:val="single" w:sz="4" w:space="0" w:color="000000"/>
            </w:tcBorders>
          </w:tcPr>
          <w:p w14:paraId="36088790" w14:textId="77777777" w:rsidR="00B628FF" w:rsidRDefault="005B2D2F">
            <w:pPr>
              <w:pStyle w:val="MeasureTableHeadingleftalignedwith2ptsspacing"/>
              <w:keepNext/>
            </w:pPr>
            <w:r>
              <w:t>Department of Education</w:t>
            </w:r>
          </w:p>
        </w:tc>
        <w:tc>
          <w:tcPr>
            <w:tcW w:w="1043" w:type="dxa"/>
            <w:tcBorders>
              <w:top w:val="single" w:sz="4" w:space="0" w:color="000000"/>
              <w:bottom w:val="single" w:sz="4" w:space="0" w:color="000000"/>
            </w:tcBorders>
          </w:tcPr>
          <w:p w14:paraId="00456D3E" w14:textId="00E81EE4"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027C9368" w14:textId="77777777" w:rsidR="00B628FF" w:rsidRDefault="005B2D2F">
            <w:pPr>
              <w:pStyle w:val="MeasureTableDataRightAlignedwith2ptsspacing"/>
              <w:keepNext/>
            </w:pPr>
            <w:r>
              <w:t>18.1</w:t>
            </w:r>
          </w:p>
        </w:tc>
        <w:tc>
          <w:tcPr>
            <w:tcW w:w="1043" w:type="dxa"/>
            <w:tcBorders>
              <w:top w:val="single" w:sz="4" w:space="0" w:color="000000"/>
              <w:bottom w:val="single" w:sz="4" w:space="0" w:color="000000"/>
            </w:tcBorders>
          </w:tcPr>
          <w:p w14:paraId="002FB2E3" w14:textId="77777777" w:rsidR="00B628FF" w:rsidRDefault="005B2D2F">
            <w:pPr>
              <w:pStyle w:val="MeasureTableDataRightAlignedwith2ptsspacing"/>
              <w:keepNext/>
            </w:pPr>
            <w:r>
              <w:t>17.0</w:t>
            </w:r>
          </w:p>
        </w:tc>
        <w:tc>
          <w:tcPr>
            <w:tcW w:w="1043" w:type="dxa"/>
            <w:tcBorders>
              <w:top w:val="single" w:sz="4" w:space="0" w:color="000000"/>
              <w:bottom w:val="single" w:sz="4" w:space="0" w:color="000000"/>
            </w:tcBorders>
          </w:tcPr>
          <w:p w14:paraId="40EE4F7F" w14:textId="63315BC5"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116C9910" w14:textId="7E4D5220" w:rsidR="00B628FF" w:rsidRDefault="00B31B37">
            <w:pPr>
              <w:pStyle w:val="MeasureTableDataRightAlignedwith2ptsspacing"/>
              <w:keepNext/>
            </w:pPr>
            <w:r>
              <w:noBreakHyphen/>
            </w:r>
          </w:p>
        </w:tc>
      </w:tr>
      <w:tr w:rsidR="00B628FF" w14:paraId="2425CD04" w14:textId="77777777">
        <w:trPr>
          <w:cantSplit/>
        </w:trPr>
        <w:tc>
          <w:tcPr>
            <w:tcW w:w="2500" w:type="dxa"/>
            <w:tcBorders>
              <w:top w:val="single" w:sz="4" w:space="0" w:color="000000"/>
              <w:bottom w:val="single" w:sz="4" w:space="0" w:color="000000"/>
            </w:tcBorders>
          </w:tcPr>
          <w:p w14:paraId="2F49A124" w14:textId="77777777" w:rsidR="00B628FF" w:rsidRDefault="005B2D2F">
            <w:pPr>
              <w:pStyle w:val="MeasureTableHeadingleftalignedwith2ptsspacing"/>
              <w:keepNext/>
            </w:pPr>
            <w:r>
              <w:t>Department of Infrastructure, Transport, Regional Development, Communications and the Arts</w:t>
            </w:r>
          </w:p>
        </w:tc>
        <w:tc>
          <w:tcPr>
            <w:tcW w:w="1043" w:type="dxa"/>
            <w:tcBorders>
              <w:top w:val="single" w:sz="4" w:space="0" w:color="000000"/>
              <w:bottom w:val="single" w:sz="4" w:space="0" w:color="000000"/>
            </w:tcBorders>
          </w:tcPr>
          <w:p w14:paraId="36B7C12A" w14:textId="030A7782"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427A2EFE" w14:textId="77777777" w:rsidR="00B628FF" w:rsidRDefault="005B2D2F">
            <w:pPr>
              <w:pStyle w:val="MeasureTableDataRightAlignedwith2ptsspacing"/>
              <w:keepNext/>
            </w:pPr>
            <w:r>
              <w:t>3.6</w:t>
            </w:r>
          </w:p>
        </w:tc>
        <w:tc>
          <w:tcPr>
            <w:tcW w:w="1043" w:type="dxa"/>
            <w:tcBorders>
              <w:top w:val="single" w:sz="4" w:space="0" w:color="000000"/>
              <w:bottom w:val="single" w:sz="4" w:space="0" w:color="000000"/>
            </w:tcBorders>
          </w:tcPr>
          <w:p w14:paraId="64698BBB" w14:textId="77777777" w:rsidR="00B628FF" w:rsidRDefault="005B2D2F">
            <w:pPr>
              <w:pStyle w:val="MeasureTableDataRightAlignedwith2ptsspacing"/>
              <w:keepNext/>
            </w:pPr>
            <w:r>
              <w:t>3.7</w:t>
            </w:r>
          </w:p>
        </w:tc>
        <w:tc>
          <w:tcPr>
            <w:tcW w:w="1043" w:type="dxa"/>
            <w:tcBorders>
              <w:top w:val="single" w:sz="4" w:space="0" w:color="000000"/>
              <w:bottom w:val="single" w:sz="4" w:space="0" w:color="000000"/>
            </w:tcBorders>
          </w:tcPr>
          <w:p w14:paraId="40226D62" w14:textId="77777777" w:rsidR="00B628FF" w:rsidRDefault="005B2D2F">
            <w:pPr>
              <w:pStyle w:val="MeasureTableDataRightAlignedwith2ptsspacing"/>
              <w:keepNext/>
            </w:pPr>
            <w:r>
              <w:t>3.7</w:t>
            </w:r>
          </w:p>
        </w:tc>
        <w:tc>
          <w:tcPr>
            <w:tcW w:w="1043" w:type="dxa"/>
            <w:tcBorders>
              <w:top w:val="single" w:sz="4" w:space="0" w:color="000000"/>
              <w:bottom w:val="single" w:sz="4" w:space="0" w:color="000000"/>
            </w:tcBorders>
          </w:tcPr>
          <w:p w14:paraId="03CB2A63" w14:textId="227FB2E9" w:rsidR="00B628FF" w:rsidRDefault="00B31B37">
            <w:pPr>
              <w:pStyle w:val="MeasureTableDataRightAlignedwith2ptsspacing"/>
              <w:keepNext/>
            </w:pPr>
            <w:r>
              <w:noBreakHyphen/>
            </w:r>
          </w:p>
        </w:tc>
      </w:tr>
      <w:tr w:rsidR="00B628FF" w14:paraId="749AEC35" w14:textId="77777777">
        <w:trPr>
          <w:cantSplit/>
        </w:trPr>
        <w:tc>
          <w:tcPr>
            <w:tcW w:w="2500" w:type="dxa"/>
            <w:tcBorders>
              <w:top w:val="single" w:sz="4" w:space="0" w:color="000000"/>
              <w:bottom w:val="single" w:sz="4" w:space="0" w:color="000000"/>
            </w:tcBorders>
          </w:tcPr>
          <w:p w14:paraId="5936DD01" w14:textId="77777777" w:rsidR="00B628FF" w:rsidRDefault="005B2D2F">
            <w:pPr>
              <w:pStyle w:val="MeasureTableHeadingleftalignedwith2ptsspacing"/>
              <w:keepNext/>
            </w:pPr>
            <w:r>
              <w:t>Australian Institute of Aboriginal and Torres Strait Islander Studies</w:t>
            </w:r>
          </w:p>
        </w:tc>
        <w:tc>
          <w:tcPr>
            <w:tcW w:w="1043" w:type="dxa"/>
            <w:tcBorders>
              <w:top w:val="single" w:sz="4" w:space="0" w:color="000000"/>
              <w:bottom w:val="single" w:sz="4" w:space="0" w:color="000000"/>
            </w:tcBorders>
          </w:tcPr>
          <w:p w14:paraId="28C9654D" w14:textId="3CF67FF4"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51401111" w14:textId="77777777" w:rsidR="00B628FF" w:rsidRDefault="005B2D2F">
            <w:pPr>
              <w:pStyle w:val="MeasureTableDataRightAlignedwith2ptsspacing"/>
              <w:keepNext/>
            </w:pPr>
            <w:r>
              <w:t>1.8</w:t>
            </w:r>
          </w:p>
        </w:tc>
        <w:tc>
          <w:tcPr>
            <w:tcW w:w="1043" w:type="dxa"/>
            <w:tcBorders>
              <w:top w:val="single" w:sz="4" w:space="0" w:color="000000"/>
              <w:bottom w:val="single" w:sz="4" w:space="0" w:color="000000"/>
            </w:tcBorders>
          </w:tcPr>
          <w:p w14:paraId="21DB87B4" w14:textId="77777777" w:rsidR="00B628FF" w:rsidRDefault="005B2D2F">
            <w:pPr>
              <w:pStyle w:val="MeasureTableDataRightAlignedwith2ptsspacing"/>
              <w:keepNext/>
            </w:pPr>
            <w:r>
              <w:t>1.8</w:t>
            </w:r>
          </w:p>
        </w:tc>
        <w:tc>
          <w:tcPr>
            <w:tcW w:w="1043" w:type="dxa"/>
            <w:tcBorders>
              <w:top w:val="single" w:sz="4" w:space="0" w:color="000000"/>
              <w:bottom w:val="single" w:sz="4" w:space="0" w:color="000000"/>
            </w:tcBorders>
          </w:tcPr>
          <w:p w14:paraId="7DF1C5A6" w14:textId="6A3B6EF3"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3F387986" w14:textId="2C43C524" w:rsidR="00B628FF" w:rsidRDefault="00B31B37">
            <w:pPr>
              <w:pStyle w:val="MeasureTableDataRightAlignedwith2ptsspacing"/>
              <w:keepNext/>
            </w:pPr>
            <w:r>
              <w:noBreakHyphen/>
            </w:r>
          </w:p>
        </w:tc>
      </w:tr>
      <w:tr w:rsidR="00B628FF" w14:paraId="60E29A94" w14:textId="77777777">
        <w:trPr>
          <w:cantSplit/>
        </w:trPr>
        <w:tc>
          <w:tcPr>
            <w:tcW w:w="2500" w:type="dxa"/>
            <w:tcBorders>
              <w:top w:val="single" w:sz="4" w:space="0" w:color="000000"/>
              <w:bottom w:val="single" w:sz="4" w:space="0" w:color="000000"/>
            </w:tcBorders>
          </w:tcPr>
          <w:p w14:paraId="7664A7FC" w14:textId="77777777" w:rsidR="00B628FF" w:rsidRDefault="005B2D2F">
            <w:pPr>
              <w:pStyle w:val="MeasureTableHeadingleftalignedwith2ptsspacing"/>
              <w:keepNext/>
            </w:pPr>
            <w:r>
              <w:t>Indigenous Business Australia</w:t>
            </w:r>
          </w:p>
        </w:tc>
        <w:tc>
          <w:tcPr>
            <w:tcW w:w="1043" w:type="dxa"/>
            <w:tcBorders>
              <w:top w:val="single" w:sz="4" w:space="0" w:color="000000"/>
              <w:bottom w:val="single" w:sz="4" w:space="0" w:color="000000"/>
            </w:tcBorders>
          </w:tcPr>
          <w:p w14:paraId="0E8D5CC5" w14:textId="6A749E7F"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602CAC89" w14:textId="77777777" w:rsidR="00B628FF" w:rsidRDefault="005B2D2F">
            <w:pPr>
              <w:pStyle w:val="MeasureTableDataRightAlignedwith2ptsspacing"/>
              <w:keepNext/>
            </w:pPr>
            <w:r>
              <w:t>0.9</w:t>
            </w:r>
          </w:p>
        </w:tc>
        <w:tc>
          <w:tcPr>
            <w:tcW w:w="1043" w:type="dxa"/>
            <w:tcBorders>
              <w:top w:val="single" w:sz="4" w:space="0" w:color="000000"/>
              <w:bottom w:val="single" w:sz="4" w:space="0" w:color="000000"/>
            </w:tcBorders>
          </w:tcPr>
          <w:p w14:paraId="2CE3DBBD" w14:textId="474DEF56"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3C719E94" w14:textId="1E460E58"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6DDD6117" w14:textId="3C06EB25" w:rsidR="00B628FF" w:rsidRDefault="00B31B37">
            <w:pPr>
              <w:pStyle w:val="MeasureTableDataRightAlignedwith2ptsspacing"/>
              <w:keepNext/>
            </w:pPr>
            <w:r>
              <w:noBreakHyphen/>
            </w:r>
          </w:p>
        </w:tc>
      </w:tr>
      <w:tr w:rsidR="00B628FF" w14:paraId="61B351C3" w14:textId="77777777">
        <w:trPr>
          <w:cantSplit/>
        </w:trPr>
        <w:tc>
          <w:tcPr>
            <w:tcW w:w="2500" w:type="dxa"/>
            <w:tcBorders>
              <w:top w:val="single" w:sz="4" w:space="0" w:color="000000"/>
              <w:bottom w:val="single" w:sz="4" w:space="0" w:color="000000"/>
            </w:tcBorders>
          </w:tcPr>
          <w:p w14:paraId="7050F6E8" w14:textId="77777777" w:rsidR="00B628FF" w:rsidRDefault="005B2D2F">
            <w:pPr>
              <w:pStyle w:val="MeasureTableHeadingleftalignedwith2ptsspacing"/>
              <w:keepNext/>
            </w:pPr>
            <w:r>
              <w:t>Department of Health and Aged Care</w:t>
            </w:r>
          </w:p>
        </w:tc>
        <w:tc>
          <w:tcPr>
            <w:tcW w:w="1043" w:type="dxa"/>
            <w:tcBorders>
              <w:top w:val="single" w:sz="4" w:space="0" w:color="000000"/>
              <w:bottom w:val="single" w:sz="4" w:space="0" w:color="000000"/>
            </w:tcBorders>
          </w:tcPr>
          <w:p w14:paraId="6D1D05A2" w14:textId="3D3640DB"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0D6E12AA" w14:textId="1B782190"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52CEAC25" w14:textId="6E450623"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5DAEDD9C" w14:textId="291A4B54"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18787F2B" w14:textId="5A1C5459" w:rsidR="00B628FF" w:rsidRDefault="00B31B37">
            <w:pPr>
              <w:pStyle w:val="MeasureTableDataRightAlignedwith2ptsspacing"/>
              <w:keepNext/>
            </w:pPr>
            <w:r>
              <w:noBreakHyphen/>
            </w:r>
          </w:p>
        </w:tc>
      </w:tr>
      <w:tr w:rsidR="00B628FF" w14:paraId="114AF18A" w14:textId="77777777">
        <w:trPr>
          <w:cantSplit/>
        </w:trPr>
        <w:tc>
          <w:tcPr>
            <w:tcW w:w="2500" w:type="dxa"/>
            <w:tcBorders>
              <w:top w:val="single" w:sz="4" w:space="0" w:color="000000"/>
              <w:bottom w:val="single" w:sz="4" w:space="0" w:color="000000"/>
            </w:tcBorders>
          </w:tcPr>
          <w:p w14:paraId="37548812" w14:textId="77777777" w:rsidR="00B628FF" w:rsidRDefault="005B2D2F">
            <w:pPr>
              <w:pStyle w:val="MeasureTableHeadingleftalignedwith2ptsspacing"/>
              <w:keepNext/>
            </w:pPr>
            <w:r>
              <w:t>Torres Strait Regional Authority</w:t>
            </w:r>
          </w:p>
        </w:tc>
        <w:tc>
          <w:tcPr>
            <w:tcW w:w="1043" w:type="dxa"/>
            <w:tcBorders>
              <w:top w:val="single" w:sz="4" w:space="0" w:color="000000"/>
              <w:bottom w:val="single" w:sz="4" w:space="0" w:color="000000"/>
            </w:tcBorders>
          </w:tcPr>
          <w:p w14:paraId="40F4F966" w14:textId="2D438A4C"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11109640" w14:textId="644345BB"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4460C0B5" w14:textId="6949DD4E"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4ECDC714" w14:textId="303C1904"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475B369D" w14:textId="53133285" w:rsidR="00B628FF" w:rsidRDefault="00B31B37">
            <w:pPr>
              <w:pStyle w:val="MeasureTableDataRightAlignedwith2ptsspacing"/>
              <w:keepNext/>
            </w:pPr>
            <w:r>
              <w:noBreakHyphen/>
            </w:r>
          </w:p>
        </w:tc>
      </w:tr>
      <w:tr w:rsidR="00B628FF" w14:paraId="7D5C27B7" w14:textId="77777777">
        <w:trPr>
          <w:cantSplit/>
        </w:trPr>
        <w:tc>
          <w:tcPr>
            <w:tcW w:w="2500" w:type="dxa"/>
            <w:tcBorders>
              <w:top w:val="single" w:sz="4" w:space="0" w:color="000000"/>
              <w:bottom w:val="single" w:sz="4" w:space="0" w:color="000000"/>
            </w:tcBorders>
          </w:tcPr>
          <w:p w14:paraId="03210012" w14:textId="77777777" w:rsidR="00B628FF" w:rsidRDefault="005B2D2F">
            <w:pPr>
              <w:pStyle w:val="MeasureTableHeadingleftalignedwith2ptsspacing"/>
              <w:keepNext/>
            </w:pPr>
            <w:r>
              <w:t>Services Australia</w:t>
            </w:r>
          </w:p>
        </w:tc>
        <w:tc>
          <w:tcPr>
            <w:tcW w:w="1043" w:type="dxa"/>
            <w:tcBorders>
              <w:top w:val="single" w:sz="4" w:space="0" w:color="000000"/>
              <w:bottom w:val="single" w:sz="4" w:space="0" w:color="000000"/>
            </w:tcBorders>
          </w:tcPr>
          <w:p w14:paraId="240C6A36" w14:textId="099623F6" w:rsidR="00B628FF" w:rsidRDefault="00B31B37">
            <w:pPr>
              <w:pStyle w:val="MeasureTableDataRightAlignedwith2ptsspacing"/>
              <w:keepNext/>
            </w:pPr>
            <w:r>
              <w:noBreakHyphen/>
            </w:r>
            <w:r w:rsidR="005B2D2F">
              <w:t>2.8</w:t>
            </w:r>
          </w:p>
        </w:tc>
        <w:tc>
          <w:tcPr>
            <w:tcW w:w="1043" w:type="dxa"/>
            <w:tcBorders>
              <w:top w:val="single" w:sz="4" w:space="0" w:color="000000"/>
              <w:bottom w:val="single" w:sz="4" w:space="0" w:color="000000"/>
            </w:tcBorders>
          </w:tcPr>
          <w:p w14:paraId="0B5371E3" w14:textId="56381942" w:rsidR="00B628FF" w:rsidRDefault="00B31B37">
            <w:pPr>
              <w:pStyle w:val="MeasureTableDataRightAlignedwith2ptsspacing"/>
              <w:keepNext/>
            </w:pPr>
            <w:r>
              <w:noBreakHyphen/>
            </w:r>
            <w:r w:rsidR="005B2D2F">
              <w:t>7.1</w:t>
            </w:r>
          </w:p>
        </w:tc>
        <w:tc>
          <w:tcPr>
            <w:tcW w:w="1043" w:type="dxa"/>
            <w:tcBorders>
              <w:top w:val="single" w:sz="4" w:space="0" w:color="000000"/>
              <w:bottom w:val="single" w:sz="4" w:space="0" w:color="000000"/>
            </w:tcBorders>
          </w:tcPr>
          <w:p w14:paraId="1B44DAE6" w14:textId="77777777" w:rsidR="00B628FF" w:rsidRDefault="005B2D2F">
            <w:pPr>
              <w:pStyle w:val="MeasureTableDataRightAlignedwith2ptsspacing"/>
              <w:keepNext/>
            </w:pPr>
            <w:r>
              <w:t>11.8</w:t>
            </w:r>
          </w:p>
        </w:tc>
        <w:tc>
          <w:tcPr>
            <w:tcW w:w="1043" w:type="dxa"/>
            <w:tcBorders>
              <w:top w:val="single" w:sz="4" w:space="0" w:color="000000"/>
              <w:bottom w:val="single" w:sz="4" w:space="0" w:color="000000"/>
            </w:tcBorders>
          </w:tcPr>
          <w:p w14:paraId="3B8E5D55" w14:textId="151777F2"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5F9F4D0F" w14:textId="6F2F9175" w:rsidR="00B628FF" w:rsidRDefault="00B31B37">
            <w:pPr>
              <w:pStyle w:val="MeasureTableDataRightAlignedwith2ptsspacing"/>
              <w:keepNext/>
            </w:pPr>
            <w:r>
              <w:noBreakHyphen/>
            </w:r>
          </w:p>
        </w:tc>
      </w:tr>
      <w:tr w:rsidR="00B628FF" w14:paraId="54EC1D60" w14:textId="77777777">
        <w:trPr>
          <w:cantSplit/>
        </w:trPr>
        <w:tc>
          <w:tcPr>
            <w:tcW w:w="2500" w:type="dxa"/>
            <w:tcBorders>
              <w:top w:val="single" w:sz="4" w:space="0" w:color="000000"/>
              <w:bottom w:val="single" w:sz="4" w:space="0" w:color="000000"/>
            </w:tcBorders>
          </w:tcPr>
          <w:p w14:paraId="536C8D91" w14:textId="77777777" w:rsidR="00B628FF" w:rsidRDefault="005B2D2F">
            <w:pPr>
              <w:pStyle w:val="MeasureTableHeadingleftalignedwith2ptsspacing"/>
              <w:keepNext/>
            </w:pPr>
            <w:r>
              <w:t>Department of Employment and Workplace Relations</w:t>
            </w:r>
          </w:p>
        </w:tc>
        <w:tc>
          <w:tcPr>
            <w:tcW w:w="1043" w:type="dxa"/>
            <w:tcBorders>
              <w:top w:val="single" w:sz="4" w:space="0" w:color="000000"/>
              <w:bottom w:val="single" w:sz="4" w:space="0" w:color="000000"/>
            </w:tcBorders>
          </w:tcPr>
          <w:p w14:paraId="067FD7B5" w14:textId="16B2B40E" w:rsidR="00B628FF" w:rsidRDefault="00B31B37">
            <w:pPr>
              <w:pStyle w:val="MeasureTableDataRightAlignedwith2ptsspacing"/>
              <w:keepNext/>
            </w:pPr>
            <w:r>
              <w:noBreakHyphen/>
            </w:r>
            <w:r w:rsidR="005B2D2F">
              <w:t>6.1</w:t>
            </w:r>
          </w:p>
        </w:tc>
        <w:tc>
          <w:tcPr>
            <w:tcW w:w="1043" w:type="dxa"/>
            <w:tcBorders>
              <w:top w:val="single" w:sz="4" w:space="0" w:color="000000"/>
              <w:bottom w:val="single" w:sz="4" w:space="0" w:color="000000"/>
            </w:tcBorders>
          </w:tcPr>
          <w:p w14:paraId="71830109" w14:textId="77777777" w:rsidR="00B628FF" w:rsidRDefault="005B2D2F">
            <w:pPr>
              <w:pStyle w:val="MeasureTableDataRightAlignedwith2ptsspacing"/>
              <w:keepNext/>
            </w:pPr>
            <w:r>
              <w:t>6.6</w:t>
            </w:r>
          </w:p>
        </w:tc>
        <w:tc>
          <w:tcPr>
            <w:tcW w:w="1043" w:type="dxa"/>
            <w:tcBorders>
              <w:top w:val="single" w:sz="4" w:space="0" w:color="000000"/>
              <w:bottom w:val="single" w:sz="4" w:space="0" w:color="000000"/>
            </w:tcBorders>
          </w:tcPr>
          <w:p w14:paraId="49CB9EA5" w14:textId="31A15798"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2391FAD5" w14:textId="3D564E10"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32507D85" w14:textId="45BC1555" w:rsidR="00B628FF" w:rsidRDefault="00B31B37">
            <w:pPr>
              <w:pStyle w:val="MeasureTableDataRightAlignedwith2ptsspacing"/>
              <w:keepNext/>
            </w:pPr>
            <w:r>
              <w:noBreakHyphen/>
            </w:r>
          </w:p>
        </w:tc>
      </w:tr>
      <w:tr w:rsidR="00B628FF" w14:paraId="0605C960" w14:textId="77777777">
        <w:trPr>
          <w:cantSplit/>
        </w:trPr>
        <w:tc>
          <w:tcPr>
            <w:tcW w:w="2500" w:type="dxa"/>
            <w:tcBorders>
              <w:top w:val="single" w:sz="4" w:space="0" w:color="000000"/>
              <w:bottom w:val="single" w:sz="4" w:space="0" w:color="000000"/>
            </w:tcBorders>
          </w:tcPr>
          <w:p w14:paraId="012FBF59" w14:textId="77777777" w:rsidR="00B628FF" w:rsidRDefault="005B2D2F">
            <w:pPr>
              <w:pStyle w:val="MeasureTableHeadingleftalignedwith2ptsspacing"/>
              <w:keepNext/>
            </w:pPr>
            <w:r>
              <w:t>National Indigenous Australians Agency</w:t>
            </w:r>
          </w:p>
        </w:tc>
        <w:tc>
          <w:tcPr>
            <w:tcW w:w="1043" w:type="dxa"/>
            <w:tcBorders>
              <w:top w:val="single" w:sz="4" w:space="0" w:color="000000"/>
              <w:bottom w:val="single" w:sz="4" w:space="0" w:color="000000"/>
            </w:tcBorders>
          </w:tcPr>
          <w:p w14:paraId="1FCC7A26" w14:textId="04EE5627" w:rsidR="00B628FF" w:rsidRDefault="00B31B37">
            <w:pPr>
              <w:pStyle w:val="MeasureTableDataRightAlignedwith2ptsspacing"/>
              <w:keepNext/>
            </w:pPr>
            <w:r>
              <w:noBreakHyphen/>
            </w:r>
            <w:r w:rsidR="005B2D2F">
              <w:t>91.3</w:t>
            </w:r>
          </w:p>
        </w:tc>
        <w:tc>
          <w:tcPr>
            <w:tcW w:w="1043" w:type="dxa"/>
            <w:tcBorders>
              <w:top w:val="single" w:sz="4" w:space="0" w:color="000000"/>
              <w:bottom w:val="single" w:sz="4" w:space="0" w:color="000000"/>
            </w:tcBorders>
          </w:tcPr>
          <w:p w14:paraId="0276BBDB" w14:textId="77777777" w:rsidR="00B628FF" w:rsidRDefault="005B2D2F">
            <w:pPr>
              <w:pStyle w:val="MeasureTableDataRightAlignedwith2ptsspacing"/>
              <w:keepNext/>
            </w:pPr>
            <w:r>
              <w:t>66.6</w:t>
            </w:r>
          </w:p>
        </w:tc>
        <w:tc>
          <w:tcPr>
            <w:tcW w:w="1043" w:type="dxa"/>
            <w:tcBorders>
              <w:top w:val="single" w:sz="4" w:space="0" w:color="000000"/>
              <w:bottom w:val="single" w:sz="4" w:space="0" w:color="000000"/>
            </w:tcBorders>
          </w:tcPr>
          <w:p w14:paraId="20117A71" w14:textId="77777777" w:rsidR="00B628FF" w:rsidRDefault="005B2D2F">
            <w:pPr>
              <w:pStyle w:val="MeasureTableDataRightAlignedwith2ptsspacing"/>
              <w:keepNext/>
            </w:pPr>
            <w:r>
              <w:t>94.9</w:t>
            </w:r>
          </w:p>
        </w:tc>
        <w:tc>
          <w:tcPr>
            <w:tcW w:w="1043" w:type="dxa"/>
            <w:tcBorders>
              <w:top w:val="single" w:sz="4" w:space="0" w:color="000000"/>
              <w:bottom w:val="single" w:sz="4" w:space="0" w:color="000000"/>
            </w:tcBorders>
          </w:tcPr>
          <w:p w14:paraId="599313E3" w14:textId="2EEA3EB6" w:rsidR="00B628FF" w:rsidRDefault="00B31B37">
            <w:pPr>
              <w:pStyle w:val="MeasureTableDataRightAlignedwith2ptsspacing"/>
              <w:keepNext/>
            </w:pPr>
            <w:r>
              <w:noBreakHyphen/>
            </w:r>
            <w:r w:rsidR="005B2D2F">
              <w:t>1.1</w:t>
            </w:r>
          </w:p>
        </w:tc>
        <w:tc>
          <w:tcPr>
            <w:tcW w:w="1043" w:type="dxa"/>
            <w:tcBorders>
              <w:top w:val="single" w:sz="4" w:space="0" w:color="000000"/>
              <w:bottom w:val="single" w:sz="4" w:space="0" w:color="000000"/>
            </w:tcBorders>
          </w:tcPr>
          <w:p w14:paraId="7A6EC197" w14:textId="7351EDB8" w:rsidR="00B628FF" w:rsidRDefault="00B31B37">
            <w:pPr>
              <w:pStyle w:val="MeasureTableDataRightAlignedwith2ptsspacing"/>
              <w:keepNext/>
            </w:pPr>
            <w:r>
              <w:noBreakHyphen/>
            </w:r>
            <w:r w:rsidR="005B2D2F">
              <w:t>79.6</w:t>
            </w:r>
          </w:p>
        </w:tc>
      </w:tr>
      <w:tr w:rsidR="00B628FF" w14:paraId="4C443589" w14:textId="77777777">
        <w:trPr>
          <w:cantSplit/>
        </w:trPr>
        <w:tc>
          <w:tcPr>
            <w:tcW w:w="2500" w:type="dxa"/>
            <w:tcBorders>
              <w:top w:val="single" w:sz="4" w:space="0" w:color="000000"/>
              <w:bottom w:val="single" w:sz="4" w:space="0" w:color="000000"/>
            </w:tcBorders>
          </w:tcPr>
          <w:p w14:paraId="270B23BF" w14:textId="77777777" w:rsidR="00B628FF" w:rsidRDefault="005B2D2F">
            <w:pPr>
              <w:pStyle w:val="Totalrowleftaligned"/>
              <w:keepNext/>
            </w:pPr>
            <w:r>
              <w:t>Total – Payments</w:t>
            </w:r>
          </w:p>
        </w:tc>
        <w:tc>
          <w:tcPr>
            <w:tcW w:w="1043" w:type="dxa"/>
            <w:tcBorders>
              <w:top w:val="single" w:sz="4" w:space="0" w:color="000000"/>
              <w:bottom w:val="single" w:sz="4" w:space="0" w:color="000000"/>
            </w:tcBorders>
          </w:tcPr>
          <w:p w14:paraId="71670EE1" w14:textId="56D931E7" w:rsidR="00B628FF" w:rsidRDefault="00B31B37">
            <w:pPr>
              <w:pStyle w:val="Totaldatarowrightaligned"/>
              <w:keepNext/>
            </w:pPr>
            <w:r>
              <w:noBreakHyphen/>
            </w:r>
            <w:r w:rsidR="005B2D2F">
              <w:t>97.3</w:t>
            </w:r>
          </w:p>
        </w:tc>
        <w:tc>
          <w:tcPr>
            <w:tcW w:w="1043" w:type="dxa"/>
            <w:tcBorders>
              <w:top w:val="single" w:sz="4" w:space="0" w:color="000000"/>
              <w:bottom w:val="single" w:sz="4" w:space="0" w:color="000000"/>
            </w:tcBorders>
          </w:tcPr>
          <w:p w14:paraId="19B2CC4B" w14:textId="77777777" w:rsidR="00B628FF" w:rsidRDefault="005B2D2F">
            <w:pPr>
              <w:pStyle w:val="Totaldatarowrightaligned"/>
              <w:keepNext/>
            </w:pPr>
            <w:r>
              <w:t>96.5</w:t>
            </w:r>
          </w:p>
        </w:tc>
        <w:tc>
          <w:tcPr>
            <w:tcW w:w="1043" w:type="dxa"/>
            <w:tcBorders>
              <w:top w:val="single" w:sz="4" w:space="0" w:color="000000"/>
              <w:bottom w:val="single" w:sz="4" w:space="0" w:color="000000"/>
            </w:tcBorders>
          </w:tcPr>
          <w:p w14:paraId="7B542B24" w14:textId="77777777" w:rsidR="00B628FF" w:rsidRDefault="005B2D2F">
            <w:pPr>
              <w:pStyle w:val="Totaldatarowrightaligned"/>
              <w:keepNext/>
            </w:pPr>
            <w:r>
              <w:t>132.3</w:t>
            </w:r>
          </w:p>
        </w:tc>
        <w:tc>
          <w:tcPr>
            <w:tcW w:w="1043" w:type="dxa"/>
            <w:tcBorders>
              <w:top w:val="single" w:sz="4" w:space="0" w:color="000000"/>
              <w:bottom w:val="single" w:sz="4" w:space="0" w:color="000000"/>
            </w:tcBorders>
          </w:tcPr>
          <w:p w14:paraId="6707F25F" w14:textId="77777777" w:rsidR="00B628FF" w:rsidRDefault="005B2D2F">
            <w:pPr>
              <w:pStyle w:val="Totaldatarowrightaligned"/>
              <w:keepNext/>
            </w:pPr>
            <w:r>
              <w:t>5.7</w:t>
            </w:r>
          </w:p>
        </w:tc>
        <w:tc>
          <w:tcPr>
            <w:tcW w:w="1043" w:type="dxa"/>
            <w:tcBorders>
              <w:top w:val="single" w:sz="4" w:space="0" w:color="000000"/>
              <w:bottom w:val="single" w:sz="4" w:space="0" w:color="000000"/>
            </w:tcBorders>
          </w:tcPr>
          <w:p w14:paraId="36EA0EBD" w14:textId="1F67BC6B" w:rsidR="00B628FF" w:rsidRDefault="00B31B37">
            <w:pPr>
              <w:pStyle w:val="Totaldatarowrightaligned"/>
              <w:keepNext/>
            </w:pPr>
            <w:r>
              <w:noBreakHyphen/>
            </w:r>
            <w:r w:rsidR="005B2D2F">
              <w:t>79.6</w:t>
            </w:r>
          </w:p>
        </w:tc>
      </w:tr>
      <w:tr w:rsidR="00B628FF" w14:paraId="327A2615" w14:textId="77777777">
        <w:trPr>
          <w:cantSplit/>
        </w:trPr>
        <w:tc>
          <w:tcPr>
            <w:tcW w:w="2500" w:type="dxa"/>
          </w:tcPr>
          <w:p w14:paraId="6FC6B08B" w14:textId="77777777" w:rsidR="00B628FF" w:rsidRDefault="005B2D2F">
            <w:pPr>
              <w:pStyle w:val="AgencyName"/>
              <w:keepNext/>
            </w:pPr>
            <w:r>
              <w:t>Related receipts ($m)</w:t>
            </w:r>
          </w:p>
        </w:tc>
        <w:tc>
          <w:tcPr>
            <w:tcW w:w="1043" w:type="dxa"/>
          </w:tcPr>
          <w:p w14:paraId="346FB44A" w14:textId="77777777" w:rsidR="00B628FF" w:rsidRDefault="00B628FF">
            <w:pPr>
              <w:pStyle w:val="AgencyName"/>
              <w:keepNext/>
            </w:pPr>
          </w:p>
        </w:tc>
        <w:tc>
          <w:tcPr>
            <w:tcW w:w="1043" w:type="dxa"/>
          </w:tcPr>
          <w:p w14:paraId="3C645506" w14:textId="77777777" w:rsidR="00B628FF" w:rsidRDefault="00B628FF">
            <w:pPr>
              <w:pStyle w:val="AgencyName"/>
              <w:keepNext/>
            </w:pPr>
          </w:p>
        </w:tc>
        <w:tc>
          <w:tcPr>
            <w:tcW w:w="1043" w:type="dxa"/>
          </w:tcPr>
          <w:p w14:paraId="701E8E5C" w14:textId="77777777" w:rsidR="00B628FF" w:rsidRDefault="00B628FF">
            <w:pPr>
              <w:pStyle w:val="AgencyName"/>
              <w:keepNext/>
            </w:pPr>
          </w:p>
        </w:tc>
        <w:tc>
          <w:tcPr>
            <w:tcW w:w="1043" w:type="dxa"/>
          </w:tcPr>
          <w:p w14:paraId="5F484EB0" w14:textId="77777777" w:rsidR="00B628FF" w:rsidRDefault="00B628FF">
            <w:pPr>
              <w:pStyle w:val="AgencyName"/>
              <w:keepNext/>
            </w:pPr>
          </w:p>
        </w:tc>
        <w:tc>
          <w:tcPr>
            <w:tcW w:w="1043" w:type="dxa"/>
          </w:tcPr>
          <w:p w14:paraId="73FFAC19" w14:textId="77777777" w:rsidR="00B628FF" w:rsidRDefault="00B628FF">
            <w:pPr>
              <w:pStyle w:val="AgencyName"/>
              <w:keepNext/>
            </w:pPr>
          </w:p>
        </w:tc>
      </w:tr>
      <w:tr w:rsidR="00B628FF" w14:paraId="03012241" w14:textId="77777777">
        <w:tc>
          <w:tcPr>
            <w:tcW w:w="2500" w:type="dxa"/>
          </w:tcPr>
          <w:p w14:paraId="1313B5CB" w14:textId="77777777" w:rsidR="00B628FF" w:rsidRDefault="005B2D2F">
            <w:pPr>
              <w:pStyle w:val="AgencyNamewith2ptsspacing"/>
              <w:keepNext/>
            </w:pPr>
            <w:r>
              <w:t>Indigenous Business Australia</w:t>
            </w:r>
          </w:p>
        </w:tc>
        <w:tc>
          <w:tcPr>
            <w:tcW w:w="1043" w:type="dxa"/>
          </w:tcPr>
          <w:p w14:paraId="7631EF21" w14:textId="3DC1CCB3" w:rsidR="00B628FF" w:rsidRDefault="00B31B37">
            <w:pPr>
              <w:pStyle w:val="Measuretabledatarightaligneditalics"/>
              <w:keepNext/>
            </w:pPr>
            <w:r>
              <w:noBreakHyphen/>
            </w:r>
          </w:p>
        </w:tc>
        <w:tc>
          <w:tcPr>
            <w:tcW w:w="1043" w:type="dxa"/>
          </w:tcPr>
          <w:p w14:paraId="74AFC2A4" w14:textId="77777777" w:rsidR="00B628FF" w:rsidRDefault="005B2D2F">
            <w:pPr>
              <w:pStyle w:val="Measuretabledatarightaligneditalics"/>
              <w:keepNext/>
            </w:pPr>
            <w:r>
              <w:t>2.0</w:t>
            </w:r>
          </w:p>
        </w:tc>
        <w:tc>
          <w:tcPr>
            <w:tcW w:w="1043" w:type="dxa"/>
          </w:tcPr>
          <w:p w14:paraId="15CAFEF3" w14:textId="77777777" w:rsidR="00B628FF" w:rsidRDefault="005B2D2F">
            <w:pPr>
              <w:pStyle w:val="Measuretabledatarightaligneditalics"/>
              <w:keepNext/>
            </w:pPr>
            <w:r>
              <w:t>2.2</w:t>
            </w:r>
          </w:p>
        </w:tc>
        <w:tc>
          <w:tcPr>
            <w:tcW w:w="1043" w:type="dxa"/>
          </w:tcPr>
          <w:p w14:paraId="27A35D03" w14:textId="77777777" w:rsidR="00B628FF" w:rsidRDefault="005B2D2F">
            <w:pPr>
              <w:pStyle w:val="Measuretabledatarightaligneditalics"/>
              <w:keepNext/>
            </w:pPr>
            <w:r>
              <w:t>2.3</w:t>
            </w:r>
          </w:p>
        </w:tc>
        <w:tc>
          <w:tcPr>
            <w:tcW w:w="1043" w:type="dxa"/>
          </w:tcPr>
          <w:p w14:paraId="4134006D" w14:textId="77777777" w:rsidR="00B628FF" w:rsidRDefault="005B2D2F">
            <w:pPr>
              <w:pStyle w:val="Measuretabledatarightaligneditalics"/>
              <w:keepNext/>
            </w:pPr>
            <w:r>
              <w:t>2.5</w:t>
            </w:r>
          </w:p>
        </w:tc>
      </w:tr>
    </w:tbl>
    <w:p w14:paraId="5D8BC41F" w14:textId="77777777" w:rsidR="00B628FF" w:rsidRDefault="00B628FF">
      <w:pPr>
        <w:keepNext/>
        <w:spacing w:line="226" w:lineRule="exact"/>
        <w:rPr>
          <w:sz w:val="16"/>
        </w:rPr>
      </w:pPr>
    </w:p>
    <w:p w14:paraId="55EFAF0E" w14:textId="502BAE00" w:rsidR="00B628FF" w:rsidRDefault="005B2D2F">
      <w:pPr>
        <w:pStyle w:val="Normal2"/>
      </w:pPr>
      <w:r w:rsidRPr="5FA307DC">
        <w:rPr>
          <w:lang w:val="en-US"/>
        </w:rPr>
        <w:t>The Government will provide $506.4 million over five years from 2024–‍25 (and an additional $12.3 million in 2029–‍30) to achieve better outcomes for First</w:t>
      </w:r>
      <w:r w:rsidR="006F05C0" w:rsidRPr="5FA307DC">
        <w:rPr>
          <w:lang w:val="en-US"/>
        </w:rPr>
        <w:t> </w:t>
      </w:r>
      <w:r w:rsidRPr="5FA307DC">
        <w:rPr>
          <w:lang w:val="en-US"/>
        </w:rPr>
        <w:t>Nations people under the National Agreement on Closing the Gap. Funding includes:</w:t>
      </w:r>
    </w:p>
    <w:p w14:paraId="671B9C1A" w14:textId="36BF26FE" w:rsidR="00B628FF" w:rsidRDefault="005B2D2F">
      <w:pPr>
        <w:pStyle w:val="Bullet"/>
      </w:pPr>
      <w:r>
        <w:t>$137.3 million over three</w:t>
      </w:r>
      <w:r w:rsidR="006F05C0">
        <w:t> </w:t>
      </w:r>
      <w:r>
        <w:t xml:space="preserve">years from 2024–‍25 to support the transition between the </w:t>
      </w:r>
      <w:r w:rsidRPr="005B2D2F">
        <w:rPr>
          <w:i/>
        </w:rPr>
        <w:t>Community Development Program</w:t>
      </w:r>
      <w:r>
        <w:t xml:space="preserve"> and the new remote employment service for a four‑month period to 31 October 2025</w:t>
      </w:r>
    </w:p>
    <w:p w14:paraId="2940807E" w14:textId="763E0C7E" w:rsidR="00B628FF" w:rsidRDefault="005B2D2F">
      <w:pPr>
        <w:pStyle w:val="Bullet"/>
      </w:pPr>
      <w:r>
        <w:t>$70.9 million over two years from 2025–‍26 to increase opportunities for First</w:t>
      </w:r>
      <w:r w:rsidR="006F05C0">
        <w:t> </w:t>
      </w:r>
      <w:r>
        <w:t>Nations people, and particularly single carer families, to buy their own home and build intergenerational wealth through a boost to Indigenous Business Australia</w:t>
      </w:r>
      <w:r w:rsidR="00B31B37">
        <w:t>’</w:t>
      </w:r>
      <w:r>
        <w:t>s Home Loan Capital Fund</w:t>
      </w:r>
    </w:p>
    <w:p w14:paraId="2A8E1C98" w14:textId="77777777" w:rsidR="00B628FF" w:rsidRDefault="005B2D2F">
      <w:pPr>
        <w:pStyle w:val="Bullet"/>
      </w:pPr>
      <w:r>
        <w:t>$50.0 million over four years from 2025–‍26 to provide access to low‑cost products for remote stores, ease cost‑of‑living pressures and improve food security in remote communities</w:t>
      </w:r>
    </w:p>
    <w:p w14:paraId="28EBBD40" w14:textId="499A5174" w:rsidR="00B628FF" w:rsidRDefault="005B2D2F">
      <w:pPr>
        <w:pStyle w:val="Bullet"/>
      </w:pPr>
      <w:r>
        <w:t>$36.7 million over four</w:t>
      </w:r>
      <w:r w:rsidR="006F05C0">
        <w:t> </w:t>
      </w:r>
      <w:r>
        <w:t xml:space="preserve">years from 2025–‍26 (and an additional $4.5 million in 2029–‍30) for Stage 7 of the </w:t>
      </w:r>
      <w:r w:rsidRPr="005B2D2F">
        <w:rPr>
          <w:i/>
        </w:rPr>
        <w:t>Major Infrastructure Program</w:t>
      </w:r>
      <w:r w:rsidR="00B10E08">
        <w:rPr>
          <w:i/>
        </w:rPr>
        <w:t>me</w:t>
      </w:r>
      <w:r>
        <w:t>, to construct and upgrade infrastructure for essential services related to wastewater, solid waste management and potable water supply in remote First Nations communities across the Torres Strait region, subject to joint investment with the Queensland Government</w:t>
      </w:r>
    </w:p>
    <w:p w14:paraId="76C80568" w14:textId="4033B352" w:rsidR="00B628FF" w:rsidRDefault="005B2D2F">
      <w:pPr>
        <w:pStyle w:val="Bullet"/>
      </w:pPr>
      <w:r>
        <w:t xml:space="preserve">$33.6 million over two years from 2025–‍26 to extend the </w:t>
      </w:r>
      <w:r w:rsidRPr="006F4E35">
        <w:rPr>
          <w:iCs/>
        </w:rPr>
        <w:t>Clontarf Foundation</w:t>
      </w:r>
      <w:r>
        <w:t xml:space="preserve"> program for the 2026 school year to support school engagement for First</w:t>
      </w:r>
      <w:r w:rsidR="006F05C0">
        <w:t> </w:t>
      </w:r>
      <w:r>
        <w:t>Nations young men</w:t>
      </w:r>
    </w:p>
    <w:p w14:paraId="728459B8" w14:textId="1A732503" w:rsidR="00B628FF" w:rsidRDefault="005B2D2F">
      <w:pPr>
        <w:pStyle w:val="Bullet"/>
      </w:pPr>
      <w:r>
        <w:t xml:space="preserve">$28.4 million over four years from 2025–‍26 (and an additional $7.8 million in 2029–‍30) for Stage 3 of the </w:t>
      </w:r>
      <w:r w:rsidRPr="005B2D2F">
        <w:rPr>
          <w:i/>
        </w:rPr>
        <w:t>Seawalls Program</w:t>
      </w:r>
      <w:r>
        <w:t>, to construct urgent additional coastal defences on three low‑lying islands to protect vulnerable communities and infrastructure against climate‑related flooding and erosion, subject to joint investment with the Queensland</w:t>
      </w:r>
      <w:r w:rsidR="006F05C0">
        <w:t> </w:t>
      </w:r>
      <w:r>
        <w:t>Government</w:t>
      </w:r>
    </w:p>
    <w:p w14:paraId="5A72DA42" w14:textId="4537DC7C" w:rsidR="00B628FF" w:rsidRDefault="005B2D2F">
      <w:pPr>
        <w:pStyle w:val="Bullet"/>
      </w:pPr>
      <w:r>
        <w:t>$24.7 million over four years from 2025–‍26 to improve access to culturally safe and qualified mental health support including scholarships for up to 150</w:t>
      </w:r>
      <w:r w:rsidR="006F05C0">
        <w:t> </w:t>
      </w:r>
      <w:r>
        <w:t>First</w:t>
      </w:r>
      <w:r w:rsidR="006F05C0">
        <w:t> </w:t>
      </w:r>
      <w:r>
        <w:t>Nations psychology students to boost the First Nations health care workforce</w:t>
      </w:r>
    </w:p>
    <w:p w14:paraId="032BFDE8" w14:textId="77777777" w:rsidR="00B628FF" w:rsidRDefault="005B2D2F">
      <w:pPr>
        <w:pStyle w:val="Bullet"/>
      </w:pPr>
      <w:r>
        <w:t>$23.9 million over five years from 2024–‍25 to strengthen the Indigenous Procurement Policy to boost opportunities for First Nations businesses to grow and create jobs</w:t>
      </w:r>
    </w:p>
    <w:p w14:paraId="49B85E49" w14:textId="77777777" w:rsidR="00B628FF" w:rsidRDefault="005B2D2F">
      <w:pPr>
        <w:pStyle w:val="Bullet"/>
      </w:pPr>
      <w:r>
        <w:t>$21.8 million over two years from 2025–‍26 to continue to provide family, domestic and sexual violence services to First Nations women, children and communities</w:t>
      </w:r>
    </w:p>
    <w:p w14:paraId="4105E86B" w14:textId="77777777" w:rsidR="00B628FF" w:rsidRDefault="005B2D2F">
      <w:pPr>
        <w:pStyle w:val="Bullet"/>
      </w:pPr>
      <w:r>
        <w:t>$21.4 million over three years from 2025–‍26 to build a nutrition workforce in remote communities through upskilling store‑based First Nations staff</w:t>
      </w:r>
    </w:p>
    <w:p w14:paraId="1AB22FCF" w14:textId="5A01CA77" w:rsidR="00B628FF" w:rsidRDefault="005B2D2F">
      <w:pPr>
        <w:pStyle w:val="Bullet"/>
      </w:pPr>
      <w:r>
        <w:t>$11.4 million over four years from 2025–‍26 to establish or upgrade up to 12</w:t>
      </w:r>
      <w:r w:rsidR="006F05C0">
        <w:t> </w:t>
      </w:r>
      <w:r>
        <w:t>community laundries and maintain and operate them in remote First</w:t>
      </w:r>
      <w:r w:rsidR="006F05C0">
        <w:t> </w:t>
      </w:r>
      <w:r>
        <w:t>Nations communities across northern and central Australia, to reduce the prevalence of skin infections that can lead to serious secondary illnesses</w:t>
      </w:r>
    </w:p>
    <w:p w14:paraId="40E0D0FF" w14:textId="77777777" w:rsidR="00B628FF" w:rsidRDefault="005B2D2F">
      <w:pPr>
        <w:pStyle w:val="Bullet"/>
      </w:pPr>
      <w:r>
        <w:t xml:space="preserve">$11.0 million over three years from 2025–‍26 to continue the </w:t>
      </w:r>
      <w:r w:rsidRPr="005B2D2F">
        <w:rPr>
          <w:i/>
        </w:rPr>
        <w:t>First Nations Languages Policy Partnership</w:t>
      </w:r>
      <w:r>
        <w:t xml:space="preserve"> program</w:t>
      </w:r>
    </w:p>
    <w:p w14:paraId="0BBE9457" w14:textId="11C10E13" w:rsidR="00B628FF" w:rsidRDefault="005B2D2F">
      <w:pPr>
        <w:pStyle w:val="Bullet"/>
      </w:pPr>
      <w:r>
        <w:t>$9.2 million over three years from 2025–‍26 to deliver improved detection, monitoring and management of acute rheumatic fever and rheumatic heart disease in First</w:t>
      </w:r>
      <w:r w:rsidR="006F05C0">
        <w:t> </w:t>
      </w:r>
      <w:r>
        <w:t>Nations communities</w:t>
      </w:r>
    </w:p>
    <w:p w14:paraId="294D8EF2" w14:textId="77777777" w:rsidR="00B628FF" w:rsidRDefault="005B2D2F">
      <w:pPr>
        <w:pStyle w:val="Bullet"/>
      </w:pPr>
      <w:r>
        <w:t>$6.0 million over two years from 2024–‍25 as part of a three‑year investment with the South Australian Government to establish a Partnership Agreement to support the safety and wellbeing of people in Port Augusta</w:t>
      </w:r>
    </w:p>
    <w:p w14:paraId="1F719C61" w14:textId="45D25576" w:rsidR="00B628FF" w:rsidRDefault="005B2D2F">
      <w:pPr>
        <w:pStyle w:val="Bullet"/>
      </w:pPr>
      <w:r>
        <w:t>$4.5 million in 2025–‍26 to support the Coalition of Peaks secretariat function and its ongoing work relating to the implementation of the National Agreement on Closing</w:t>
      </w:r>
      <w:r w:rsidR="00F6155C">
        <w:t> </w:t>
      </w:r>
      <w:r>
        <w:t>the</w:t>
      </w:r>
      <w:r w:rsidR="00F6155C">
        <w:t> </w:t>
      </w:r>
      <w:r>
        <w:t>Gap</w:t>
      </w:r>
    </w:p>
    <w:p w14:paraId="6488ED22" w14:textId="77777777" w:rsidR="00B628FF" w:rsidRDefault="005B2D2F">
      <w:pPr>
        <w:pStyle w:val="Bullet"/>
      </w:pPr>
      <w:r>
        <w:t>$3.7 million in 2025–‍26 to support coordination of implementation and monitoring of the Central Australia Plan</w:t>
      </w:r>
    </w:p>
    <w:p w14:paraId="73FE1E85" w14:textId="77777777" w:rsidR="00B628FF" w:rsidRDefault="005B2D2F">
      <w:pPr>
        <w:pStyle w:val="Bullet"/>
      </w:pPr>
      <w:r>
        <w:t>$3.6 million over two years from 2025–‍26 to continue digitisation of at‑risk audio and video collections held by First Nations broadcasters and community organisations by the Australian Institute of Aboriginal and Torres Strait Islander Studies</w:t>
      </w:r>
    </w:p>
    <w:p w14:paraId="76E5C71B" w14:textId="481FCFD4" w:rsidR="00B628FF" w:rsidRDefault="005B2D2F">
      <w:pPr>
        <w:pStyle w:val="Bullet"/>
      </w:pPr>
      <w:r>
        <w:t>$3.5 million in 2025–‍26 to support the uptake of First Nations Australians</w:t>
      </w:r>
      <w:r w:rsidR="00B31B37">
        <w:t>’</w:t>
      </w:r>
      <w:r>
        <w:t xml:space="preserve"> Health Assessments through the </w:t>
      </w:r>
      <w:r w:rsidRPr="005B2D2F">
        <w:rPr>
          <w:i/>
        </w:rPr>
        <w:t>Deadly Choices</w:t>
      </w:r>
      <w:r>
        <w:t xml:space="preserve"> program</w:t>
      </w:r>
    </w:p>
    <w:p w14:paraId="68143B23" w14:textId="77777777" w:rsidR="00B628FF" w:rsidRDefault="005B2D2F">
      <w:pPr>
        <w:pStyle w:val="Bullet"/>
      </w:pPr>
      <w:r>
        <w:t>$3.4 million over three years from 2025–‍26 to increase the participation rate of First Nations women in business through a place‑based business mentoring and coaching program, co‑designed and delivered by First Nations businesses and organisations</w:t>
      </w:r>
    </w:p>
    <w:p w14:paraId="6B2D8FF2" w14:textId="77777777" w:rsidR="00B628FF" w:rsidRDefault="005B2D2F">
      <w:pPr>
        <w:pStyle w:val="Bullet"/>
      </w:pPr>
      <w:r>
        <w:t xml:space="preserve">$1.5 million in 2025–‍26 to extend the </w:t>
      </w:r>
      <w:r w:rsidRPr="005B2D2F">
        <w:rPr>
          <w:i/>
        </w:rPr>
        <w:t>Making Up Lost Time in Literacy</w:t>
      </w:r>
      <w:r>
        <w:t xml:space="preserve"> (MultiLit) program. MultiLit delivers evidence‑based phonics programs using verified tools to support primary school students who are behind their peers to catch up in reading and early literacy</w:t>
      </w:r>
    </w:p>
    <w:p w14:paraId="4DF815C6" w14:textId="7DBAAB59" w:rsidR="00B628FF" w:rsidRDefault="00B10E08">
      <w:pPr>
        <w:pStyle w:val="Bullet"/>
      </w:pPr>
      <w:r>
        <w:t>e</w:t>
      </w:r>
      <w:r w:rsidR="005B2D2F">
        <w:t xml:space="preserve">xtending the </w:t>
      </w:r>
      <w:r w:rsidR="005B2D2F" w:rsidRPr="005B2D2F">
        <w:rPr>
          <w:i/>
        </w:rPr>
        <w:t>Territories Stolen Generations Redress Scheme</w:t>
      </w:r>
      <w:r w:rsidR="005B2D2F">
        <w:t xml:space="preserve"> by two years to 30 June 2028 to support Stolen Generations survivors.</w:t>
      </w:r>
    </w:p>
    <w:p w14:paraId="41682545" w14:textId="77777777" w:rsidR="00B628FF" w:rsidRDefault="005B2D2F">
      <w:pPr>
        <w:pStyle w:val="Normal2"/>
      </w:pPr>
      <w:r>
        <w:t>The Government has already provided partial funding for this measure.</w:t>
      </w:r>
    </w:p>
    <w:p w14:paraId="536AA7D3" w14:textId="2966DBEE" w:rsidR="00B628FF" w:rsidRDefault="005B2D2F">
      <w:pPr>
        <w:pStyle w:val="Normal2"/>
      </w:pPr>
      <w:r w:rsidRPr="5FA307DC">
        <w:rPr>
          <w:lang w:val="en-US"/>
        </w:rPr>
        <w:t>The cost of this measure will be partially met from savings identified within the National Indigenous Australians Agency</w:t>
      </w:r>
      <w:r w:rsidR="00B31B37">
        <w:rPr>
          <w:lang w:val="en-US"/>
        </w:rPr>
        <w:t>’</w:t>
      </w:r>
      <w:r w:rsidRPr="5FA307DC">
        <w:rPr>
          <w:lang w:val="en-US"/>
        </w:rPr>
        <w:t>s Indigenous Advancement Strategy and the Department of Health and Aged Care.</w:t>
      </w:r>
    </w:p>
    <w:p w14:paraId="3DB528BD" w14:textId="77777777" w:rsidR="00B628FF" w:rsidRDefault="005B2D2F">
      <w:pPr>
        <w:pStyle w:val="Normal2"/>
      </w:pPr>
      <w:r>
        <w:t>The Treasury manages Commonwealth payments to the states and territories.</w:t>
      </w:r>
    </w:p>
    <w:p w14:paraId="69E8A164" w14:textId="7003AEAF" w:rsidR="00B628FF" w:rsidRDefault="005B2D2F">
      <w:pPr>
        <w:pStyle w:val="Normal2"/>
      </w:pPr>
      <w:r>
        <w:t xml:space="preserve">Parts of this measure support the implementation of the National Plan to End Violence Against Women and Children 2022–‍32. This measure builds on the 2024–‍25 Budget measure titled </w:t>
      </w:r>
      <w:r w:rsidRPr="005B2D2F">
        <w:rPr>
          <w:i/>
        </w:rPr>
        <w:t xml:space="preserve">Further Investment to Closing the Gap, </w:t>
      </w:r>
      <w:r>
        <w:t>the 2024–‍25 MYEFO measure titled</w:t>
      </w:r>
      <w:r w:rsidRPr="005B2D2F">
        <w:rPr>
          <w:i/>
        </w:rPr>
        <w:t xml:space="preserve"> New</w:t>
      </w:r>
      <w:r w:rsidR="00173487">
        <w:rPr>
          <w:i/>
        </w:rPr>
        <w:t> </w:t>
      </w:r>
      <w:r w:rsidRPr="005B2D2F">
        <w:rPr>
          <w:i/>
        </w:rPr>
        <w:t xml:space="preserve">Remote Employment Service </w:t>
      </w:r>
      <w:r>
        <w:t xml:space="preserve">and the 2023–‍24 Budget measure titled </w:t>
      </w:r>
      <w:r w:rsidRPr="005B2D2F">
        <w:rPr>
          <w:i/>
        </w:rPr>
        <w:t>Improving Health Outcomes for Aboriginal and Torres Strait Islander people</w:t>
      </w:r>
      <w:r>
        <w:t>.</w:t>
      </w:r>
    </w:p>
    <w:p w14:paraId="1C846527" w14:textId="77777777" w:rsidR="00B628FF" w:rsidRDefault="005B2D2F">
      <w:pPr>
        <w:pStyle w:val="MeasureTitle"/>
      </w:pPr>
      <w:r>
        <w:t>Illicit Tobacco Compliance and Enforcement Package – direct and targeted enforcement to counter profits from illicit tobacco</w:t>
      </w:r>
    </w:p>
    <w:p w14:paraId="1E294B42" w14:textId="77777777" w:rsidR="00B628FF" w:rsidRDefault="005B2D2F">
      <w:pPr>
        <w:pStyle w:val="MeasureTableHeading"/>
      </w:pPr>
      <w:r>
        <w:t>Payments ($m)</w:t>
      </w:r>
    </w:p>
    <w:tbl>
      <w:tblPr>
        <w:tblOverlap w:val="never"/>
        <w:tblW w:w="7721" w:type="dxa"/>
        <w:tblBorders>
          <w:top w:val="single" w:sz="4" w:space="0" w:color="000000"/>
          <w:bottom w:val="single" w:sz="4" w:space="0" w:color="000000"/>
        </w:tblBorders>
        <w:tblLayout w:type="fixed"/>
        <w:tblLook w:val="04A0" w:firstRow="1" w:lastRow="0" w:firstColumn="1" w:lastColumn="0" w:noHBand="0" w:noVBand="1"/>
      </w:tblPr>
      <w:tblGrid>
        <w:gridCol w:w="2501"/>
        <w:gridCol w:w="1044"/>
        <w:gridCol w:w="1044"/>
        <w:gridCol w:w="1044"/>
        <w:gridCol w:w="1044"/>
        <w:gridCol w:w="1044"/>
      </w:tblGrid>
      <w:tr w:rsidR="00B628FF" w14:paraId="7CC61A25" w14:textId="77777777">
        <w:trPr>
          <w:cantSplit/>
        </w:trPr>
        <w:tc>
          <w:tcPr>
            <w:tcW w:w="2500" w:type="dxa"/>
            <w:tcBorders>
              <w:top w:val="single" w:sz="4" w:space="0" w:color="000000"/>
              <w:bottom w:val="single" w:sz="4" w:space="0" w:color="000000"/>
            </w:tcBorders>
          </w:tcPr>
          <w:p w14:paraId="3138DE65" w14:textId="77777777" w:rsidR="00B628FF" w:rsidRDefault="00B628FF">
            <w:pPr>
              <w:pStyle w:val="MeasureTableYearHeadings"/>
              <w:keepNext/>
            </w:pPr>
          </w:p>
        </w:tc>
        <w:tc>
          <w:tcPr>
            <w:tcW w:w="1043" w:type="dxa"/>
            <w:tcBorders>
              <w:top w:val="single" w:sz="4" w:space="0" w:color="000000"/>
              <w:bottom w:val="single" w:sz="4" w:space="0" w:color="000000"/>
            </w:tcBorders>
          </w:tcPr>
          <w:p w14:paraId="6DB8A41A" w14:textId="1EF374B2" w:rsidR="00B628FF" w:rsidRDefault="005B2D2F">
            <w:pPr>
              <w:pStyle w:val="MeasureTableYearHeadings"/>
              <w:keepNext/>
            </w:pPr>
            <w:r>
              <w:t>2024</w:t>
            </w:r>
            <w:r w:rsidR="00B31B37">
              <w:noBreakHyphen/>
            </w:r>
            <w:r>
              <w:t>25</w:t>
            </w:r>
          </w:p>
        </w:tc>
        <w:tc>
          <w:tcPr>
            <w:tcW w:w="1043" w:type="dxa"/>
            <w:tcBorders>
              <w:top w:val="single" w:sz="4" w:space="0" w:color="000000"/>
              <w:bottom w:val="single" w:sz="4" w:space="0" w:color="000000"/>
            </w:tcBorders>
          </w:tcPr>
          <w:p w14:paraId="5F7C6A5C" w14:textId="69B464DB" w:rsidR="00B628FF" w:rsidRDefault="005B2D2F">
            <w:pPr>
              <w:pStyle w:val="MeasureTableYearHeadings"/>
              <w:keepNext/>
            </w:pPr>
            <w:r>
              <w:t>2025</w:t>
            </w:r>
            <w:r w:rsidR="00B31B37">
              <w:noBreakHyphen/>
            </w:r>
            <w:r>
              <w:t>26</w:t>
            </w:r>
          </w:p>
        </w:tc>
        <w:tc>
          <w:tcPr>
            <w:tcW w:w="1043" w:type="dxa"/>
            <w:tcBorders>
              <w:top w:val="single" w:sz="4" w:space="0" w:color="000000"/>
              <w:bottom w:val="single" w:sz="4" w:space="0" w:color="000000"/>
            </w:tcBorders>
          </w:tcPr>
          <w:p w14:paraId="4309416F" w14:textId="0D829B97" w:rsidR="00B628FF" w:rsidRDefault="005B2D2F">
            <w:pPr>
              <w:pStyle w:val="MeasureTableYearHeadings"/>
              <w:keepNext/>
            </w:pPr>
            <w:r>
              <w:t>2026</w:t>
            </w:r>
            <w:r w:rsidR="00B31B37">
              <w:noBreakHyphen/>
            </w:r>
            <w:r>
              <w:t>27</w:t>
            </w:r>
          </w:p>
        </w:tc>
        <w:tc>
          <w:tcPr>
            <w:tcW w:w="1043" w:type="dxa"/>
            <w:tcBorders>
              <w:top w:val="single" w:sz="4" w:space="0" w:color="000000"/>
              <w:bottom w:val="single" w:sz="4" w:space="0" w:color="000000"/>
            </w:tcBorders>
          </w:tcPr>
          <w:p w14:paraId="55201C62" w14:textId="603F9E1F" w:rsidR="00B628FF" w:rsidRDefault="005B2D2F">
            <w:pPr>
              <w:pStyle w:val="MeasureTableYearHeadings"/>
              <w:keepNext/>
            </w:pPr>
            <w:r>
              <w:t>2027</w:t>
            </w:r>
            <w:r w:rsidR="00B31B37">
              <w:noBreakHyphen/>
            </w:r>
            <w:r>
              <w:t>28</w:t>
            </w:r>
          </w:p>
        </w:tc>
        <w:tc>
          <w:tcPr>
            <w:tcW w:w="1043" w:type="dxa"/>
            <w:tcBorders>
              <w:top w:val="single" w:sz="4" w:space="0" w:color="000000"/>
              <w:bottom w:val="single" w:sz="4" w:space="0" w:color="000000"/>
            </w:tcBorders>
          </w:tcPr>
          <w:p w14:paraId="4BEDCC5E" w14:textId="77294DBB" w:rsidR="00B628FF" w:rsidRDefault="005B2D2F">
            <w:pPr>
              <w:pStyle w:val="MeasureTableYearHeadings"/>
              <w:keepNext/>
            </w:pPr>
            <w:r>
              <w:t>2028</w:t>
            </w:r>
            <w:r w:rsidR="00B31B37">
              <w:noBreakHyphen/>
            </w:r>
            <w:r>
              <w:t>29</w:t>
            </w:r>
          </w:p>
        </w:tc>
      </w:tr>
      <w:tr w:rsidR="00B628FF" w14:paraId="6A5B2988" w14:textId="77777777">
        <w:trPr>
          <w:cantSplit/>
        </w:trPr>
        <w:tc>
          <w:tcPr>
            <w:tcW w:w="2500" w:type="dxa"/>
            <w:tcBorders>
              <w:top w:val="single" w:sz="4" w:space="0" w:color="000000"/>
              <w:bottom w:val="single" w:sz="4" w:space="0" w:color="000000"/>
            </w:tcBorders>
          </w:tcPr>
          <w:p w14:paraId="56E60223" w14:textId="77777777" w:rsidR="00B628FF" w:rsidRDefault="005B2D2F">
            <w:pPr>
              <w:pStyle w:val="MeasureTableHeadingleftalignedwith2ptsspacing"/>
              <w:keepNext/>
            </w:pPr>
            <w:r>
              <w:t>Department of the Treasury</w:t>
            </w:r>
          </w:p>
        </w:tc>
        <w:tc>
          <w:tcPr>
            <w:tcW w:w="1043" w:type="dxa"/>
            <w:tcBorders>
              <w:top w:val="single" w:sz="4" w:space="0" w:color="000000"/>
              <w:bottom w:val="single" w:sz="4" w:space="0" w:color="000000"/>
            </w:tcBorders>
          </w:tcPr>
          <w:p w14:paraId="50ECECEE" w14:textId="1090EE8D"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2C4A35BD" w14:textId="77777777" w:rsidR="00B628FF" w:rsidRDefault="005B2D2F">
            <w:pPr>
              <w:pStyle w:val="MeasureTableDataRightAlignedwith2ptsspacing"/>
              <w:keepNext/>
            </w:pPr>
            <w:r>
              <w:t>20.0</w:t>
            </w:r>
          </w:p>
        </w:tc>
        <w:tc>
          <w:tcPr>
            <w:tcW w:w="1043" w:type="dxa"/>
            <w:tcBorders>
              <w:top w:val="single" w:sz="4" w:space="0" w:color="000000"/>
              <w:bottom w:val="single" w:sz="4" w:space="0" w:color="000000"/>
            </w:tcBorders>
          </w:tcPr>
          <w:p w14:paraId="35FC4DE1" w14:textId="77777777" w:rsidR="00B628FF" w:rsidRDefault="005B2D2F">
            <w:pPr>
              <w:pStyle w:val="MeasureTableDataRightAlignedwith2ptsspacing"/>
              <w:keepNext/>
            </w:pPr>
            <w:r>
              <w:t>20.0</w:t>
            </w:r>
          </w:p>
        </w:tc>
        <w:tc>
          <w:tcPr>
            <w:tcW w:w="1043" w:type="dxa"/>
            <w:tcBorders>
              <w:top w:val="single" w:sz="4" w:space="0" w:color="000000"/>
              <w:bottom w:val="single" w:sz="4" w:space="0" w:color="000000"/>
            </w:tcBorders>
          </w:tcPr>
          <w:p w14:paraId="2B448FC0" w14:textId="0FEBE0E2"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004B7885" w14:textId="2A09A239" w:rsidR="00B628FF" w:rsidRDefault="00B31B37">
            <w:pPr>
              <w:pStyle w:val="MeasureTableDataRightAlignedwith2ptsspacing"/>
              <w:keepNext/>
            </w:pPr>
            <w:r>
              <w:noBreakHyphen/>
            </w:r>
          </w:p>
        </w:tc>
      </w:tr>
      <w:tr w:rsidR="00B628FF" w14:paraId="4F2A29C8" w14:textId="77777777">
        <w:trPr>
          <w:cantSplit/>
        </w:trPr>
        <w:tc>
          <w:tcPr>
            <w:tcW w:w="2500" w:type="dxa"/>
            <w:tcBorders>
              <w:top w:val="single" w:sz="4" w:space="0" w:color="000000"/>
              <w:bottom w:val="single" w:sz="4" w:space="0" w:color="000000"/>
            </w:tcBorders>
          </w:tcPr>
          <w:p w14:paraId="46552E7C" w14:textId="77777777" w:rsidR="00B628FF" w:rsidRDefault="005B2D2F">
            <w:pPr>
              <w:pStyle w:val="MeasureTableHeadingleftalignedwith2ptsspacing"/>
              <w:keepNext/>
            </w:pPr>
            <w:r>
              <w:t>Department of Health and Aged Care</w:t>
            </w:r>
          </w:p>
        </w:tc>
        <w:tc>
          <w:tcPr>
            <w:tcW w:w="1043" w:type="dxa"/>
            <w:tcBorders>
              <w:top w:val="single" w:sz="4" w:space="0" w:color="000000"/>
              <w:bottom w:val="single" w:sz="4" w:space="0" w:color="000000"/>
            </w:tcBorders>
          </w:tcPr>
          <w:p w14:paraId="4CE5185F" w14:textId="180C5383"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0BE4DFBD" w14:textId="77777777" w:rsidR="00B628FF" w:rsidRDefault="005B2D2F">
            <w:pPr>
              <w:pStyle w:val="MeasureTableDataRightAlignedwith2ptsspacing"/>
              <w:keepNext/>
            </w:pPr>
            <w:r>
              <w:t>17.9</w:t>
            </w:r>
          </w:p>
        </w:tc>
        <w:tc>
          <w:tcPr>
            <w:tcW w:w="1043" w:type="dxa"/>
            <w:tcBorders>
              <w:top w:val="single" w:sz="4" w:space="0" w:color="000000"/>
              <w:bottom w:val="single" w:sz="4" w:space="0" w:color="000000"/>
            </w:tcBorders>
          </w:tcPr>
          <w:p w14:paraId="6668065D" w14:textId="77777777" w:rsidR="00B628FF" w:rsidRDefault="005B2D2F">
            <w:pPr>
              <w:pStyle w:val="MeasureTableDataRightAlignedwith2ptsspacing"/>
              <w:keepNext/>
            </w:pPr>
            <w:r>
              <w:t>17.7</w:t>
            </w:r>
          </w:p>
        </w:tc>
        <w:tc>
          <w:tcPr>
            <w:tcW w:w="1043" w:type="dxa"/>
            <w:tcBorders>
              <w:top w:val="single" w:sz="4" w:space="0" w:color="000000"/>
              <w:bottom w:val="single" w:sz="4" w:space="0" w:color="000000"/>
            </w:tcBorders>
          </w:tcPr>
          <w:p w14:paraId="3FC8FA2C" w14:textId="2C90F0A1"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1C324267" w14:textId="03DD077A" w:rsidR="00B628FF" w:rsidRDefault="00B31B37">
            <w:pPr>
              <w:pStyle w:val="MeasureTableDataRightAlignedwith2ptsspacing"/>
              <w:keepNext/>
            </w:pPr>
            <w:r>
              <w:noBreakHyphen/>
            </w:r>
          </w:p>
        </w:tc>
      </w:tr>
      <w:tr w:rsidR="00B628FF" w14:paraId="655765F7" w14:textId="77777777">
        <w:trPr>
          <w:cantSplit/>
        </w:trPr>
        <w:tc>
          <w:tcPr>
            <w:tcW w:w="2500" w:type="dxa"/>
            <w:tcBorders>
              <w:top w:val="single" w:sz="4" w:space="0" w:color="000000"/>
              <w:bottom w:val="single" w:sz="4" w:space="0" w:color="000000"/>
            </w:tcBorders>
          </w:tcPr>
          <w:p w14:paraId="1F91B89F" w14:textId="77777777" w:rsidR="00B628FF" w:rsidRDefault="005B2D2F">
            <w:pPr>
              <w:pStyle w:val="MeasureTableHeadingleftalignedwith2ptsspacing"/>
              <w:keepNext/>
            </w:pPr>
            <w:r>
              <w:t>Department of Home Affairs</w:t>
            </w:r>
          </w:p>
        </w:tc>
        <w:tc>
          <w:tcPr>
            <w:tcW w:w="1043" w:type="dxa"/>
            <w:tcBorders>
              <w:top w:val="single" w:sz="4" w:space="0" w:color="000000"/>
              <w:bottom w:val="single" w:sz="4" w:space="0" w:color="000000"/>
            </w:tcBorders>
          </w:tcPr>
          <w:p w14:paraId="346472DF" w14:textId="7CDA437F"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0C9796F4" w14:textId="77777777" w:rsidR="00B628FF" w:rsidRDefault="005B2D2F">
            <w:pPr>
              <w:pStyle w:val="MeasureTableDataRightAlignedwith2ptsspacing"/>
              <w:keepNext/>
            </w:pPr>
            <w:r>
              <w:t>17.9</w:t>
            </w:r>
          </w:p>
        </w:tc>
        <w:tc>
          <w:tcPr>
            <w:tcW w:w="1043" w:type="dxa"/>
            <w:tcBorders>
              <w:top w:val="single" w:sz="4" w:space="0" w:color="000000"/>
              <w:bottom w:val="single" w:sz="4" w:space="0" w:color="000000"/>
            </w:tcBorders>
          </w:tcPr>
          <w:p w14:paraId="2E86BC20" w14:textId="77777777" w:rsidR="00B628FF" w:rsidRDefault="005B2D2F">
            <w:pPr>
              <w:pStyle w:val="MeasureTableDataRightAlignedwith2ptsspacing"/>
              <w:keepNext/>
            </w:pPr>
            <w:r>
              <w:t>15.1</w:t>
            </w:r>
          </w:p>
        </w:tc>
        <w:tc>
          <w:tcPr>
            <w:tcW w:w="1043" w:type="dxa"/>
            <w:tcBorders>
              <w:top w:val="single" w:sz="4" w:space="0" w:color="000000"/>
              <w:bottom w:val="single" w:sz="4" w:space="0" w:color="000000"/>
            </w:tcBorders>
          </w:tcPr>
          <w:p w14:paraId="01EBD4EC" w14:textId="5D1051CE"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4F54052D" w14:textId="0528C1AF" w:rsidR="00B628FF" w:rsidRDefault="00B31B37">
            <w:pPr>
              <w:pStyle w:val="MeasureTableDataRightAlignedwith2ptsspacing"/>
              <w:keepNext/>
            </w:pPr>
            <w:r>
              <w:noBreakHyphen/>
            </w:r>
          </w:p>
        </w:tc>
      </w:tr>
      <w:tr w:rsidR="00B628FF" w14:paraId="69D20211" w14:textId="77777777">
        <w:trPr>
          <w:cantSplit/>
        </w:trPr>
        <w:tc>
          <w:tcPr>
            <w:tcW w:w="2500" w:type="dxa"/>
            <w:tcBorders>
              <w:top w:val="single" w:sz="4" w:space="0" w:color="000000"/>
              <w:bottom w:val="single" w:sz="4" w:space="0" w:color="000000"/>
            </w:tcBorders>
          </w:tcPr>
          <w:p w14:paraId="64EFA4AC" w14:textId="77777777" w:rsidR="00B628FF" w:rsidRDefault="005B2D2F">
            <w:pPr>
              <w:pStyle w:val="MeasureTableHeadingleftalignedwith2ptsspacing"/>
              <w:keepNext/>
            </w:pPr>
            <w:r>
              <w:t>Australian Federal Police</w:t>
            </w:r>
          </w:p>
        </w:tc>
        <w:tc>
          <w:tcPr>
            <w:tcW w:w="1043" w:type="dxa"/>
            <w:tcBorders>
              <w:top w:val="single" w:sz="4" w:space="0" w:color="000000"/>
              <w:bottom w:val="single" w:sz="4" w:space="0" w:color="000000"/>
            </w:tcBorders>
          </w:tcPr>
          <w:p w14:paraId="588D428F" w14:textId="64B4A5AC"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3E3F4D41" w14:textId="77777777" w:rsidR="00B628FF" w:rsidRDefault="005B2D2F">
            <w:pPr>
              <w:pStyle w:val="MeasureTableDataRightAlignedwith2ptsspacing"/>
              <w:keepNext/>
            </w:pPr>
            <w:r>
              <w:t>16.7</w:t>
            </w:r>
          </w:p>
        </w:tc>
        <w:tc>
          <w:tcPr>
            <w:tcW w:w="1043" w:type="dxa"/>
            <w:tcBorders>
              <w:top w:val="single" w:sz="4" w:space="0" w:color="000000"/>
              <w:bottom w:val="single" w:sz="4" w:space="0" w:color="000000"/>
            </w:tcBorders>
          </w:tcPr>
          <w:p w14:paraId="1D838045" w14:textId="77777777" w:rsidR="00B628FF" w:rsidRDefault="005B2D2F">
            <w:pPr>
              <w:pStyle w:val="MeasureTableDataRightAlignedwith2ptsspacing"/>
              <w:keepNext/>
            </w:pPr>
            <w:r>
              <w:t>16.8</w:t>
            </w:r>
          </w:p>
        </w:tc>
        <w:tc>
          <w:tcPr>
            <w:tcW w:w="1043" w:type="dxa"/>
            <w:tcBorders>
              <w:top w:val="single" w:sz="4" w:space="0" w:color="000000"/>
              <w:bottom w:val="single" w:sz="4" w:space="0" w:color="000000"/>
            </w:tcBorders>
          </w:tcPr>
          <w:p w14:paraId="58DC9FBF" w14:textId="4330D927"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22E94392" w14:textId="722BF9D5" w:rsidR="00B628FF" w:rsidRDefault="00B31B37">
            <w:pPr>
              <w:pStyle w:val="MeasureTableDataRightAlignedwith2ptsspacing"/>
              <w:keepNext/>
            </w:pPr>
            <w:r>
              <w:noBreakHyphen/>
            </w:r>
          </w:p>
        </w:tc>
      </w:tr>
      <w:tr w:rsidR="00B628FF" w14:paraId="77448D16" w14:textId="77777777">
        <w:trPr>
          <w:cantSplit/>
        </w:trPr>
        <w:tc>
          <w:tcPr>
            <w:tcW w:w="2500" w:type="dxa"/>
            <w:tcBorders>
              <w:top w:val="single" w:sz="4" w:space="0" w:color="000000"/>
              <w:bottom w:val="single" w:sz="4" w:space="0" w:color="000000"/>
            </w:tcBorders>
          </w:tcPr>
          <w:p w14:paraId="38A631B3" w14:textId="77777777" w:rsidR="00B628FF" w:rsidRDefault="005B2D2F">
            <w:pPr>
              <w:pStyle w:val="MeasureTableHeadingleftalignedwith2ptsspacing"/>
              <w:keepNext/>
            </w:pPr>
            <w:r>
              <w:t>Australian Criminal Intelligence Commission</w:t>
            </w:r>
          </w:p>
        </w:tc>
        <w:tc>
          <w:tcPr>
            <w:tcW w:w="1043" w:type="dxa"/>
            <w:tcBorders>
              <w:top w:val="single" w:sz="4" w:space="0" w:color="000000"/>
              <w:bottom w:val="single" w:sz="4" w:space="0" w:color="000000"/>
            </w:tcBorders>
          </w:tcPr>
          <w:p w14:paraId="5ACD6C9A" w14:textId="03D5325E"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15CC4237" w14:textId="77777777" w:rsidR="00B628FF" w:rsidRDefault="005B2D2F">
            <w:pPr>
              <w:pStyle w:val="MeasureTableDataRightAlignedwith2ptsspacing"/>
              <w:keepNext/>
            </w:pPr>
            <w:r>
              <w:t>2.6</w:t>
            </w:r>
          </w:p>
        </w:tc>
        <w:tc>
          <w:tcPr>
            <w:tcW w:w="1043" w:type="dxa"/>
            <w:tcBorders>
              <w:top w:val="single" w:sz="4" w:space="0" w:color="000000"/>
              <w:bottom w:val="single" w:sz="4" w:space="0" w:color="000000"/>
            </w:tcBorders>
          </w:tcPr>
          <w:p w14:paraId="5814EB88" w14:textId="77777777" w:rsidR="00B628FF" w:rsidRDefault="005B2D2F">
            <w:pPr>
              <w:pStyle w:val="MeasureTableDataRightAlignedwith2ptsspacing"/>
              <w:keepNext/>
            </w:pPr>
            <w:r>
              <w:t>2.7</w:t>
            </w:r>
          </w:p>
        </w:tc>
        <w:tc>
          <w:tcPr>
            <w:tcW w:w="1043" w:type="dxa"/>
            <w:tcBorders>
              <w:top w:val="single" w:sz="4" w:space="0" w:color="000000"/>
              <w:bottom w:val="single" w:sz="4" w:space="0" w:color="000000"/>
            </w:tcBorders>
          </w:tcPr>
          <w:p w14:paraId="359C990C" w14:textId="24B92AA7"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53A836A0" w14:textId="720BBA7F" w:rsidR="00B628FF" w:rsidRDefault="00B31B37">
            <w:pPr>
              <w:pStyle w:val="MeasureTableDataRightAlignedwith2ptsspacing"/>
              <w:keepNext/>
            </w:pPr>
            <w:r>
              <w:noBreakHyphen/>
            </w:r>
          </w:p>
        </w:tc>
      </w:tr>
      <w:tr w:rsidR="00B628FF" w14:paraId="706345D4" w14:textId="77777777">
        <w:trPr>
          <w:cantSplit/>
        </w:trPr>
        <w:tc>
          <w:tcPr>
            <w:tcW w:w="2500" w:type="dxa"/>
            <w:tcBorders>
              <w:top w:val="single" w:sz="4" w:space="0" w:color="000000"/>
              <w:bottom w:val="single" w:sz="4" w:space="0" w:color="000000"/>
            </w:tcBorders>
          </w:tcPr>
          <w:p w14:paraId="1BE57397" w14:textId="77777777" w:rsidR="00B628FF" w:rsidRDefault="005B2D2F">
            <w:pPr>
              <w:pStyle w:val="MeasureTableHeadingleftalignedwith2ptsspacing"/>
              <w:keepNext/>
            </w:pPr>
            <w:r>
              <w:t>Office of the Director of Public Prosecutions</w:t>
            </w:r>
          </w:p>
        </w:tc>
        <w:tc>
          <w:tcPr>
            <w:tcW w:w="1043" w:type="dxa"/>
            <w:tcBorders>
              <w:top w:val="single" w:sz="4" w:space="0" w:color="000000"/>
              <w:bottom w:val="single" w:sz="4" w:space="0" w:color="000000"/>
            </w:tcBorders>
          </w:tcPr>
          <w:p w14:paraId="4C901F3A" w14:textId="2F99572F"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500AD6D3" w14:textId="77777777" w:rsidR="00B628FF" w:rsidRDefault="005B2D2F">
            <w:pPr>
              <w:pStyle w:val="MeasureTableDataRightAlignedwith2ptsspacing"/>
              <w:keepNext/>
            </w:pPr>
            <w:r>
              <w:t>2.2</w:t>
            </w:r>
          </w:p>
        </w:tc>
        <w:tc>
          <w:tcPr>
            <w:tcW w:w="1043" w:type="dxa"/>
            <w:tcBorders>
              <w:top w:val="single" w:sz="4" w:space="0" w:color="000000"/>
              <w:bottom w:val="single" w:sz="4" w:space="0" w:color="000000"/>
            </w:tcBorders>
          </w:tcPr>
          <w:p w14:paraId="4AE045ED" w14:textId="77777777" w:rsidR="00B628FF" w:rsidRDefault="005B2D2F">
            <w:pPr>
              <w:pStyle w:val="MeasureTableDataRightAlignedwith2ptsspacing"/>
              <w:keepNext/>
            </w:pPr>
            <w:r>
              <w:t>2.3</w:t>
            </w:r>
          </w:p>
        </w:tc>
        <w:tc>
          <w:tcPr>
            <w:tcW w:w="1043" w:type="dxa"/>
            <w:tcBorders>
              <w:top w:val="single" w:sz="4" w:space="0" w:color="000000"/>
              <w:bottom w:val="single" w:sz="4" w:space="0" w:color="000000"/>
            </w:tcBorders>
          </w:tcPr>
          <w:p w14:paraId="18E776CF" w14:textId="5F0DD1C7"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02C59149" w14:textId="16CFB608" w:rsidR="00B628FF" w:rsidRDefault="00B31B37">
            <w:pPr>
              <w:pStyle w:val="MeasureTableDataRightAlignedwith2ptsspacing"/>
              <w:keepNext/>
            </w:pPr>
            <w:r>
              <w:noBreakHyphen/>
            </w:r>
          </w:p>
        </w:tc>
      </w:tr>
      <w:tr w:rsidR="00B628FF" w14:paraId="1F5D83F4" w14:textId="77777777">
        <w:trPr>
          <w:cantSplit/>
        </w:trPr>
        <w:tc>
          <w:tcPr>
            <w:tcW w:w="2500" w:type="dxa"/>
            <w:tcBorders>
              <w:top w:val="single" w:sz="4" w:space="0" w:color="000000"/>
              <w:bottom w:val="single" w:sz="4" w:space="0" w:color="000000"/>
            </w:tcBorders>
          </w:tcPr>
          <w:p w14:paraId="2B7ACB95" w14:textId="77777777" w:rsidR="00B628FF" w:rsidRDefault="005B2D2F">
            <w:pPr>
              <w:pStyle w:val="MeasureTableHeadingleftalignedwith2ptsspacing"/>
              <w:keepNext/>
            </w:pPr>
            <w:r>
              <w:t>Australian Taxation Office</w:t>
            </w:r>
          </w:p>
        </w:tc>
        <w:tc>
          <w:tcPr>
            <w:tcW w:w="1043" w:type="dxa"/>
            <w:tcBorders>
              <w:top w:val="single" w:sz="4" w:space="0" w:color="000000"/>
              <w:bottom w:val="single" w:sz="4" w:space="0" w:color="000000"/>
            </w:tcBorders>
          </w:tcPr>
          <w:p w14:paraId="20E0DD63" w14:textId="0B61198B"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6D99D2AA" w14:textId="77777777" w:rsidR="00B628FF" w:rsidRDefault="005B2D2F">
            <w:pPr>
              <w:pStyle w:val="MeasureTableDataRightAlignedwith2ptsspacing"/>
              <w:keepNext/>
            </w:pPr>
            <w:r>
              <w:t>2.0</w:t>
            </w:r>
          </w:p>
        </w:tc>
        <w:tc>
          <w:tcPr>
            <w:tcW w:w="1043" w:type="dxa"/>
            <w:tcBorders>
              <w:top w:val="single" w:sz="4" w:space="0" w:color="000000"/>
              <w:bottom w:val="single" w:sz="4" w:space="0" w:color="000000"/>
            </w:tcBorders>
          </w:tcPr>
          <w:p w14:paraId="4133AA56" w14:textId="77777777" w:rsidR="00B628FF" w:rsidRDefault="005B2D2F">
            <w:pPr>
              <w:pStyle w:val="MeasureTableDataRightAlignedwith2ptsspacing"/>
              <w:keepNext/>
            </w:pPr>
            <w:r>
              <w:t>2.0</w:t>
            </w:r>
          </w:p>
        </w:tc>
        <w:tc>
          <w:tcPr>
            <w:tcW w:w="1043" w:type="dxa"/>
            <w:tcBorders>
              <w:top w:val="single" w:sz="4" w:space="0" w:color="000000"/>
              <w:bottom w:val="single" w:sz="4" w:space="0" w:color="000000"/>
            </w:tcBorders>
          </w:tcPr>
          <w:p w14:paraId="761A7257" w14:textId="392C8AD3"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6FA17049" w14:textId="4E005BD1" w:rsidR="00B628FF" w:rsidRDefault="00B31B37">
            <w:pPr>
              <w:pStyle w:val="MeasureTableDataRightAlignedwith2ptsspacing"/>
              <w:keepNext/>
            </w:pPr>
            <w:r>
              <w:noBreakHyphen/>
            </w:r>
          </w:p>
        </w:tc>
      </w:tr>
      <w:tr w:rsidR="00B628FF" w14:paraId="3248D144" w14:textId="77777777">
        <w:trPr>
          <w:cantSplit/>
        </w:trPr>
        <w:tc>
          <w:tcPr>
            <w:tcW w:w="2500" w:type="dxa"/>
            <w:tcBorders>
              <w:top w:val="single" w:sz="4" w:space="0" w:color="000000"/>
              <w:bottom w:val="single" w:sz="4" w:space="0" w:color="000000"/>
            </w:tcBorders>
          </w:tcPr>
          <w:p w14:paraId="619BDC9D" w14:textId="77777777" w:rsidR="00B628FF" w:rsidRDefault="005B2D2F">
            <w:pPr>
              <w:pStyle w:val="MeasureTableHeadingleftalignedwith2ptsspacing"/>
              <w:keepNext/>
            </w:pPr>
            <w:r>
              <w:t>Australian Transaction Reports and Analysis Centre</w:t>
            </w:r>
          </w:p>
        </w:tc>
        <w:tc>
          <w:tcPr>
            <w:tcW w:w="1043" w:type="dxa"/>
            <w:tcBorders>
              <w:top w:val="single" w:sz="4" w:space="0" w:color="000000"/>
              <w:bottom w:val="single" w:sz="4" w:space="0" w:color="000000"/>
            </w:tcBorders>
          </w:tcPr>
          <w:p w14:paraId="336B5CFC" w14:textId="725B5CDA"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38DB033E" w14:textId="77777777" w:rsidR="00B628FF" w:rsidRDefault="005B2D2F">
            <w:pPr>
              <w:pStyle w:val="MeasureTableDataRightAlignedwith2ptsspacing"/>
              <w:keepNext/>
            </w:pPr>
            <w:r>
              <w:t>0.4</w:t>
            </w:r>
          </w:p>
        </w:tc>
        <w:tc>
          <w:tcPr>
            <w:tcW w:w="1043" w:type="dxa"/>
            <w:tcBorders>
              <w:top w:val="single" w:sz="4" w:space="0" w:color="000000"/>
              <w:bottom w:val="single" w:sz="4" w:space="0" w:color="000000"/>
            </w:tcBorders>
          </w:tcPr>
          <w:p w14:paraId="4518373E" w14:textId="77777777" w:rsidR="00B628FF" w:rsidRDefault="005B2D2F">
            <w:pPr>
              <w:pStyle w:val="MeasureTableDataRightAlignedwith2ptsspacing"/>
              <w:keepNext/>
            </w:pPr>
            <w:r>
              <w:t>0.4</w:t>
            </w:r>
          </w:p>
        </w:tc>
        <w:tc>
          <w:tcPr>
            <w:tcW w:w="1043" w:type="dxa"/>
            <w:tcBorders>
              <w:top w:val="single" w:sz="4" w:space="0" w:color="000000"/>
              <w:bottom w:val="single" w:sz="4" w:space="0" w:color="000000"/>
            </w:tcBorders>
          </w:tcPr>
          <w:p w14:paraId="4D0C1792" w14:textId="1F529D1E"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63F111E8" w14:textId="3B4C8CD8" w:rsidR="00B628FF" w:rsidRDefault="00B31B37">
            <w:pPr>
              <w:pStyle w:val="MeasureTableDataRightAlignedwith2ptsspacing"/>
              <w:keepNext/>
            </w:pPr>
            <w:r>
              <w:noBreakHyphen/>
            </w:r>
          </w:p>
        </w:tc>
      </w:tr>
      <w:tr w:rsidR="00B628FF" w14:paraId="021CCBB9" w14:textId="77777777">
        <w:trPr>
          <w:cantSplit/>
        </w:trPr>
        <w:tc>
          <w:tcPr>
            <w:tcW w:w="2500" w:type="dxa"/>
            <w:tcBorders>
              <w:top w:val="single" w:sz="4" w:space="0" w:color="000000"/>
              <w:bottom w:val="single" w:sz="4" w:space="0" w:color="000000"/>
            </w:tcBorders>
          </w:tcPr>
          <w:p w14:paraId="2E90EB55" w14:textId="77777777" w:rsidR="00B628FF" w:rsidRDefault="005B2D2F">
            <w:pPr>
              <w:pStyle w:val="Totalrowleftaligned"/>
              <w:keepNext/>
            </w:pPr>
            <w:r>
              <w:t>Total – Payments</w:t>
            </w:r>
          </w:p>
        </w:tc>
        <w:tc>
          <w:tcPr>
            <w:tcW w:w="1043" w:type="dxa"/>
            <w:tcBorders>
              <w:top w:val="single" w:sz="4" w:space="0" w:color="000000"/>
              <w:bottom w:val="single" w:sz="4" w:space="0" w:color="000000"/>
            </w:tcBorders>
          </w:tcPr>
          <w:p w14:paraId="08A0D640" w14:textId="34B3EA3F" w:rsidR="00B628FF" w:rsidRDefault="00B31B37">
            <w:pPr>
              <w:pStyle w:val="Totaldatarowrightaligned"/>
              <w:keepNext/>
            </w:pPr>
            <w:r>
              <w:noBreakHyphen/>
            </w:r>
          </w:p>
        </w:tc>
        <w:tc>
          <w:tcPr>
            <w:tcW w:w="1043" w:type="dxa"/>
            <w:tcBorders>
              <w:top w:val="single" w:sz="4" w:space="0" w:color="000000"/>
              <w:bottom w:val="single" w:sz="4" w:space="0" w:color="000000"/>
            </w:tcBorders>
          </w:tcPr>
          <w:p w14:paraId="1D481BD6" w14:textId="77777777" w:rsidR="00B628FF" w:rsidRDefault="005B2D2F">
            <w:pPr>
              <w:pStyle w:val="Totaldatarowrightaligned"/>
              <w:keepNext/>
            </w:pPr>
            <w:r>
              <w:t>79.8</w:t>
            </w:r>
          </w:p>
        </w:tc>
        <w:tc>
          <w:tcPr>
            <w:tcW w:w="1043" w:type="dxa"/>
            <w:tcBorders>
              <w:top w:val="single" w:sz="4" w:space="0" w:color="000000"/>
              <w:bottom w:val="single" w:sz="4" w:space="0" w:color="000000"/>
            </w:tcBorders>
          </w:tcPr>
          <w:p w14:paraId="72609843" w14:textId="77777777" w:rsidR="00B628FF" w:rsidRDefault="005B2D2F">
            <w:pPr>
              <w:pStyle w:val="Totaldatarowrightaligned"/>
              <w:keepNext/>
            </w:pPr>
            <w:r>
              <w:t>76.9</w:t>
            </w:r>
          </w:p>
        </w:tc>
        <w:tc>
          <w:tcPr>
            <w:tcW w:w="1043" w:type="dxa"/>
            <w:tcBorders>
              <w:top w:val="single" w:sz="4" w:space="0" w:color="000000"/>
              <w:bottom w:val="single" w:sz="4" w:space="0" w:color="000000"/>
            </w:tcBorders>
          </w:tcPr>
          <w:p w14:paraId="7EBE3307" w14:textId="0B201150" w:rsidR="00B628FF" w:rsidRDefault="00B31B37">
            <w:pPr>
              <w:pStyle w:val="Totaldatarowrightaligned"/>
              <w:keepNext/>
            </w:pPr>
            <w:r>
              <w:noBreakHyphen/>
            </w:r>
          </w:p>
        </w:tc>
        <w:tc>
          <w:tcPr>
            <w:tcW w:w="1043" w:type="dxa"/>
            <w:tcBorders>
              <w:top w:val="single" w:sz="4" w:space="0" w:color="000000"/>
              <w:bottom w:val="single" w:sz="4" w:space="0" w:color="000000"/>
            </w:tcBorders>
          </w:tcPr>
          <w:p w14:paraId="61B89AF0" w14:textId="32A96330" w:rsidR="00B628FF" w:rsidRDefault="00B31B37">
            <w:pPr>
              <w:pStyle w:val="Totaldatarowrightaligned"/>
              <w:keepNext/>
            </w:pPr>
            <w:r>
              <w:noBreakHyphen/>
            </w:r>
          </w:p>
        </w:tc>
      </w:tr>
    </w:tbl>
    <w:p w14:paraId="25C02637" w14:textId="77777777" w:rsidR="00B628FF" w:rsidRDefault="00B628FF">
      <w:pPr>
        <w:keepNext/>
        <w:spacing w:line="226" w:lineRule="exact"/>
        <w:rPr>
          <w:sz w:val="16"/>
        </w:rPr>
      </w:pPr>
    </w:p>
    <w:p w14:paraId="5786D3B0" w14:textId="77777777" w:rsidR="00B628FF" w:rsidRDefault="005B2D2F">
      <w:pPr>
        <w:pStyle w:val="Normal2"/>
      </w:pPr>
      <w:r>
        <w:t>The Government will provide $156.7 million over two years from 2025–‍26 to strengthen compliance and enforcement action in relation to the trade of illicit tobacco and nicotine products. Funding includes:</w:t>
      </w:r>
    </w:p>
    <w:p w14:paraId="6A73F142" w14:textId="77777777" w:rsidR="00B628FF" w:rsidRDefault="005B2D2F">
      <w:pPr>
        <w:pStyle w:val="Bullet"/>
      </w:pPr>
      <w:r>
        <w:t>$49.4 million over two years from 2025–‍26 to increase the capacity of the Australian Federal Police‑led Criminal Assets Confiscation Taskforce to investigate and prosecute serious and organised crime groups dealing in illicit tobacco and nicotine products</w:t>
      </w:r>
    </w:p>
    <w:p w14:paraId="7CFB6782" w14:textId="00B69CB7" w:rsidR="00B628FF" w:rsidRDefault="005B2D2F">
      <w:pPr>
        <w:pStyle w:val="Bullet"/>
      </w:pPr>
      <w:r>
        <w:t>$40.0 million over two years from 2025–‍26 to support states and territories to establish local level capability to respond to their own unique compliance and enforcement challenges, and strengthen regulatory authorities</w:t>
      </w:r>
      <w:r w:rsidR="00B31B37">
        <w:t>’</w:t>
      </w:r>
      <w:r>
        <w:t xml:space="preserve"> cross‑jurisdictional tactical partnerships for enforcement capacity</w:t>
      </w:r>
    </w:p>
    <w:p w14:paraId="53BEF411" w14:textId="01DF5D4C" w:rsidR="00B628FF" w:rsidRDefault="005B2D2F">
      <w:pPr>
        <w:pStyle w:val="Bullet"/>
      </w:pPr>
      <w:r>
        <w:t>$31.6 million over two years from 2025–‍26 to strengthen monitoring, compliance</w:t>
      </w:r>
      <w:r w:rsidR="002F13C3">
        <w:t xml:space="preserve"> and</w:t>
      </w:r>
      <w:r>
        <w:t xml:space="preserve"> enforcement activities under the </w:t>
      </w:r>
      <w:r w:rsidRPr="005B2D2F">
        <w:rPr>
          <w:i/>
        </w:rPr>
        <w:t>Public Health (Tobacco and Other Products) Act 2023</w:t>
      </w:r>
      <w:r>
        <w:t xml:space="preserve"> and the </w:t>
      </w:r>
      <w:r w:rsidRPr="005B2D2F">
        <w:rPr>
          <w:i/>
        </w:rPr>
        <w:t xml:space="preserve">Therapeutic Goods Act 1989 </w:t>
      </w:r>
    </w:p>
    <w:p w14:paraId="5FA6042B" w14:textId="77777777" w:rsidR="00B628FF" w:rsidRDefault="005B2D2F">
      <w:pPr>
        <w:pStyle w:val="Bullet"/>
      </w:pPr>
      <w:r>
        <w:t>$19.9 million over two years from 2025–‍26 to increase the capacity of the Office of the Illicit Tobacco and E‑cigarettes Commissioner to coordinate efforts across all levels of government to combat the illicit tobacco trade</w:t>
      </w:r>
    </w:p>
    <w:p w14:paraId="7EFAD735" w14:textId="77777777" w:rsidR="00B628FF" w:rsidRDefault="005B2D2F">
      <w:pPr>
        <w:pStyle w:val="Bullet"/>
      </w:pPr>
      <w:r>
        <w:t>$7.0 million over two years from 2025–‍26 to support the Australian Border Force to combat illicit tobacco networks by trialling rapid non‑intrusive tools to detect illicit tobacco in international cargo and mail</w:t>
      </w:r>
    </w:p>
    <w:p w14:paraId="781F1A8A" w14:textId="7D4C7C0D" w:rsidR="00B628FF" w:rsidRDefault="005B2D2F">
      <w:pPr>
        <w:pStyle w:val="Bullet"/>
      </w:pPr>
      <w:r>
        <w:t>$4.0 million over two years from 2025–‍26 to extend the National Tobacco and E‑</w:t>
      </w:r>
      <w:r w:rsidR="00B10E08">
        <w:t>c</w:t>
      </w:r>
      <w:r>
        <w:t>igarette Campaign to target the motivations and behaviours of people who use illicit tobacco</w:t>
      </w:r>
    </w:p>
    <w:p w14:paraId="5C4A1DF0" w14:textId="77777777" w:rsidR="00B628FF" w:rsidRDefault="005B2D2F">
      <w:pPr>
        <w:pStyle w:val="Bullet"/>
      </w:pPr>
      <w:r>
        <w:t xml:space="preserve">$3.3 million over two years from 2025–‍26 for the Office of the Director of Public Prosecutions to prosecute contraventions of the </w:t>
      </w:r>
      <w:r w:rsidRPr="005B2D2F">
        <w:rPr>
          <w:i/>
        </w:rPr>
        <w:t>Public Health (Tobacco and Other Products) Act 2023</w:t>
      </w:r>
      <w:r>
        <w:t xml:space="preserve"> and the </w:t>
      </w:r>
      <w:r w:rsidRPr="005B2D2F">
        <w:rPr>
          <w:i/>
        </w:rPr>
        <w:t>Therapeutic Goods Act 1989</w:t>
      </w:r>
      <w:r>
        <w:t xml:space="preserve"> to address non‑compliance</w:t>
      </w:r>
    </w:p>
    <w:p w14:paraId="226B5921" w14:textId="77777777" w:rsidR="00B628FF" w:rsidRDefault="005B2D2F">
      <w:pPr>
        <w:pStyle w:val="Bullet"/>
      </w:pPr>
      <w:r>
        <w:t>$1.4 million over two years from 2025–‍26 to evaluate the threat posed by the prevalence of illicit tobacco in circulation in Southeast Asia and the Pacific.</w:t>
      </w:r>
    </w:p>
    <w:p w14:paraId="0B4711C5" w14:textId="77777777" w:rsidR="00B628FF" w:rsidRDefault="005B2D2F">
      <w:pPr>
        <w:pStyle w:val="Normal2"/>
      </w:pPr>
      <w:r>
        <w:t>The Treasury manages Commonwealth payments to the states and territories.</w:t>
      </w:r>
    </w:p>
    <w:p w14:paraId="408170AF" w14:textId="77777777" w:rsidR="00B628FF" w:rsidRDefault="005B2D2F">
      <w:pPr>
        <w:pStyle w:val="MeasureTitle"/>
      </w:pPr>
      <w:r>
        <w:t>Savings from External Labour – further extension</w:t>
      </w:r>
    </w:p>
    <w:p w14:paraId="40CCB34E" w14:textId="77777777" w:rsidR="00B628FF" w:rsidRDefault="005B2D2F">
      <w:pPr>
        <w:pStyle w:val="MeasureTableHeading"/>
      </w:pPr>
      <w:r>
        <w:t>Payments ($m)</w:t>
      </w:r>
    </w:p>
    <w:tbl>
      <w:tblPr>
        <w:tblOverlap w:val="never"/>
        <w:tblW w:w="7721" w:type="dxa"/>
        <w:tblBorders>
          <w:top w:val="single" w:sz="4" w:space="0" w:color="000000"/>
          <w:bottom w:val="single" w:sz="4" w:space="0" w:color="000000"/>
        </w:tblBorders>
        <w:tblLayout w:type="fixed"/>
        <w:tblLook w:val="04A0" w:firstRow="1" w:lastRow="0" w:firstColumn="1" w:lastColumn="0" w:noHBand="0" w:noVBand="1"/>
      </w:tblPr>
      <w:tblGrid>
        <w:gridCol w:w="2501"/>
        <w:gridCol w:w="1044"/>
        <w:gridCol w:w="1044"/>
        <w:gridCol w:w="1044"/>
        <w:gridCol w:w="1044"/>
        <w:gridCol w:w="1044"/>
      </w:tblGrid>
      <w:tr w:rsidR="00B628FF" w14:paraId="7FE29080" w14:textId="77777777">
        <w:trPr>
          <w:cantSplit/>
        </w:trPr>
        <w:tc>
          <w:tcPr>
            <w:tcW w:w="2500" w:type="dxa"/>
            <w:tcBorders>
              <w:top w:val="single" w:sz="4" w:space="0" w:color="000000"/>
              <w:bottom w:val="single" w:sz="4" w:space="0" w:color="000000"/>
            </w:tcBorders>
          </w:tcPr>
          <w:p w14:paraId="080786FD" w14:textId="77777777" w:rsidR="00B628FF" w:rsidRDefault="00B628FF">
            <w:pPr>
              <w:pStyle w:val="MeasureTableYearHeadings"/>
              <w:keepNext/>
            </w:pPr>
          </w:p>
        </w:tc>
        <w:tc>
          <w:tcPr>
            <w:tcW w:w="1043" w:type="dxa"/>
            <w:tcBorders>
              <w:top w:val="single" w:sz="4" w:space="0" w:color="000000"/>
              <w:bottom w:val="single" w:sz="4" w:space="0" w:color="000000"/>
            </w:tcBorders>
          </w:tcPr>
          <w:p w14:paraId="23D24E9C" w14:textId="1C8775EF" w:rsidR="00B628FF" w:rsidRDefault="005B2D2F">
            <w:pPr>
              <w:pStyle w:val="MeasureTableYearHeadings"/>
              <w:keepNext/>
            </w:pPr>
            <w:r>
              <w:t>2024</w:t>
            </w:r>
            <w:r w:rsidR="00B31B37">
              <w:noBreakHyphen/>
            </w:r>
            <w:r>
              <w:t>25</w:t>
            </w:r>
          </w:p>
        </w:tc>
        <w:tc>
          <w:tcPr>
            <w:tcW w:w="1043" w:type="dxa"/>
            <w:tcBorders>
              <w:top w:val="single" w:sz="4" w:space="0" w:color="000000"/>
              <w:bottom w:val="single" w:sz="4" w:space="0" w:color="000000"/>
            </w:tcBorders>
          </w:tcPr>
          <w:p w14:paraId="561E8113" w14:textId="641D14D9" w:rsidR="00B628FF" w:rsidRDefault="005B2D2F">
            <w:pPr>
              <w:pStyle w:val="MeasureTableYearHeadings"/>
              <w:keepNext/>
            </w:pPr>
            <w:r>
              <w:t>2025</w:t>
            </w:r>
            <w:r w:rsidR="00B31B37">
              <w:noBreakHyphen/>
            </w:r>
            <w:r>
              <w:t>26</w:t>
            </w:r>
          </w:p>
        </w:tc>
        <w:tc>
          <w:tcPr>
            <w:tcW w:w="1043" w:type="dxa"/>
            <w:tcBorders>
              <w:top w:val="single" w:sz="4" w:space="0" w:color="000000"/>
              <w:bottom w:val="single" w:sz="4" w:space="0" w:color="000000"/>
            </w:tcBorders>
          </w:tcPr>
          <w:p w14:paraId="6B4A9DE7" w14:textId="3676236A" w:rsidR="00B628FF" w:rsidRDefault="005B2D2F">
            <w:pPr>
              <w:pStyle w:val="MeasureTableYearHeadings"/>
              <w:keepNext/>
            </w:pPr>
            <w:r>
              <w:t>2026</w:t>
            </w:r>
            <w:r w:rsidR="00B31B37">
              <w:noBreakHyphen/>
            </w:r>
            <w:r>
              <w:t>27</w:t>
            </w:r>
          </w:p>
        </w:tc>
        <w:tc>
          <w:tcPr>
            <w:tcW w:w="1043" w:type="dxa"/>
            <w:tcBorders>
              <w:top w:val="single" w:sz="4" w:space="0" w:color="000000"/>
              <w:bottom w:val="single" w:sz="4" w:space="0" w:color="000000"/>
            </w:tcBorders>
          </w:tcPr>
          <w:p w14:paraId="28988541" w14:textId="4E8F8013" w:rsidR="00B628FF" w:rsidRDefault="005B2D2F">
            <w:pPr>
              <w:pStyle w:val="MeasureTableYearHeadings"/>
              <w:keepNext/>
            </w:pPr>
            <w:r>
              <w:t>2027</w:t>
            </w:r>
            <w:r w:rsidR="00B31B37">
              <w:noBreakHyphen/>
            </w:r>
            <w:r>
              <w:t>28</w:t>
            </w:r>
          </w:p>
        </w:tc>
        <w:tc>
          <w:tcPr>
            <w:tcW w:w="1043" w:type="dxa"/>
            <w:tcBorders>
              <w:top w:val="single" w:sz="4" w:space="0" w:color="000000"/>
              <w:bottom w:val="single" w:sz="4" w:space="0" w:color="000000"/>
            </w:tcBorders>
          </w:tcPr>
          <w:p w14:paraId="7E3CDC76" w14:textId="65716950" w:rsidR="00B628FF" w:rsidRDefault="005B2D2F">
            <w:pPr>
              <w:pStyle w:val="MeasureTableYearHeadings"/>
              <w:keepNext/>
            </w:pPr>
            <w:r>
              <w:t>2028</w:t>
            </w:r>
            <w:r w:rsidR="00B31B37">
              <w:noBreakHyphen/>
            </w:r>
            <w:r>
              <w:t>29</w:t>
            </w:r>
          </w:p>
        </w:tc>
      </w:tr>
      <w:tr w:rsidR="00B628FF" w14:paraId="174EF8F1" w14:textId="77777777">
        <w:trPr>
          <w:cantSplit/>
        </w:trPr>
        <w:tc>
          <w:tcPr>
            <w:tcW w:w="2500" w:type="dxa"/>
            <w:tcBorders>
              <w:top w:val="single" w:sz="4" w:space="0" w:color="000000"/>
              <w:bottom w:val="single" w:sz="4" w:space="0" w:color="000000"/>
            </w:tcBorders>
          </w:tcPr>
          <w:p w14:paraId="31CE8599" w14:textId="77777777" w:rsidR="00B628FF" w:rsidRDefault="005B2D2F">
            <w:pPr>
              <w:pStyle w:val="MeasureTableHeadingleftalignedwith2ptsspacing"/>
              <w:keepNext/>
            </w:pPr>
            <w:r>
              <w:t>Various Agencies</w:t>
            </w:r>
          </w:p>
        </w:tc>
        <w:tc>
          <w:tcPr>
            <w:tcW w:w="1043" w:type="dxa"/>
            <w:tcBorders>
              <w:top w:val="single" w:sz="4" w:space="0" w:color="000000"/>
              <w:bottom w:val="single" w:sz="4" w:space="0" w:color="000000"/>
            </w:tcBorders>
          </w:tcPr>
          <w:p w14:paraId="5AE8053D" w14:textId="5DA2FAE5"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121DDA04" w14:textId="5B0F1713"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1E4191AA" w14:textId="11D1F00A"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547DE1CD" w14:textId="1AA24EE0"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7C4C5467" w14:textId="4AC59016" w:rsidR="00B628FF" w:rsidRDefault="00B31B37">
            <w:pPr>
              <w:pStyle w:val="MeasureTableDataRightAlignedwith2ptsspacing"/>
              <w:keepNext/>
            </w:pPr>
            <w:r>
              <w:noBreakHyphen/>
            </w:r>
            <w:r w:rsidR="005B2D2F">
              <w:t>718.8</w:t>
            </w:r>
          </w:p>
        </w:tc>
      </w:tr>
    </w:tbl>
    <w:p w14:paraId="4BB10367" w14:textId="77777777" w:rsidR="00B628FF" w:rsidRDefault="00B628FF">
      <w:pPr>
        <w:keepNext/>
        <w:spacing w:line="226" w:lineRule="exact"/>
        <w:rPr>
          <w:sz w:val="16"/>
        </w:rPr>
      </w:pPr>
    </w:p>
    <w:p w14:paraId="60DC55B1" w14:textId="79B77B16" w:rsidR="00B628FF" w:rsidRDefault="005B2D2F">
      <w:pPr>
        <w:pStyle w:val="Normal2"/>
      </w:pPr>
      <w:r w:rsidRPr="5FA307DC">
        <w:rPr>
          <w:lang w:val="en-US"/>
        </w:rPr>
        <w:t>The Government will achieve savings of $718.8 million in 2028–‍29 by further reducing spending on consultants, contractors and labour hire, bringing the total savings from reducing reliance on external labour to $4.7</w:t>
      </w:r>
      <w:r w:rsidR="001967FD" w:rsidRPr="5FA307DC">
        <w:rPr>
          <w:lang w:val="en-US"/>
        </w:rPr>
        <w:t> </w:t>
      </w:r>
      <w:r w:rsidRPr="5FA307DC">
        <w:rPr>
          <w:lang w:val="en-US"/>
        </w:rPr>
        <w:t>billion since 2022–‍23.</w:t>
      </w:r>
    </w:p>
    <w:p w14:paraId="7FD047E1" w14:textId="77777777" w:rsidR="00B628FF" w:rsidRDefault="005B2D2F">
      <w:pPr>
        <w:pStyle w:val="Normal2"/>
      </w:pPr>
      <w:r>
        <w:t xml:space="preserve">This measure extends the 2024–‍25 Budget measure titled </w:t>
      </w:r>
      <w:r w:rsidRPr="005B2D2F">
        <w:rPr>
          <w:i/>
        </w:rPr>
        <w:t>Savings from External Labour – extension</w:t>
      </w:r>
      <w:r>
        <w:t>.</w:t>
      </w:r>
    </w:p>
    <w:p w14:paraId="7462881C" w14:textId="77777777" w:rsidR="00B628FF" w:rsidRDefault="00B628FF">
      <w:pPr>
        <w:sectPr w:rsidR="00B628FF" w:rsidSect="00A06F82">
          <w:headerReference w:type="even" r:id="rId51"/>
          <w:headerReference w:type="default" r:id="rId52"/>
          <w:footerReference w:type="even" r:id="rId53"/>
          <w:footerReference w:type="default" r:id="rId54"/>
          <w:headerReference w:type="first" r:id="rId55"/>
          <w:footerReference w:type="first" r:id="rId56"/>
          <w:pgSz w:w="11906" w:h="16838"/>
          <w:pgMar w:top="2835" w:right="2098" w:bottom="2466" w:left="2098" w:header="1814" w:footer="1814" w:gutter="0"/>
          <w:cols w:space="720"/>
          <w:docGrid w:linePitch="272"/>
        </w:sectPr>
      </w:pPr>
    </w:p>
    <w:p w14:paraId="030C804E" w14:textId="77777777" w:rsidR="00B628FF" w:rsidRDefault="005B2D2F" w:rsidP="5FA307DC">
      <w:pPr>
        <w:pStyle w:val="PortfolioName"/>
        <w:rPr>
          <w:lang w:val="en-US"/>
        </w:rPr>
      </w:pPr>
      <w:r w:rsidRPr="5FA307DC">
        <w:rPr>
          <w:lang w:val="en-US"/>
        </w:rPr>
        <w:t>Defence</w:t>
      </w:r>
    </w:p>
    <w:p w14:paraId="11A2D3A1" w14:textId="77777777" w:rsidR="00B628FF" w:rsidRDefault="005B2D2F">
      <w:pPr>
        <w:pStyle w:val="MeasureTitle"/>
      </w:pPr>
      <w:r w:rsidRPr="5FA307DC">
        <w:rPr>
          <w:lang w:val="en-US"/>
        </w:rPr>
        <w:t>Continued Defence Support to Ukraine</w:t>
      </w:r>
    </w:p>
    <w:p w14:paraId="2E9D902C" w14:textId="77777777" w:rsidR="00B628FF" w:rsidRDefault="005B2D2F">
      <w:pPr>
        <w:pStyle w:val="MeasureTableHeading"/>
      </w:pPr>
      <w:r>
        <w:t>Payments ($m)</w:t>
      </w:r>
    </w:p>
    <w:tbl>
      <w:tblPr>
        <w:tblOverlap w:val="never"/>
        <w:tblW w:w="7721" w:type="dxa"/>
        <w:tblBorders>
          <w:top w:val="single" w:sz="4" w:space="0" w:color="000000"/>
          <w:bottom w:val="single" w:sz="4" w:space="0" w:color="000000"/>
        </w:tblBorders>
        <w:tblLayout w:type="fixed"/>
        <w:tblLook w:val="04A0" w:firstRow="1" w:lastRow="0" w:firstColumn="1" w:lastColumn="0" w:noHBand="0" w:noVBand="1"/>
      </w:tblPr>
      <w:tblGrid>
        <w:gridCol w:w="2501"/>
        <w:gridCol w:w="1044"/>
        <w:gridCol w:w="1044"/>
        <w:gridCol w:w="1044"/>
        <w:gridCol w:w="1044"/>
        <w:gridCol w:w="1044"/>
      </w:tblGrid>
      <w:tr w:rsidR="00B628FF" w14:paraId="6B24ECB1" w14:textId="77777777">
        <w:trPr>
          <w:cantSplit/>
        </w:trPr>
        <w:tc>
          <w:tcPr>
            <w:tcW w:w="2500" w:type="dxa"/>
            <w:tcBorders>
              <w:top w:val="single" w:sz="4" w:space="0" w:color="000000"/>
              <w:bottom w:val="single" w:sz="4" w:space="0" w:color="000000"/>
            </w:tcBorders>
          </w:tcPr>
          <w:p w14:paraId="6DB0B9CE" w14:textId="77777777" w:rsidR="00B628FF" w:rsidRDefault="00B628FF">
            <w:pPr>
              <w:pStyle w:val="MeasureTableYearHeadings"/>
              <w:keepNext/>
            </w:pPr>
          </w:p>
        </w:tc>
        <w:tc>
          <w:tcPr>
            <w:tcW w:w="1043" w:type="dxa"/>
            <w:tcBorders>
              <w:top w:val="single" w:sz="4" w:space="0" w:color="000000"/>
              <w:bottom w:val="single" w:sz="4" w:space="0" w:color="000000"/>
            </w:tcBorders>
          </w:tcPr>
          <w:p w14:paraId="2FD4FB2A" w14:textId="5863221D" w:rsidR="00B628FF" w:rsidRDefault="005B2D2F">
            <w:pPr>
              <w:pStyle w:val="MeasureTableYearHeadings"/>
              <w:keepNext/>
            </w:pPr>
            <w:r>
              <w:t>2024</w:t>
            </w:r>
            <w:r w:rsidR="00B31B37">
              <w:noBreakHyphen/>
            </w:r>
            <w:r>
              <w:t>25</w:t>
            </w:r>
          </w:p>
        </w:tc>
        <w:tc>
          <w:tcPr>
            <w:tcW w:w="1043" w:type="dxa"/>
            <w:tcBorders>
              <w:top w:val="single" w:sz="4" w:space="0" w:color="000000"/>
              <w:bottom w:val="single" w:sz="4" w:space="0" w:color="000000"/>
            </w:tcBorders>
          </w:tcPr>
          <w:p w14:paraId="18B44052" w14:textId="76399C8E" w:rsidR="00B628FF" w:rsidRDefault="005B2D2F">
            <w:pPr>
              <w:pStyle w:val="MeasureTableYearHeadings"/>
              <w:keepNext/>
            </w:pPr>
            <w:r>
              <w:t>2025</w:t>
            </w:r>
            <w:r w:rsidR="00B31B37">
              <w:noBreakHyphen/>
            </w:r>
            <w:r>
              <w:t>26</w:t>
            </w:r>
          </w:p>
        </w:tc>
        <w:tc>
          <w:tcPr>
            <w:tcW w:w="1043" w:type="dxa"/>
            <w:tcBorders>
              <w:top w:val="single" w:sz="4" w:space="0" w:color="000000"/>
              <w:bottom w:val="single" w:sz="4" w:space="0" w:color="000000"/>
            </w:tcBorders>
          </w:tcPr>
          <w:p w14:paraId="561436E5" w14:textId="4B70EB10" w:rsidR="00B628FF" w:rsidRDefault="005B2D2F">
            <w:pPr>
              <w:pStyle w:val="MeasureTableYearHeadings"/>
              <w:keepNext/>
            </w:pPr>
            <w:r>
              <w:t>2026</w:t>
            </w:r>
            <w:r w:rsidR="00B31B37">
              <w:noBreakHyphen/>
            </w:r>
            <w:r>
              <w:t>27</w:t>
            </w:r>
          </w:p>
        </w:tc>
        <w:tc>
          <w:tcPr>
            <w:tcW w:w="1043" w:type="dxa"/>
            <w:tcBorders>
              <w:top w:val="single" w:sz="4" w:space="0" w:color="000000"/>
              <w:bottom w:val="single" w:sz="4" w:space="0" w:color="000000"/>
            </w:tcBorders>
          </w:tcPr>
          <w:p w14:paraId="608AD65E" w14:textId="20AFE429" w:rsidR="00B628FF" w:rsidRDefault="005B2D2F">
            <w:pPr>
              <w:pStyle w:val="MeasureTableYearHeadings"/>
              <w:keepNext/>
            </w:pPr>
            <w:r>
              <w:t>2027</w:t>
            </w:r>
            <w:r w:rsidR="00B31B37">
              <w:noBreakHyphen/>
            </w:r>
            <w:r>
              <w:t>28</w:t>
            </w:r>
          </w:p>
        </w:tc>
        <w:tc>
          <w:tcPr>
            <w:tcW w:w="1043" w:type="dxa"/>
            <w:tcBorders>
              <w:top w:val="single" w:sz="4" w:space="0" w:color="000000"/>
              <w:bottom w:val="single" w:sz="4" w:space="0" w:color="000000"/>
            </w:tcBorders>
          </w:tcPr>
          <w:p w14:paraId="494EB28F" w14:textId="632BB3BC" w:rsidR="00B628FF" w:rsidRDefault="005B2D2F">
            <w:pPr>
              <w:pStyle w:val="MeasureTableYearHeadings"/>
              <w:keepNext/>
            </w:pPr>
            <w:r>
              <w:t>2028</w:t>
            </w:r>
            <w:r w:rsidR="00B31B37">
              <w:noBreakHyphen/>
            </w:r>
            <w:r>
              <w:t>29</w:t>
            </w:r>
          </w:p>
        </w:tc>
      </w:tr>
      <w:tr w:rsidR="00B628FF" w14:paraId="5EBC1E44" w14:textId="77777777">
        <w:trPr>
          <w:cantSplit/>
        </w:trPr>
        <w:tc>
          <w:tcPr>
            <w:tcW w:w="2500" w:type="dxa"/>
            <w:tcBorders>
              <w:top w:val="single" w:sz="4" w:space="0" w:color="000000"/>
              <w:bottom w:val="single" w:sz="4" w:space="0" w:color="000000"/>
            </w:tcBorders>
          </w:tcPr>
          <w:p w14:paraId="02992CDA" w14:textId="77777777" w:rsidR="00B628FF" w:rsidRDefault="005B2D2F">
            <w:pPr>
              <w:pStyle w:val="MeasureTableHeadingleftalignedwith2ptsspacing"/>
              <w:keepNext/>
            </w:pPr>
            <w:r>
              <w:t>Department of Defence</w:t>
            </w:r>
          </w:p>
        </w:tc>
        <w:tc>
          <w:tcPr>
            <w:tcW w:w="1043" w:type="dxa"/>
            <w:tcBorders>
              <w:top w:val="single" w:sz="4" w:space="0" w:color="000000"/>
              <w:bottom w:val="single" w:sz="4" w:space="0" w:color="000000"/>
            </w:tcBorders>
          </w:tcPr>
          <w:p w14:paraId="495A660F" w14:textId="41B7B6D2"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2C0A3681" w14:textId="12DF5492"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1ED9B04F" w14:textId="758702D3"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204D7814" w14:textId="07272B37"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570465A4" w14:textId="2A16D4A7" w:rsidR="00B628FF" w:rsidRDefault="00B31B37">
            <w:pPr>
              <w:pStyle w:val="MeasureTableDataRightAlignedwith2ptsspacing"/>
              <w:keepNext/>
            </w:pPr>
            <w:r>
              <w:noBreakHyphen/>
            </w:r>
          </w:p>
        </w:tc>
      </w:tr>
    </w:tbl>
    <w:p w14:paraId="71E200CD" w14:textId="77777777" w:rsidR="00B628FF" w:rsidRDefault="00B628FF">
      <w:pPr>
        <w:keepNext/>
        <w:spacing w:line="226" w:lineRule="exact"/>
        <w:rPr>
          <w:sz w:val="16"/>
        </w:rPr>
      </w:pPr>
    </w:p>
    <w:p w14:paraId="06459A1C" w14:textId="77777777" w:rsidR="00B628FF" w:rsidRDefault="005B2D2F">
      <w:pPr>
        <w:pStyle w:val="Normal2"/>
      </w:pPr>
      <w:r w:rsidRPr="5FA307DC">
        <w:rPr>
          <w:lang w:val="en-US"/>
        </w:rPr>
        <w:t>The Government will provide $17.0 million over two years from 2024–‍25 to continue to support the Government of Ukraine, including through the provision of communication systems, artillery components, firearms and other equipment.</w:t>
      </w:r>
    </w:p>
    <w:p w14:paraId="3735CB5C" w14:textId="5A05BE62" w:rsidR="00B628FF" w:rsidRDefault="005B2D2F">
      <w:pPr>
        <w:pStyle w:val="Normal2"/>
      </w:pPr>
      <w:r>
        <w:t>Since February 2022, Australia has committed over $1.5</w:t>
      </w:r>
      <w:r w:rsidR="001967FD">
        <w:t> </w:t>
      </w:r>
      <w:r>
        <w:t xml:space="preserve">billion to help Ukraine defend itself, including through the provision of vital equipment for the battlefield and the training of Ukrainian forces and related support under </w:t>
      </w:r>
      <w:r w:rsidRPr="005B2D2F">
        <w:rPr>
          <w:i/>
        </w:rPr>
        <w:t>Operation KUDU</w:t>
      </w:r>
      <w:r>
        <w:t>.</w:t>
      </w:r>
    </w:p>
    <w:p w14:paraId="25C76230" w14:textId="77777777" w:rsidR="00B628FF" w:rsidRDefault="005B2D2F">
      <w:pPr>
        <w:pStyle w:val="Normal2"/>
      </w:pPr>
      <w:r w:rsidRPr="5FA307DC">
        <w:rPr>
          <w:lang w:val="en-US"/>
        </w:rPr>
        <w:t>The cost of this measure will be met from within the existing resourcing of the Department of Defence.</w:t>
      </w:r>
    </w:p>
    <w:p w14:paraId="6D0E9623" w14:textId="2965A087" w:rsidR="00B628FF" w:rsidRDefault="005B2D2F">
      <w:pPr>
        <w:pStyle w:val="Normal2"/>
      </w:pPr>
      <w:r w:rsidRPr="5FA307DC">
        <w:rPr>
          <w:lang w:val="en-US"/>
        </w:rPr>
        <w:t xml:space="preserve">This measure builds on the 2024–‍25 MYEFO measure titled </w:t>
      </w:r>
      <w:r w:rsidRPr="5FA307DC">
        <w:rPr>
          <w:i/>
          <w:iCs/>
          <w:lang w:val="en-US"/>
        </w:rPr>
        <w:t>Further Defence Support to</w:t>
      </w:r>
      <w:r w:rsidR="001967FD" w:rsidRPr="5FA307DC">
        <w:rPr>
          <w:i/>
          <w:iCs/>
          <w:lang w:val="en-US"/>
        </w:rPr>
        <w:t> </w:t>
      </w:r>
      <w:r w:rsidRPr="5FA307DC">
        <w:rPr>
          <w:i/>
          <w:iCs/>
          <w:lang w:val="en-US"/>
        </w:rPr>
        <w:t>Ukraine</w:t>
      </w:r>
      <w:r w:rsidRPr="5FA307DC">
        <w:rPr>
          <w:lang w:val="en-US"/>
        </w:rPr>
        <w:t>.</w:t>
      </w:r>
    </w:p>
    <w:p w14:paraId="63A2C096" w14:textId="77777777" w:rsidR="00B628FF" w:rsidRDefault="005B2D2F">
      <w:pPr>
        <w:pStyle w:val="MeasureTitle"/>
      </w:pPr>
      <w:r>
        <w:t>Continuing to Support Veterans and their Families</w:t>
      </w:r>
    </w:p>
    <w:p w14:paraId="75C32EB4" w14:textId="77777777" w:rsidR="00B628FF" w:rsidRDefault="005B2D2F">
      <w:pPr>
        <w:pStyle w:val="MeasureTableHeading"/>
      </w:pPr>
      <w:r>
        <w:t>Payments ($m)</w:t>
      </w:r>
    </w:p>
    <w:tbl>
      <w:tblPr>
        <w:tblOverlap w:val="never"/>
        <w:tblW w:w="7721" w:type="dxa"/>
        <w:tblBorders>
          <w:top w:val="single" w:sz="4" w:space="0" w:color="000000"/>
          <w:bottom w:val="single" w:sz="4" w:space="0" w:color="000000"/>
        </w:tblBorders>
        <w:tblLayout w:type="fixed"/>
        <w:tblLook w:val="04A0" w:firstRow="1" w:lastRow="0" w:firstColumn="1" w:lastColumn="0" w:noHBand="0" w:noVBand="1"/>
      </w:tblPr>
      <w:tblGrid>
        <w:gridCol w:w="2501"/>
        <w:gridCol w:w="1044"/>
        <w:gridCol w:w="1044"/>
        <w:gridCol w:w="1044"/>
        <w:gridCol w:w="1044"/>
        <w:gridCol w:w="1044"/>
      </w:tblGrid>
      <w:tr w:rsidR="00B628FF" w14:paraId="44115E20" w14:textId="77777777">
        <w:trPr>
          <w:cantSplit/>
        </w:trPr>
        <w:tc>
          <w:tcPr>
            <w:tcW w:w="2500" w:type="dxa"/>
            <w:tcBorders>
              <w:top w:val="single" w:sz="4" w:space="0" w:color="000000"/>
              <w:bottom w:val="single" w:sz="4" w:space="0" w:color="000000"/>
            </w:tcBorders>
          </w:tcPr>
          <w:p w14:paraId="5BE3A507" w14:textId="77777777" w:rsidR="00B628FF" w:rsidRDefault="00B628FF">
            <w:pPr>
              <w:pStyle w:val="MeasureTableYearHeadings"/>
              <w:keepNext/>
            </w:pPr>
          </w:p>
        </w:tc>
        <w:tc>
          <w:tcPr>
            <w:tcW w:w="1043" w:type="dxa"/>
            <w:tcBorders>
              <w:top w:val="single" w:sz="4" w:space="0" w:color="000000"/>
              <w:bottom w:val="single" w:sz="4" w:space="0" w:color="000000"/>
            </w:tcBorders>
          </w:tcPr>
          <w:p w14:paraId="473EDE46" w14:textId="27CA1577" w:rsidR="00B628FF" w:rsidRDefault="005B2D2F">
            <w:pPr>
              <w:pStyle w:val="MeasureTableYearHeadings"/>
              <w:keepNext/>
            </w:pPr>
            <w:r>
              <w:t>2024</w:t>
            </w:r>
            <w:r w:rsidR="00B31B37">
              <w:noBreakHyphen/>
            </w:r>
            <w:r>
              <w:t>25</w:t>
            </w:r>
          </w:p>
        </w:tc>
        <w:tc>
          <w:tcPr>
            <w:tcW w:w="1043" w:type="dxa"/>
            <w:tcBorders>
              <w:top w:val="single" w:sz="4" w:space="0" w:color="000000"/>
              <w:bottom w:val="single" w:sz="4" w:space="0" w:color="000000"/>
            </w:tcBorders>
          </w:tcPr>
          <w:p w14:paraId="51E21060" w14:textId="17FF71E7" w:rsidR="00B628FF" w:rsidRDefault="005B2D2F">
            <w:pPr>
              <w:pStyle w:val="MeasureTableYearHeadings"/>
              <w:keepNext/>
            </w:pPr>
            <w:r>
              <w:t>2025</w:t>
            </w:r>
            <w:r w:rsidR="00B31B37">
              <w:noBreakHyphen/>
            </w:r>
            <w:r>
              <w:t>26</w:t>
            </w:r>
          </w:p>
        </w:tc>
        <w:tc>
          <w:tcPr>
            <w:tcW w:w="1043" w:type="dxa"/>
            <w:tcBorders>
              <w:top w:val="single" w:sz="4" w:space="0" w:color="000000"/>
              <w:bottom w:val="single" w:sz="4" w:space="0" w:color="000000"/>
            </w:tcBorders>
          </w:tcPr>
          <w:p w14:paraId="689B10C2" w14:textId="3F9F6B3C" w:rsidR="00B628FF" w:rsidRDefault="005B2D2F">
            <w:pPr>
              <w:pStyle w:val="MeasureTableYearHeadings"/>
              <w:keepNext/>
            </w:pPr>
            <w:r>
              <w:t>2026</w:t>
            </w:r>
            <w:r w:rsidR="00B31B37">
              <w:noBreakHyphen/>
            </w:r>
            <w:r>
              <w:t>27</w:t>
            </w:r>
          </w:p>
        </w:tc>
        <w:tc>
          <w:tcPr>
            <w:tcW w:w="1043" w:type="dxa"/>
            <w:tcBorders>
              <w:top w:val="single" w:sz="4" w:space="0" w:color="000000"/>
              <w:bottom w:val="single" w:sz="4" w:space="0" w:color="000000"/>
            </w:tcBorders>
          </w:tcPr>
          <w:p w14:paraId="1FDED32C" w14:textId="27D2A34C" w:rsidR="00B628FF" w:rsidRDefault="005B2D2F">
            <w:pPr>
              <w:pStyle w:val="MeasureTableYearHeadings"/>
              <w:keepNext/>
            </w:pPr>
            <w:r>
              <w:t>2027</w:t>
            </w:r>
            <w:r w:rsidR="00B31B37">
              <w:noBreakHyphen/>
            </w:r>
            <w:r>
              <w:t>28</w:t>
            </w:r>
          </w:p>
        </w:tc>
        <w:tc>
          <w:tcPr>
            <w:tcW w:w="1043" w:type="dxa"/>
            <w:tcBorders>
              <w:top w:val="single" w:sz="4" w:space="0" w:color="000000"/>
              <w:bottom w:val="single" w:sz="4" w:space="0" w:color="000000"/>
            </w:tcBorders>
          </w:tcPr>
          <w:p w14:paraId="4257F9A7" w14:textId="6F15188F" w:rsidR="00B628FF" w:rsidRDefault="005B2D2F">
            <w:pPr>
              <w:pStyle w:val="MeasureTableYearHeadings"/>
              <w:keepNext/>
            </w:pPr>
            <w:r>
              <w:t>2028</w:t>
            </w:r>
            <w:r w:rsidR="00B31B37">
              <w:noBreakHyphen/>
            </w:r>
            <w:r>
              <w:t>29</w:t>
            </w:r>
          </w:p>
        </w:tc>
      </w:tr>
      <w:tr w:rsidR="00B628FF" w14:paraId="17164D6F" w14:textId="77777777">
        <w:trPr>
          <w:cantSplit/>
        </w:trPr>
        <w:tc>
          <w:tcPr>
            <w:tcW w:w="2500" w:type="dxa"/>
            <w:tcBorders>
              <w:top w:val="single" w:sz="4" w:space="0" w:color="000000"/>
              <w:bottom w:val="single" w:sz="4" w:space="0" w:color="000000"/>
            </w:tcBorders>
          </w:tcPr>
          <w:p w14:paraId="6954BF06" w14:textId="33301910" w:rsidR="00B628FF" w:rsidRDefault="005B2D2F">
            <w:pPr>
              <w:pStyle w:val="MeasureTableHeadingleftalignedwith2ptsspacing"/>
              <w:keepNext/>
            </w:pPr>
            <w:r>
              <w:t>Department of Veterans</w:t>
            </w:r>
            <w:r w:rsidR="00B31B37">
              <w:t>’</w:t>
            </w:r>
            <w:r>
              <w:t xml:space="preserve"> Affairs</w:t>
            </w:r>
          </w:p>
        </w:tc>
        <w:tc>
          <w:tcPr>
            <w:tcW w:w="1043" w:type="dxa"/>
            <w:tcBorders>
              <w:top w:val="single" w:sz="4" w:space="0" w:color="000000"/>
              <w:bottom w:val="single" w:sz="4" w:space="0" w:color="000000"/>
            </w:tcBorders>
          </w:tcPr>
          <w:p w14:paraId="73313B5E" w14:textId="44981ED8"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42BF7E75" w14:textId="77777777" w:rsidR="00B628FF" w:rsidRDefault="005B2D2F">
            <w:pPr>
              <w:pStyle w:val="MeasureTableDataRightAlignedwith2ptsspacing"/>
              <w:keepNext/>
            </w:pPr>
            <w:r>
              <w:t>10.8</w:t>
            </w:r>
          </w:p>
        </w:tc>
        <w:tc>
          <w:tcPr>
            <w:tcW w:w="1043" w:type="dxa"/>
            <w:tcBorders>
              <w:top w:val="single" w:sz="4" w:space="0" w:color="000000"/>
              <w:bottom w:val="single" w:sz="4" w:space="0" w:color="000000"/>
            </w:tcBorders>
          </w:tcPr>
          <w:p w14:paraId="47632B57" w14:textId="3CADAB66"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42828478" w14:textId="0F47BFCF"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2420BD99" w14:textId="72B2EADB" w:rsidR="00B628FF" w:rsidRDefault="00B31B37">
            <w:pPr>
              <w:pStyle w:val="MeasureTableDataRightAlignedwith2ptsspacing"/>
              <w:keepNext/>
            </w:pPr>
            <w:r>
              <w:noBreakHyphen/>
            </w:r>
          </w:p>
        </w:tc>
      </w:tr>
    </w:tbl>
    <w:p w14:paraId="4DA54D4D" w14:textId="77777777" w:rsidR="00B628FF" w:rsidRDefault="00B628FF">
      <w:pPr>
        <w:keepNext/>
        <w:spacing w:line="226" w:lineRule="exact"/>
        <w:rPr>
          <w:sz w:val="16"/>
        </w:rPr>
      </w:pPr>
    </w:p>
    <w:p w14:paraId="599362BB" w14:textId="77777777" w:rsidR="00B628FF" w:rsidRDefault="005B2D2F">
      <w:pPr>
        <w:pStyle w:val="Normal2"/>
      </w:pPr>
      <w:r>
        <w:t>The Government will provide $11.9 million in 2025–‍26 to continue to support veterans and their families. Funding includes:</w:t>
      </w:r>
    </w:p>
    <w:p w14:paraId="063F7F05" w14:textId="77777777" w:rsidR="00B628FF" w:rsidRDefault="005B2D2F">
      <w:pPr>
        <w:pStyle w:val="Bullet"/>
      </w:pPr>
      <w:r>
        <w:t xml:space="preserve">$5.6 million in 2025–‍26 to extend the </w:t>
      </w:r>
      <w:r w:rsidRPr="005B2D2F">
        <w:rPr>
          <w:i/>
        </w:rPr>
        <w:t>Defence Kids Program</w:t>
      </w:r>
      <w:r>
        <w:t xml:space="preserve"> run by the Australian Kookaburra Kids Foundation for one year to 30 June 2026</w:t>
      </w:r>
    </w:p>
    <w:p w14:paraId="4CF8A98C" w14:textId="6BEF8611" w:rsidR="00B628FF" w:rsidRDefault="005B2D2F">
      <w:pPr>
        <w:pStyle w:val="Bullet"/>
      </w:pPr>
      <w:r>
        <w:t>$3.3 million in 2025–‍26 to extend grant funding for Invictus Australia for one</w:t>
      </w:r>
      <w:r w:rsidR="001967FD">
        <w:t> </w:t>
      </w:r>
      <w:r>
        <w:t>year to</w:t>
      </w:r>
      <w:r w:rsidR="001967FD">
        <w:t> </w:t>
      </w:r>
      <w:r>
        <w:t>30 June 2026</w:t>
      </w:r>
    </w:p>
    <w:p w14:paraId="7A8D4BAE" w14:textId="67E55A4F" w:rsidR="00B628FF" w:rsidRDefault="005B2D2F">
      <w:pPr>
        <w:pStyle w:val="Bullet"/>
      </w:pPr>
      <w:r>
        <w:t xml:space="preserve">$1.0 million in 2025–‍26 to extend the </w:t>
      </w:r>
      <w:r w:rsidRPr="005B2D2F">
        <w:rPr>
          <w:i/>
        </w:rPr>
        <w:t>Veterans</w:t>
      </w:r>
      <w:r w:rsidR="00B31B37">
        <w:rPr>
          <w:i/>
        </w:rPr>
        <w:t>’</w:t>
      </w:r>
      <w:r w:rsidRPr="005B2D2F">
        <w:rPr>
          <w:i/>
        </w:rPr>
        <w:t xml:space="preserve"> Chaplaincy Pilot Program</w:t>
      </w:r>
      <w:r>
        <w:t xml:space="preserve"> for one</w:t>
      </w:r>
      <w:r w:rsidR="001967FD">
        <w:t> </w:t>
      </w:r>
      <w:r>
        <w:t>year to</w:t>
      </w:r>
      <w:r w:rsidR="001967FD">
        <w:t> </w:t>
      </w:r>
      <w:r>
        <w:t>30 June 2026</w:t>
      </w:r>
    </w:p>
    <w:p w14:paraId="199D3AAA" w14:textId="06361F4E" w:rsidR="00B628FF" w:rsidRDefault="005B2D2F">
      <w:pPr>
        <w:pStyle w:val="Bullet"/>
      </w:pPr>
      <w:r>
        <w:t>$1.0 million in 2025–‍26 to extend the</w:t>
      </w:r>
      <w:r w:rsidRPr="005B2D2F">
        <w:rPr>
          <w:i/>
        </w:rPr>
        <w:t xml:space="preserve"> Prime Minister</w:t>
      </w:r>
      <w:r w:rsidR="00B31B37">
        <w:rPr>
          <w:i/>
        </w:rPr>
        <w:t>’</w:t>
      </w:r>
      <w:r w:rsidRPr="005B2D2F">
        <w:rPr>
          <w:i/>
        </w:rPr>
        <w:t>s Veterans</w:t>
      </w:r>
      <w:r w:rsidR="00B31B37">
        <w:rPr>
          <w:i/>
        </w:rPr>
        <w:t>’</w:t>
      </w:r>
      <w:r w:rsidRPr="005B2D2F">
        <w:rPr>
          <w:i/>
        </w:rPr>
        <w:t xml:space="preserve"> Employment </w:t>
      </w:r>
      <w:r w:rsidR="00B10E08">
        <w:rPr>
          <w:i/>
          <w:iCs/>
        </w:rPr>
        <w:t>P</w:t>
      </w:r>
      <w:r w:rsidRPr="006F4E35">
        <w:rPr>
          <w:i/>
          <w:iCs/>
        </w:rPr>
        <w:t xml:space="preserve">rogram </w:t>
      </w:r>
      <w:r>
        <w:t>for one</w:t>
      </w:r>
      <w:r w:rsidR="001967FD">
        <w:t> </w:t>
      </w:r>
      <w:r>
        <w:t>year to</w:t>
      </w:r>
      <w:r w:rsidR="001967FD">
        <w:t> </w:t>
      </w:r>
      <w:r>
        <w:t>30 June 2026</w:t>
      </w:r>
    </w:p>
    <w:p w14:paraId="3FE04753" w14:textId="49289D88" w:rsidR="00B628FF" w:rsidRDefault="005B2D2F">
      <w:pPr>
        <w:pStyle w:val="Bullet"/>
      </w:pPr>
      <w:r>
        <w:t xml:space="preserve">$1.0 million in 2025–‍26 to extend the </w:t>
      </w:r>
      <w:r w:rsidRPr="005B2D2F">
        <w:rPr>
          <w:i/>
        </w:rPr>
        <w:t xml:space="preserve">Volunteer </w:t>
      </w:r>
      <w:r w:rsidR="00B10E08">
        <w:rPr>
          <w:i/>
        </w:rPr>
        <w:t>T</w:t>
      </w:r>
      <w:r w:rsidRPr="005B2D2F">
        <w:rPr>
          <w:i/>
        </w:rPr>
        <w:t xml:space="preserve">raining in </w:t>
      </w:r>
      <w:r w:rsidR="00B10E08">
        <w:rPr>
          <w:i/>
        </w:rPr>
        <w:t>S</w:t>
      </w:r>
      <w:r w:rsidRPr="005B2D2F">
        <w:rPr>
          <w:i/>
        </w:rPr>
        <w:t xml:space="preserve">uicide </w:t>
      </w:r>
      <w:r w:rsidR="00B10E08">
        <w:rPr>
          <w:i/>
        </w:rPr>
        <w:t>R</w:t>
      </w:r>
      <w:r w:rsidRPr="005B2D2F">
        <w:rPr>
          <w:i/>
        </w:rPr>
        <w:t xml:space="preserve">ecognition and </w:t>
      </w:r>
      <w:r w:rsidR="00B10E08">
        <w:rPr>
          <w:i/>
        </w:rPr>
        <w:t>I</w:t>
      </w:r>
      <w:r w:rsidRPr="005B2D2F">
        <w:rPr>
          <w:i/>
        </w:rPr>
        <w:t xml:space="preserve">ntervention </w:t>
      </w:r>
      <w:r>
        <w:t>program for one year to 30 June 2026.</w:t>
      </w:r>
    </w:p>
    <w:p w14:paraId="1A1D2481" w14:textId="363045BF" w:rsidR="00B628FF" w:rsidRDefault="005B2D2F">
      <w:pPr>
        <w:pStyle w:val="Normal2"/>
      </w:pPr>
      <w:r w:rsidRPr="5FA307DC">
        <w:rPr>
          <w:lang w:val="en-US"/>
        </w:rPr>
        <w:t xml:space="preserve">This measure also includes an extension of the </w:t>
      </w:r>
      <w:r w:rsidRPr="5FA307DC">
        <w:rPr>
          <w:i/>
          <w:iCs/>
          <w:lang w:val="en-US"/>
        </w:rPr>
        <w:t>Military and Veteran Psychiatry Training</w:t>
      </w:r>
      <w:r w:rsidRPr="5FA307DC">
        <w:rPr>
          <w:lang w:val="en-US"/>
        </w:rPr>
        <w:t xml:space="preserve"> </w:t>
      </w:r>
      <w:r w:rsidR="00B10E08" w:rsidRPr="5FA307DC">
        <w:rPr>
          <w:i/>
          <w:iCs/>
          <w:lang w:val="en-US"/>
        </w:rPr>
        <w:t>P</w:t>
      </w:r>
      <w:r w:rsidRPr="5FA307DC">
        <w:rPr>
          <w:i/>
          <w:iCs/>
          <w:lang w:val="en-US"/>
        </w:rPr>
        <w:t>rogram</w:t>
      </w:r>
      <w:r w:rsidRPr="5FA307DC">
        <w:rPr>
          <w:lang w:val="en-US"/>
        </w:rPr>
        <w:t xml:space="preserve"> for one year to 30 June 2026, with costs of this extension to be met from within the existing resourcing of the current funding arrangement.</w:t>
      </w:r>
    </w:p>
    <w:p w14:paraId="6B0E2B2C" w14:textId="081B4B3D" w:rsidR="00B628FF" w:rsidRDefault="005B2D2F">
      <w:pPr>
        <w:pStyle w:val="Normal2"/>
      </w:pPr>
      <w:r>
        <w:t xml:space="preserve">This measure also builds on the 2024–‍25 Budget measure titled </w:t>
      </w:r>
      <w:r w:rsidRPr="005B2D2F">
        <w:rPr>
          <w:i/>
        </w:rPr>
        <w:t>Continuing Veterans</w:t>
      </w:r>
      <w:r w:rsidR="00B31B37">
        <w:rPr>
          <w:i/>
        </w:rPr>
        <w:t>’</w:t>
      </w:r>
      <w:r w:rsidRPr="005B2D2F">
        <w:rPr>
          <w:i/>
        </w:rPr>
        <w:t xml:space="preserve"> Access to Health and Support Programs.</w:t>
      </w:r>
    </w:p>
    <w:p w14:paraId="199B2DAC" w14:textId="28B9FDAA" w:rsidR="00B628FF" w:rsidRDefault="005B2D2F">
      <w:pPr>
        <w:pStyle w:val="Normal2"/>
      </w:pPr>
      <w:r w:rsidRPr="5FA307DC">
        <w:rPr>
          <w:lang w:val="en-US"/>
        </w:rPr>
        <w:t>The cost of this measure will be partially met from within the existing resourcing of the Department of Veterans</w:t>
      </w:r>
      <w:r w:rsidR="00B31B37">
        <w:rPr>
          <w:lang w:val="en-US"/>
        </w:rPr>
        <w:t>’</w:t>
      </w:r>
      <w:r w:rsidRPr="5FA307DC">
        <w:rPr>
          <w:lang w:val="en-US"/>
        </w:rPr>
        <w:t xml:space="preserve"> Affairs.</w:t>
      </w:r>
    </w:p>
    <w:p w14:paraId="7133EE88" w14:textId="33162391" w:rsidR="00B628FF" w:rsidRDefault="005B2D2F">
      <w:pPr>
        <w:pStyle w:val="MeasureTitle"/>
      </w:pPr>
      <w:r w:rsidRPr="5FA307DC">
        <w:rPr>
          <w:lang w:val="en-US"/>
        </w:rPr>
        <w:t>Department of Veterans</w:t>
      </w:r>
      <w:r w:rsidR="00B31B37">
        <w:rPr>
          <w:lang w:val="en-US"/>
        </w:rPr>
        <w:t>’</w:t>
      </w:r>
      <w:r w:rsidRPr="5FA307DC">
        <w:rPr>
          <w:lang w:val="en-US"/>
        </w:rPr>
        <w:t xml:space="preserve"> Affairs – additional resourcing to support service delivery</w:t>
      </w:r>
    </w:p>
    <w:p w14:paraId="7052C972" w14:textId="77777777" w:rsidR="00B628FF" w:rsidRDefault="005B2D2F">
      <w:pPr>
        <w:pStyle w:val="MeasureTableHeading"/>
      </w:pPr>
      <w:r>
        <w:t>Payments ($m)</w:t>
      </w:r>
    </w:p>
    <w:tbl>
      <w:tblPr>
        <w:tblOverlap w:val="never"/>
        <w:tblW w:w="7721" w:type="dxa"/>
        <w:tblBorders>
          <w:top w:val="single" w:sz="4" w:space="0" w:color="000000"/>
          <w:bottom w:val="single" w:sz="4" w:space="0" w:color="000000"/>
        </w:tblBorders>
        <w:tblLayout w:type="fixed"/>
        <w:tblLook w:val="04A0" w:firstRow="1" w:lastRow="0" w:firstColumn="1" w:lastColumn="0" w:noHBand="0" w:noVBand="1"/>
      </w:tblPr>
      <w:tblGrid>
        <w:gridCol w:w="2501"/>
        <w:gridCol w:w="1044"/>
        <w:gridCol w:w="1044"/>
        <w:gridCol w:w="1044"/>
        <w:gridCol w:w="1044"/>
        <w:gridCol w:w="1044"/>
      </w:tblGrid>
      <w:tr w:rsidR="00B628FF" w14:paraId="3F421A07" w14:textId="77777777">
        <w:trPr>
          <w:cantSplit/>
        </w:trPr>
        <w:tc>
          <w:tcPr>
            <w:tcW w:w="2500" w:type="dxa"/>
            <w:tcBorders>
              <w:top w:val="single" w:sz="4" w:space="0" w:color="000000"/>
              <w:bottom w:val="single" w:sz="4" w:space="0" w:color="000000"/>
            </w:tcBorders>
          </w:tcPr>
          <w:p w14:paraId="330705F0" w14:textId="77777777" w:rsidR="00B628FF" w:rsidRDefault="00B628FF">
            <w:pPr>
              <w:pStyle w:val="MeasureTableYearHeadings"/>
              <w:keepNext/>
            </w:pPr>
          </w:p>
        </w:tc>
        <w:tc>
          <w:tcPr>
            <w:tcW w:w="1043" w:type="dxa"/>
            <w:tcBorders>
              <w:top w:val="single" w:sz="4" w:space="0" w:color="000000"/>
              <w:bottom w:val="single" w:sz="4" w:space="0" w:color="000000"/>
            </w:tcBorders>
          </w:tcPr>
          <w:p w14:paraId="2F7B94D7" w14:textId="0435E466" w:rsidR="00B628FF" w:rsidRDefault="005B2D2F">
            <w:pPr>
              <w:pStyle w:val="MeasureTableYearHeadings"/>
              <w:keepNext/>
            </w:pPr>
            <w:r>
              <w:t>2024</w:t>
            </w:r>
            <w:r w:rsidR="00B31B37">
              <w:noBreakHyphen/>
            </w:r>
            <w:r>
              <w:t>25</w:t>
            </w:r>
          </w:p>
        </w:tc>
        <w:tc>
          <w:tcPr>
            <w:tcW w:w="1043" w:type="dxa"/>
            <w:tcBorders>
              <w:top w:val="single" w:sz="4" w:space="0" w:color="000000"/>
              <w:bottom w:val="single" w:sz="4" w:space="0" w:color="000000"/>
            </w:tcBorders>
          </w:tcPr>
          <w:p w14:paraId="3309CEFA" w14:textId="509114FB" w:rsidR="00B628FF" w:rsidRDefault="005B2D2F">
            <w:pPr>
              <w:pStyle w:val="MeasureTableYearHeadings"/>
              <w:keepNext/>
            </w:pPr>
            <w:r>
              <w:t>2025</w:t>
            </w:r>
            <w:r w:rsidR="00B31B37">
              <w:noBreakHyphen/>
            </w:r>
            <w:r>
              <w:t>26</w:t>
            </w:r>
          </w:p>
        </w:tc>
        <w:tc>
          <w:tcPr>
            <w:tcW w:w="1043" w:type="dxa"/>
            <w:tcBorders>
              <w:top w:val="single" w:sz="4" w:space="0" w:color="000000"/>
              <w:bottom w:val="single" w:sz="4" w:space="0" w:color="000000"/>
            </w:tcBorders>
          </w:tcPr>
          <w:p w14:paraId="1A56229E" w14:textId="4554B45C" w:rsidR="00B628FF" w:rsidRDefault="005B2D2F">
            <w:pPr>
              <w:pStyle w:val="MeasureTableYearHeadings"/>
              <w:keepNext/>
            </w:pPr>
            <w:r>
              <w:t>2026</w:t>
            </w:r>
            <w:r w:rsidR="00B31B37">
              <w:noBreakHyphen/>
            </w:r>
            <w:r>
              <w:t>27</w:t>
            </w:r>
          </w:p>
        </w:tc>
        <w:tc>
          <w:tcPr>
            <w:tcW w:w="1043" w:type="dxa"/>
            <w:tcBorders>
              <w:top w:val="single" w:sz="4" w:space="0" w:color="000000"/>
              <w:bottom w:val="single" w:sz="4" w:space="0" w:color="000000"/>
            </w:tcBorders>
          </w:tcPr>
          <w:p w14:paraId="757ABA0C" w14:textId="2A365FB7" w:rsidR="00B628FF" w:rsidRDefault="005B2D2F">
            <w:pPr>
              <w:pStyle w:val="MeasureTableYearHeadings"/>
              <w:keepNext/>
            </w:pPr>
            <w:r>
              <w:t>2027</w:t>
            </w:r>
            <w:r w:rsidR="00B31B37">
              <w:noBreakHyphen/>
            </w:r>
            <w:r>
              <w:t>28</w:t>
            </w:r>
          </w:p>
        </w:tc>
        <w:tc>
          <w:tcPr>
            <w:tcW w:w="1043" w:type="dxa"/>
            <w:tcBorders>
              <w:top w:val="single" w:sz="4" w:space="0" w:color="000000"/>
              <w:bottom w:val="single" w:sz="4" w:space="0" w:color="000000"/>
            </w:tcBorders>
          </w:tcPr>
          <w:p w14:paraId="00405679" w14:textId="1A1AE12F" w:rsidR="00B628FF" w:rsidRDefault="005B2D2F">
            <w:pPr>
              <w:pStyle w:val="MeasureTableYearHeadings"/>
              <w:keepNext/>
            </w:pPr>
            <w:r>
              <w:t>2028</w:t>
            </w:r>
            <w:r w:rsidR="00B31B37">
              <w:noBreakHyphen/>
            </w:r>
            <w:r>
              <w:t>29</w:t>
            </w:r>
          </w:p>
        </w:tc>
      </w:tr>
      <w:tr w:rsidR="00B628FF" w14:paraId="06F0A5C9" w14:textId="77777777">
        <w:trPr>
          <w:cantSplit/>
        </w:trPr>
        <w:tc>
          <w:tcPr>
            <w:tcW w:w="2500" w:type="dxa"/>
            <w:tcBorders>
              <w:top w:val="single" w:sz="4" w:space="0" w:color="000000"/>
              <w:bottom w:val="single" w:sz="4" w:space="0" w:color="000000"/>
            </w:tcBorders>
          </w:tcPr>
          <w:p w14:paraId="65ED4F9D" w14:textId="2AEF2379" w:rsidR="00B628FF" w:rsidRDefault="005B2D2F">
            <w:pPr>
              <w:pStyle w:val="MeasureTableHeadingleftalignedwith2ptsspacing"/>
              <w:keepNext/>
            </w:pPr>
            <w:r>
              <w:t>Department of Veterans</w:t>
            </w:r>
            <w:r w:rsidR="00B31B37">
              <w:t>’</w:t>
            </w:r>
            <w:r>
              <w:t xml:space="preserve"> Affairs</w:t>
            </w:r>
          </w:p>
        </w:tc>
        <w:tc>
          <w:tcPr>
            <w:tcW w:w="1043" w:type="dxa"/>
            <w:tcBorders>
              <w:top w:val="single" w:sz="4" w:space="0" w:color="000000"/>
              <w:bottom w:val="single" w:sz="4" w:space="0" w:color="000000"/>
            </w:tcBorders>
          </w:tcPr>
          <w:p w14:paraId="5C1436CA" w14:textId="16AE0DE8"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0E86CDC9" w14:textId="77777777" w:rsidR="00B628FF" w:rsidRDefault="005B2D2F">
            <w:pPr>
              <w:pStyle w:val="MeasureTableDataRightAlignedwith2ptsspacing"/>
              <w:keepNext/>
            </w:pPr>
            <w:r>
              <w:t>47.6</w:t>
            </w:r>
          </w:p>
        </w:tc>
        <w:tc>
          <w:tcPr>
            <w:tcW w:w="1043" w:type="dxa"/>
            <w:tcBorders>
              <w:top w:val="single" w:sz="4" w:space="0" w:color="000000"/>
              <w:bottom w:val="single" w:sz="4" w:space="0" w:color="000000"/>
            </w:tcBorders>
          </w:tcPr>
          <w:p w14:paraId="649148CC" w14:textId="0BE56B07"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34A29D77" w14:textId="04AF5FDF"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5D7FB286" w14:textId="5DB86C98" w:rsidR="00B628FF" w:rsidRDefault="00B31B37">
            <w:pPr>
              <w:pStyle w:val="MeasureTableDataRightAlignedwith2ptsspacing"/>
              <w:keepNext/>
            </w:pPr>
            <w:r>
              <w:noBreakHyphen/>
            </w:r>
          </w:p>
        </w:tc>
      </w:tr>
    </w:tbl>
    <w:p w14:paraId="5914C119" w14:textId="77777777" w:rsidR="00B628FF" w:rsidRDefault="00B628FF">
      <w:pPr>
        <w:keepNext/>
        <w:spacing w:line="226" w:lineRule="exact"/>
        <w:rPr>
          <w:sz w:val="16"/>
        </w:rPr>
      </w:pPr>
    </w:p>
    <w:p w14:paraId="0C40B4F3" w14:textId="0B7CF5FA" w:rsidR="00B628FF" w:rsidRDefault="005B2D2F">
      <w:pPr>
        <w:pStyle w:val="Normal2"/>
      </w:pPr>
      <w:r w:rsidRPr="5FA307DC">
        <w:rPr>
          <w:lang w:val="en-US"/>
        </w:rPr>
        <w:t>The Government will provide $47.6 million in 2025–‍26 to address the additional increased demand for downstream services following the increase in the determination of veterans</w:t>
      </w:r>
      <w:r w:rsidR="00B31B37">
        <w:rPr>
          <w:lang w:val="en-US"/>
        </w:rPr>
        <w:t>’</w:t>
      </w:r>
      <w:r w:rsidRPr="5FA307DC">
        <w:rPr>
          <w:lang w:val="en-US"/>
        </w:rPr>
        <w:t xml:space="preserve"> claims. This includes additional resourcing for the Veterans</w:t>
      </w:r>
      <w:r w:rsidR="00B31B37">
        <w:rPr>
          <w:lang w:val="en-US"/>
        </w:rPr>
        <w:t>’</w:t>
      </w:r>
      <w:r w:rsidRPr="5FA307DC">
        <w:rPr>
          <w:lang w:val="en-US"/>
        </w:rPr>
        <w:t xml:space="preserve"> Access Network, Veteran Support Officers, complex case management, information access and mental health support.</w:t>
      </w:r>
    </w:p>
    <w:p w14:paraId="296A9217" w14:textId="11F5C132" w:rsidR="00B628FF" w:rsidRDefault="005B2D2F">
      <w:pPr>
        <w:pStyle w:val="Normal2"/>
      </w:pPr>
      <w:r w:rsidRPr="5FA307DC">
        <w:rPr>
          <w:lang w:val="en-US"/>
        </w:rPr>
        <w:t>Since 2022, the Government</w:t>
      </w:r>
      <w:r w:rsidR="00B31B37">
        <w:rPr>
          <w:lang w:val="en-US"/>
        </w:rPr>
        <w:t>’</w:t>
      </w:r>
      <w:r w:rsidRPr="5FA307DC">
        <w:rPr>
          <w:lang w:val="en-US"/>
        </w:rPr>
        <w:t>s investment in additional resourcing for the Department of Veterans</w:t>
      </w:r>
      <w:r w:rsidR="00B31B37">
        <w:rPr>
          <w:lang w:val="en-US"/>
        </w:rPr>
        <w:t>’</w:t>
      </w:r>
      <w:r w:rsidRPr="5FA307DC">
        <w:rPr>
          <w:lang w:val="en-US"/>
        </w:rPr>
        <w:t xml:space="preserve"> Affairs to clear the claims backlog and process additional claims has resulted in an additional $13 billion in payments to veterans.</w:t>
      </w:r>
    </w:p>
    <w:p w14:paraId="78733E97" w14:textId="5EBFBB88" w:rsidR="00B628FF" w:rsidRDefault="005B2D2F">
      <w:pPr>
        <w:pStyle w:val="Normal2"/>
      </w:pPr>
      <w:r w:rsidRPr="5FA307DC">
        <w:rPr>
          <w:lang w:val="en-US"/>
        </w:rPr>
        <w:t xml:space="preserve">This measure extends the 2024–‍25 MYEFO measure titled </w:t>
      </w:r>
      <w:r w:rsidRPr="5FA307DC">
        <w:rPr>
          <w:i/>
          <w:iCs/>
          <w:lang w:val="en-US"/>
        </w:rPr>
        <w:t>Department of Veterans</w:t>
      </w:r>
      <w:r w:rsidR="00B31B37">
        <w:rPr>
          <w:i/>
          <w:iCs/>
          <w:lang w:val="en-US"/>
        </w:rPr>
        <w:t>’</w:t>
      </w:r>
      <w:r w:rsidRPr="5FA307DC">
        <w:rPr>
          <w:i/>
          <w:iCs/>
          <w:lang w:val="en-US"/>
        </w:rPr>
        <w:t xml:space="preserve"> Affairs </w:t>
      </w:r>
      <w:r w:rsidR="00B10E08" w:rsidRPr="5FA307DC">
        <w:rPr>
          <w:i/>
          <w:iCs/>
          <w:lang w:val="en-US"/>
        </w:rPr>
        <w:t>–</w:t>
      </w:r>
      <w:r w:rsidRPr="5FA307DC">
        <w:rPr>
          <w:i/>
          <w:iCs/>
          <w:lang w:val="en-US"/>
        </w:rPr>
        <w:t>additional resourcing to support service delivery</w:t>
      </w:r>
      <w:r w:rsidRPr="5FA307DC">
        <w:rPr>
          <w:lang w:val="en-US"/>
        </w:rPr>
        <w:t xml:space="preserve"> and builds on the 2024–‍25 Budget measure titled </w:t>
      </w:r>
      <w:r w:rsidRPr="5FA307DC">
        <w:rPr>
          <w:i/>
          <w:iCs/>
          <w:lang w:val="en-US"/>
        </w:rPr>
        <w:t>Department of Veterans</w:t>
      </w:r>
      <w:r w:rsidR="00B31B37">
        <w:rPr>
          <w:i/>
          <w:iCs/>
          <w:lang w:val="en-US"/>
        </w:rPr>
        <w:t>’</w:t>
      </w:r>
      <w:r w:rsidRPr="5FA307DC">
        <w:rPr>
          <w:i/>
          <w:iCs/>
          <w:lang w:val="en-US"/>
        </w:rPr>
        <w:t xml:space="preserve"> Affairs – additional resourcing to support service delivery. </w:t>
      </w:r>
    </w:p>
    <w:p w14:paraId="78351692" w14:textId="77777777" w:rsidR="00B628FF" w:rsidRDefault="005B2D2F">
      <w:pPr>
        <w:pStyle w:val="MeasureTitle"/>
      </w:pPr>
      <w:r>
        <w:t>Investing in Naval Shipbuilding and Sustainment in Australia – further investment</w:t>
      </w:r>
    </w:p>
    <w:p w14:paraId="27AFD8A6" w14:textId="77777777" w:rsidR="00B628FF" w:rsidRDefault="005B2D2F">
      <w:pPr>
        <w:pStyle w:val="MeasureTableHeading"/>
      </w:pPr>
      <w:r>
        <w:t>Payments ($m)</w:t>
      </w:r>
    </w:p>
    <w:tbl>
      <w:tblPr>
        <w:tblOverlap w:val="never"/>
        <w:tblW w:w="7721" w:type="dxa"/>
        <w:tblBorders>
          <w:top w:val="single" w:sz="4" w:space="0" w:color="000000"/>
          <w:bottom w:val="single" w:sz="4" w:space="0" w:color="000000"/>
        </w:tblBorders>
        <w:tblLayout w:type="fixed"/>
        <w:tblLook w:val="04A0" w:firstRow="1" w:lastRow="0" w:firstColumn="1" w:lastColumn="0" w:noHBand="0" w:noVBand="1"/>
      </w:tblPr>
      <w:tblGrid>
        <w:gridCol w:w="2501"/>
        <w:gridCol w:w="1044"/>
        <w:gridCol w:w="1044"/>
        <w:gridCol w:w="1044"/>
        <w:gridCol w:w="1044"/>
        <w:gridCol w:w="1044"/>
      </w:tblGrid>
      <w:tr w:rsidR="00B628FF" w14:paraId="1BF2EE6A" w14:textId="77777777">
        <w:trPr>
          <w:cantSplit/>
        </w:trPr>
        <w:tc>
          <w:tcPr>
            <w:tcW w:w="2500" w:type="dxa"/>
            <w:tcBorders>
              <w:top w:val="single" w:sz="4" w:space="0" w:color="000000"/>
              <w:bottom w:val="single" w:sz="4" w:space="0" w:color="000000"/>
            </w:tcBorders>
          </w:tcPr>
          <w:p w14:paraId="20172AA7" w14:textId="77777777" w:rsidR="00B628FF" w:rsidRDefault="00B628FF">
            <w:pPr>
              <w:pStyle w:val="MeasureTableYearHeadings"/>
              <w:keepNext/>
            </w:pPr>
          </w:p>
        </w:tc>
        <w:tc>
          <w:tcPr>
            <w:tcW w:w="1043" w:type="dxa"/>
            <w:tcBorders>
              <w:top w:val="single" w:sz="4" w:space="0" w:color="000000"/>
              <w:bottom w:val="single" w:sz="4" w:space="0" w:color="000000"/>
            </w:tcBorders>
          </w:tcPr>
          <w:p w14:paraId="33CC140C" w14:textId="15497946" w:rsidR="00B628FF" w:rsidRDefault="005B2D2F">
            <w:pPr>
              <w:pStyle w:val="MeasureTableYearHeadings"/>
              <w:keepNext/>
            </w:pPr>
            <w:r>
              <w:t>2024</w:t>
            </w:r>
            <w:r w:rsidR="00B31B37">
              <w:noBreakHyphen/>
            </w:r>
            <w:r>
              <w:t>25</w:t>
            </w:r>
          </w:p>
        </w:tc>
        <w:tc>
          <w:tcPr>
            <w:tcW w:w="1043" w:type="dxa"/>
            <w:tcBorders>
              <w:top w:val="single" w:sz="4" w:space="0" w:color="000000"/>
              <w:bottom w:val="single" w:sz="4" w:space="0" w:color="000000"/>
            </w:tcBorders>
          </w:tcPr>
          <w:p w14:paraId="3729DFDC" w14:textId="23CBD866" w:rsidR="00B628FF" w:rsidRDefault="005B2D2F">
            <w:pPr>
              <w:pStyle w:val="MeasureTableYearHeadings"/>
              <w:keepNext/>
            </w:pPr>
            <w:r>
              <w:t>2025</w:t>
            </w:r>
            <w:r w:rsidR="00B31B37">
              <w:noBreakHyphen/>
            </w:r>
            <w:r>
              <w:t>26</w:t>
            </w:r>
          </w:p>
        </w:tc>
        <w:tc>
          <w:tcPr>
            <w:tcW w:w="1043" w:type="dxa"/>
            <w:tcBorders>
              <w:top w:val="single" w:sz="4" w:space="0" w:color="000000"/>
              <w:bottom w:val="single" w:sz="4" w:space="0" w:color="000000"/>
            </w:tcBorders>
          </w:tcPr>
          <w:p w14:paraId="5C7DCA0B" w14:textId="5F0A0220" w:rsidR="00B628FF" w:rsidRDefault="005B2D2F">
            <w:pPr>
              <w:pStyle w:val="MeasureTableYearHeadings"/>
              <w:keepNext/>
            </w:pPr>
            <w:r>
              <w:t>2026</w:t>
            </w:r>
            <w:r w:rsidR="00B31B37">
              <w:noBreakHyphen/>
            </w:r>
            <w:r>
              <w:t>27</w:t>
            </w:r>
          </w:p>
        </w:tc>
        <w:tc>
          <w:tcPr>
            <w:tcW w:w="1043" w:type="dxa"/>
            <w:tcBorders>
              <w:top w:val="single" w:sz="4" w:space="0" w:color="000000"/>
              <w:bottom w:val="single" w:sz="4" w:space="0" w:color="000000"/>
            </w:tcBorders>
          </w:tcPr>
          <w:p w14:paraId="60BD0101" w14:textId="12B9831C" w:rsidR="00B628FF" w:rsidRDefault="005B2D2F">
            <w:pPr>
              <w:pStyle w:val="MeasureTableYearHeadings"/>
              <w:keepNext/>
            </w:pPr>
            <w:r>
              <w:t>2027</w:t>
            </w:r>
            <w:r w:rsidR="00B31B37">
              <w:noBreakHyphen/>
            </w:r>
            <w:r>
              <w:t>28</w:t>
            </w:r>
          </w:p>
        </w:tc>
        <w:tc>
          <w:tcPr>
            <w:tcW w:w="1043" w:type="dxa"/>
            <w:tcBorders>
              <w:top w:val="single" w:sz="4" w:space="0" w:color="000000"/>
              <w:bottom w:val="single" w:sz="4" w:space="0" w:color="000000"/>
            </w:tcBorders>
          </w:tcPr>
          <w:p w14:paraId="4DDC6A9D" w14:textId="57470DC1" w:rsidR="00B628FF" w:rsidRDefault="005B2D2F">
            <w:pPr>
              <w:pStyle w:val="MeasureTableYearHeadings"/>
              <w:keepNext/>
            </w:pPr>
            <w:r>
              <w:t>2028</w:t>
            </w:r>
            <w:r w:rsidR="00B31B37">
              <w:noBreakHyphen/>
            </w:r>
            <w:r>
              <w:t>29</w:t>
            </w:r>
          </w:p>
        </w:tc>
      </w:tr>
      <w:tr w:rsidR="00B628FF" w14:paraId="104DEFF1" w14:textId="77777777">
        <w:trPr>
          <w:cantSplit/>
        </w:trPr>
        <w:tc>
          <w:tcPr>
            <w:tcW w:w="2500" w:type="dxa"/>
            <w:tcBorders>
              <w:top w:val="single" w:sz="4" w:space="0" w:color="000000"/>
              <w:bottom w:val="single" w:sz="4" w:space="0" w:color="000000"/>
            </w:tcBorders>
          </w:tcPr>
          <w:p w14:paraId="51B12921" w14:textId="77777777" w:rsidR="00B628FF" w:rsidRDefault="005B2D2F">
            <w:pPr>
              <w:pStyle w:val="MeasureTableHeadingleftalignedwith2ptsspacing"/>
              <w:keepNext/>
            </w:pPr>
            <w:r>
              <w:t>Department of Defence</w:t>
            </w:r>
          </w:p>
        </w:tc>
        <w:tc>
          <w:tcPr>
            <w:tcW w:w="1043" w:type="dxa"/>
            <w:tcBorders>
              <w:top w:val="single" w:sz="4" w:space="0" w:color="000000"/>
              <w:bottom w:val="single" w:sz="4" w:space="0" w:color="000000"/>
            </w:tcBorders>
          </w:tcPr>
          <w:p w14:paraId="1483C1EA" w14:textId="5B88221A"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1DB2E934" w14:textId="2E4C601A"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73A93665" w14:textId="44EC3868"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3D98BDF9" w14:textId="750B4FBA"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27BCC7E9" w14:textId="3A3A88B6" w:rsidR="00B628FF" w:rsidRDefault="00B31B37">
            <w:pPr>
              <w:pStyle w:val="MeasureTableDataRightAlignedwith2ptsspacing"/>
              <w:keepNext/>
            </w:pPr>
            <w:r>
              <w:noBreakHyphen/>
            </w:r>
          </w:p>
        </w:tc>
      </w:tr>
    </w:tbl>
    <w:p w14:paraId="18FAB02B" w14:textId="77777777" w:rsidR="00B628FF" w:rsidRDefault="00B628FF">
      <w:pPr>
        <w:keepNext/>
        <w:spacing w:line="226" w:lineRule="exact"/>
        <w:rPr>
          <w:sz w:val="16"/>
        </w:rPr>
      </w:pPr>
    </w:p>
    <w:p w14:paraId="64451D43" w14:textId="5C18FDD5" w:rsidR="00B628FF" w:rsidRDefault="005B2D2F">
      <w:pPr>
        <w:pStyle w:val="Normal2"/>
      </w:pPr>
      <w:r w:rsidRPr="5FA307DC">
        <w:rPr>
          <w:lang w:val="en-US"/>
        </w:rPr>
        <w:t>The Government will provide $24.2 million over two years from 2024–‍25 for the development of industrial initiatives to support the 2024 Naval Shipbuilding and Sustainment Plan and Australia</w:t>
      </w:r>
      <w:r w:rsidR="00B31B37">
        <w:rPr>
          <w:lang w:val="en-US"/>
        </w:rPr>
        <w:t>’</w:t>
      </w:r>
      <w:r w:rsidRPr="5FA307DC">
        <w:rPr>
          <w:lang w:val="en-US"/>
        </w:rPr>
        <w:t>s ability to build, sustain and operate maritime capability.</w:t>
      </w:r>
    </w:p>
    <w:p w14:paraId="4A8083A8" w14:textId="37FD1584" w:rsidR="00B628FF" w:rsidRDefault="005B2D2F">
      <w:pPr>
        <w:pStyle w:val="Normal2"/>
      </w:pPr>
      <w:r w:rsidRPr="5FA307DC">
        <w:rPr>
          <w:lang w:val="en-US"/>
        </w:rPr>
        <w:t>The cost of this measure will be met from within the existing resourcing of the Department</w:t>
      </w:r>
      <w:r w:rsidR="000E56E4">
        <w:rPr>
          <w:lang w:val="en-US"/>
        </w:rPr>
        <w:t> </w:t>
      </w:r>
      <w:r w:rsidRPr="5FA307DC">
        <w:rPr>
          <w:lang w:val="en-US"/>
        </w:rPr>
        <w:t>of Defence.</w:t>
      </w:r>
    </w:p>
    <w:p w14:paraId="3F47A896" w14:textId="77777777" w:rsidR="00B628FF" w:rsidRDefault="005B2D2F">
      <w:pPr>
        <w:pStyle w:val="MeasureTitle"/>
      </w:pPr>
      <w:r>
        <w:t>Nuclear‑Powered Submarine Program – continuation of whole‑of‑government support</w:t>
      </w:r>
    </w:p>
    <w:p w14:paraId="3B1B5331" w14:textId="77777777" w:rsidR="00B628FF" w:rsidRDefault="005B2D2F">
      <w:pPr>
        <w:pStyle w:val="MeasureTableHeading"/>
      </w:pPr>
      <w:r>
        <w:t>Payments ($m)</w:t>
      </w:r>
    </w:p>
    <w:tbl>
      <w:tblPr>
        <w:tblOverlap w:val="never"/>
        <w:tblW w:w="7721" w:type="dxa"/>
        <w:tblBorders>
          <w:top w:val="single" w:sz="4" w:space="0" w:color="000000"/>
          <w:bottom w:val="single" w:sz="4" w:space="0" w:color="000000"/>
        </w:tblBorders>
        <w:tblLayout w:type="fixed"/>
        <w:tblLook w:val="04A0" w:firstRow="1" w:lastRow="0" w:firstColumn="1" w:lastColumn="0" w:noHBand="0" w:noVBand="1"/>
      </w:tblPr>
      <w:tblGrid>
        <w:gridCol w:w="2501"/>
        <w:gridCol w:w="1044"/>
        <w:gridCol w:w="1044"/>
        <w:gridCol w:w="1044"/>
        <w:gridCol w:w="1044"/>
        <w:gridCol w:w="1044"/>
      </w:tblGrid>
      <w:tr w:rsidR="00B628FF" w14:paraId="2D4D332B" w14:textId="77777777">
        <w:trPr>
          <w:cantSplit/>
        </w:trPr>
        <w:tc>
          <w:tcPr>
            <w:tcW w:w="2500" w:type="dxa"/>
            <w:tcBorders>
              <w:top w:val="single" w:sz="4" w:space="0" w:color="000000"/>
              <w:bottom w:val="single" w:sz="4" w:space="0" w:color="000000"/>
            </w:tcBorders>
          </w:tcPr>
          <w:p w14:paraId="22534A55" w14:textId="77777777" w:rsidR="00B628FF" w:rsidRDefault="00B628FF">
            <w:pPr>
              <w:pStyle w:val="MeasureTableYearHeadings"/>
              <w:keepNext/>
            </w:pPr>
          </w:p>
        </w:tc>
        <w:tc>
          <w:tcPr>
            <w:tcW w:w="1043" w:type="dxa"/>
            <w:tcBorders>
              <w:top w:val="single" w:sz="4" w:space="0" w:color="000000"/>
              <w:bottom w:val="single" w:sz="4" w:space="0" w:color="000000"/>
            </w:tcBorders>
          </w:tcPr>
          <w:p w14:paraId="705755F3" w14:textId="53E6B1BC" w:rsidR="00B628FF" w:rsidRDefault="005B2D2F">
            <w:pPr>
              <w:pStyle w:val="MeasureTableYearHeadings"/>
              <w:keepNext/>
            </w:pPr>
            <w:r>
              <w:t>2024</w:t>
            </w:r>
            <w:r w:rsidR="00B31B37">
              <w:noBreakHyphen/>
            </w:r>
            <w:r>
              <w:t>25</w:t>
            </w:r>
          </w:p>
        </w:tc>
        <w:tc>
          <w:tcPr>
            <w:tcW w:w="1043" w:type="dxa"/>
            <w:tcBorders>
              <w:top w:val="single" w:sz="4" w:space="0" w:color="000000"/>
              <w:bottom w:val="single" w:sz="4" w:space="0" w:color="000000"/>
            </w:tcBorders>
          </w:tcPr>
          <w:p w14:paraId="61893885" w14:textId="51D8DE4C" w:rsidR="00B628FF" w:rsidRDefault="005B2D2F">
            <w:pPr>
              <w:pStyle w:val="MeasureTableYearHeadings"/>
              <w:keepNext/>
            </w:pPr>
            <w:r>
              <w:t>2025</w:t>
            </w:r>
            <w:r w:rsidR="00B31B37">
              <w:noBreakHyphen/>
            </w:r>
            <w:r>
              <w:t>26</w:t>
            </w:r>
          </w:p>
        </w:tc>
        <w:tc>
          <w:tcPr>
            <w:tcW w:w="1043" w:type="dxa"/>
            <w:tcBorders>
              <w:top w:val="single" w:sz="4" w:space="0" w:color="000000"/>
              <w:bottom w:val="single" w:sz="4" w:space="0" w:color="000000"/>
            </w:tcBorders>
          </w:tcPr>
          <w:p w14:paraId="684A4039" w14:textId="0E00FAA0" w:rsidR="00B628FF" w:rsidRDefault="005B2D2F">
            <w:pPr>
              <w:pStyle w:val="MeasureTableYearHeadings"/>
              <w:keepNext/>
            </w:pPr>
            <w:r>
              <w:t>2026</w:t>
            </w:r>
            <w:r w:rsidR="00B31B37">
              <w:noBreakHyphen/>
            </w:r>
            <w:r>
              <w:t>27</w:t>
            </w:r>
          </w:p>
        </w:tc>
        <w:tc>
          <w:tcPr>
            <w:tcW w:w="1043" w:type="dxa"/>
            <w:tcBorders>
              <w:top w:val="single" w:sz="4" w:space="0" w:color="000000"/>
              <w:bottom w:val="single" w:sz="4" w:space="0" w:color="000000"/>
            </w:tcBorders>
          </w:tcPr>
          <w:p w14:paraId="038EB8DB" w14:textId="25785442" w:rsidR="00B628FF" w:rsidRDefault="005B2D2F">
            <w:pPr>
              <w:pStyle w:val="MeasureTableYearHeadings"/>
              <w:keepNext/>
            </w:pPr>
            <w:r>
              <w:t>2027</w:t>
            </w:r>
            <w:r w:rsidR="00B31B37">
              <w:noBreakHyphen/>
            </w:r>
            <w:r>
              <w:t>28</w:t>
            </w:r>
          </w:p>
        </w:tc>
        <w:tc>
          <w:tcPr>
            <w:tcW w:w="1043" w:type="dxa"/>
            <w:tcBorders>
              <w:top w:val="single" w:sz="4" w:space="0" w:color="000000"/>
              <w:bottom w:val="single" w:sz="4" w:space="0" w:color="000000"/>
            </w:tcBorders>
          </w:tcPr>
          <w:p w14:paraId="15565D7D" w14:textId="3E00D75C" w:rsidR="00B628FF" w:rsidRDefault="005B2D2F">
            <w:pPr>
              <w:pStyle w:val="MeasureTableYearHeadings"/>
              <w:keepNext/>
            </w:pPr>
            <w:r>
              <w:t>2028</w:t>
            </w:r>
            <w:r w:rsidR="00B31B37">
              <w:noBreakHyphen/>
            </w:r>
            <w:r>
              <w:t>29</w:t>
            </w:r>
          </w:p>
        </w:tc>
      </w:tr>
      <w:tr w:rsidR="00B628FF" w14:paraId="392941DF" w14:textId="77777777">
        <w:trPr>
          <w:cantSplit/>
        </w:trPr>
        <w:tc>
          <w:tcPr>
            <w:tcW w:w="2500" w:type="dxa"/>
            <w:tcBorders>
              <w:top w:val="single" w:sz="4" w:space="0" w:color="000000"/>
              <w:bottom w:val="single" w:sz="4" w:space="0" w:color="000000"/>
            </w:tcBorders>
          </w:tcPr>
          <w:p w14:paraId="05B0B94A" w14:textId="77777777" w:rsidR="00B628FF" w:rsidRDefault="005B2D2F">
            <w:pPr>
              <w:pStyle w:val="MeasureTableHeadingleftalignedwith2ptsspacing"/>
              <w:keepNext/>
            </w:pPr>
            <w:r>
              <w:t>Department of Foreign Affairs and Trade</w:t>
            </w:r>
          </w:p>
        </w:tc>
        <w:tc>
          <w:tcPr>
            <w:tcW w:w="1043" w:type="dxa"/>
            <w:tcBorders>
              <w:top w:val="single" w:sz="4" w:space="0" w:color="000000"/>
              <w:bottom w:val="single" w:sz="4" w:space="0" w:color="000000"/>
            </w:tcBorders>
          </w:tcPr>
          <w:p w14:paraId="67C0F5FE" w14:textId="1DBEA8FF"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70A9EE42" w14:textId="77777777" w:rsidR="00B628FF" w:rsidRDefault="005B2D2F">
            <w:pPr>
              <w:pStyle w:val="MeasureTableDataRightAlignedwith2ptsspacing"/>
              <w:keepNext/>
            </w:pPr>
            <w:r>
              <w:t>39.0</w:t>
            </w:r>
          </w:p>
        </w:tc>
        <w:tc>
          <w:tcPr>
            <w:tcW w:w="1043" w:type="dxa"/>
            <w:tcBorders>
              <w:top w:val="single" w:sz="4" w:space="0" w:color="000000"/>
              <w:bottom w:val="single" w:sz="4" w:space="0" w:color="000000"/>
            </w:tcBorders>
          </w:tcPr>
          <w:p w14:paraId="422643C7" w14:textId="048F5FF7"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5102EF0D" w14:textId="29A73016"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7899A3AE" w14:textId="45A1FC0E" w:rsidR="00B628FF" w:rsidRDefault="00B31B37">
            <w:pPr>
              <w:pStyle w:val="MeasureTableDataRightAlignedwith2ptsspacing"/>
              <w:keepNext/>
            </w:pPr>
            <w:r>
              <w:noBreakHyphen/>
            </w:r>
          </w:p>
        </w:tc>
      </w:tr>
      <w:tr w:rsidR="00B628FF" w14:paraId="61F090CD" w14:textId="77777777">
        <w:trPr>
          <w:cantSplit/>
        </w:trPr>
        <w:tc>
          <w:tcPr>
            <w:tcW w:w="2500" w:type="dxa"/>
            <w:tcBorders>
              <w:top w:val="single" w:sz="4" w:space="0" w:color="000000"/>
              <w:bottom w:val="single" w:sz="4" w:space="0" w:color="000000"/>
            </w:tcBorders>
          </w:tcPr>
          <w:p w14:paraId="7ED0E4FF" w14:textId="77777777" w:rsidR="00B628FF" w:rsidRDefault="005B2D2F">
            <w:pPr>
              <w:pStyle w:val="MeasureTableHeadingleftalignedwith2ptsspacing"/>
              <w:keepNext/>
            </w:pPr>
            <w:r>
              <w:t>Australian Radiation Protection and Nuclear Safety Agency</w:t>
            </w:r>
          </w:p>
        </w:tc>
        <w:tc>
          <w:tcPr>
            <w:tcW w:w="1043" w:type="dxa"/>
            <w:tcBorders>
              <w:top w:val="single" w:sz="4" w:space="0" w:color="000000"/>
              <w:bottom w:val="single" w:sz="4" w:space="0" w:color="000000"/>
            </w:tcBorders>
          </w:tcPr>
          <w:p w14:paraId="2EEDF470" w14:textId="6E40E1B7"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79C73271" w14:textId="77777777" w:rsidR="00B628FF" w:rsidRDefault="005B2D2F">
            <w:pPr>
              <w:pStyle w:val="MeasureTableDataRightAlignedwith2ptsspacing"/>
              <w:keepNext/>
            </w:pPr>
            <w:r>
              <w:t>6.9</w:t>
            </w:r>
          </w:p>
        </w:tc>
        <w:tc>
          <w:tcPr>
            <w:tcW w:w="1043" w:type="dxa"/>
            <w:tcBorders>
              <w:top w:val="single" w:sz="4" w:space="0" w:color="000000"/>
              <w:bottom w:val="single" w:sz="4" w:space="0" w:color="000000"/>
            </w:tcBorders>
          </w:tcPr>
          <w:p w14:paraId="69E71D5F" w14:textId="4E8474FA"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625EBD52" w14:textId="7026E69B"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6791DDA2" w14:textId="37F07EC1" w:rsidR="00B628FF" w:rsidRDefault="00B31B37">
            <w:pPr>
              <w:pStyle w:val="MeasureTableDataRightAlignedwith2ptsspacing"/>
              <w:keepNext/>
            </w:pPr>
            <w:r>
              <w:noBreakHyphen/>
            </w:r>
          </w:p>
        </w:tc>
      </w:tr>
      <w:tr w:rsidR="00B628FF" w14:paraId="52BD11DC" w14:textId="77777777">
        <w:trPr>
          <w:cantSplit/>
        </w:trPr>
        <w:tc>
          <w:tcPr>
            <w:tcW w:w="2500" w:type="dxa"/>
            <w:tcBorders>
              <w:top w:val="single" w:sz="4" w:space="0" w:color="000000"/>
              <w:bottom w:val="single" w:sz="4" w:space="0" w:color="000000"/>
            </w:tcBorders>
          </w:tcPr>
          <w:p w14:paraId="64EFF976" w14:textId="77777777" w:rsidR="00B628FF" w:rsidRDefault="005B2D2F">
            <w:pPr>
              <w:pStyle w:val="MeasureTableHeadingleftalignedwith2ptsspacing"/>
              <w:keepNext/>
            </w:pPr>
            <w:r>
              <w:t>Australian Nuclear Science and Technology Organisation</w:t>
            </w:r>
          </w:p>
        </w:tc>
        <w:tc>
          <w:tcPr>
            <w:tcW w:w="1043" w:type="dxa"/>
            <w:tcBorders>
              <w:top w:val="single" w:sz="4" w:space="0" w:color="000000"/>
              <w:bottom w:val="single" w:sz="4" w:space="0" w:color="000000"/>
            </w:tcBorders>
          </w:tcPr>
          <w:p w14:paraId="654220C5" w14:textId="26D108B0"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34F01DE7" w14:textId="77777777" w:rsidR="00B628FF" w:rsidRDefault="005B2D2F">
            <w:pPr>
              <w:pStyle w:val="MeasureTableDataRightAlignedwith2ptsspacing"/>
              <w:keepNext/>
            </w:pPr>
            <w:r>
              <w:t>6.1</w:t>
            </w:r>
          </w:p>
        </w:tc>
        <w:tc>
          <w:tcPr>
            <w:tcW w:w="1043" w:type="dxa"/>
            <w:tcBorders>
              <w:top w:val="single" w:sz="4" w:space="0" w:color="000000"/>
              <w:bottom w:val="single" w:sz="4" w:space="0" w:color="000000"/>
            </w:tcBorders>
          </w:tcPr>
          <w:p w14:paraId="7AB7F5D0" w14:textId="0ACBBBD0"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7E5E3707" w14:textId="6456D03A"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7F71FB27" w14:textId="368573CE" w:rsidR="00B628FF" w:rsidRDefault="00B31B37">
            <w:pPr>
              <w:pStyle w:val="MeasureTableDataRightAlignedwith2ptsspacing"/>
              <w:keepNext/>
            </w:pPr>
            <w:r>
              <w:noBreakHyphen/>
            </w:r>
          </w:p>
        </w:tc>
      </w:tr>
      <w:tr w:rsidR="00B628FF" w14:paraId="66DF6A96" w14:textId="77777777">
        <w:trPr>
          <w:cantSplit/>
        </w:trPr>
        <w:tc>
          <w:tcPr>
            <w:tcW w:w="2500" w:type="dxa"/>
            <w:tcBorders>
              <w:top w:val="single" w:sz="4" w:space="0" w:color="000000"/>
              <w:bottom w:val="single" w:sz="4" w:space="0" w:color="000000"/>
            </w:tcBorders>
          </w:tcPr>
          <w:p w14:paraId="3A630727" w14:textId="77777777" w:rsidR="00B628FF" w:rsidRDefault="005B2D2F">
            <w:pPr>
              <w:pStyle w:val="MeasureTableHeadingleftalignedwith2ptsspacing"/>
              <w:keepNext/>
            </w:pPr>
            <w:r>
              <w:t>Department of Climate Change, Energy, the Environment and Water</w:t>
            </w:r>
          </w:p>
        </w:tc>
        <w:tc>
          <w:tcPr>
            <w:tcW w:w="1043" w:type="dxa"/>
            <w:tcBorders>
              <w:top w:val="single" w:sz="4" w:space="0" w:color="000000"/>
              <w:bottom w:val="single" w:sz="4" w:space="0" w:color="000000"/>
            </w:tcBorders>
          </w:tcPr>
          <w:p w14:paraId="04164208" w14:textId="18D8E397"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64EFDEBB" w14:textId="77777777" w:rsidR="00B628FF" w:rsidRDefault="005B2D2F">
            <w:pPr>
              <w:pStyle w:val="MeasureTableDataRightAlignedwith2ptsspacing"/>
              <w:keepNext/>
            </w:pPr>
            <w:r>
              <w:t>3.0</w:t>
            </w:r>
          </w:p>
        </w:tc>
        <w:tc>
          <w:tcPr>
            <w:tcW w:w="1043" w:type="dxa"/>
            <w:tcBorders>
              <w:top w:val="single" w:sz="4" w:space="0" w:color="000000"/>
              <w:bottom w:val="single" w:sz="4" w:space="0" w:color="000000"/>
            </w:tcBorders>
          </w:tcPr>
          <w:p w14:paraId="6140A41E" w14:textId="3858DEBC"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07E4FA3A" w14:textId="0C1F05AA"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7660490D" w14:textId="4AFE3AD4" w:rsidR="00B628FF" w:rsidRDefault="00B31B37">
            <w:pPr>
              <w:pStyle w:val="MeasureTableDataRightAlignedwith2ptsspacing"/>
              <w:keepNext/>
            </w:pPr>
            <w:r>
              <w:noBreakHyphen/>
            </w:r>
          </w:p>
        </w:tc>
      </w:tr>
      <w:tr w:rsidR="00B628FF" w14:paraId="75F5AAB0" w14:textId="77777777">
        <w:trPr>
          <w:cantSplit/>
        </w:trPr>
        <w:tc>
          <w:tcPr>
            <w:tcW w:w="2500" w:type="dxa"/>
            <w:tcBorders>
              <w:top w:val="single" w:sz="4" w:space="0" w:color="000000"/>
              <w:bottom w:val="single" w:sz="4" w:space="0" w:color="000000"/>
            </w:tcBorders>
          </w:tcPr>
          <w:p w14:paraId="2408E7DE" w14:textId="77777777" w:rsidR="00B628FF" w:rsidRDefault="005B2D2F">
            <w:pPr>
              <w:pStyle w:val="MeasureTableHeadingleftalignedwith2ptsspacing"/>
              <w:keepNext/>
            </w:pPr>
            <w:r>
              <w:t>Department of Finance</w:t>
            </w:r>
          </w:p>
        </w:tc>
        <w:tc>
          <w:tcPr>
            <w:tcW w:w="1043" w:type="dxa"/>
            <w:tcBorders>
              <w:top w:val="single" w:sz="4" w:space="0" w:color="000000"/>
              <w:bottom w:val="single" w:sz="4" w:space="0" w:color="000000"/>
            </w:tcBorders>
          </w:tcPr>
          <w:p w14:paraId="04B3EE4B" w14:textId="71759C8A"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05C96108" w14:textId="77777777" w:rsidR="00B628FF" w:rsidRDefault="005B2D2F">
            <w:pPr>
              <w:pStyle w:val="MeasureTableDataRightAlignedwith2ptsspacing"/>
              <w:keepNext/>
            </w:pPr>
            <w:r>
              <w:t>2.4</w:t>
            </w:r>
          </w:p>
        </w:tc>
        <w:tc>
          <w:tcPr>
            <w:tcW w:w="1043" w:type="dxa"/>
            <w:tcBorders>
              <w:top w:val="single" w:sz="4" w:space="0" w:color="000000"/>
              <w:bottom w:val="single" w:sz="4" w:space="0" w:color="000000"/>
            </w:tcBorders>
          </w:tcPr>
          <w:p w14:paraId="199C22B6" w14:textId="4215395A"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15EC5971" w14:textId="73A51C60"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272FF5CE" w14:textId="1929796E" w:rsidR="00B628FF" w:rsidRDefault="00B31B37">
            <w:pPr>
              <w:pStyle w:val="MeasureTableDataRightAlignedwith2ptsspacing"/>
              <w:keepNext/>
            </w:pPr>
            <w:r>
              <w:noBreakHyphen/>
            </w:r>
          </w:p>
        </w:tc>
      </w:tr>
      <w:tr w:rsidR="00B628FF" w14:paraId="5A131028" w14:textId="77777777">
        <w:trPr>
          <w:cantSplit/>
        </w:trPr>
        <w:tc>
          <w:tcPr>
            <w:tcW w:w="2500" w:type="dxa"/>
            <w:tcBorders>
              <w:top w:val="single" w:sz="4" w:space="0" w:color="000000"/>
              <w:bottom w:val="single" w:sz="4" w:space="0" w:color="000000"/>
            </w:tcBorders>
          </w:tcPr>
          <w:p w14:paraId="6CA20D62" w14:textId="77777777" w:rsidR="00B628FF" w:rsidRDefault="005B2D2F">
            <w:pPr>
              <w:pStyle w:val="MeasureTableHeadingleftalignedwith2ptsspacing"/>
              <w:keepNext/>
            </w:pPr>
            <w:r>
              <w:t>Department of Employment and Workplace Relations</w:t>
            </w:r>
          </w:p>
        </w:tc>
        <w:tc>
          <w:tcPr>
            <w:tcW w:w="1043" w:type="dxa"/>
            <w:tcBorders>
              <w:top w:val="single" w:sz="4" w:space="0" w:color="000000"/>
              <w:bottom w:val="single" w:sz="4" w:space="0" w:color="000000"/>
            </w:tcBorders>
          </w:tcPr>
          <w:p w14:paraId="1FE854BA" w14:textId="7106C950"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2F071B3E" w14:textId="77777777" w:rsidR="00B628FF" w:rsidRDefault="005B2D2F">
            <w:pPr>
              <w:pStyle w:val="MeasureTableDataRightAlignedwith2ptsspacing"/>
              <w:keepNext/>
            </w:pPr>
            <w:r>
              <w:t>1.9</w:t>
            </w:r>
          </w:p>
        </w:tc>
        <w:tc>
          <w:tcPr>
            <w:tcW w:w="1043" w:type="dxa"/>
            <w:tcBorders>
              <w:top w:val="single" w:sz="4" w:space="0" w:color="000000"/>
              <w:bottom w:val="single" w:sz="4" w:space="0" w:color="000000"/>
            </w:tcBorders>
          </w:tcPr>
          <w:p w14:paraId="3EACF1CA" w14:textId="5F49A9B2"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0BC4AB2D" w14:textId="2048220C"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12E79A31" w14:textId="0E891299" w:rsidR="00B628FF" w:rsidRDefault="00B31B37">
            <w:pPr>
              <w:pStyle w:val="MeasureTableDataRightAlignedwith2ptsspacing"/>
              <w:keepNext/>
            </w:pPr>
            <w:r>
              <w:noBreakHyphen/>
            </w:r>
          </w:p>
        </w:tc>
      </w:tr>
      <w:tr w:rsidR="00B628FF" w14:paraId="7F9615D9" w14:textId="77777777">
        <w:trPr>
          <w:cantSplit/>
        </w:trPr>
        <w:tc>
          <w:tcPr>
            <w:tcW w:w="2500" w:type="dxa"/>
            <w:tcBorders>
              <w:top w:val="single" w:sz="4" w:space="0" w:color="000000"/>
              <w:bottom w:val="single" w:sz="4" w:space="0" w:color="000000"/>
            </w:tcBorders>
          </w:tcPr>
          <w:p w14:paraId="285FBDE0" w14:textId="77777777" w:rsidR="00B628FF" w:rsidRDefault="005B2D2F">
            <w:pPr>
              <w:pStyle w:val="MeasureTableHeadingleftalignedwith2ptsspacing"/>
              <w:keepNext/>
            </w:pPr>
            <w:r>
              <w:t>Department of Health and Aged Care</w:t>
            </w:r>
          </w:p>
        </w:tc>
        <w:tc>
          <w:tcPr>
            <w:tcW w:w="1043" w:type="dxa"/>
            <w:tcBorders>
              <w:top w:val="single" w:sz="4" w:space="0" w:color="000000"/>
              <w:bottom w:val="single" w:sz="4" w:space="0" w:color="000000"/>
            </w:tcBorders>
          </w:tcPr>
          <w:p w14:paraId="7C041110" w14:textId="4BB2C5E7"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430F9916" w14:textId="77777777" w:rsidR="00B628FF" w:rsidRDefault="005B2D2F">
            <w:pPr>
              <w:pStyle w:val="MeasureTableDataRightAlignedwith2ptsspacing"/>
              <w:keepNext/>
            </w:pPr>
            <w:r>
              <w:t>1.2</w:t>
            </w:r>
          </w:p>
        </w:tc>
        <w:tc>
          <w:tcPr>
            <w:tcW w:w="1043" w:type="dxa"/>
            <w:tcBorders>
              <w:top w:val="single" w:sz="4" w:space="0" w:color="000000"/>
              <w:bottom w:val="single" w:sz="4" w:space="0" w:color="000000"/>
            </w:tcBorders>
          </w:tcPr>
          <w:p w14:paraId="4870A7A6" w14:textId="6FC28AE9"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24DC7029" w14:textId="6A627BA6"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37C79B1A" w14:textId="14D78759" w:rsidR="00B628FF" w:rsidRDefault="00B31B37">
            <w:pPr>
              <w:pStyle w:val="MeasureTableDataRightAlignedwith2ptsspacing"/>
              <w:keepNext/>
            </w:pPr>
            <w:r>
              <w:noBreakHyphen/>
            </w:r>
          </w:p>
        </w:tc>
      </w:tr>
      <w:tr w:rsidR="00B628FF" w14:paraId="5ABD5C89" w14:textId="77777777">
        <w:trPr>
          <w:cantSplit/>
        </w:trPr>
        <w:tc>
          <w:tcPr>
            <w:tcW w:w="2500" w:type="dxa"/>
            <w:tcBorders>
              <w:top w:val="single" w:sz="4" w:space="0" w:color="000000"/>
              <w:bottom w:val="single" w:sz="4" w:space="0" w:color="000000"/>
            </w:tcBorders>
          </w:tcPr>
          <w:p w14:paraId="3BD12B21" w14:textId="2754511E" w:rsidR="00B628FF" w:rsidRDefault="005B2D2F">
            <w:pPr>
              <w:pStyle w:val="MeasureTableHeadingleftalignedwith2ptsspacing"/>
              <w:keepNext/>
            </w:pPr>
            <w:r>
              <w:t>Attorney‑General</w:t>
            </w:r>
            <w:r w:rsidR="00B31B37">
              <w:t>’</w:t>
            </w:r>
            <w:r>
              <w:t>s Department</w:t>
            </w:r>
          </w:p>
        </w:tc>
        <w:tc>
          <w:tcPr>
            <w:tcW w:w="1043" w:type="dxa"/>
            <w:tcBorders>
              <w:top w:val="single" w:sz="4" w:space="0" w:color="000000"/>
              <w:bottom w:val="single" w:sz="4" w:space="0" w:color="000000"/>
            </w:tcBorders>
          </w:tcPr>
          <w:p w14:paraId="62707038" w14:textId="046E0B4D"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0E8E0F61" w14:textId="77777777" w:rsidR="00B628FF" w:rsidRDefault="005B2D2F">
            <w:pPr>
              <w:pStyle w:val="MeasureTableDataRightAlignedwith2ptsspacing"/>
              <w:keepNext/>
            </w:pPr>
            <w:r>
              <w:t>1.1</w:t>
            </w:r>
          </w:p>
        </w:tc>
        <w:tc>
          <w:tcPr>
            <w:tcW w:w="1043" w:type="dxa"/>
            <w:tcBorders>
              <w:top w:val="single" w:sz="4" w:space="0" w:color="000000"/>
              <w:bottom w:val="single" w:sz="4" w:space="0" w:color="000000"/>
            </w:tcBorders>
          </w:tcPr>
          <w:p w14:paraId="7AF0B974" w14:textId="776091E4"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00078058" w14:textId="2C5E0B86"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3AD36458" w14:textId="5246FA27" w:rsidR="00B628FF" w:rsidRDefault="00B31B37">
            <w:pPr>
              <w:pStyle w:val="MeasureTableDataRightAlignedwith2ptsspacing"/>
              <w:keepNext/>
            </w:pPr>
            <w:r>
              <w:noBreakHyphen/>
            </w:r>
          </w:p>
        </w:tc>
      </w:tr>
      <w:tr w:rsidR="00B628FF" w14:paraId="4EA1E0CE" w14:textId="77777777">
        <w:trPr>
          <w:cantSplit/>
        </w:trPr>
        <w:tc>
          <w:tcPr>
            <w:tcW w:w="2500" w:type="dxa"/>
            <w:tcBorders>
              <w:top w:val="single" w:sz="4" w:space="0" w:color="000000"/>
              <w:bottom w:val="single" w:sz="4" w:space="0" w:color="000000"/>
            </w:tcBorders>
          </w:tcPr>
          <w:p w14:paraId="2D93CFB5" w14:textId="77777777" w:rsidR="00B628FF" w:rsidRDefault="005B2D2F">
            <w:pPr>
              <w:pStyle w:val="MeasureTableHeadingleftalignedwith2ptsspacing"/>
              <w:keepNext/>
            </w:pPr>
            <w:r>
              <w:t>Australian Submarine Agency</w:t>
            </w:r>
          </w:p>
        </w:tc>
        <w:tc>
          <w:tcPr>
            <w:tcW w:w="1043" w:type="dxa"/>
            <w:tcBorders>
              <w:top w:val="single" w:sz="4" w:space="0" w:color="000000"/>
              <w:bottom w:val="single" w:sz="4" w:space="0" w:color="000000"/>
            </w:tcBorders>
          </w:tcPr>
          <w:p w14:paraId="1A9427BA" w14:textId="3D4DF560"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40C4BD4C" w14:textId="76EF2AF9" w:rsidR="00B628FF" w:rsidRDefault="00B31B37">
            <w:pPr>
              <w:pStyle w:val="MeasureTableDataRightAlignedwith2ptsspacing"/>
              <w:keepNext/>
            </w:pPr>
            <w:r>
              <w:noBreakHyphen/>
            </w:r>
            <w:r w:rsidR="005B2D2F">
              <w:t>12.3</w:t>
            </w:r>
          </w:p>
        </w:tc>
        <w:tc>
          <w:tcPr>
            <w:tcW w:w="1043" w:type="dxa"/>
            <w:tcBorders>
              <w:top w:val="single" w:sz="4" w:space="0" w:color="000000"/>
              <w:bottom w:val="single" w:sz="4" w:space="0" w:color="000000"/>
            </w:tcBorders>
          </w:tcPr>
          <w:p w14:paraId="569EE553" w14:textId="3CA17FF4"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28D07D64" w14:textId="6924D06E"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61672FCE" w14:textId="3E38B4FE" w:rsidR="00B628FF" w:rsidRDefault="00B31B37">
            <w:pPr>
              <w:pStyle w:val="MeasureTableDataRightAlignedwith2ptsspacing"/>
              <w:keepNext/>
            </w:pPr>
            <w:r>
              <w:noBreakHyphen/>
            </w:r>
          </w:p>
        </w:tc>
      </w:tr>
      <w:tr w:rsidR="00B628FF" w14:paraId="75D4C1E9" w14:textId="77777777">
        <w:trPr>
          <w:cantSplit/>
        </w:trPr>
        <w:tc>
          <w:tcPr>
            <w:tcW w:w="2500" w:type="dxa"/>
            <w:tcBorders>
              <w:top w:val="single" w:sz="4" w:space="0" w:color="000000"/>
              <w:bottom w:val="single" w:sz="4" w:space="0" w:color="000000"/>
            </w:tcBorders>
          </w:tcPr>
          <w:p w14:paraId="333A190D" w14:textId="77777777" w:rsidR="00B628FF" w:rsidRDefault="005B2D2F">
            <w:pPr>
              <w:pStyle w:val="MeasureTableHeadingleftalignedwith2ptsspacing"/>
              <w:keepNext/>
            </w:pPr>
            <w:r>
              <w:t>Department of Defence</w:t>
            </w:r>
          </w:p>
        </w:tc>
        <w:tc>
          <w:tcPr>
            <w:tcW w:w="1043" w:type="dxa"/>
            <w:tcBorders>
              <w:top w:val="single" w:sz="4" w:space="0" w:color="000000"/>
              <w:bottom w:val="single" w:sz="4" w:space="0" w:color="000000"/>
            </w:tcBorders>
          </w:tcPr>
          <w:p w14:paraId="56DFD5DF" w14:textId="106D4C6C"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641CB728" w14:textId="0C4C5931" w:rsidR="00B628FF" w:rsidRDefault="00B31B37">
            <w:pPr>
              <w:pStyle w:val="MeasureTableDataRightAlignedwith2ptsspacing"/>
              <w:keepNext/>
            </w:pPr>
            <w:r>
              <w:noBreakHyphen/>
            </w:r>
            <w:r w:rsidR="005B2D2F">
              <w:t>49.3</w:t>
            </w:r>
          </w:p>
        </w:tc>
        <w:tc>
          <w:tcPr>
            <w:tcW w:w="1043" w:type="dxa"/>
            <w:tcBorders>
              <w:top w:val="single" w:sz="4" w:space="0" w:color="000000"/>
              <w:bottom w:val="single" w:sz="4" w:space="0" w:color="000000"/>
            </w:tcBorders>
          </w:tcPr>
          <w:p w14:paraId="3CAB6FFE" w14:textId="5B098E89"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17F443C9" w14:textId="68C3E204"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10D927B3" w14:textId="7175E592" w:rsidR="00B628FF" w:rsidRDefault="00B31B37">
            <w:pPr>
              <w:pStyle w:val="MeasureTableDataRightAlignedwith2ptsspacing"/>
              <w:keepNext/>
            </w:pPr>
            <w:r>
              <w:noBreakHyphen/>
            </w:r>
          </w:p>
        </w:tc>
      </w:tr>
      <w:tr w:rsidR="00B628FF" w14:paraId="16199493" w14:textId="77777777">
        <w:trPr>
          <w:cantSplit/>
        </w:trPr>
        <w:tc>
          <w:tcPr>
            <w:tcW w:w="2500" w:type="dxa"/>
            <w:tcBorders>
              <w:top w:val="single" w:sz="4" w:space="0" w:color="000000"/>
              <w:bottom w:val="single" w:sz="4" w:space="0" w:color="000000"/>
            </w:tcBorders>
          </w:tcPr>
          <w:p w14:paraId="7E1FF736" w14:textId="77777777" w:rsidR="00B628FF" w:rsidRDefault="005B2D2F">
            <w:pPr>
              <w:pStyle w:val="Totalrowleftaligned"/>
              <w:keepNext/>
            </w:pPr>
            <w:r>
              <w:t>Total – Payments</w:t>
            </w:r>
          </w:p>
        </w:tc>
        <w:tc>
          <w:tcPr>
            <w:tcW w:w="1043" w:type="dxa"/>
            <w:tcBorders>
              <w:top w:val="single" w:sz="4" w:space="0" w:color="000000"/>
              <w:bottom w:val="single" w:sz="4" w:space="0" w:color="000000"/>
            </w:tcBorders>
          </w:tcPr>
          <w:p w14:paraId="2B5BBE4A" w14:textId="1E1A4E3D" w:rsidR="00B628FF" w:rsidRDefault="00B31B37">
            <w:pPr>
              <w:pStyle w:val="Totaldatarowrightaligned"/>
              <w:keepNext/>
            </w:pPr>
            <w:r>
              <w:noBreakHyphen/>
            </w:r>
          </w:p>
        </w:tc>
        <w:tc>
          <w:tcPr>
            <w:tcW w:w="1043" w:type="dxa"/>
            <w:tcBorders>
              <w:top w:val="single" w:sz="4" w:space="0" w:color="000000"/>
              <w:bottom w:val="single" w:sz="4" w:space="0" w:color="000000"/>
            </w:tcBorders>
          </w:tcPr>
          <w:p w14:paraId="799FF778" w14:textId="6FAEBE39" w:rsidR="00B628FF" w:rsidRDefault="00B31B37">
            <w:pPr>
              <w:pStyle w:val="Totaldatarowrightaligned"/>
              <w:keepNext/>
            </w:pPr>
            <w:r>
              <w:noBreakHyphen/>
            </w:r>
          </w:p>
        </w:tc>
        <w:tc>
          <w:tcPr>
            <w:tcW w:w="1043" w:type="dxa"/>
            <w:tcBorders>
              <w:top w:val="single" w:sz="4" w:space="0" w:color="000000"/>
              <w:bottom w:val="single" w:sz="4" w:space="0" w:color="000000"/>
            </w:tcBorders>
          </w:tcPr>
          <w:p w14:paraId="08E5A797" w14:textId="14ADFDCC" w:rsidR="00B628FF" w:rsidRDefault="00B31B37">
            <w:pPr>
              <w:pStyle w:val="Totaldatarowrightaligned"/>
              <w:keepNext/>
            </w:pPr>
            <w:r>
              <w:noBreakHyphen/>
            </w:r>
          </w:p>
        </w:tc>
        <w:tc>
          <w:tcPr>
            <w:tcW w:w="1043" w:type="dxa"/>
            <w:tcBorders>
              <w:top w:val="single" w:sz="4" w:space="0" w:color="000000"/>
              <w:bottom w:val="single" w:sz="4" w:space="0" w:color="000000"/>
            </w:tcBorders>
          </w:tcPr>
          <w:p w14:paraId="6D5AFC08" w14:textId="5AABD495" w:rsidR="00B628FF" w:rsidRDefault="00B31B37">
            <w:pPr>
              <w:pStyle w:val="Totaldatarowrightaligned"/>
              <w:keepNext/>
            </w:pPr>
            <w:r>
              <w:noBreakHyphen/>
            </w:r>
          </w:p>
        </w:tc>
        <w:tc>
          <w:tcPr>
            <w:tcW w:w="1043" w:type="dxa"/>
            <w:tcBorders>
              <w:top w:val="single" w:sz="4" w:space="0" w:color="000000"/>
              <w:bottom w:val="single" w:sz="4" w:space="0" w:color="000000"/>
            </w:tcBorders>
          </w:tcPr>
          <w:p w14:paraId="5683B73D" w14:textId="6C2B19B0" w:rsidR="00B628FF" w:rsidRDefault="00B31B37">
            <w:pPr>
              <w:pStyle w:val="Totaldatarowrightaligned"/>
              <w:keepNext/>
            </w:pPr>
            <w:r>
              <w:noBreakHyphen/>
            </w:r>
          </w:p>
        </w:tc>
      </w:tr>
    </w:tbl>
    <w:p w14:paraId="6E659714" w14:textId="77777777" w:rsidR="00B628FF" w:rsidRDefault="00B628FF">
      <w:pPr>
        <w:keepNext/>
        <w:spacing w:line="226" w:lineRule="exact"/>
        <w:rPr>
          <w:sz w:val="16"/>
        </w:rPr>
      </w:pPr>
    </w:p>
    <w:p w14:paraId="4A61C5A3" w14:textId="117B8CDF" w:rsidR="00B628FF" w:rsidRDefault="005B2D2F">
      <w:pPr>
        <w:pStyle w:val="Normal2"/>
      </w:pPr>
      <w:r>
        <w:t>The Government will provide $61.7 million in 2025–‍26 to continue to provide regulatory, safety and policy advice in support of Australia</w:t>
      </w:r>
      <w:r w:rsidR="00B31B37">
        <w:t>’</w:t>
      </w:r>
      <w:r>
        <w:t>s acquisition of a conventionally‑armed, nuclear‑powered submarine capability. Funding includes:</w:t>
      </w:r>
    </w:p>
    <w:p w14:paraId="23E7E34C" w14:textId="77777777" w:rsidR="00B628FF" w:rsidRDefault="005B2D2F">
      <w:pPr>
        <w:pStyle w:val="Bullet"/>
      </w:pPr>
      <w:r>
        <w:t>$28.0 million in 2025–‍26 for the Department of Foreign Affairs and Trade to provide international policy advice and diplomatic support for the nuclear‑powered submarine program</w:t>
      </w:r>
    </w:p>
    <w:p w14:paraId="12078F5D" w14:textId="77777777" w:rsidR="00B628FF" w:rsidRDefault="005B2D2F">
      <w:pPr>
        <w:pStyle w:val="Bullet"/>
      </w:pPr>
      <w:r>
        <w:t>$11.1 million in 2025–‍26 for the Australian Safeguards and Non‑Proliferation Office to continue the development of non‑proliferation and safeguard arrangements with the International Atomic Energy Agency</w:t>
      </w:r>
    </w:p>
    <w:p w14:paraId="47139177" w14:textId="77777777" w:rsidR="00B628FF" w:rsidRDefault="005B2D2F">
      <w:pPr>
        <w:pStyle w:val="Bullet"/>
      </w:pPr>
      <w:r>
        <w:t>$6.9 million in 2025–‍26 for the Australian Radiation Protection and Nuclear Safety Agency to conduct nuclear licencing activities and provide protection and safety advice and services</w:t>
      </w:r>
    </w:p>
    <w:p w14:paraId="54C0624A" w14:textId="77777777" w:rsidR="00B628FF" w:rsidRDefault="005B2D2F">
      <w:pPr>
        <w:pStyle w:val="Bullet"/>
      </w:pPr>
      <w:r>
        <w:t>$6.1 million in 2025–‍26 for the Australian Nuclear Science and Technology Organisation to conduct radiological baselining and monitoring, and advise on the safe implementation of nuclear technology</w:t>
      </w:r>
    </w:p>
    <w:p w14:paraId="73878579" w14:textId="77777777" w:rsidR="00B628FF" w:rsidRDefault="005B2D2F">
      <w:pPr>
        <w:pStyle w:val="Bullet"/>
      </w:pPr>
      <w:r>
        <w:t>$3.0 million in 2025–‍26 for the Department of Climate Change, Energy, the Environment and Water to conduct environmental regulation and assessments required under environmental legislation</w:t>
      </w:r>
    </w:p>
    <w:p w14:paraId="311875EF" w14:textId="77777777" w:rsidR="00B628FF" w:rsidRDefault="005B2D2F">
      <w:pPr>
        <w:pStyle w:val="Bullet"/>
      </w:pPr>
      <w:r>
        <w:t>$2.4 million in 2025–‍26 for the Department of Finance to provide commercial, financial and investment program management advice in support of the delivery of the nuclear‑powered submarine program</w:t>
      </w:r>
    </w:p>
    <w:p w14:paraId="127118C9" w14:textId="77777777" w:rsidR="00B628FF" w:rsidRDefault="005B2D2F">
      <w:pPr>
        <w:pStyle w:val="Bullet"/>
      </w:pPr>
      <w:r>
        <w:t>$1.9 million in 2025–‍26 for the Department of Employment and Workplace Relations to support the delivery of skills and training initiatives for the nuclear‑powered submarine program</w:t>
      </w:r>
    </w:p>
    <w:p w14:paraId="17D08B06" w14:textId="77777777" w:rsidR="00B628FF" w:rsidRDefault="005B2D2F">
      <w:pPr>
        <w:pStyle w:val="Bullet"/>
      </w:pPr>
      <w:r>
        <w:t>$1.2 million in 2025–‍26 for the Department of Health and Aged Care to provide radiation health and safety advice, and support the development of regulatory arrangements</w:t>
      </w:r>
    </w:p>
    <w:p w14:paraId="36721AE7" w14:textId="3ACABB64" w:rsidR="00B628FF" w:rsidRDefault="005B2D2F">
      <w:pPr>
        <w:pStyle w:val="Bullet"/>
      </w:pPr>
      <w:r>
        <w:t>$1.1 million in 2025–‍26 for the Attorney‑General</w:t>
      </w:r>
      <w:r w:rsidR="00B31B37">
        <w:t>’</w:t>
      </w:r>
      <w:r>
        <w:t>s Department to provide legal and policy advice for the nuclear‑powered submarine program.</w:t>
      </w:r>
    </w:p>
    <w:p w14:paraId="527EF2D3" w14:textId="0838A098" w:rsidR="00B628FF" w:rsidRDefault="005B2D2F">
      <w:pPr>
        <w:pStyle w:val="Normal2"/>
      </w:pPr>
      <w:r w:rsidRPr="5FA307DC">
        <w:rPr>
          <w:lang w:val="en-US"/>
        </w:rPr>
        <w:t>The cost of this measure will be met from within the existing resourcing of the Department</w:t>
      </w:r>
      <w:r w:rsidR="000E56E4">
        <w:rPr>
          <w:lang w:val="en-US"/>
        </w:rPr>
        <w:t> </w:t>
      </w:r>
      <w:r w:rsidRPr="5FA307DC">
        <w:rPr>
          <w:lang w:val="en-US"/>
        </w:rPr>
        <w:t>of Defence and the Australian Submarine Agency.</w:t>
      </w:r>
    </w:p>
    <w:p w14:paraId="6B36597F" w14:textId="77777777" w:rsidR="00B628FF" w:rsidRDefault="005B2D2F">
      <w:pPr>
        <w:pStyle w:val="Normal2"/>
      </w:pPr>
      <w:r w:rsidRPr="5FA307DC">
        <w:rPr>
          <w:lang w:val="en-US"/>
        </w:rPr>
        <w:t xml:space="preserve">This measure extends the 2023–‍24 Budget measure titled </w:t>
      </w:r>
      <w:r w:rsidRPr="5FA307DC">
        <w:rPr>
          <w:i/>
          <w:iCs/>
          <w:lang w:val="en-US"/>
        </w:rPr>
        <w:t>Nuclear‑Powered Submarine Program – initial implementation</w:t>
      </w:r>
      <w:r w:rsidRPr="5FA307DC">
        <w:rPr>
          <w:lang w:val="en-US"/>
        </w:rPr>
        <w:t>.</w:t>
      </w:r>
    </w:p>
    <w:p w14:paraId="1F145CF7" w14:textId="77777777" w:rsidR="00B628FF" w:rsidRDefault="00B628FF">
      <w:pPr>
        <w:sectPr w:rsidR="00B628FF" w:rsidSect="00A06F82">
          <w:headerReference w:type="even" r:id="rId57"/>
          <w:headerReference w:type="default" r:id="rId58"/>
          <w:footerReference w:type="even" r:id="rId59"/>
          <w:footerReference w:type="default" r:id="rId60"/>
          <w:headerReference w:type="first" r:id="rId61"/>
          <w:footerReference w:type="first" r:id="rId62"/>
          <w:pgSz w:w="11906" w:h="16838"/>
          <w:pgMar w:top="2835" w:right="2098" w:bottom="2466" w:left="2098" w:header="1814" w:footer="1814" w:gutter="0"/>
          <w:cols w:space="720"/>
          <w:docGrid w:linePitch="272"/>
        </w:sectPr>
      </w:pPr>
    </w:p>
    <w:p w14:paraId="6B3F4512" w14:textId="77777777" w:rsidR="00B628FF" w:rsidRDefault="005B2D2F">
      <w:pPr>
        <w:pStyle w:val="PortfolioName"/>
      </w:pPr>
      <w:r>
        <w:t>Education</w:t>
      </w:r>
    </w:p>
    <w:p w14:paraId="7549BF78" w14:textId="6C644001" w:rsidR="00B628FF" w:rsidRDefault="005B2D2F">
      <w:pPr>
        <w:pStyle w:val="MeasureTitle"/>
      </w:pPr>
      <w:r>
        <w:t>Building Australia</w:t>
      </w:r>
      <w:r w:rsidR="00B31B37">
        <w:t>’</w:t>
      </w:r>
      <w:r>
        <w:t>s Future – Improving Outcomes in Australian Schools</w:t>
      </w:r>
    </w:p>
    <w:p w14:paraId="29434938" w14:textId="77777777" w:rsidR="00B628FF" w:rsidRDefault="005B2D2F">
      <w:pPr>
        <w:pStyle w:val="MeasureTableHeading"/>
      </w:pPr>
      <w:r>
        <w:t>Payments ($m)</w:t>
      </w:r>
    </w:p>
    <w:tbl>
      <w:tblPr>
        <w:tblOverlap w:val="never"/>
        <w:tblW w:w="7721" w:type="dxa"/>
        <w:tblBorders>
          <w:top w:val="single" w:sz="4" w:space="0" w:color="000000"/>
          <w:bottom w:val="single" w:sz="4" w:space="0" w:color="000000"/>
        </w:tblBorders>
        <w:tblLayout w:type="fixed"/>
        <w:tblLook w:val="04A0" w:firstRow="1" w:lastRow="0" w:firstColumn="1" w:lastColumn="0" w:noHBand="0" w:noVBand="1"/>
      </w:tblPr>
      <w:tblGrid>
        <w:gridCol w:w="2501"/>
        <w:gridCol w:w="1044"/>
        <w:gridCol w:w="1044"/>
        <w:gridCol w:w="1044"/>
        <w:gridCol w:w="1044"/>
        <w:gridCol w:w="1044"/>
      </w:tblGrid>
      <w:tr w:rsidR="00B628FF" w14:paraId="222A1E71" w14:textId="77777777">
        <w:trPr>
          <w:cantSplit/>
        </w:trPr>
        <w:tc>
          <w:tcPr>
            <w:tcW w:w="2500" w:type="dxa"/>
            <w:tcBorders>
              <w:top w:val="single" w:sz="4" w:space="0" w:color="000000"/>
              <w:bottom w:val="single" w:sz="4" w:space="0" w:color="000000"/>
            </w:tcBorders>
          </w:tcPr>
          <w:p w14:paraId="155CAF1B" w14:textId="77777777" w:rsidR="00B628FF" w:rsidRDefault="00B628FF">
            <w:pPr>
              <w:pStyle w:val="MeasureTableYearHeadings"/>
              <w:keepNext/>
            </w:pPr>
          </w:p>
        </w:tc>
        <w:tc>
          <w:tcPr>
            <w:tcW w:w="1043" w:type="dxa"/>
            <w:tcBorders>
              <w:top w:val="single" w:sz="4" w:space="0" w:color="000000"/>
              <w:bottom w:val="single" w:sz="4" w:space="0" w:color="000000"/>
            </w:tcBorders>
          </w:tcPr>
          <w:p w14:paraId="1FB65668" w14:textId="3644FF54" w:rsidR="00B628FF" w:rsidRDefault="005B2D2F">
            <w:pPr>
              <w:pStyle w:val="MeasureTableYearHeadings"/>
              <w:keepNext/>
            </w:pPr>
            <w:r>
              <w:t>2024</w:t>
            </w:r>
            <w:r w:rsidR="00B31B37">
              <w:noBreakHyphen/>
            </w:r>
            <w:r>
              <w:t>25</w:t>
            </w:r>
          </w:p>
        </w:tc>
        <w:tc>
          <w:tcPr>
            <w:tcW w:w="1043" w:type="dxa"/>
            <w:tcBorders>
              <w:top w:val="single" w:sz="4" w:space="0" w:color="000000"/>
              <w:bottom w:val="single" w:sz="4" w:space="0" w:color="000000"/>
            </w:tcBorders>
          </w:tcPr>
          <w:p w14:paraId="311DA514" w14:textId="03F4E370" w:rsidR="00B628FF" w:rsidRDefault="005B2D2F">
            <w:pPr>
              <w:pStyle w:val="MeasureTableYearHeadings"/>
              <w:keepNext/>
            </w:pPr>
            <w:r>
              <w:t>2025</w:t>
            </w:r>
            <w:r w:rsidR="00B31B37">
              <w:noBreakHyphen/>
            </w:r>
            <w:r>
              <w:t>26</w:t>
            </w:r>
          </w:p>
        </w:tc>
        <w:tc>
          <w:tcPr>
            <w:tcW w:w="1043" w:type="dxa"/>
            <w:tcBorders>
              <w:top w:val="single" w:sz="4" w:space="0" w:color="000000"/>
              <w:bottom w:val="single" w:sz="4" w:space="0" w:color="000000"/>
            </w:tcBorders>
          </w:tcPr>
          <w:p w14:paraId="5952CD2D" w14:textId="18DD8622" w:rsidR="00B628FF" w:rsidRDefault="005B2D2F">
            <w:pPr>
              <w:pStyle w:val="MeasureTableYearHeadings"/>
              <w:keepNext/>
            </w:pPr>
            <w:r>
              <w:t>2026</w:t>
            </w:r>
            <w:r w:rsidR="00B31B37">
              <w:noBreakHyphen/>
            </w:r>
            <w:r>
              <w:t>27</w:t>
            </w:r>
          </w:p>
        </w:tc>
        <w:tc>
          <w:tcPr>
            <w:tcW w:w="1043" w:type="dxa"/>
            <w:tcBorders>
              <w:top w:val="single" w:sz="4" w:space="0" w:color="000000"/>
              <w:bottom w:val="single" w:sz="4" w:space="0" w:color="000000"/>
            </w:tcBorders>
          </w:tcPr>
          <w:p w14:paraId="58961A2D" w14:textId="1F9077FA" w:rsidR="00B628FF" w:rsidRDefault="005B2D2F">
            <w:pPr>
              <w:pStyle w:val="MeasureTableYearHeadings"/>
              <w:keepNext/>
            </w:pPr>
            <w:r>
              <w:t>2027</w:t>
            </w:r>
            <w:r w:rsidR="00B31B37">
              <w:noBreakHyphen/>
            </w:r>
            <w:r>
              <w:t>28</w:t>
            </w:r>
          </w:p>
        </w:tc>
        <w:tc>
          <w:tcPr>
            <w:tcW w:w="1043" w:type="dxa"/>
            <w:tcBorders>
              <w:top w:val="single" w:sz="4" w:space="0" w:color="000000"/>
              <w:bottom w:val="single" w:sz="4" w:space="0" w:color="000000"/>
            </w:tcBorders>
          </w:tcPr>
          <w:p w14:paraId="11772098" w14:textId="28F2797B" w:rsidR="00B628FF" w:rsidRDefault="005B2D2F">
            <w:pPr>
              <w:pStyle w:val="MeasureTableYearHeadings"/>
              <w:keepNext/>
            </w:pPr>
            <w:r>
              <w:t>2028</w:t>
            </w:r>
            <w:r w:rsidR="00B31B37">
              <w:noBreakHyphen/>
            </w:r>
            <w:r>
              <w:t>29</w:t>
            </w:r>
          </w:p>
        </w:tc>
      </w:tr>
      <w:tr w:rsidR="00B628FF" w14:paraId="29B1122A" w14:textId="77777777">
        <w:trPr>
          <w:cantSplit/>
        </w:trPr>
        <w:tc>
          <w:tcPr>
            <w:tcW w:w="2500" w:type="dxa"/>
            <w:tcBorders>
              <w:top w:val="single" w:sz="4" w:space="0" w:color="000000"/>
              <w:bottom w:val="single" w:sz="4" w:space="0" w:color="000000"/>
            </w:tcBorders>
          </w:tcPr>
          <w:p w14:paraId="44DEA9DF" w14:textId="77777777" w:rsidR="00B628FF" w:rsidRDefault="005B2D2F">
            <w:pPr>
              <w:pStyle w:val="MeasureTableHeadingleftalignedwith2ptsspacing"/>
              <w:keepNext/>
            </w:pPr>
            <w:r>
              <w:t>Services Australia</w:t>
            </w:r>
          </w:p>
        </w:tc>
        <w:tc>
          <w:tcPr>
            <w:tcW w:w="1043" w:type="dxa"/>
            <w:tcBorders>
              <w:top w:val="single" w:sz="4" w:space="0" w:color="000000"/>
              <w:bottom w:val="single" w:sz="4" w:space="0" w:color="000000"/>
            </w:tcBorders>
          </w:tcPr>
          <w:p w14:paraId="2D279B2B" w14:textId="072C9A2A"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63787B37" w14:textId="35DF4BF9"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201BC878" w14:textId="09BA203C"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64E6751D" w14:textId="169A40C3"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7827CB59" w14:textId="11E33AAC" w:rsidR="00B628FF" w:rsidRDefault="00B31B37">
            <w:pPr>
              <w:pStyle w:val="MeasureTableDataRightAlignedwith2ptsspacing"/>
              <w:keepNext/>
            </w:pPr>
            <w:r>
              <w:noBreakHyphen/>
            </w:r>
          </w:p>
        </w:tc>
      </w:tr>
      <w:tr w:rsidR="00B628FF" w14:paraId="65045369" w14:textId="77777777">
        <w:trPr>
          <w:cantSplit/>
        </w:trPr>
        <w:tc>
          <w:tcPr>
            <w:tcW w:w="2500" w:type="dxa"/>
            <w:tcBorders>
              <w:top w:val="single" w:sz="4" w:space="0" w:color="000000"/>
              <w:bottom w:val="single" w:sz="4" w:space="0" w:color="000000"/>
            </w:tcBorders>
          </w:tcPr>
          <w:p w14:paraId="0912A06A" w14:textId="77777777" w:rsidR="00B628FF" w:rsidRDefault="005B2D2F">
            <w:pPr>
              <w:pStyle w:val="MeasureTableHeadingleftalignedwith2ptsspacing"/>
              <w:keepNext/>
            </w:pPr>
            <w:r>
              <w:t>Department of Education</w:t>
            </w:r>
          </w:p>
        </w:tc>
        <w:tc>
          <w:tcPr>
            <w:tcW w:w="1043" w:type="dxa"/>
            <w:tcBorders>
              <w:top w:val="single" w:sz="4" w:space="0" w:color="000000"/>
              <w:bottom w:val="single" w:sz="4" w:space="0" w:color="000000"/>
            </w:tcBorders>
          </w:tcPr>
          <w:p w14:paraId="2AA0BD1A" w14:textId="4100322D"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738369EE" w14:textId="77777777" w:rsidR="00B628FF" w:rsidRDefault="005B2D2F">
            <w:pPr>
              <w:pStyle w:val="MeasureTableDataRightAlignedwith2ptsspacing"/>
              <w:keepNext/>
            </w:pPr>
            <w:r>
              <w:t>nfp</w:t>
            </w:r>
          </w:p>
        </w:tc>
        <w:tc>
          <w:tcPr>
            <w:tcW w:w="1043" w:type="dxa"/>
            <w:tcBorders>
              <w:top w:val="single" w:sz="4" w:space="0" w:color="000000"/>
              <w:bottom w:val="single" w:sz="4" w:space="0" w:color="000000"/>
            </w:tcBorders>
          </w:tcPr>
          <w:p w14:paraId="1383C759" w14:textId="77777777" w:rsidR="00B628FF" w:rsidRDefault="005B2D2F">
            <w:pPr>
              <w:pStyle w:val="MeasureTableDataRightAlignedwith2ptsspacing"/>
              <w:keepNext/>
            </w:pPr>
            <w:r>
              <w:t>nfp</w:t>
            </w:r>
          </w:p>
        </w:tc>
        <w:tc>
          <w:tcPr>
            <w:tcW w:w="1043" w:type="dxa"/>
            <w:tcBorders>
              <w:top w:val="single" w:sz="4" w:space="0" w:color="000000"/>
              <w:bottom w:val="single" w:sz="4" w:space="0" w:color="000000"/>
            </w:tcBorders>
          </w:tcPr>
          <w:p w14:paraId="41836CC9" w14:textId="77777777" w:rsidR="00B628FF" w:rsidRDefault="005B2D2F">
            <w:pPr>
              <w:pStyle w:val="MeasureTableDataRightAlignedwith2ptsspacing"/>
              <w:keepNext/>
            </w:pPr>
            <w:r>
              <w:t>nfp</w:t>
            </w:r>
          </w:p>
        </w:tc>
        <w:tc>
          <w:tcPr>
            <w:tcW w:w="1043" w:type="dxa"/>
            <w:tcBorders>
              <w:top w:val="single" w:sz="4" w:space="0" w:color="000000"/>
              <w:bottom w:val="single" w:sz="4" w:space="0" w:color="000000"/>
            </w:tcBorders>
          </w:tcPr>
          <w:p w14:paraId="69F1317C" w14:textId="77777777" w:rsidR="00B628FF" w:rsidRDefault="005B2D2F">
            <w:pPr>
              <w:pStyle w:val="MeasureTableDataRightAlignedwith2ptsspacing"/>
              <w:keepNext/>
            </w:pPr>
            <w:r>
              <w:t>nfp</w:t>
            </w:r>
          </w:p>
        </w:tc>
      </w:tr>
      <w:tr w:rsidR="00B628FF" w14:paraId="561F1540" w14:textId="77777777">
        <w:trPr>
          <w:cantSplit/>
        </w:trPr>
        <w:tc>
          <w:tcPr>
            <w:tcW w:w="2500" w:type="dxa"/>
            <w:tcBorders>
              <w:top w:val="single" w:sz="4" w:space="0" w:color="000000"/>
              <w:bottom w:val="single" w:sz="4" w:space="0" w:color="000000"/>
            </w:tcBorders>
          </w:tcPr>
          <w:p w14:paraId="7200DC87" w14:textId="77777777" w:rsidR="00B628FF" w:rsidRDefault="005B2D2F">
            <w:pPr>
              <w:pStyle w:val="Totalrowleftaligned"/>
              <w:keepNext/>
            </w:pPr>
            <w:r>
              <w:t>Total – Payments</w:t>
            </w:r>
          </w:p>
        </w:tc>
        <w:tc>
          <w:tcPr>
            <w:tcW w:w="1043" w:type="dxa"/>
            <w:tcBorders>
              <w:top w:val="single" w:sz="4" w:space="0" w:color="000000"/>
              <w:bottom w:val="single" w:sz="4" w:space="0" w:color="000000"/>
            </w:tcBorders>
          </w:tcPr>
          <w:p w14:paraId="26190AC6" w14:textId="584620EA" w:rsidR="00B628FF" w:rsidRDefault="00B31B37">
            <w:pPr>
              <w:pStyle w:val="Totaldatarowrightaligned"/>
              <w:keepNext/>
            </w:pPr>
            <w:r>
              <w:noBreakHyphen/>
            </w:r>
          </w:p>
        </w:tc>
        <w:tc>
          <w:tcPr>
            <w:tcW w:w="1043" w:type="dxa"/>
            <w:tcBorders>
              <w:top w:val="single" w:sz="4" w:space="0" w:color="000000"/>
              <w:bottom w:val="single" w:sz="4" w:space="0" w:color="000000"/>
            </w:tcBorders>
          </w:tcPr>
          <w:p w14:paraId="29BF1EC7" w14:textId="1047D2BE" w:rsidR="00B628FF" w:rsidRDefault="00B31B37">
            <w:pPr>
              <w:pStyle w:val="Totaldatarowrightaligned"/>
              <w:keepNext/>
            </w:pPr>
            <w:r>
              <w:noBreakHyphen/>
            </w:r>
          </w:p>
        </w:tc>
        <w:tc>
          <w:tcPr>
            <w:tcW w:w="1043" w:type="dxa"/>
            <w:tcBorders>
              <w:top w:val="single" w:sz="4" w:space="0" w:color="000000"/>
              <w:bottom w:val="single" w:sz="4" w:space="0" w:color="000000"/>
            </w:tcBorders>
          </w:tcPr>
          <w:p w14:paraId="240C91C2" w14:textId="159CF50D" w:rsidR="00B628FF" w:rsidRDefault="00B31B37">
            <w:pPr>
              <w:pStyle w:val="Totaldatarowrightaligned"/>
              <w:keepNext/>
            </w:pPr>
            <w:r>
              <w:noBreakHyphen/>
            </w:r>
          </w:p>
        </w:tc>
        <w:tc>
          <w:tcPr>
            <w:tcW w:w="1043" w:type="dxa"/>
            <w:tcBorders>
              <w:top w:val="single" w:sz="4" w:space="0" w:color="000000"/>
              <w:bottom w:val="single" w:sz="4" w:space="0" w:color="000000"/>
            </w:tcBorders>
          </w:tcPr>
          <w:p w14:paraId="114094AC" w14:textId="3F2B2C95" w:rsidR="00B628FF" w:rsidRDefault="00B31B37">
            <w:pPr>
              <w:pStyle w:val="Totaldatarowrightaligned"/>
              <w:keepNext/>
            </w:pPr>
            <w:r>
              <w:noBreakHyphen/>
            </w:r>
          </w:p>
        </w:tc>
        <w:tc>
          <w:tcPr>
            <w:tcW w:w="1043" w:type="dxa"/>
            <w:tcBorders>
              <w:top w:val="single" w:sz="4" w:space="0" w:color="000000"/>
              <w:bottom w:val="single" w:sz="4" w:space="0" w:color="000000"/>
            </w:tcBorders>
          </w:tcPr>
          <w:p w14:paraId="7594521D" w14:textId="78D2C5C0" w:rsidR="00B628FF" w:rsidRDefault="00B31B37">
            <w:pPr>
              <w:pStyle w:val="Totaldatarowrightaligned"/>
              <w:keepNext/>
            </w:pPr>
            <w:r>
              <w:noBreakHyphen/>
            </w:r>
          </w:p>
        </w:tc>
      </w:tr>
    </w:tbl>
    <w:p w14:paraId="017F15B1" w14:textId="77777777" w:rsidR="00B628FF" w:rsidRDefault="00B628FF">
      <w:pPr>
        <w:keepNext/>
        <w:spacing w:line="226" w:lineRule="exact"/>
        <w:rPr>
          <w:sz w:val="16"/>
        </w:rPr>
      </w:pPr>
    </w:p>
    <w:p w14:paraId="036FC7D3" w14:textId="4562E99F" w:rsidR="00B628FF" w:rsidRDefault="005B2D2F">
      <w:pPr>
        <w:pStyle w:val="Normal2"/>
      </w:pPr>
      <w:r w:rsidRPr="53C5BB3A">
        <w:rPr>
          <w:lang w:val="en-US"/>
        </w:rPr>
        <w:t>The Government will provide $407.5 million over four years from 2025–‍26 (and $7.2</w:t>
      </w:r>
      <w:r w:rsidR="003526C2">
        <w:rPr>
          <w:lang w:val="en-US"/>
        </w:rPr>
        <w:t> </w:t>
      </w:r>
      <w:r w:rsidRPr="53C5BB3A">
        <w:rPr>
          <w:lang w:val="en-US"/>
        </w:rPr>
        <w:t>billion from 2029–‍30 to 2035–‍36) to jurisdictions which have signed Better and Fairer Schools Agreement (Full and Fair Funding 2025–‍2034) Bilateral Agreements, including New South Wales, South Australia, Tasmania and the Australian Capital Territory. The agreement sees the Commonwealth increase its share of the Schooling Resource Standard to 25</w:t>
      </w:r>
      <w:r w:rsidR="00AA7784">
        <w:rPr>
          <w:lang w:val="en-US"/>
        </w:rPr>
        <w:t> </w:t>
      </w:r>
      <w:r w:rsidRPr="53C5BB3A">
        <w:rPr>
          <w:lang w:val="en-US"/>
        </w:rPr>
        <w:t>per cent by 2034–‍35, putting schools on a path to full and fair funding.</w:t>
      </w:r>
    </w:p>
    <w:p w14:paraId="3F0EA348" w14:textId="409EF1F2" w:rsidR="00B628FF" w:rsidRDefault="005B2D2F">
      <w:pPr>
        <w:pStyle w:val="Normal2"/>
      </w:pPr>
      <w:r w:rsidRPr="5FA307DC">
        <w:rPr>
          <w:lang w:val="en-US"/>
        </w:rPr>
        <w:t>In exchange, jurisdictions will end their use of the 4</w:t>
      </w:r>
      <w:r w:rsidR="003526C2" w:rsidRPr="5FA307DC">
        <w:rPr>
          <w:lang w:val="en-US"/>
        </w:rPr>
        <w:t> </w:t>
      </w:r>
      <w:r w:rsidRPr="5FA307DC">
        <w:rPr>
          <w:lang w:val="en-US"/>
        </w:rPr>
        <w:t>per cent provision which allowed them to claim things like capital depreciation. Instead, this funding will go to delivering reforms, including small group tutoring to help students who fall behind catch up, the introduction of Year</w:t>
      </w:r>
      <w:r w:rsidR="003526C2" w:rsidRPr="5FA307DC">
        <w:rPr>
          <w:lang w:val="en-US"/>
        </w:rPr>
        <w:t> </w:t>
      </w:r>
      <w:r w:rsidRPr="5FA307DC">
        <w:rPr>
          <w:lang w:val="en-US"/>
        </w:rPr>
        <w:t>1 phonics and early years numeracy checks and more support to attract and retain teachers.</w:t>
      </w:r>
    </w:p>
    <w:p w14:paraId="2F9AC45E" w14:textId="723F0B58" w:rsidR="00B628FF" w:rsidRDefault="005B2D2F">
      <w:pPr>
        <w:pStyle w:val="Normal2"/>
      </w:pPr>
      <w:r w:rsidRPr="5FA307DC">
        <w:rPr>
          <w:lang w:val="en-US"/>
        </w:rPr>
        <w:t xml:space="preserve">Negotiations with jurisdictions who are yet to sign the </w:t>
      </w:r>
      <w:r w:rsidR="00965486" w:rsidRPr="5FA307DC">
        <w:rPr>
          <w:lang w:val="en-US"/>
        </w:rPr>
        <w:t>B</w:t>
      </w:r>
      <w:r w:rsidRPr="5FA307DC">
        <w:rPr>
          <w:lang w:val="en-US"/>
        </w:rPr>
        <w:t xml:space="preserve">ilateral </w:t>
      </w:r>
      <w:r w:rsidR="00965486" w:rsidRPr="5FA307DC">
        <w:rPr>
          <w:lang w:val="en-US"/>
        </w:rPr>
        <w:t>A</w:t>
      </w:r>
      <w:r w:rsidRPr="5FA307DC">
        <w:rPr>
          <w:lang w:val="en-US"/>
        </w:rPr>
        <w:t>greement are continuing, with funding being held in the Contingency Reserve pending finalisation of negotiations.</w:t>
      </w:r>
    </w:p>
    <w:p w14:paraId="5F6C215D" w14:textId="46838001" w:rsidR="00B628FF" w:rsidRDefault="005B2D2F">
      <w:pPr>
        <w:pStyle w:val="Normal2"/>
      </w:pPr>
      <w:r w:rsidRPr="5FA307DC">
        <w:rPr>
          <w:lang w:val="en-US"/>
        </w:rPr>
        <w:t xml:space="preserve">This measure builds on the 2024–‍25 MYEFO measure titled </w:t>
      </w:r>
      <w:r w:rsidRPr="5FA307DC">
        <w:rPr>
          <w:i/>
          <w:iCs/>
          <w:lang w:val="en-US"/>
        </w:rPr>
        <w:t>Better and Fairer Schools Bilateral</w:t>
      </w:r>
      <w:r w:rsidR="00E51240" w:rsidRPr="5FA307DC">
        <w:rPr>
          <w:i/>
          <w:iCs/>
          <w:lang w:val="en-US"/>
        </w:rPr>
        <w:t> </w:t>
      </w:r>
      <w:r w:rsidRPr="5FA307DC">
        <w:rPr>
          <w:i/>
          <w:iCs/>
          <w:lang w:val="en-US"/>
        </w:rPr>
        <w:t>Agreements with Western Australia, Northern Territory, Tasmania and Australian Capital Territory</w:t>
      </w:r>
      <w:r w:rsidRPr="5FA307DC">
        <w:rPr>
          <w:lang w:val="en-US"/>
        </w:rPr>
        <w:t>.</w:t>
      </w:r>
    </w:p>
    <w:p w14:paraId="5248D71C" w14:textId="77777777" w:rsidR="00B628FF" w:rsidRDefault="005B2D2F">
      <w:pPr>
        <w:pStyle w:val="Normal2"/>
      </w:pPr>
      <w:r>
        <w:t>The Government will also provide $11.5 million over four years from 2025–‍26 to support early childhood education and care and improve educational outcomes in Australian schools. Funding includes:</w:t>
      </w:r>
    </w:p>
    <w:p w14:paraId="4F711D58" w14:textId="3C78C8FB" w:rsidR="00B628FF" w:rsidRDefault="005B2D2F">
      <w:pPr>
        <w:pStyle w:val="Bullet"/>
      </w:pPr>
      <w:r>
        <w:t xml:space="preserve">$4.5 million over four years from 2025–‍26 to Services Australia to make system changes to ensure consistency with the passing of recent legislation to implement the Child Care Subsidy </w:t>
      </w:r>
      <w:r w:rsidRPr="006F4E35">
        <w:rPr>
          <w:iCs/>
        </w:rPr>
        <w:t>3 Day Guarantee</w:t>
      </w:r>
      <w:r>
        <w:t xml:space="preserve">. This measure extends the 2024–‍25 MYEFO measure titled </w:t>
      </w:r>
      <w:r w:rsidRPr="005B2D2F">
        <w:rPr>
          <w:i/>
        </w:rPr>
        <w:t>Building Australia</w:t>
      </w:r>
      <w:r w:rsidR="00B31B37">
        <w:rPr>
          <w:i/>
        </w:rPr>
        <w:t>’</w:t>
      </w:r>
      <w:r w:rsidRPr="005B2D2F">
        <w:rPr>
          <w:i/>
        </w:rPr>
        <w:t>s Future – Early Childhood Education and Care Reforms</w:t>
      </w:r>
    </w:p>
    <w:p w14:paraId="417FA072" w14:textId="77777777" w:rsidR="00B628FF" w:rsidRDefault="005B2D2F">
      <w:pPr>
        <w:pStyle w:val="Bullet"/>
      </w:pPr>
      <w:r>
        <w:t>$2.2 million in 2025–‍26 to extend the Australian Academy of Science school Science Technology, Engineering and Mathematics (STEM) programs to boost the confidence and capability of STEM teachers and support students studying STEM</w:t>
      </w:r>
    </w:p>
    <w:p w14:paraId="583B0955" w14:textId="57A12553" w:rsidR="00B628FF" w:rsidRDefault="005B2D2F">
      <w:pPr>
        <w:pStyle w:val="Bullet"/>
      </w:pPr>
      <w:r>
        <w:t xml:space="preserve">$1.5 million in 2025–‍26 to extend the </w:t>
      </w:r>
      <w:r w:rsidRPr="005B2D2F">
        <w:rPr>
          <w:i/>
        </w:rPr>
        <w:t>Let</w:t>
      </w:r>
      <w:r w:rsidR="00B31B37">
        <w:rPr>
          <w:i/>
        </w:rPr>
        <w:t>’</w:t>
      </w:r>
      <w:r w:rsidRPr="005B2D2F">
        <w:rPr>
          <w:i/>
        </w:rPr>
        <w:t xml:space="preserve">s Count </w:t>
      </w:r>
      <w:r>
        <w:t>program, delivered by The Smith Family, to build the capacity of educators and parents to improve the mathematical capabilities of preschool children and support their successful transition to school</w:t>
      </w:r>
    </w:p>
    <w:p w14:paraId="6BE1EC80" w14:textId="77A335B0" w:rsidR="00B628FF" w:rsidRDefault="005B2D2F">
      <w:pPr>
        <w:pStyle w:val="Bullet"/>
      </w:pPr>
      <w:r>
        <w:t xml:space="preserve">$1.2 million in 2025–‍26 to extend the Commonwealth Scientific and Industrial Research Organisation </w:t>
      </w:r>
      <w:r w:rsidRPr="005B2D2F">
        <w:rPr>
          <w:i/>
        </w:rPr>
        <w:t xml:space="preserve">STEM Professionals in Schools </w:t>
      </w:r>
      <w:r>
        <w:t>program to support partnerships between schools and industry by connecting teachers with STEM professionals, and giving schools, teachers and students insights into contemporary experiences and advancements in STEM</w:t>
      </w:r>
    </w:p>
    <w:p w14:paraId="553AD68C" w14:textId="190631C3" w:rsidR="00B628FF" w:rsidRDefault="005B2D2F">
      <w:pPr>
        <w:pStyle w:val="Bullet"/>
      </w:pPr>
      <w:r>
        <w:t xml:space="preserve">$0.9 million in 2025–‍26 to extend the </w:t>
      </w:r>
      <w:r w:rsidRPr="005B2D2F">
        <w:rPr>
          <w:i/>
        </w:rPr>
        <w:t>National Lending Library</w:t>
      </w:r>
      <w:r>
        <w:t>, delivered by the University of Adelaide, to continue access for teachers and schools to digital equipment for students</w:t>
      </w:r>
      <w:r w:rsidR="00B31B37">
        <w:t>’</w:t>
      </w:r>
      <w:r>
        <w:t xml:space="preserve"> digital technology learning and digital literacy</w:t>
      </w:r>
    </w:p>
    <w:p w14:paraId="4D459000" w14:textId="3DD26EAB" w:rsidR="00B628FF" w:rsidRDefault="005B2D2F">
      <w:pPr>
        <w:pStyle w:val="Bullet"/>
      </w:pPr>
      <w:r>
        <w:t xml:space="preserve">$0.7 million in 2025–‍26 to extend the </w:t>
      </w:r>
      <w:r w:rsidRPr="005B2D2F">
        <w:rPr>
          <w:i/>
        </w:rPr>
        <w:t>Little Scientists</w:t>
      </w:r>
      <w:r>
        <w:t xml:space="preserve"> program, delivered by Froebel Australia, to provide professional learning for early childhood educators to improve their confidence and ability to introduce STEM concepts in a fun and engaging way to</w:t>
      </w:r>
      <w:r w:rsidR="00E51240">
        <w:t> </w:t>
      </w:r>
      <w:r>
        <w:t>children</w:t>
      </w:r>
    </w:p>
    <w:p w14:paraId="00B2335C" w14:textId="78963368" w:rsidR="00B628FF" w:rsidRDefault="005B2D2F">
      <w:pPr>
        <w:pStyle w:val="Bullet"/>
      </w:pPr>
      <w:r>
        <w:t xml:space="preserve">$0.7 million in 2025–‍26 to extend the </w:t>
      </w:r>
      <w:r w:rsidRPr="005B2D2F">
        <w:rPr>
          <w:i/>
        </w:rPr>
        <w:t>Curious Minds</w:t>
      </w:r>
      <w:r>
        <w:t xml:space="preserve"> program and continue support for female students</w:t>
      </w:r>
      <w:r w:rsidR="00B31B37">
        <w:t>’</w:t>
      </w:r>
      <w:r>
        <w:t xml:space="preserve"> participation in STEM, especially those whose access is limited by socio‑economic circumstances.</w:t>
      </w:r>
    </w:p>
    <w:p w14:paraId="4F68FE5A" w14:textId="77777777" w:rsidR="00B628FF" w:rsidRDefault="005B2D2F">
      <w:pPr>
        <w:pStyle w:val="Normal2"/>
      </w:pPr>
      <w:r>
        <w:t>The cost of some elements of this measure will be met from within the existing resourcing of the Department of Education and Services Australia.</w:t>
      </w:r>
    </w:p>
    <w:p w14:paraId="09F2A9CD" w14:textId="4FAF93A8" w:rsidR="00B628FF" w:rsidRDefault="005B2D2F">
      <w:pPr>
        <w:pStyle w:val="Normal2"/>
      </w:pPr>
      <w:r w:rsidRPr="5FA307DC">
        <w:rPr>
          <w:lang w:val="en-US"/>
        </w:rPr>
        <w:t>The financial implications for some elements of this measure are not for publication (nfp) because it would prejudice the Commonwealth</w:t>
      </w:r>
      <w:r w:rsidR="00B31B37">
        <w:rPr>
          <w:lang w:val="en-US"/>
        </w:rPr>
        <w:t>’</w:t>
      </w:r>
      <w:r w:rsidRPr="5FA307DC">
        <w:rPr>
          <w:lang w:val="en-US"/>
        </w:rPr>
        <w:t>s negotiations with jurisdictions on funding levels.</w:t>
      </w:r>
    </w:p>
    <w:p w14:paraId="3D68DA04" w14:textId="77777777" w:rsidR="00B628FF" w:rsidRDefault="005B2D2F">
      <w:pPr>
        <w:pStyle w:val="MeasureTitle"/>
      </w:pPr>
      <w:r>
        <w:t>Education – savings</w:t>
      </w:r>
    </w:p>
    <w:p w14:paraId="7A809C4C" w14:textId="77777777" w:rsidR="00B628FF" w:rsidRDefault="005B2D2F">
      <w:pPr>
        <w:pStyle w:val="MeasureTableHeading"/>
      </w:pPr>
      <w:r>
        <w:t>Payments ($m)</w:t>
      </w:r>
    </w:p>
    <w:tbl>
      <w:tblPr>
        <w:tblOverlap w:val="never"/>
        <w:tblW w:w="7721" w:type="dxa"/>
        <w:tblBorders>
          <w:top w:val="single" w:sz="4" w:space="0" w:color="000000"/>
          <w:bottom w:val="single" w:sz="4" w:space="0" w:color="000000"/>
        </w:tblBorders>
        <w:tblLayout w:type="fixed"/>
        <w:tblLook w:val="04A0" w:firstRow="1" w:lastRow="0" w:firstColumn="1" w:lastColumn="0" w:noHBand="0" w:noVBand="1"/>
      </w:tblPr>
      <w:tblGrid>
        <w:gridCol w:w="2501"/>
        <w:gridCol w:w="1044"/>
        <w:gridCol w:w="1044"/>
        <w:gridCol w:w="1044"/>
        <w:gridCol w:w="1044"/>
        <w:gridCol w:w="1044"/>
      </w:tblGrid>
      <w:tr w:rsidR="00B628FF" w14:paraId="11BCA25D" w14:textId="77777777">
        <w:trPr>
          <w:cantSplit/>
        </w:trPr>
        <w:tc>
          <w:tcPr>
            <w:tcW w:w="2500" w:type="dxa"/>
            <w:tcBorders>
              <w:top w:val="single" w:sz="4" w:space="0" w:color="000000"/>
              <w:bottom w:val="single" w:sz="4" w:space="0" w:color="000000"/>
            </w:tcBorders>
          </w:tcPr>
          <w:p w14:paraId="32F90F70" w14:textId="77777777" w:rsidR="00B628FF" w:rsidRDefault="00B628FF">
            <w:pPr>
              <w:pStyle w:val="MeasureTableYearHeadings"/>
              <w:keepNext/>
            </w:pPr>
          </w:p>
        </w:tc>
        <w:tc>
          <w:tcPr>
            <w:tcW w:w="1043" w:type="dxa"/>
            <w:tcBorders>
              <w:top w:val="single" w:sz="4" w:space="0" w:color="000000"/>
              <w:bottom w:val="single" w:sz="4" w:space="0" w:color="000000"/>
            </w:tcBorders>
          </w:tcPr>
          <w:p w14:paraId="17D21109" w14:textId="1EE03388" w:rsidR="00B628FF" w:rsidRDefault="005B2D2F">
            <w:pPr>
              <w:pStyle w:val="MeasureTableYearHeadings"/>
              <w:keepNext/>
            </w:pPr>
            <w:r>
              <w:t>2024</w:t>
            </w:r>
            <w:r w:rsidR="00B31B37">
              <w:noBreakHyphen/>
            </w:r>
            <w:r>
              <w:t>25</w:t>
            </w:r>
          </w:p>
        </w:tc>
        <w:tc>
          <w:tcPr>
            <w:tcW w:w="1043" w:type="dxa"/>
            <w:tcBorders>
              <w:top w:val="single" w:sz="4" w:space="0" w:color="000000"/>
              <w:bottom w:val="single" w:sz="4" w:space="0" w:color="000000"/>
            </w:tcBorders>
          </w:tcPr>
          <w:p w14:paraId="70E43579" w14:textId="303E9A40" w:rsidR="00B628FF" w:rsidRDefault="005B2D2F">
            <w:pPr>
              <w:pStyle w:val="MeasureTableYearHeadings"/>
              <w:keepNext/>
            </w:pPr>
            <w:r>
              <w:t>2025</w:t>
            </w:r>
            <w:r w:rsidR="00B31B37">
              <w:noBreakHyphen/>
            </w:r>
            <w:r>
              <w:t>26</w:t>
            </w:r>
          </w:p>
        </w:tc>
        <w:tc>
          <w:tcPr>
            <w:tcW w:w="1043" w:type="dxa"/>
            <w:tcBorders>
              <w:top w:val="single" w:sz="4" w:space="0" w:color="000000"/>
              <w:bottom w:val="single" w:sz="4" w:space="0" w:color="000000"/>
            </w:tcBorders>
          </w:tcPr>
          <w:p w14:paraId="7DE44D6D" w14:textId="4166CE1C" w:rsidR="00B628FF" w:rsidRDefault="005B2D2F">
            <w:pPr>
              <w:pStyle w:val="MeasureTableYearHeadings"/>
              <w:keepNext/>
            </w:pPr>
            <w:r>
              <w:t>2026</w:t>
            </w:r>
            <w:r w:rsidR="00B31B37">
              <w:noBreakHyphen/>
            </w:r>
            <w:r>
              <w:t>27</w:t>
            </w:r>
          </w:p>
        </w:tc>
        <w:tc>
          <w:tcPr>
            <w:tcW w:w="1043" w:type="dxa"/>
            <w:tcBorders>
              <w:top w:val="single" w:sz="4" w:space="0" w:color="000000"/>
              <w:bottom w:val="single" w:sz="4" w:space="0" w:color="000000"/>
            </w:tcBorders>
          </w:tcPr>
          <w:p w14:paraId="3A7B5325" w14:textId="6C4142D3" w:rsidR="00B628FF" w:rsidRDefault="005B2D2F">
            <w:pPr>
              <w:pStyle w:val="MeasureTableYearHeadings"/>
              <w:keepNext/>
            </w:pPr>
            <w:r>
              <w:t>2027</w:t>
            </w:r>
            <w:r w:rsidR="00B31B37">
              <w:noBreakHyphen/>
            </w:r>
            <w:r>
              <w:t>28</w:t>
            </w:r>
          </w:p>
        </w:tc>
        <w:tc>
          <w:tcPr>
            <w:tcW w:w="1043" w:type="dxa"/>
            <w:tcBorders>
              <w:top w:val="single" w:sz="4" w:space="0" w:color="000000"/>
              <w:bottom w:val="single" w:sz="4" w:space="0" w:color="000000"/>
            </w:tcBorders>
          </w:tcPr>
          <w:p w14:paraId="283198B8" w14:textId="0391A989" w:rsidR="00B628FF" w:rsidRDefault="005B2D2F">
            <w:pPr>
              <w:pStyle w:val="MeasureTableYearHeadings"/>
              <w:keepNext/>
            </w:pPr>
            <w:r>
              <w:t>2028</w:t>
            </w:r>
            <w:r w:rsidR="00B31B37">
              <w:noBreakHyphen/>
            </w:r>
            <w:r>
              <w:t>29</w:t>
            </w:r>
          </w:p>
        </w:tc>
      </w:tr>
      <w:tr w:rsidR="00B628FF" w14:paraId="5022106C" w14:textId="77777777">
        <w:trPr>
          <w:cantSplit/>
        </w:trPr>
        <w:tc>
          <w:tcPr>
            <w:tcW w:w="2500" w:type="dxa"/>
            <w:tcBorders>
              <w:top w:val="single" w:sz="4" w:space="0" w:color="000000"/>
              <w:bottom w:val="single" w:sz="4" w:space="0" w:color="000000"/>
            </w:tcBorders>
          </w:tcPr>
          <w:p w14:paraId="0CAD8342" w14:textId="77777777" w:rsidR="00B628FF" w:rsidRDefault="005B2D2F">
            <w:pPr>
              <w:pStyle w:val="MeasureTableHeadingleftalignedwith2ptsspacing"/>
              <w:keepNext/>
            </w:pPr>
            <w:r>
              <w:t>Department of Education</w:t>
            </w:r>
          </w:p>
        </w:tc>
        <w:tc>
          <w:tcPr>
            <w:tcW w:w="1043" w:type="dxa"/>
            <w:tcBorders>
              <w:top w:val="single" w:sz="4" w:space="0" w:color="000000"/>
              <w:bottom w:val="single" w:sz="4" w:space="0" w:color="000000"/>
            </w:tcBorders>
          </w:tcPr>
          <w:p w14:paraId="77913AAA" w14:textId="52F94377" w:rsidR="00B628FF" w:rsidRDefault="00B31B37">
            <w:pPr>
              <w:pStyle w:val="MeasureTableDataRightAlignedwith2ptsspacing"/>
              <w:keepNext/>
            </w:pPr>
            <w:r>
              <w:noBreakHyphen/>
            </w:r>
            <w:r w:rsidR="005B2D2F">
              <w:t>4.5</w:t>
            </w:r>
          </w:p>
        </w:tc>
        <w:tc>
          <w:tcPr>
            <w:tcW w:w="1043" w:type="dxa"/>
            <w:tcBorders>
              <w:top w:val="single" w:sz="4" w:space="0" w:color="000000"/>
              <w:bottom w:val="single" w:sz="4" w:space="0" w:color="000000"/>
            </w:tcBorders>
          </w:tcPr>
          <w:p w14:paraId="198474BC" w14:textId="77777777" w:rsidR="00B628FF" w:rsidRDefault="005B2D2F">
            <w:pPr>
              <w:pStyle w:val="MeasureTableDataRightAlignedwith2ptsspacing"/>
              <w:keepNext/>
            </w:pPr>
            <w:r>
              <w:t>1.5</w:t>
            </w:r>
          </w:p>
        </w:tc>
        <w:tc>
          <w:tcPr>
            <w:tcW w:w="1043" w:type="dxa"/>
            <w:tcBorders>
              <w:top w:val="single" w:sz="4" w:space="0" w:color="000000"/>
              <w:bottom w:val="single" w:sz="4" w:space="0" w:color="000000"/>
            </w:tcBorders>
          </w:tcPr>
          <w:p w14:paraId="097F1635" w14:textId="2ADD636A"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6B83B4C9" w14:textId="2B31BEFC"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36BB7270" w14:textId="6438091C" w:rsidR="00B628FF" w:rsidRDefault="00B31B37">
            <w:pPr>
              <w:pStyle w:val="MeasureTableDataRightAlignedwith2ptsspacing"/>
              <w:keepNext/>
            </w:pPr>
            <w:r>
              <w:noBreakHyphen/>
            </w:r>
          </w:p>
        </w:tc>
      </w:tr>
    </w:tbl>
    <w:p w14:paraId="45DCE1FD" w14:textId="77777777" w:rsidR="00B628FF" w:rsidRDefault="00B628FF">
      <w:pPr>
        <w:keepNext/>
        <w:spacing w:line="226" w:lineRule="exact"/>
        <w:rPr>
          <w:sz w:val="16"/>
        </w:rPr>
      </w:pPr>
    </w:p>
    <w:p w14:paraId="45D6902F" w14:textId="77777777" w:rsidR="00B628FF" w:rsidRDefault="005B2D2F">
      <w:pPr>
        <w:pStyle w:val="Normal2"/>
      </w:pPr>
      <w:r>
        <w:t xml:space="preserve">The Government will achieve savings of $3.0 million over two years from 2024–‍25 by reallocating funding from the </w:t>
      </w:r>
      <w:r w:rsidRPr="005B2D2F">
        <w:rPr>
          <w:i/>
        </w:rPr>
        <w:t xml:space="preserve">International Education Support </w:t>
      </w:r>
      <w:r>
        <w:t>program.</w:t>
      </w:r>
    </w:p>
    <w:p w14:paraId="53663CC8" w14:textId="1A1BBF74" w:rsidR="00A46324" w:rsidRDefault="005B2D2F">
      <w:pPr>
        <w:pStyle w:val="Normal2"/>
      </w:pPr>
      <w:r>
        <w:t>The savings from this measure will be redirected to other Government policy priorities in the Education portfolio.</w:t>
      </w:r>
    </w:p>
    <w:p w14:paraId="358C8881" w14:textId="77777777" w:rsidR="00A46324" w:rsidRDefault="00A46324">
      <w:pPr>
        <w:autoSpaceDE/>
        <w:autoSpaceDN/>
        <w:adjustRightInd/>
        <w:rPr>
          <w:rFonts w:ascii="Book Antiqua" w:hAnsi="Book Antiqua" w:cs="Times New Roman"/>
          <w:sz w:val="19"/>
          <w:lang w:val="en-AU"/>
        </w:rPr>
      </w:pPr>
      <w:r>
        <w:br w:type="page"/>
      </w:r>
    </w:p>
    <w:p w14:paraId="1436991A" w14:textId="77777777" w:rsidR="00B628FF" w:rsidRDefault="005B2D2F">
      <w:pPr>
        <w:pStyle w:val="MeasureTitle"/>
      </w:pPr>
      <w:r>
        <w:t>Establishment of Additional University Study Hubs</w:t>
      </w:r>
    </w:p>
    <w:p w14:paraId="0D9C4920" w14:textId="77777777" w:rsidR="00B628FF" w:rsidRDefault="005B2D2F">
      <w:pPr>
        <w:pStyle w:val="MeasureTableHeading"/>
      </w:pPr>
      <w:r>
        <w:t>Payments ($m)</w:t>
      </w:r>
    </w:p>
    <w:tbl>
      <w:tblPr>
        <w:tblOverlap w:val="never"/>
        <w:tblW w:w="7721" w:type="dxa"/>
        <w:tblBorders>
          <w:top w:val="single" w:sz="4" w:space="0" w:color="000000"/>
          <w:bottom w:val="single" w:sz="4" w:space="0" w:color="000000"/>
        </w:tblBorders>
        <w:tblLayout w:type="fixed"/>
        <w:tblLook w:val="04A0" w:firstRow="1" w:lastRow="0" w:firstColumn="1" w:lastColumn="0" w:noHBand="0" w:noVBand="1"/>
      </w:tblPr>
      <w:tblGrid>
        <w:gridCol w:w="2501"/>
        <w:gridCol w:w="1044"/>
        <w:gridCol w:w="1044"/>
        <w:gridCol w:w="1044"/>
        <w:gridCol w:w="1044"/>
        <w:gridCol w:w="1044"/>
      </w:tblGrid>
      <w:tr w:rsidR="00B628FF" w14:paraId="5B25F8DA" w14:textId="77777777">
        <w:trPr>
          <w:cantSplit/>
        </w:trPr>
        <w:tc>
          <w:tcPr>
            <w:tcW w:w="2500" w:type="dxa"/>
            <w:tcBorders>
              <w:top w:val="single" w:sz="4" w:space="0" w:color="000000"/>
              <w:bottom w:val="single" w:sz="4" w:space="0" w:color="000000"/>
            </w:tcBorders>
          </w:tcPr>
          <w:p w14:paraId="3FADF976" w14:textId="77777777" w:rsidR="00B628FF" w:rsidRDefault="00B628FF">
            <w:pPr>
              <w:pStyle w:val="MeasureTableYearHeadings"/>
              <w:keepNext/>
            </w:pPr>
          </w:p>
        </w:tc>
        <w:tc>
          <w:tcPr>
            <w:tcW w:w="1043" w:type="dxa"/>
            <w:tcBorders>
              <w:top w:val="single" w:sz="4" w:space="0" w:color="000000"/>
              <w:bottom w:val="single" w:sz="4" w:space="0" w:color="000000"/>
            </w:tcBorders>
          </w:tcPr>
          <w:p w14:paraId="1047FD7C" w14:textId="41A1641C" w:rsidR="00B628FF" w:rsidRDefault="005B2D2F">
            <w:pPr>
              <w:pStyle w:val="MeasureTableYearHeadings"/>
              <w:keepNext/>
            </w:pPr>
            <w:r>
              <w:t>2024</w:t>
            </w:r>
            <w:r w:rsidR="00B31B37">
              <w:noBreakHyphen/>
            </w:r>
            <w:r>
              <w:t>25</w:t>
            </w:r>
          </w:p>
        </w:tc>
        <w:tc>
          <w:tcPr>
            <w:tcW w:w="1043" w:type="dxa"/>
            <w:tcBorders>
              <w:top w:val="single" w:sz="4" w:space="0" w:color="000000"/>
              <w:bottom w:val="single" w:sz="4" w:space="0" w:color="000000"/>
            </w:tcBorders>
          </w:tcPr>
          <w:p w14:paraId="34D43AD1" w14:textId="42F6C03C" w:rsidR="00B628FF" w:rsidRDefault="005B2D2F">
            <w:pPr>
              <w:pStyle w:val="MeasureTableYearHeadings"/>
              <w:keepNext/>
            </w:pPr>
            <w:r>
              <w:t>2025</w:t>
            </w:r>
            <w:r w:rsidR="00B31B37">
              <w:noBreakHyphen/>
            </w:r>
            <w:r>
              <w:t>26</w:t>
            </w:r>
          </w:p>
        </w:tc>
        <w:tc>
          <w:tcPr>
            <w:tcW w:w="1043" w:type="dxa"/>
            <w:tcBorders>
              <w:top w:val="single" w:sz="4" w:space="0" w:color="000000"/>
              <w:bottom w:val="single" w:sz="4" w:space="0" w:color="000000"/>
            </w:tcBorders>
          </w:tcPr>
          <w:p w14:paraId="4CE12351" w14:textId="30CB6AC2" w:rsidR="00B628FF" w:rsidRDefault="005B2D2F">
            <w:pPr>
              <w:pStyle w:val="MeasureTableYearHeadings"/>
              <w:keepNext/>
            </w:pPr>
            <w:r>
              <w:t>2026</w:t>
            </w:r>
            <w:r w:rsidR="00B31B37">
              <w:noBreakHyphen/>
            </w:r>
            <w:r>
              <w:t>27</w:t>
            </w:r>
          </w:p>
        </w:tc>
        <w:tc>
          <w:tcPr>
            <w:tcW w:w="1043" w:type="dxa"/>
            <w:tcBorders>
              <w:top w:val="single" w:sz="4" w:space="0" w:color="000000"/>
              <w:bottom w:val="single" w:sz="4" w:space="0" w:color="000000"/>
            </w:tcBorders>
          </w:tcPr>
          <w:p w14:paraId="7414A786" w14:textId="41FE3182" w:rsidR="00B628FF" w:rsidRDefault="005B2D2F">
            <w:pPr>
              <w:pStyle w:val="MeasureTableYearHeadings"/>
              <w:keepNext/>
            </w:pPr>
            <w:r>
              <w:t>2027</w:t>
            </w:r>
            <w:r w:rsidR="00B31B37">
              <w:noBreakHyphen/>
            </w:r>
            <w:r>
              <w:t>28</w:t>
            </w:r>
          </w:p>
        </w:tc>
        <w:tc>
          <w:tcPr>
            <w:tcW w:w="1043" w:type="dxa"/>
            <w:tcBorders>
              <w:top w:val="single" w:sz="4" w:space="0" w:color="000000"/>
              <w:bottom w:val="single" w:sz="4" w:space="0" w:color="000000"/>
            </w:tcBorders>
          </w:tcPr>
          <w:p w14:paraId="576BBC5C" w14:textId="4B8F9EF6" w:rsidR="00B628FF" w:rsidRDefault="005B2D2F">
            <w:pPr>
              <w:pStyle w:val="MeasureTableYearHeadings"/>
              <w:keepNext/>
            </w:pPr>
            <w:r>
              <w:t>2028</w:t>
            </w:r>
            <w:r w:rsidR="00B31B37">
              <w:noBreakHyphen/>
            </w:r>
            <w:r>
              <w:t>29</w:t>
            </w:r>
          </w:p>
        </w:tc>
      </w:tr>
      <w:tr w:rsidR="00B628FF" w14:paraId="6D3EB0DF" w14:textId="77777777">
        <w:trPr>
          <w:cantSplit/>
        </w:trPr>
        <w:tc>
          <w:tcPr>
            <w:tcW w:w="2500" w:type="dxa"/>
            <w:tcBorders>
              <w:top w:val="single" w:sz="4" w:space="0" w:color="000000"/>
              <w:bottom w:val="single" w:sz="4" w:space="0" w:color="000000"/>
            </w:tcBorders>
          </w:tcPr>
          <w:p w14:paraId="5AC89E75" w14:textId="77777777" w:rsidR="00B628FF" w:rsidRDefault="005B2D2F">
            <w:pPr>
              <w:pStyle w:val="MeasureTableHeadingleftalignedwith2ptsspacing"/>
              <w:keepNext/>
            </w:pPr>
            <w:r>
              <w:t>Department of Education</w:t>
            </w:r>
          </w:p>
        </w:tc>
        <w:tc>
          <w:tcPr>
            <w:tcW w:w="1043" w:type="dxa"/>
            <w:tcBorders>
              <w:top w:val="single" w:sz="4" w:space="0" w:color="000000"/>
              <w:bottom w:val="single" w:sz="4" w:space="0" w:color="000000"/>
            </w:tcBorders>
          </w:tcPr>
          <w:p w14:paraId="5D73D17C" w14:textId="1A1EF2C8"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3F3859DD" w14:textId="3BFB9AE4"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6FDC48A0" w14:textId="322E1108"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70DB1E0E" w14:textId="1A7120D5"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211CE9B6" w14:textId="4293BA5C" w:rsidR="00B628FF" w:rsidRDefault="00B31B37">
            <w:pPr>
              <w:pStyle w:val="MeasureTableDataRightAlignedwith2ptsspacing"/>
              <w:keepNext/>
            </w:pPr>
            <w:r>
              <w:noBreakHyphen/>
            </w:r>
          </w:p>
        </w:tc>
      </w:tr>
    </w:tbl>
    <w:p w14:paraId="19145F56" w14:textId="77777777" w:rsidR="00B628FF" w:rsidRDefault="00B628FF">
      <w:pPr>
        <w:keepNext/>
        <w:spacing w:line="226" w:lineRule="exact"/>
        <w:rPr>
          <w:sz w:val="16"/>
        </w:rPr>
      </w:pPr>
    </w:p>
    <w:p w14:paraId="3D9A37B1" w14:textId="77777777" w:rsidR="00B628FF" w:rsidRDefault="005B2D2F">
      <w:pPr>
        <w:pStyle w:val="Normal2"/>
      </w:pPr>
      <w:r w:rsidRPr="5FA307DC">
        <w:rPr>
          <w:lang w:val="en-US"/>
        </w:rPr>
        <w:t>The Government will provide funding to establish additional University Study Hubs above the previously committed 20 Regional University Study Hubs and 14 Suburban University Study Hubs.</w:t>
      </w:r>
    </w:p>
    <w:p w14:paraId="605745C9" w14:textId="77777777" w:rsidR="00B628FF" w:rsidRDefault="005B2D2F">
      <w:pPr>
        <w:pStyle w:val="Normal2"/>
      </w:pPr>
      <w:r w:rsidRPr="5FA307DC">
        <w:rPr>
          <w:lang w:val="en-US"/>
        </w:rPr>
        <w:t>The Government will also continue to maintain the MicroCred Seeker website until the end of 2025 to provide continuity of service to students and education providers.</w:t>
      </w:r>
    </w:p>
    <w:p w14:paraId="0F1D0A9C" w14:textId="714DBFCD" w:rsidR="00B628FF" w:rsidRDefault="005B2D2F">
      <w:pPr>
        <w:pStyle w:val="Normal2"/>
      </w:pPr>
      <w:r w:rsidRPr="5FA307DC">
        <w:rPr>
          <w:lang w:val="en-US"/>
        </w:rPr>
        <w:t>The cost of this measure will be met from within the existing resourcing of the Department</w:t>
      </w:r>
      <w:r w:rsidR="009D2B24">
        <w:rPr>
          <w:lang w:val="en-US"/>
        </w:rPr>
        <w:t> </w:t>
      </w:r>
      <w:r w:rsidRPr="5FA307DC">
        <w:rPr>
          <w:lang w:val="en-US"/>
        </w:rPr>
        <w:t>of Education.</w:t>
      </w:r>
    </w:p>
    <w:p w14:paraId="682CCD4C" w14:textId="77777777" w:rsidR="00B628FF" w:rsidRDefault="005B2D2F">
      <w:pPr>
        <w:pStyle w:val="Normal2"/>
      </w:pPr>
      <w:r w:rsidRPr="5FA307DC">
        <w:rPr>
          <w:lang w:val="en-US"/>
        </w:rPr>
        <w:t xml:space="preserve">This measure builds on the 2023–‍24 MYEFO measure titled </w:t>
      </w:r>
      <w:r w:rsidRPr="5FA307DC">
        <w:rPr>
          <w:i/>
          <w:iCs/>
          <w:lang w:val="en-US"/>
        </w:rPr>
        <w:t>Australian Universities Accord Interim Report – initial response</w:t>
      </w:r>
      <w:r w:rsidRPr="5FA307DC">
        <w:rPr>
          <w:lang w:val="en-US"/>
        </w:rPr>
        <w:t>.</w:t>
      </w:r>
    </w:p>
    <w:p w14:paraId="19CCD984" w14:textId="77777777" w:rsidR="00B628FF" w:rsidRDefault="00B628FF">
      <w:pPr>
        <w:sectPr w:rsidR="00B628FF" w:rsidSect="00A06F82">
          <w:headerReference w:type="even" r:id="rId63"/>
          <w:headerReference w:type="default" r:id="rId64"/>
          <w:footerReference w:type="even" r:id="rId65"/>
          <w:footerReference w:type="default" r:id="rId66"/>
          <w:headerReference w:type="first" r:id="rId67"/>
          <w:footerReference w:type="first" r:id="rId68"/>
          <w:pgSz w:w="11906" w:h="16838"/>
          <w:pgMar w:top="2835" w:right="2098" w:bottom="2466" w:left="2098" w:header="1814" w:footer="1814" w:gutter="0"/>
          <w:cols w:space="720"/>
          <w:docGrid w:linePitch="272"/>
        </w:sectPr>
      </w:pPr>
    </w:p>
    <w:p w14:paraId="62C16EEC" w14:textId="77777777" w:rsidR="00B628FF" w:rsidRDefault="005B2D2F">
      <w:pPr>
        <w:pStyle w:val="PortfolioName"/>
      </w:pPr>
      <w:r>
        <w:t>Employment and Workplace Relations</w:t>
      </w:r>
    </w:p>
    <w:p w14:paraId="31C94900" w14:textId="77777777" w:rsidR="00B628FF" w:rsidRDefault="005B2D2F">
      <w:pPr>
        <w:pStyle w:val="MeasureTitle"/>
      </w:pPr>
      <w:r>
        <w:t>Addressing Integrity Risks</w:t>
      </w:r>
    </w:p>
    <w:p w14:paraId="120242BE" w14:textId="77777777" w:rsidR="00B628FF" w:rsidRDefault="005B2D2F">
      <w:pPr>
        <w:pStyle w:val="MeasureTableHeading"/>
      </w:pPr>
      <w:r>
        <w:t>Payments ($m)</w:t>
      </w:r>
    </w:p>
    <w:tbl>
      <w:tblPr>
        <w:tblOverlap w:val="never"/>
        <w:tblW w:w="7721" w:type="dxa"/>
        <w:tblBorders>
          <w:top w:val="single" w:sz="4" w:space="0" w:color="000000"/>
          <w:bottom w:val="single" w:sz="4" w:space="0" w:color="000000"/>
        </w:tblBorders>
        <w:tblLayout w:type="fixed"/>
        <w:tblLook w:val="04A0" w:firstRow="1" w:lastRow="0" w:firstColumn="1" w:lastColumn="0" w:noHBand="0" w:noVBand="1"/>
      </w:tblPr>
      <w:tblGrid>
        <w:gridCol w:w="2501"/>
        <w:gridCol w:w="1044"/>
        <w:gridCol w:w="1044"/>
        <w:gridCol w:w="1044"/>
        <w:gridCol w:w="1044"/>
        <w:gridCol w:w="1044"/>
      </w:tblGrid>
      <w:tr w:rsidR="00B628FF" w14:paraId="5FBE8DE6" w14:textId="77777777">
        <w:trPr>
          <w:cantSplit/>
        </w:trPr>
        <w:tc>
          <w:tcPr>
            <w:tcW w:w="2500" w:type="dxa"/>
            <w:tcBorders>
              <w:top w:val="single" w:sz="4" w:space="0" w:color="000000"/>
              <w:bottom w:val="single" w:sz="4" w:space="0" w:color="000000"/>
            </w:tcBorders>
          </w:tcPr>
          <w:p w14:paraId="7BC74045" w14:textId="77777777" w:rsidR="00B628FF" w:rsidRDefault="00B628FF">
            <w:pPr>
              <w:pStyle w:val="MeasureTableYearHeadings"/>
              <w:keepNext/>
            </w:pPr>
          </w:p>
        </w:tc>
        <w:tc>
          <w:tcPr>
            <w:tcW w:w="1043" w:type="dxa"/>
            <w:tcBorders>
              <w:top w:val="single" w:sz="4" w:space="0" w:color="000000"/>
              <w:bottom w:val="single" w:sz="4" w:space="0" w:color="000000"/>
            </w:tcBorders>
          </w:tcPr>
          <w:p w14:paraId="25F9A1B0" w14:textId="022BA0AA" w:rsidR="00B628FF" w:rsidRDefault="005B2D2F">
            <w:pPr>
              <w:pStyle w:val="MeasureTableYearHeadings"/>
              <w:keepNext/>
            </w:pPr>
            <w:r>
              <w:t>2024</w:t>
            </w:r>
            <w:r w:rsidR="00B31B37">
              <w:noBreakHyphen/>
            </w:r>
            <w:r>
              <w:t>25</w:t>
            </w:r>
          </w:p>
        </w:tc>
        <w:tc>
          <w:tcPr>
            <w:tcW w:w="1043" w:type="dxa"/>
            <w:tcBorders>
              <w:top w:val="single" w:sz="4" w:space="0" w:color="000000"/>
              <w:bottom w:val="single" w:sz="4" w:space="0" w:color="000000"/>
            </w:tcBorders>
          </w:tcPr>
          <w:p w14:paraId="74BC91E9" w14:textId="6B3F5143" w:rsidR="00B628FF" w:rsidRDefault="005B2D2F">
            <w:pPr>
              <w:pStyle w:val="MeasureTableYearHeadings"/>
              <w:keepNext/>
            </w:pPr>
            <w:r>
              <w:t>2025</w:t>
            </w:r>
            <w:r w:rsidR="00B31B37">
              <w:noBreakHyphen/>
            </w:r>
            <w:r>
              <w:t>26</w:t>
            </w:r>
          </w:p>
        </w:tc>
        <w:tc>
          <w:tcPr>
            <w:tcW w:w="1043" w:type="dxa"/>
            <w:tcBorders>
              <w:top w:val="single" w:sz="4" w:space="0" w:color="000000"/>
              <w:bottom w:val="single" w:sz="4" w:space="0" w:color="000000"/>
            </w:tcBorders>
          </w:tcPr>
          <w:p w14:paraId="01368199" w14:textId="3FE1C848" w:rsidR="00B628FF" w:rsidRDefault="005B2D2F">
            <w:pPr>
              <w:pStyle w:val="MeasureTableYearHeadings"/>
              <w:keepNext/>
            </w:pPr>
            <w:r>
              <w:t>2026</w:t>
            </w:r>
            <w:r w:rsidR="00B31B37">
              <w:noBreakHyphen/>
            </w:r>
            <w:r>
              <w:t>27</w:t>
            </w:r>
          </w:p>
        </w:tc>
        <w:tc>
          <w:tcPr>
            <w:tcW w:w="1043" w:type="dxa"/>
            <w:tcBorders>
              <w:top w:val="single" w:sz="4" w:space="0" w:color="000000"/>
              <w:bottom w:val="single" w:sz="4" w:space="0" w:color="000000"/>
            </w:tcBorders>
          </w:tcPr>
          <w:p w14:paraId="23167811" w14:textId="0553CE0A" w:rsidR="00B628FF" w:rsidRDefault="005B2D2F">
            <w:pPr>
              <w:pStyle w:val="MeasureTableYearHeadings"/>
              <w:keepNext/>
            </w:pPr>
            <w:r>
              <w:t>2027</w:t>
            </w:r>
            <w:r w:rsidR="00B31B37">
              <w:noBreakHyphen/>
            </w:r>
            <w:r>
              <w:t>28</w:t>
            </w:r>
          </w:p>
        </w:tc>
        <w:tc>
          <w:tcPr>
            <w:tcW w:w="1043" w:type="dxa"/>
            <w:tcBorders>
              <w:top w:val="single" w:sz="4" w:space="0" w:color="000000"/>
              <w:bottom w:val="single" w:sz="4" w:space="0" w:color="000000"/>
            </w:tcBorders>
          </w:tcPr>
          <w:p w14:paraId="3008E178" w14:textId="483BA509" w:rsidR="00B628FF" w:rsidRDefault="005B2D2F">
            <w:pPr>
              <w:pStyle w:val="MeasureTableYearHeadings"/>
              <w:keepNext/>
            </w:pPr>
            <w:r>
              <w:t>2028</w:t>
            </w:r>
            <w:r w:rsidR="00B31B37">
              <w:noBreakHyphen/>
            </w:r>
            <w:r>
              <w:t>29</w:t>
            </w:r>
          </w:p>
        </w:tc>
      </w:tr>
      <w:tr w:rsidR="00B628FF" w14:paraId="3D67C5FE" w14:textId="77777777">
        <w:trPr>
          <w:cantSplit/>
        </w:trPr>
        <w:tc>
          <w:tcPr>
            <w:tcW w:w="2500" w:type="dxa"/>
            <w:tcBorders>
              <w:top w:val="single" w:sz="4" w:space="0" w:color="000000"/>
              <w:bottom w:val="single" w:sz="4" w:space="0" w:color="000000"/>
            </w:tcBorders>
          </w:tcPr>
          <w:p w14:paraId="2C5695D2" w14:textId="77777777" w:rsidR="00B628FF" w:rsidRDefault="005B2D2F">
            <w:pPr>
              <w:pStyle w:val="MeasureTableHeadingleftalignedwith2ptsspacing"/>
              <w:keepNext/>
            </w:pPr>
            <w:r>
              <w:t>Australian Skills Quality Authority</w:t>
            </w:r>
          </w:p>
        </w:tc>
        <w:tc>
          <w:tcPr>
            <w:tcW w:w="1043" w:type="dxa"/>
            <w:tcBorders>
              <w:top w:val="single" w:sz="4" w:space="0" w:color="000000"/>
              <w:bottom w:val="single" w:sz="4" w:space="0" w:color="000000"/>
            </w:tcBorders>
          </w:tcPr>
          <w:p w14:paraId="10BE729B" w14:textId="67C6FCF1"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753F6B90" w14:textId="77777777" w:rsidR="00B628FF" w:rsidRDefault="005B2D2F">
            <w:pPr>
              <w:pStyle w:val="MeasureTableDataRightAlignedwith2ptsspacing"/>
              <w:keepNext/>
            </w:pPr>
            <w:r>
              <w:t>4.7</w:t>
            </w:r>
          </w:p>
        </w:tc>
        <w:tc>
          <w:tcPr>
            <w:tcW w:w="1043" w:type="dxa"/>
            <w:tcBorders>
              <w:top w:val="single" w:sz="4" w:space="0" w:color="000000"/>
              <w:bottom w:val="single" w:sz="4" w:space="0" w:color="000000"/>
            </w:tcBorders>
          </w:tcPr>
          <w:p w14:paraId="1D0E698D" w14:textId="2B8BFA53"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4CF411FA" w14:textId="400B4F77"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4A626FCC" w14:textId="185747B6" w:rsidR="00B628FF" w:rsidRDefault="00B31B37">
            <w:pPr>
              <w:pStyle w:val="MeasureTableDataRightAlignedwith2ptsspacing"/>
              <w:keepNext/>
            </w:pPr>
            <w:r>
              <w:noBreakHyphen/>
            </w:r>
          </w:p>
        </w:tc>
      </w:tr>
      <w:tr w:rsidR="00B628FF" w14:paraId="5BA1532F" w14:textId="77777777">
        <w:trPr>
          <w:cantSplit/>
        </w:trPr>
        <w:tc>
          <w:tcPr>
            <w:tcW w:w="2500" w:type="dxa"/>
            <w:tcBorders>
              <w:top w:val="single" w:sz="4" w:space="0" w:color="000000"/>
              <w:bottom w:val="single" w:sz="4" w:space="0" w:color="000000"/>
            </w:tcBorders>
          </w:tcPr>
          <w:p w14:paraId="512375CB" w14:textId="77777777" w:rsidR="00B628FF" w:rsidRDefault="005B2D2F">
            <w:pPr>
              <w:pStyle w:val="MeasureTableHeadingleftalignedwith2ptsspacing"/>
              <w:keepNext/>
            </w:pPr>
            <w:r>
              <w:t>Department of Employment and Workplace Relations</w:t>
            </w:r>
          </w:p>
        </w:tc>
        <w:tc>
          <w:tcPr>
            <w:tcW w:w="1043" w:type="dxa"/>
            <w:tcBorders>
              <w:top w:val="single" w:sz="4" w:space="0" w:color="000000"/>
              <w:bottom w:val="single" w:sz="4" w:space="0" w:color="000000"/>
            </w:tcBorders>
          </w:tcPr>
          <w:p w14:paraId="586AC263" w14:textId="6E45B93B"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12B04169" w14:textId="77777777" w:rsidR="00B628FF" w:rsidRDefault="005B2D2F">
            <w:pPr>
              <w:pStyle w:val="MeasureTableDataRightAlignedwith2ptsspacing"/>
              <w:keepNext/>
            </w:pPr>
            <w:r>
              <w:t>0.5</w:t>
            </w:r>
          </w:p>
        </w:tc>
        <w:tc>
          <w:tcPr>
            <w:tcW w:w="1043" w:type="dxa"/>
            <w:tcBorders>
              <w:top w:val="single" w:sz="4" w:space="0" w:color="000000"/>
              <w:bottom w:val="single" w:sz="4" w:space="0" w:color="000000"/>
            </w:tcBorders>
          </w:tcPr>
          <w:p w14:paraId="0ECA0CC6" w14:textId="77777777" w:rsidR="00B628FF" w:rsidRDefault="005B2D2F">
            <w:pPr>
              <w:pStyle w:val="MeasureTableDataRightAlignedwith2ptsspacing"/>
              <w:keepNext/>
            </w:pPr>
            <w:r>
              <w:t>0.5</w:t>
            </w:r>
          </w:p>
        </w:tc>
        <w:tc>
          <w:tcPr>
            <w:tcW w:w="1043" w:type="dxa"/>
            <w:tcBorders>
              <w:top w:val="single" w:sz="4" w:space="0" w:color="000000"/>
              <w:bottom w:val="single" w:sz="4" w:space="0" w:color="000000"/>
            </w:tcBorders>
          </w:tcPr>
          <w:p w14:paraId="7858C12C" w14:textId="77777777" w:rsidR="00B628FF" w:rsidRDefault="005B2D2F">
            <w:pPr>
              <w:pStyle w:val="MeasureTableDataRightAlignedwith2ptsspacing"/>
              <w:keepNext/>
            </w:pPr>
            <w:r>
              <w:t>0.2</w:t>
            </w:r>
          </w:p>
        </w:tc>
        <w:tc>
          <w:tcPr>
            <w:tcW w:w="1043" w:type="dxa"/>
            <w:tcBorders>
              <w:top w:val="single" w:sz="4" w:space="0" w:color="000000"/>
              <w:bottom w:val="single" w:sz="4" w:space="0" w:color="000000"/>
            </w:tcBorders>
          </w:tcPr>
          <w:p w14:paraId="7FF7AC7E" w14:textId="77777777" w:rsidR="00B628FF" w:rsidRDefault="005B2D2F">
            <w:pPr>
              <w:pStyle w:val="MeasureTableDataRightAlignedwith2ptsspacing"/>
              <w:keepNext/>
            </w:pPr>
            <w:r>
              <w:t>0.1</w:t>
            </w:r>
          </w:p>
        </w:tc>
      </w:tr>
      <w:tr w:rsidR="00B628FF" w14:paraId="73708423" w14:textId="77777777">
        <w:trPr>
          <w:cantSplit/>
        </w:trPr>
        <w:tc>
          <w:tcPr>
            <w:tcW w:w="2500" w:type="dxa"/>
            <w:tcBorders>
              <w:top w:val="single" w:sz="4" w:space="0" w:color="000000"/>
              <w:bottom w:val="single" w:sz="4" w:space="0" w:color="000000"/>
            </w:tcBorders>
          </w:tcPr>
          <w:p w14:paraId="57012430" w14:textId="77777777" w:rsidR="00B628FF" w:rsidRDefault="005B2D2F">
            <w:pPr>
              <w:pStyle w:val="Totalrowleftaligned"/>
              <w:keepNext/>
            </w:pPr>
            <w:r>
              <w:t>Total – Payments</w:t>
            </w:r>
          </w:p>
        </w:tc>
        <w:tc>
          <w:tcPr>
            <w:tcW w:w="1043" w:type="dxa"/>
            <w:tcBorders>
              <w:top w:val="single" w:sz="4" w:space="0" w:color="000000"/>
              <w:bottom w:val="single" w:sz="4" w:space="0" w:color="000000"/>
            </w:tcBorders>
          </w:tcPr>
          <w:p w14:paraId="61D637C7" w14:textId="435D7177" w:rsidR="00B628FF" w:rsidRDefault="00B31B37">
            <w:pPr>
              <w:pStyle w:val="Totaldatarowrightaligned"/>
              <w:keepNext/>
            </w:pPr>
            <w:r>
              <w:noBreakHyphen/>
            </w:r>
          </w:p>
        </w:tc>
        <w:tc>
          <w:tcPr>
            <w:tcW w:w="1043" w:type="dxa"/>
            <w:tcBorders>
              <w:top w:val="single" w:sz="4" w:space="0" w:color="000000"/>
              <w:bottom w:val="single" w:sz="4" w:space="0" w:color="000000"/>
            </w:tcBorders>
          </w:tcPr>
          <w:p w14:paraId="7226AE2C" w14:textId="77777777" w:rsidR="00B628FF" w:rsidRDefault="005B2D2F">
            <w:pPr>
              <w:pStyle w:val="Totaldatarowrightaligned"/>
              <w:keepNext/>
            </w:pPr>
            <w:r>
              <w:t>5.2</w:t>
            </w:r>
          </w:p>
        </w:tc>
        <w:tc>
          <w:tcPr>
            <w:tcW w:w="1043" w:type="dxa"/>
            <w:tcBorders>
              <w:top w:val="single" w:sz="4" w:space="0" w:color="000000"/>
              <w:bottom w:val="single" w:sz="4" w:space="0" w:color="000000"/>
            </w:tcBorders>
          </w:tcPr>
          <w:p w14:paraId="50F4C8DE" w14:textId="77777777" w:rsidR="00B628FF" w:rsidRDefault="005B2D2F">
            <w:pPr>
              <w:pStyle w:val="Totaldatarowrightaligned"/>
              <w:keepNext/>
            </w:pPr>
            <w:r>
              <w:t>0.5</w:t>
            </w:r>
          </w:p>
        </w:tc>
        <w:tc>
          <w:tcPr>
            <w:tcW w:w="1043" w:type="dxa"/>
            <w:tcBorders>
              <w:top w:val="single" w:sz="4" w:space="0" w:color="000000"/>
              <w:bottom w:val="single" w:sz="4" w:space="0" w:color="000000"/>
            </w:tcBorders>
          </w:tcPr>
          <w:p w14:paraId="59CAC24A" w14:textId="77777777" w:rsidR="00B628FF" w:rsidRDefault="005B2D2F">
            <w:pPr>
              <w:pStyle w:val="Totaldatarowrightaligned"/>
              <w:keepNext/>
            </w:pPr>
            <w:r>
              <w:t>0.2</w:t>
            </w:r>
          </w:p>
        </w:tc>
        <w:tc>
          <w:tcPr>
            <w:tcW w:w="1043" w:type="dxa"/>
            <w:tcBorders>
              <w:top w:val="single" w:sz="4" w:space="0" w:color="000000"/>
              <w:bottom w:val="single" w:sz="4" w:space="0" w:color="000000"/>
            </w:tcBorders>
          </w:tcPr>
          <w:p w14:paraId="528C8253" w14:textId="77777777" w:rsidR="00B628FF" w:rsidRDefault="005B2D2F">
            <w:pPr>
              <w:pStyle w:val="Totaldatarowrightaligned"/>
              <w:keepNext/>
            </w:pPr>
            <w:r>
              <w:t>0.1</w:t>
            </w:r>
          </w:p>
        </w:tc>
      </w:tr>
    </w:tbl>
    <w:p w14:paraId="3E8A38B0" w14:textId="77777777" w:rsidR="00B628FF" w:rsidRDefault="00B628FF">
      <w:pPr>
        <w:keepNext/>
        <w:spacing w:line="226" w:lineRule="exact"/>
        <w:rPr>
          <w:sz w:val="16"/>
        </w:rPr>
      </w:pPr>
    </w:p>
    <w:p w14:paraId="57AD8915" w14:textId="33F19E6E" w:rsidR="00B628FF" w:rsidRDefault="005B2D2F">
      <w:pPr>
        <w:pStyle w:val="Normal2"/>
      </w:pPr>
      <w:r w:rsidRPr="5FA307DC">
        <w:rPr>
          <w:lang w:val="en-US"/>
        </w:rPr>
        <w:t>The Government will provide additional funding of $6.0 million over four</w:t>
      </w:r>
      <w:r w:rsidR="008F1AC2" w:rsidRPr="5FA307DC">
        <w:rPr>
          <w:lang w:val="en-US"/>
        </w:rPr>
        <w:t> </w:t>
      </w:r>
      <w:r w:rsidRPr="5FA307DC">
        <w:rPr>
          <w:lang w:val="en-US"/>
        </w:rPr>
        <w:t>years from 2025–‍26 to address critical integrity issues and extend support for retrenched workers. Funding includes:</w:t>
      </w:r>
    </w:p>
    <w:p w14:paraId="3770DFF8" w14:textId="7CB3999E" w:rsidR="00B628FF" w:rsidRDefault="005B2D2F">
      <w:pPr>
        <w:pStyle w:val="Bullet"/>
      </w:pPr>
      <w:r>
        <w:t>$4.7 million in 2025–‍26 in additional temporary resourcing to the Australian Skills Quality Authority (ASQA) for urgent enforcement activity to counter fraud in the Vocational Education and Training (VET) sector. This surge resourcing will support ASQA to undertake necessary compliance actions to address serious integrity issues which pose a risk to the community and to the reputation of Australia</w:t>
      </w:r>
      <w:r w:rsidR="00B31B37">
        <w:t>’</w:t>
      </w:r>
      <w:r>
        <w:t>s VET sector</w:t>
      </w:r>
    </w:p>
    <w:p w14:paraId="004CF1CF" w14:textId="57BBE7F6" w:rsidR="00B628FF" w:rsidRDefault="005B2D2F">
      <w:pPr>
        <w:pStyle w:val="Bullet"/>
      </w:pPr>
      <w:r>
        <w:t>$1.3 million over four years from 2025–‍26 to ensure retrenched workers and their partners can continue to access Workforce Australia provider services for a further two</w:t>
      </w:r>
      <w:r w:rsidR="008F1AC2">
        <w:t> </w:t>
      </w:r>
      <w:r>
        <w:t>years until 30 June 2027.</w:t>
      </w:r>
    </w:p>
    <w:p w14:paraId="22E534F8" w14:textId="77777777" w:rsidR="00B628FF" w:rsidRDefault="005B2D2F">
      <w:pPr>
        <w:pStyle w:val="Normal2"/>
      </w:pPr>
      <w:r w:rsidRPr="5FA307DC">
        <w:rPr>
          <w:lang w:val="en-US"/>
        </w:rPr>
        <w:t>The cost of this measure will be met from savings identified in the Employment and Workplace Relations portfolio.</w:t>
      </w:r>
    </w:p>
    <w:p w14:paraId="4E2DCC5C" w14:textId="2AECD09A" w:rsidR="00C32EF9" w:rsidRDefault="005B2D2F">
      <w:pPr>
        <w:pStyle w:val="Normal2"/>
        <w:rPr>
          <w:i/>
        </w:rPr>
      </w:pPr>
      <w:r>
        <w:t xml:space="preserve">This measure extends the 2022–‍23 October Budget measure titled </w:t>
      </w:r>
      <w:r w:rsidRPr="005B2D2F">
        <w:rPr>
          <w:i/>
        </w:rPr>
        <w:t>Workforce Australia –micro‑policy amendments and onboarding complementary programs onto the Workforce Australia digital platform.</w:t>
      </w:r>
    </w:p>
    <w:p w14:paraId="5A0B661B" w14:textId="77777777" w:rsidR="00C32EF9" w:rsidRDefault="00C32EF9">
      <w:pPr>
        <w:autoSpaceDE/>
        <w:autoSpaceDN/>
        <w:adjustRightInd/>
        <w:rPr>
          <w:rFonts w:ascii="Book Antiqua" w:hAnsi="Book Antiqua" w:cs="Times New Roman"/>
          <w:i/>
          <w:sz w:val="19"/>
          <w:lang w:val="en-AU"/>
        </w:rPr>
      </w:pPr>
      <w:r>
        <w:rPr>
          <w:i/>
        </w:rPr>
        <w:br w:type="page"/>
      </w:r>
    </w:p>
    <w:p w14:paraId="4E05CB79" w14:textId="0F42951C" w:rsidR="00B628FF" w:rsidRDefault="005B2D2F">
      <w:pPr>
        <w:pStyle w:val="MeasureTitle"/>
      </w:pPr>
      <w:r>
        <w:t>Building Australia</w:t>
      </w:r>
      <w:r w:rsidR="00B31B37">
        <w:t>’</w:t>
      </w:r>
      <w:r>
        <w:t>s Future – Increased Support for Apprentices</w:t>
      </w:r>
    </w:p>
    <w:p w14:paraId="4F5BC9EE" w14:textId="77777777" w:rsidR="00B628FF" w:rsidRDefault="005B2D2F">
      <w:pPr>
        <w:pStyle w:val="MeasureTableHeading"/>
      </w:pPr>
      <w:r>
        <w:t>Payments ($m)</w:t>
      </w:r>
    </w:p>
    <w:tbl>
      <w:tblPr>
        <w:tblOverlap w:val="never"/>
        <w:tblW w:w="7721" w:type="dxa"/>
        <w:tblBorders>
          <w:top w:val="single" w:sz="4" w:space="0" w:color="000000"/>
          <w:bottom w:val="single" w:sz="4" w:space="0" w:color="000000"/>
        </w:tblBorders>
        <w:tblLayout w:type="fixed"/>
        <w:tblLook w:val="04A0" w:firstRow="1" w:lastRow="0" w:firstColumn="1" w:lastColumn="0" w:noHBand="0" w:noVBand="1"/>
      </w:tblPr>
      <w:tblGrid>
        <w:gridCol w:w="2501"/>
        <w:gridCol w:w="1044"/>
        <w:gridCol w:w="1044"/>
        <w:gridCol w:w="1044"/>
        <w:gridCol w:w="1044"/>
        <w:gridCol w:w="1044"/>
      </w:tblGrid>
      <w:tr w:rsidR="00B628FF" w14:paraId="7779E69B" w14:textId="77777777">
        <w:trPr>
          <w:cantSplit/>
        </w:trPr>
        <w:tc>
          <w:tcPr>
            <w:tcW w:w="2500" w:type="dxa"/>
            <w:tcBorders>
              <w:top w:val="single" w:sz="4" w:space="0" w:color="000000"/>
              <w:bottom w:val="single" w:sz="4" w:space="0" w:color="000000"/>
            </w:tcBorders>
          </w:tcPr>
          <w:p w14:paraId="0F5E9BA9" w14:textId="77777777" w:rsidR="00B628FF" w:rsidRDefault="00B628FF">
            <w:pPr>
              <w:pStyle w:val="MeasureTableYearHeadings"/>
              <w:keepNext/>
            </w:pPr>
          </w:p>
        </w:tc>
        <w:tc>
          <w:tcPr>
            <w:tcW w:w="1043" w:type="dxa"/>
            <w:tcBorders>
              <w:top w:val="single" w:sz="4" w:space="0" w:color="000000"/>
              <w:bottom w:val="single" w:sz="4" w:space="0" w:color="000000"/>
            </w:tcBorders>
          </w:tcPr>
          <w:p w14:paraId="3B8660F6" w14:textId="322DB965" w:rsidR="00B628FF" w:rsidRDefault="005B2D2F">
            <w:pPr>
              <w:pStyle w:val="MeasureTableYearHeadings"/>
              <w:keepNext/>
            </w:pPr>
            <w:r>
              <w:t>2024</w:t>
            </w:r>
            <w:r w:rsidR="00B31B37">
              <w:noBreakHyphen/>
            </w:r>
            <w:r>
              <w:t>25</w:t>
            </w:r>
          </w:p>
        </w:tc>
        <w:tc>
          <w:tcPr>
            <w:tcW w:w="1043" w:type="dxa"/>
            <w:tcBorders>
              <w:top w:val="single" w:sz="4" w:space="0" w:color="000000"/>
              <w:bottom w:val="single" w:sz="4" w:space="0" w:color="000000"/>
            </w:tcBorders>
          </w:tcPr>
          <w:p w14:paraId="2D428A8B" w14:textId="47FB996D" w:rsidR="00B628FF" w:rsidRDefault="005B2D2F">
            <w:pPr>
              <w:pStyle w:val="MeasureTableYearHeadings"/>
              <w:keepNext/>
            </w:pPr>
            <w:r>
              <w:t>2025</w:t>
            </w:r>
            <w:r w:rsidR="00B31B37">
              <w:noBreakHyphen/>
            </w:r>
            <w:r>
              <w:t>26</w:t>
            </w:r>
          </w:p>
        </w:tc>
        <w:tc>
          <w:tcPr>
            <w:tcW w:w="1043" w:type="dxa"/>
            <w:tcBorders>
              <w:top w:val="single" w:sz="4" w:space="0" w:color="000000"/>
              <w:bottom w:val="single" w:sz="4" w:space="0" w:color="000000"/>
            </w:tcBorders>
          </w:tcPr>
          <w:p w14:paraId="6CC9D3C8" w14:textId="35710B84" w:rsidR="00B628FF" w:rsidRDefault="005B2D2F">
            <w:pPr>
              <w:pStyle w:val="MeasureTableYearHeadings"/>
              <w:keepNext/>
            </w:pPr>
            <w:r>
              <w:t>2026</w:t>
            </w:r>
            <w:r w:rsidR="00B31B37">
              <w:noBreakHyphen/>
            </w:r>
            <w:r>
              <w:t>27</w:t>
            </w:r>
          </w:p>
        </w:tc>
        <w:tc>
          <w:tcPr>
            <w:tcW w:w="1043" w:type="dxa"/>
            <w:tcBorders>
              <w:top w:val="single" w:sz="4" w:space="0" w:color="000000"/>
              <w:bottom w:val="single" w:sz="4" w:space="0" w:color="000000"/>
            </w:tcBorders>
          </w:tcPr>
          <w:p w14:paraId="15CE7EF8" w14:textId="6BA4763F" w:rsidR="00B628FF" w:rsidRDefault="005B2D2F">
            <w:pPr>
              <w:pStyle w:val="MeasureTableYearHeadings"/>
              <w:keepNext/>
            </w:pPr>
            <w:r>
              <w:t>2027</w:t>
            </w:r>
            <w:r w:rsidR="00B31B37">
              <w:noBreakHyphen/>
            </w:r>
            <w:r>
              <w:t>28</w:t>
            </w:r>
          </w:p>
        </w:tc>
        <w:tc>
          <w:tcPr>
            <w:tcW w:w="1043" w:type="dxa"/>
            <w:tcBorders>
              <w:top w:val="single" w:sz="4" w:space="0" w:color="000000"/>
              <w:bottom w:val="single" w:sz="4" w:space="0" w:color="000000"/>
            </w:tcBorders>
          </w:tcPr>
          <w:p w14:paraId="2DE9A55F" w14:textId="3E02D0B6" w:rsidR="00B628FF" w:rsidRDefault="005B2D2F">
            <w:pPr>
              <w:pStyle w:val="MeasureTableYearHeadings"/>
              <w:keepNext/>
            </w:pPr>
            <w:r>
              <w:t>2028</w:t>
            </w:r>
            <w:r w:rsidR="00B31B37">
              <w:noBreakHyphen/>
            </w:r>
            <w:r>
              <w:t>29</w:t>
            </w:r>
          </w:p>
        </w:tc>
      </w:tr>
      <w:tr w:rsidR="00B628FF" w14:paraId="0CDBA14D" w14:textId="77777777">
        <w:trPr>
          <w:cantSplit/>
        </w:trPr>
        <w:tc>
          <w:tcPr>
            <w:tcW w:w="2500" w:type="dxa"/>
            <w:tcBorders>
              <w:top w:val="single" w:sz="4" w:space="0" w:color="000000"/>
              <w:bottom w:val="single" w:sz="4" w:space="0" w:color="000000"/>
            </w:tcBorders>
          </w:tcPr>
          <w:p w14:paraId="1A90B1E3" w14:textId="77777777" w:rsidR="00B628FF" w:rsidRDefault="005B2D2F">
            <w:pPr>
              <w:pStyle w:val="MeasureTableHeadingleftalignedwith2ptsspacing"/>
              <w:keepNext/>
            </w:pPr>
            <w:r>
              <w:t>Department of the Treasury</w:t>
            </w:r>
          </w:p>
        </w:tc>
        <w:tc>
          <w:tcPr>
            <w:tcW w:w="1043" w:type="dxa"/>
            <w:tcBorders>
              <w:top w:val="single" w:sz="4" w:space="0" w:color="000000"/>
              <w:bottom w:val="single" w:sz="4" w:space="0" w:color="000000"/>
            </w:tcBorders>
          </w:tcPr>
          <w:p w14:paraId="3C050265" w14:textId="5DEB20CA"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2739A79F" w14:textId="194A2932"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69E04AD0" w14:textId="2320C4AD"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5CA2F569" w14:textId="36495A93"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72ADB3E7" w14:textId="0F237ADD" w:rsidR="00B628FF" w:rsidRDefault="00B31B37">
            <w:pPr>
              <w:pStyle w:val="MeasureTableDataRightAlignedwith2ptsspacing"/>
              <w:keepNext/>
            </w:pPr>
            <w:r>
              <w:noBreakHyphen/>
            </w:r>
          </w:p>
        </w:tc>
      </w:tr>
      <w:tr w:rsidR="00B628FF" w14:paraId="45962713" w14:textId="77777777">
        <w:trPr>
          <w:cantSplit/>
        </w:trPr>
        <w:tc>
          <w:tcPr>
            <w:tcW w:w="2500" w:type="dxa"/>
            <w:tcBorders>
              <w:top w:val="single" w:sz="4" w:space="0" w:color="000000"/>
              <w:bottom w:val="single" w:sz="4" w:space="0" w:color="000000"/>
            </w:tcBorders>
          </w:tcPr>
          <w:p w14:paraId="60C7CE87" w14:textId="77777777" w:rsidR="00B628FF" w:rsidRDefault="005B2D2F">
            <w:pPr>
              <w:pStyle w:val="MeasureTableHeadingleftalignedwith2ptsspacing"/>
              <w:keepNext/>
            </w:pPr>
            <w:r>
              <w:t>Department of Employment and Workplace Relations</w:t>
            </w:r>
          </w:p>
        </w:tc>
        <w:tc>
          <w:tcPr>
            <w:tcW w:w="1043" w:type="dxa"/>
            <w:tcBorders>
              <w:top w:val="single" w:sz="4" w:space="0" w:color="000000"/>
              <w:bottom w:val="single" w:sz="4" w:space="0" w:color="000000"/>
            </w:tcBorders>
          </w:tcPr>
          <w:p w14:paraId="6C4AFCCA" w14:textId="657936B4"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13D0B2DE" w14:textId="5763F986"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486AAE43" w14:textId="0E2EA670"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3FAC2259" w14:textId="43BE2F27"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49AE7A49" w14:textId="609D3728" w:rsidR="00B628FF" w:rsidRDefault="00B31B37">
            <w:pPr>
              <w:pStyle w:val="MeasureTableDataRightAlignedwith2ptsspacing"/>
              <w:keepNext/>
            </w:pPr>
            <w:r>
              <w:noBreakHyphen/>
            </w:r>
          </w:p>
        </w:tc>
      </w:tr>
      <w:tr w:rsidR="00B628FF" w14:paraId="164F50BE" w14:textId="77777777">
        <w:trPr>
          <w:cantSplit/>
        </w:trPr>
        <w:tc>
          <w:tcPr>
            <w:tcW w:w="2500" w:type="dxa"/>
            <w:tcBorders>
              <w:top w:val="single" w:sz="4" w:space="0" w:color="000000"/>
              <w:bottom w:val="single" w:sz="4" w:space="0" w:color="000000"/>
            </w:tcBorders>
          </w:tcPr>
          <w:p w14:paraId="2C65D49A" w14:textId="77777777" w:rsidR="00B628FF" w:rsidRDefault="005B2D2F">
            <w:pPr>
              <w:pStyle w:val="Totalrowleftaligned"/>
              <w:keepNext/>
            </w:pPr>
            <w:r>
              <w:t>Total – Payments</w:t>
            </w:r>
          </w:p>
        </w:tc>
        <w:tc>
          <w:tcPr>
            <w:tcW w:w="1043" w:type="dxa"/>
            <w:tcBorders>
              <w:top w:val="single" w:sz="4" w:space="0" w:color="000000"/>
              <w:bottom w:val="single" w:sz="4" w:space="0" w:color="000000"/>
            </w:tcBorders>
          </w:tcPr>
          <w:p w14:paraId="5999E379" w14:textId="35929837" w:rsidR="00B628FF" w:rsidRDefault="00B31B37">
            <w:pPr>
              <w:pStyle w:val="Totaldatarowrightaligned"/>
              <w:keepNext/>
            </w:pPr>
            <w:r>
              <w:noBreakHyphen/>
            </w:r>
          </w:p>
        </w:tc>
        <w:tc>
          <w:tcPr>
            <w:tcW w:w="1043" w:type="dxa"/>
            <w:tcBorders>
              <w:top w:val="single" w:sz="4" w:space="0" w:color="000000"/>
              <w:bottom w:val="single" w:sz="4" w:space="0" w:color="000000"/>
            </w:tcBorders>
          </w:tcPr>
          <w:p w14:paraId="7FB87664" w14:textId="4523C1E0" w:rsidR="00B628FF" w:rsidRDefault="00B31B37">
            <w:pPr>
              <w:pStyle w:val="Totaldatarowrightaligned"/>
              <w:keepNext/>
            </w:pPr>
            <w:r>
              <w:noBreakHyphen/>
            </w:r>
          </w:p>
        </w:tc>
        <w:tc>
          <w:tcPr>
            <w:tcW w:w="1043" w:type="dxa"/>
            <w:tcBorders>
              <w:top w:val="single" w:sz="4" w:space="0" w:color="000000"/>
              <w:bottom w:val="single" w:sz="4" w:space="0" w:color="000000"/>
            </w:tcBorders>
          </w:tcPr>
          <w:p w14:paraId="62A2C792" w14:textId="0CCAF300" w:rsidR="00B628FF" w:rsidRDefault="00B31B37">
            <w:pPr>
              <w:pStyle w:val="Totaldatarowrightaligned"/>
              <w:keepNext/>
            </w:pPr>
            <w:r>
              <w:noBreakHyphen/>
            </w:r>
          </w:p>
        </w:tc>
        <w:tc>
          <w:tcPr>
            <w:tcW w:w="1043" w:type="dxa"/>
            <w:tcBorders>
              <w:top w:val="single" w:sz="4" w:space="0" w:color="000000"/>
              <w:bottom w:val="single" w:sz="4" w:space="0" w:color="000000"/>
            </w:tcBorders>
          </w:tcPr>
          <w:p w14:paraId="19CF25F3" w14:textId="7FC023F8" w:rsidR="00B628FF" w:rsidRDefault="00B31B37">
            <w:pPr>
              <w:pStyle w:val="Totaldatarowrightaligned"/>
              <w:keepNext/>
            </w:pPr>
            <w:r>
              <w:noBreakHyphen/>
            </w:r>
          </w:p>
        </w:tc>
        <w:tc>
          <w:tcPr>
            <w:tcW w:w="1043" w:type="dxa"/>
            <w:tcBorders>
              <w:top w:val="single" w:sz="4" w:space="0" w:color="000000"/>
              <w:bottom w:val="single" w:sz="4" w:space="0" w:color="000000"/>
            </w:tcBorders>
          </w:tcPr>
          <w:p w14:paraId="3AEFA30F" w14:textId="3522DCA1" w:rsidR="00B628FF" w:rsidRDefault="00B31B37">
            <w:pPr>
              <w:pStyle w:val="Totaldatarowrightaligned"/>
              <w:keepNext/>
            </w:pPr>
            <w:r>
              <w:noBreakHyphen/>
            </w:r>
          </w:p>
        </w:tc>
      </w:tr>
      <w:tr w:rsidR="00B628FF" w14:paraId="4CC4522A" w14:textId="77777777">
        <w:trPr>
          <w:cantSplit/>
        </w:trPr>
        <w:tc>
          <w:tcPr>
            <w:tcW w:w="2500" w:type="dxa"/>
          </w:tcPr>
          <w:p w14:paraId="7BD937C6" w14:textId="77777777" w:rsidR="00B628FF" w:rsidRDefault="005B2D2F">
            <w:pPr>
              <w:pStyle w:val="AgencyName"/>
              <w:keepNext/>
            </w:pPr>
            <w:r>
              <w:t>Related receipts ($m)</w:t>
            </w:r>
          </w:p>
        </w:tc>
        <w:tc>
          <w:tcPr>
            <w:tcW w:w="1043" w:type="dxa"/>
          </w:tcPr>
          <w:p w14:paraId="573DB451" w14:textId="77777777" w:rsidR="00B628FF" w:rsidRDefault="00B628FF">
            <w:pPr>
              <w:pStyle w:val="AgencyName"/>
              <w:keepNext/>
            </w:pPr>
          </w:p>
        </w:tc>
        <w:tc>
          <w:tcPr>
            <w:tcW w:w="1043" w:type="dxa"/>
          </w:tcPr>
          <w:p w14:paraId="753B7E56" w14:textId="77777777" w:rsidR="00B628FF" w:rsidRDefault="00B628FF">
            <w:pPr>
              <w:pStyle w:val="AgencyName"/>
              <w:keepNext/>
            </w:pPr>
          </w:p>
        </w:tc>
        <w:tc>
          <w:tcPr>
            <w:tcW w:w="1043" w:type="dxa"/>
          </w:tcPr>
          <w:p w14:paraId="066A8D33" w14:textId="77777777" w:rsidR="00B628FF" w:rsidRDefault="00B628FF">
            <w:pPr>
              <w:pStyle w:val="AgencyName"/>
              <w:keepNext/>
            </w:pPr>
          </w:p>
        </w:tc>
        <w:tc>
          <w:tcPr>
            <w:tcW w:w="1043" w:type="dxa"/>
          </w:tcPr>
          <w:p w14:paraId="40B79CFE" w14:textId="77777777" w:rsidR="00B628FF" w:rsidRDefault="00B628FF">
            <w:pPr>
              <w:pStyle w:val="AgencyName"/>
              <w:keepNext/>
            </w:pPr>
          </w:p>
        </w:tc>
        <w:tc>
          <w:tcPr>
            <w:tcW w:w="1043" w:type="dxa"/>
          </w:tcPr>
          <w:p w14:paraId="5F0E9057" w14:textId="77777777" w:rsidR="00B628FF" w:rsidRDefault="00B628FF">
            <w:pPr>
              <w:pStyle w:val="AgencyName"/>
              <w:keepNext/>
            </w:pPr>
          </w:p>
        </w:tc>
      </w:tr>
      <w:tr w:rsidR="00B628FF" w14:paraId="6403863A" w14:textId="77777777">
        <w:tc>
          <w:tcPr>
            <w:tcW w:w="2500" w:type="dxa"/>
          </w:tcPr>
          <w:p w14:paraId="2290F910" w14:textId="77777777" w:rsidR="00B628FF" w:rsidRDefault="005B2D2F">
            <w:pPr>
              <w:pStyle w:val="AgencyNamewith2ptsspacing"/>
              <w:keepNext/>
            </w:pPr>
            <w:r>
              <w:t>Department of Employment and Workplace Relations</w:t>
            </w:r>
          </w:p>
        </w:tc>
        <w:tc>
          <w:tcPr>
            <w:tcW w:w="1043" w:type="dxa"/>
          </w:tcPr>
          <w:p w14:paraId="2EAFB28E" w14:textId="0E240E0B" w:rsidR="00B628FF" w:rsidRDefault="00B31B37">
            <w:pPr>
              <w:pStyle w:val="Measuretabledatarightaligneditalics"/>
              <w:keepNext/>
            </w:pPr>
            <w:r>
              <w:noBreakHyphen/>
            </w:r>
          </w:p>
        </w:tc>
        <w:tc>
          <w:tcPr>
            <w:tcW w:w="1043" w:type="dxa"/>
          </w:tcPr>
          <w:p w14:paraId="2561BFF6" w14:textId="3C751804" w:rsidR="00B628FF" w:rsidRDefault="00B31B37">
            <w:pPr>
              <w:pStyle w:val="Measuretabledatarightaligneditalics"/>
              <w:keepNext/>
            </w:pPr>
            <w:r>
              <w:noBreakHyphen/>
            </w:r>
          </w:p>
        </w:tc>
        <w:tc>
          <w:tcPr>
            <w:tcW w:w="1043" w:type="dxa"/>
          </w:tcPr>
          <w:p w14:paraId="320E1A0F" w14:textId="3FD757E0" w:rsidR="00B628FF" w:rsidRDefault="00B31B37">
            <w:pPr>
              <w:pStyle w:val="Measuretabledatarightaligneditalics"/>
              <w:keepNext/>
            </w:pPr>
            <w:r>
              <w:noBreakHyphen/>
            </w:r>
          </w:p>
        </w:tc>
        <w:tc>
          <w:tcPr>
            <w:tcW w:w="1043" w:type="dxa"/>
          </w:tcPr>
          <w:p w14:paraId="620A752F" w14:textId="64A36C52" w:rsidR="00B628FF" w:rsidRDefault="00B31B37">
            <w:pPr>
              <w:pStyle w:val="Measuretabledatarightaligneditalics"/>
              <w:keepNext/>
            </w:pPr>
            <w:r>
              <w:noBreakHyphen/>
            </w:r>
          </w:p>
        </w:tc>
        <w:tc>
          <w:tcPr>
            <w:tcW w:w="1043" w:type="dxa"/>
          </w:tcPr>
          <w:p w14:paraId="463E6DB5" w14:textId="70EE4DD8" w:rsidR="00B628FF" w:rsidRDefault="00B31B37">
            <w:pPr>
              <w:pStyle w:val="Measuretabledatarightaligneditalics"/>
              <w:keepNext/>
            </w:pPr>
            <w:r>
              <w:noBreakHyphen/>
            </w:r>
          </w:p>
        </w:tc>
      </w:tr>
    </w:tbl>
    <w:p w14:paraId="43E29E42" w14:textId="388A0969" w:rsidR="00B628FF" w:rsidRDefault="005B2D2F" w:rsidP="001107E5">
      <w:pPr>
        <w:pStyle w:val="Normal2"/>
      </w:pPr>
      <w:r w:rsidRPr="00874388">
        <w:t xml:space="preserve">The </w:t>
      </w:r>
      <w:r>
        <w:t>Government will provide $722.8 million over four years from 2025–</w:t>
      </w:r>
      <w:r>
        <w:rPr>
          <w:rFonts w:ascii="Times New Roman" w:hAnsi="Times New Roman"/>
        </w:rPr>
        <w:t>‍</w:t>
      </w:r>
      <w:r>
        <w:t>26 to deliver increased support for apprentices. Funding includes:</w:t>
      </w:r>
    </w:p>
    <w:p w14:paraId="67DE271C" w14:textId="77777777" w:rsidR="00B628FF" w:rsidRDefault="005B2D2F">
      <w:pPr>
        <w:pStyle w:val="Bullet"/>
      </w:pPr>
      <w:r>
        <w:t xml:space="preserve">$626.9 million over four years from 2025–‍26 to reframe the </w:t>
      </w:r>
      <w:r w:rsidRPr="005B2D2F">
        <w:rPr>
          <w:i/>
        </w:rPr>
        <w:t>New Energy Apprenticeships Program</w:t>
      </w:r>
      <w:r>
        <w:t xml:space="preserve"> as the Key Apprenticeship Program and expand it to capture critical residential construction occupations</w:t>
      </w:r>
    </w:p>
    <w:p w14:paraId="508F54E8" w14:textId="4B8B89AA" w:rsidR="00B628FF" w:rsidRDefault="005B2D2F">
      <w:pPr>
        <w:pStyle w:val="Bullet"/>
      </w:pPr>
      <w:r>
        <w:t xml:space="preserve">$77.8 million over four years from 2025–‍26 to extend the current interim </w:t>
      </w:r>
      <w:r w:rsidRPr="005B2D2F">
        <w:rPr>
          <w:i/>
        </w:rPr>
        <w:t>Australian</w:t>
      </w:r>
      <w:r w:rsidR="0083225B">
        <w:rPr>
          <w:i/>
        </w:rPr>
        <w:t> </w:t>
      </w:r>
      <w:r w:rsidRPr="005B2D2F">
        <w:rPr>
          <w:i/>
        </w:rPr>
        <w:t>Apprenticeship Incentive System</w:t>
      </w:r>
      <w:r>
        <w:t xml:space="preserve"> program settings for a further six months from</w:t>
      </w:r>
      <w:r w:rsidR="0083225B">
        <w:t> </w:t>
      </w:r>
      <w:r>
        <w:t>1 July 2025 to 31 December 2025</w:t>
      </w:r>
    </w:p>
    <w:p w14:paraId="25B92C2A" w14:textId="77777777" w:rsidR="00B628FF" w:rsidRDefault="005B2D2F">
      <w:pPr>
        <w:pStyle w:val="Bullet"/>
      </w:pPr>
      <w:r>
        <w:t>$11.0 million over four years from 2025–‍26 to increase the Disability Australian Apprentice Wage Support subsidy</w:t>
      </w:r>
    </w:p>
    <w:p w14:paraId="4BDFFF9A" w14:textId="432D159A" w:rsidR="00B628FF" w:rsidRDefault="005B2D2F">
      <w:pPr>
        <w:pStyle w:val="Bullet"/>
      </w:pPr>
      <w:r>
        <w:t xml:space="preserve">$7.0 million over four years from 2025–‍26 to increase the Living Away </w:t>
      </w:r>
      <w:proofErr w:type="gramStart"/>
      <w:r>
        <w:t>From</w:t>
      </w:r>
      <w:proofErr w:type="gramEnd"/>
      <w:r>
        <w:t xml:space="preserve"> Home</w:t>
      </w:r>
      <w:r w:rsidR="0083225B">
        <w:t> </w:t>
      </w:r>
      <w:r>
        <w:t>Allowance.</w:t>
      </w:r>
    </w:p>
    <w:p w14:paraId="6B5DA78F" w14:textId="189F360A" w:rsidR="00B628FF" w:rsidRDefault="005B2D2F">
      <w:pPr>
        <w:pStyle w:val="Normal2"/>
      </w:pPr>
      <w:r>
        <w:t>The Government</w:t>
      </w:r>
      <w:r w:rsidR="00B31B37">
        <w:t>’</w:t>
      </w:r>
      <w:r>
        <w:t xml:space="preserve">s package of reforms includes six months of consultation to support the development of a new </w:t>
      </w:r>
      <w:r w:rsidR="00B31B37">
        <w:t>‘</w:t>
      </w:r>
      <w:r>
        <w:t>gateway model</w:t>
      </w:r>
      <w:r w:rsidR="00B31B37">
        <w:t>’</w:t>
      </w:r>
      <w:r>
        <w:t xml:space="preserve"> for the incentive system, with costs met from within the existing resourcing of the Department of Employment and Workplace Relations.</w:t>
      </w:r>
    </w:p>
    <w:p w14:paraId="02F21961" w14:textId="77777777" w:rsidR="00B628FF" w:rsidRDefault="005B2D2F">
      <w:pPr>
        <w:pStyle w:val="Normal2"/>
      </w:pPr>
      <w:r w:rsidRPr="5FA307DC">
        <w:rPr>
          <w:lang w:val="en-US"/>
        </w:rPr>
        <w:t>In addition to this, the Government has increased the number of TAFE Centres of Excellence under the National Skills Agreement that are eligible to receive additional funding to fast‑track their establishment.</w:t>
      </w:r>
    </w:p>
    <w:p w14:paraId="1CC45E9B" w14:textId="77777777" w:rsidR="00B628FF" w:rsidRDefault="005B2D2F">
      <w:pPr>
        <w:pStyle w:val="Normal2"/>
      </w:pPr>
      <w:r>
        <w:t>The Government has already provided funding for this measure.</w:t>
      </w:r>
    </w:p>
    <w:p w14:paraId="346E14E9" w14:textId="699C30F3" w:rsidR="00C32EF9" w:rsidRDefault="005B2D2F">
      <w:pPr>
        <w:pStyle w:val="Normal2"/>
      </w:pPr>
      <w:r>
        <w:t xml:space="preserve">This measure builds on the 2024–‍25 Budget measure titled </w:t>
      </w:r>
      <w:r w:rsidRPr="005B2D2F">
        <w:rPr>
          <w:i/>
        </w:rPr>
        <w:t xml:space="preserve">Australian Apprenticeships Incentive System – further support </w:t>
      </w:r>
      <w:r>
        <w:t xml:space="preserve">and the 2023–‍24 MYEFO measure titled </w:t>
      </w:r>
      <w:r w:rsidRPr="005B2D2F">
        <w:rPr>
          <w:i/>
        </w:rPr>
        <w:t>Employment White</w:t>
      </w:r>
      <w:r w:rsidR="00665D89">
        <w:rPr>
          <w:i/>
        </w:rPr>
        <w:t> </w:t>
      </w:r>
      <w:r w:rsidRPr="005B2D2F">
        <w:rPr>
          <w:i/>
        </w:rPr>
        <w:t>Paper</w:t>
      </w:r>
      <w:r>
        <w:t>.</w:t>
      </w:r>
    </w:p>
    <w:p w14:paraId="280EBE02" w14:textId="77777777" w:rsidR="00C32EF9" w:rsidRDefault="00C32EF9">
      <w:pPr>
        <w:autoSpaceDE/>
        <w:autoSpaceDN/>
        <w:adjustRightInd/>
        <w:rPr>
          <w:rFonts w:ascii="Book Antiqua" w:hAnsi="Book Antiqua" w:cs="Times New Roman"/>
          <w:sz w:val="19"/>
          <w:lang w:val="en-AU"/>
        </w:rPr>
      </w:pPr>
      <w:r>
        <w:br w:type="page"/>
      </w:r>
    </w:p>
    <w:p w14:paraId="7E250CC0" w14:textId="77777777" w:rsidR="00B628FF" w:rsidRDefault="005B2D2F">
      <w:pPr>
        <w:pStyle w:val="MeasureTitle"/>
      </w:pPr>
      <w:r>
        <w:t>Employment and Workplace Relations – savings</w:t>
      </w:r>
    </w:p>
    <w:p w14:paraId="6E672758" w14:textId="77777777" w:rsidR="00B628FF" w:rsidRDefault="005B2D2F">
      <w:pPr>
        <w:pStyle w:val="MeasureTableHeading"/>
      </w:pPr>
      <w:r>
        <w:t>Payments ($m)</w:t>
      </w:r>
    </w:p>
    <w:tbl>
      <w:tblPr>
        <w:tblOverlap w:val="never"/>
        <w:tblW w:w="7721" w:type="dxa"/>
        <w:tblBorders>
          <w:top w:val="single" w:sz="4" w:space="0" w:color="000000"/>
          <w:bottom w:val="single" w:sz="4" w:space="0" w:color="000000"/>
        </w:tblBorders>
        <w:tblLayout w:type="fixed"/>
        <w:tblLook w:val="04A0" w:firstRow="1" w:lastRow="0" w:firstColumn="1" w:lastColumn="0" w:noHBand="0" w:noVBand="1"/>
      </w:tblPr>
      <w:tblGrid>
        <w:gridCol w:w="2501"/>
        <w:gridCol w:w="1044"/>
        <w:gridCol w:w="1044"/>
        <w:gridCol w:w="1044"/>
        <w:gridCol w:w="1044"/>
        <w:gridCol w:w="1044"/>
      </w:tblGrid>
      <w:tr w:rsidR="00B628FF" w14:paraId="29C3E7F3" w14:textId="77777777">
        <w:trPr>
          <w:cantSplit/>
        </w:trPr>
        <w:tc>
          <w:tcPr>
            <w:tcW w:w="2500" w:type="dxa"/>
            <w:tcBorders>
              <w:top w:val="single" w:sz="4" w:space="0" w:color="000000"/>
              <w:bottom w:val="single" w:sz="4" w:space="0" w:color="000000"/>
            </w:tcBorders>
          </w:tcPr>
          <w:p w14:paraId="065D5614" w14:textId="77777777" w:rsidR="00B628FF" w:rsidRDefault="00B628FF">
            <w:pPr>
              <w:pStyle w:val="MeasureTableYearHeadings"/>
              <w:keepNext/>
            </w:pPr>
          </w:p>
        </w:tc>
        <w:tc>
          <w:tcPr>
            <w:tcW w:w="1043" w:type="dxa"/>
            <w:tcBorders>
              <w:top w:val="single" w:sz="4" w:space="0" w:color="000000"/>
              <w:bottom w:val="single" w:sz="4" w:space="0" w:color="000000"/>
            </w:tcBorders>
          </w:tcPr>
          <w:p w14:paraId="45BC0186" w14:textId="3FB7DF34" w:rsidR="00B628FF" w:rsidRDefault="005B2D2F">
            <w:pPr>
              <w:pStyle w:val="MeasureTableYearHeadings"/>
              <w:keepNext/>
            </w:pPr>
            <w:r>
              <w:t>2024</w:t>
            </w:r>
            <w:r w:rsidR="00B31B37">
              <w:noBreakHyphen/>
            </w:r>
            <w:r>
              <w:t>25</w:t>
            </w:r>
          </w:p>
        </w:tc>
        <w:tc>
          <w:tcPr>
            <w:tcW w:w="1043" w:type="dxa"/>
            <w:tcBorders>
              <w:top w:val="single" w:sz="4" w:space="0" w:color="000000"/>
              <w:bottom w:val="single" w:sz="4" w:space="0" w:color="000000"/>
            </w:tcBorders>
          </w:tcPr>
          <w:p w14:paraId="58935DBA" w14:textId="283E4260" w:rsidR="00B628FF" w:rsidRDefault="005B2D2F">
            <w:pPr>
              <w:pStyle w:val="MeasureTableYearHeadings"/>
              <w:keepNext/>
            </w:pPr>
            <w:r>
              <w:t>2025</w:t>
            </w:r>
            <w:r w:rsidR="00B31B37">
              <w:noBreakHyphen/>
            </w:r>
            <w:r>
              <w:t>26</w:t>
            </w:r>
          </w:p>
        </w:tc>
        <w:tc>
          <w:tcPr>
            <w:tcW w:w="1043" w:type="dxa"/>
            <w:tcBorders>
              <w:top w:val="single" w:sz="4" w:space="0" w:color="000000"/>
              <w:bottom w:val="single" w:sz="4" w:space="0" w:color="000000"/>
            </w:tcBorders>
          </w:tcPr>
          <w:p w14:paraId="287F7F90" w14:textId="4A85B3B0" w:rsidR="00B628FF" w:rsidRDefault="005B2D2F">
            <w:pPr>
              <w:pStyle w:val="MeasureTableYearHeadings"/>
              <w:keepNext/>
            </w:pPr>
            <w:r>
              <w:t>2026</w:t>
            </w:r>
            <w:r w:rsidR="00B31B37">
              <w:noBreakHyphen/>
            </w:r>
            <w:r>
              <w:t>27</w:t>
            </w:r>
          </w:p>
        </w:tc>
        <w:tc>
          <w:tcPr>
            <w:tcW w:w="1043" w:type="dxa"/>
            <w:tcBorders>
              <w:top w:val="single" w:sz="4" w:space="0" w:color="000000"/>
              <w:bottom w:val="single" w:sz="4" w:space="0" w:color="000000"/>
            </w:tcBorders>
          </w:tcPr>
          <w:p w14:paraId="3E4D8CBB" w14:textId="131A4046" w:rsidR="00B628FF" w:rsidRDefault="005B2D2F">
            <w:pPr>
              <w:pStyle w:val="MeasureTableYearHeadings"/>
              <w:keepNext/>
            </w:pPr>
            <w:r>
              <w:t>2027</w:t>
            </w:r>
            <w:r w:rsidR="00B31B37">
              <w:noBreakHyphen/>
            </w:r>
            <w:r>
              <w:t>28</w:t>
            </w:r>
          </w:p>
        </w:tc>
        <w:tc>
          <w:tcPr>
            <w:tcW w:w="1043" w:type="dxa"/>
            <w:tcBorders>
              <w:top w:val="single" w:sz="4" w:space="0" w:color="000000"/>
              <w:bottom w:val="single" w:sz="4" w:space="0" w:color="000000"/>
            </w:tcBorders>
          </w:tcPr>
          <w:p w14:paraId="401CBE78" w14:textId="068C6F74" w:rsidR="00B628FF" w:rsidRDefault="005B2D2F">
            <w:pPr>
              <w:pStyle w:val="MeasureTableYearHeadings"/>
              <w:keepNext/>
            </w:pPr>
            <w:r>
              <w:t>2028</w:t>
            </w:r>
            <w:r w:rsidR="00B31B37">
              <w:noBreakHyphen/>
            </w:r>
            <w:r>
              <w:t>29</w:t>
            </w:r>
          </w:p>
        </w:tc>
      </w:tr>
      <w:tr w:rsidR="00B628FF" w14:paraId="2D723CAC" w14:textId="77777777">
        <w:trPr>
          <w:cantSplit/>
        </w:trPr>
        <w:tc>
          <w:tcPr>
            <w:tcW w:w="2500" w:type="dxa"/>
            <w:tcBorders>
              <w:top w:val="single" w:sz="4" w:space="0" w:color="000000"/>
              <w:bottom w:val="single" w:sz="4" w:space="0" w:color="000000"/>
            </w:tcBorders>
          </w:tcPr>
          <w:p w14:paraId="5BA60D66" w14:textId="77777777" w:rsidR="00B628FF" w:rsidRDefault="005B2D2F">
            <w:pPr>
              <w:pStyle w:val="MeasureTableHeadingleftalignedwith2ptsspacing"/>
              <w:keepNext/>
            </w:pPr>
            <w:r>
              <w:t>Department of Employment and Workplace Relations</w:t>
            </w:r>
          </w:p>
        </w:tc>
        <w:tc>
          <w:tcPr>
            <w:tcW w:w="1043" w:type="dxa"/>
            <w:tcBorders>
              <w:top w:val="single" w:sz="4" w:space="0" w:color="000000"/>
              <w:bottom w:val="single" w:sz="4" w:space="0" w:color="000000"/>
            </w:tcBorders>
          </w:tcPr>
          <w:p w14:paraId="0C5CDDC5" w14:textId="111B336A"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61B48EA1" w14:textId="46805582"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66D09BF0" w14:textId="4518910F"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6BFB4424" w14:textId="3D5C30AE"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2171FFE2" w14:textId="4A66A216" w:rsidR="00B628FF" w:rsidRDefault="00B31B37">
            <w:pPr>
              <w:pStyle w:val="MeasureTableDataRightAlignedwith2ptsspacing"/>
              <w:keepNext/>
            </w:pPr>
            <w:r>
              <w:noBreakHyphen/>
            </w:r>
            <w:r w:rsidR="005B2D2F">
              <w:t>7.9</w:t>
            </w:r>
          </w:p>
        </w:tc>
      </w:tr>
    </w:tbl>
    <w:p w14:paraId="128E5579" w14:textId="77777777" w:rsidR="00B628FF" w:rsidRDefault="00B628FF">
      <w:pPr>
        <w:keepNext/>
        <w:spacing w:line="226" w:lineRule="exact"/>
        <w:rPr>
          <w:sz w:val="16"/>
        </w:rPr>
      </w:pPr>
    </w:p>
    <w:p w14:paraId="7971C544" w14:textId="77777777" w:rsidR="00B628FF" w:rsidRDefault="005B2D2F">
      <w:pPr>
        <w:pStyle w:val="Normal2"/>
      </w:pPr>
      <w:r w:rsidRPr="5FA307DC">
        <w:rPr>
          <w:lang w:val="en-US"/>
        </w:rPr>
        <w:t>The Government will achieve savings of $7.9 million in 2028–‍29 by reducing uncommitted funding currently allocated to the Industry Workforce Training program.</w:t>
      </w:r>
    </w:p>
    <w:p w14:paraId="1CA9B864" w14:textId="5E9E2CCD" w:rsidR="00B628FF" w:rsidRDefault="005B2D2F">
      <w:pPr>
        <w:pStyle w:val="Normal2"/>
      </w:pPr>
      <w:r>
        <w:t xml:space="preserve">The savings from this measure will fund the 2025–‍26 Budget measure </w:t>
      </w:r>
      <w:r w:rsidRPr="005B2D2F">
        <w:rPr>
          <w:i/>
        </w:rPr>
        <w:t>Addressing Integrity Risks</w:t>
      </w:r>
      <w:r>
        <w:t>.</w:t>
      </w:r>
    </w:p>
    <w:p w14:paraId="3613A361" w14:textId="77777777" w:rsidR="00B628FF" w:rsidRDefault="00B628FF">
      <w:pPr>
        <w:sectPr w:rsidR="00B628FF" w:rsidSect="00A06F82">
          <w:headerReference w:type="even" r:id="rId69"/>
          <w:headerReference w:type="default" r:id="rId70"/>
          <w:footerReference w:type="even" r:id="rId71"/>
          <w:footerReference w:type="default" r:id="rId72"/>
          <w:headerReference w:type="first" r:id="rId73"/>
          <w:footerReference w:type="first" r:id="rId74"/>
          <w:pgSz w:w="11906" w:h="16838"/>
          <w:pgMar w:top="2835" w:right="2098" w:bottom="2466" w:left="2098" w:header="1814" w:footer="1814" w:gutter="0"/>
          <w:cols w:space="720"/>
          <w:docGrid w:linePitch="272"/>
        </w:sectPr>
      </w:pPr>
    </w:p>
    <w:p w14:paraId="2A6F8BEB" w14:textId="77777777" w:rsidR="00B628FF" w:rsidRDefault="005B2D2F">
      <w:pPr>
        <w:pStyle w:val="PortfolioName"/>
      </w:pPr>
      <w:r>
        <w:t>Foreign Affairs and Trade</w:t>
      </w:r>
    </w:p>
    <w:p w14:paraId="14577B62" w14:textId="36E9D6FB" w:rsidR="00B628FF" w:rsidRDefault="005B2D2F">
      <w:pPr>
        <w:pStyle w:val="MeasureTitle"/>
      </w:pPr>
      <w:r>
        <w:t>Australia</w:t>
      </w:r>
      <w:r w:rsidR="00B31B37">
        <w:t>’</w:t>
      </w:r>
      <w:r>
        <w:t>s Embassy in Kyiv</w:t>
      </w:r>
    </w:p>
    <w:p w14:paraId="7B251D3D" w14:textId="77777777" w:rsidR="00B628FF" w:rsidRDefault="005B2D2F">
      <w:pPr>
        <w:pStyle w:val="MeasureTableHeading"/>
      </w:pPr>
      <w:r>
        <w:t>Payments ($m)</w:t>
      </w:r>
    </w:p>
    <w:tbl>
      <w:tblPr>
        <w:tblOverlap w:val="never"/>
        <w:tblW w:w="7721" w:type="dxa"/>
        <w:tblBorders>
          <w:top w:val="single" w:sz="4" w:space="0" w:color="000000"/>
          <w:bottom w:val="single" w:sz="4" w:space="0" w:color="000000"/>
        </w:tblBorders>
        <w:tblLayout w:type="fixed"/>
        <w:tblLook w:val="04A0" w:firstRow="1" w:lastRow="0" w:firstColumn="1" w:lastColumn="0" w:noHBand="0" w:noVBand="1"/>
      </w:tblPr>
      <w:tblGrid>
        <w:gridCol w:w="2501"/>
        <w:gridCol w:w="1044"/>
        <w:gridCol w:w="1044"/>
        <w:gridCol w:w="1044"/>
        <w:gridCol w:w="1044"/>
        <w:gridCol w:w="1044"/>
      </w:tblGrid>
      <w:tr w:rsidR="00B628FF" w14:paraId="0FF3C7CB" w14:textId="77777777">
        <w:trPr>
          <w:cantSplit/>
        </w:trPr>
        <w:tc>
          <w:tcPr>
            <w:tcW w:w="2500" w:type="dxa"/>
            <w:tcBorders>
              <w:top w:val="single" w:sz="4" w:space="0" w:color="000000"/>
              <w:bottom w:val="single" w:sz="4" w:space="0" w:color="000000"/>
            </w:tcBorders>
          </w:tcPr>
          <w:p w14:paraId="59DFA7AB" w14:textId="77777777" w:rsidR="00B628FF" w:rsidRDefault="00B628FF">
            <w:pPr>
              <w:pStyle w:val="MeasureTableYearHeadings"/>
              <w:keepNext/>
            </w:pPr>
          </w:p>
        </w:tc>
        <w:tc>
          <w:tcPr>
            <w:tcW w:w="1043" w:type="dxa"/>
            <w:tcBorders>
              <w:top w:val="single" w:sz="4" w:space="0" w:color="000000"/>
              <w:bottom w:val="single" w:sz="4" w:space="0" w:color="000000"/>
            </w:tcBorders>
          </w:tcPr>
          <w:p w14:paraId="7430245C" w14:textId="64BA1469" w:rsidR="00B628FF" w:rsidRDefault="005B2D2F">
            <w:pPr>
              <w:pStyle w:val="MeasureTableYearHeadings"/>
              <w:keepNext/>
            </w:pPr>
            <w:r>
              <w:t>2024</w:t>
            </w:r>
            <w:r w:rsidR="00B31B37">
              <w:noBreakHyphen/>
            </w:r>
            <w:r>
              <w:t>25</w:t>
            </w:r>
          </w:p>
        </w:tc>
        <w:tc>
          <w:tcPr>
            <w:tcW w:w="1043" w:type="dxa"/>
            <w:tcBorders>
              <w:top w:val="single" w:sz="4" w:space="0" w:color="000000"/>
              <w:bottom w:val="single" w:sz="4" w:space="0" w:color="000000"/>
            </w:tcBorders>
          </w:tcPr>
          <w:p w14:paraId="75EFC412" w14:textId="1767D503" w:rsidR="00B628FF" w:rsidRDefault="005B2D2F">
            <w:pPr>
              <w:pStyle w:val="MeasureTableYearHeadings"/>
              <w:keepNext/>
            </w:pPr>
            <w:r>
              <w:t>2025</w:t>
            </w:r>
            <w:r w:rsidR="00B31B37">
              <w:noBreakHyphen/>
            </w:r>
            <w:r>
              <w:t>26</w:t>
            </w:r>
          </w:p>
        </w:tc>
        <w:tc>
          <w:tcPr>
            <w:tcW w:w="1043" w:type="dxa"/>
            <w:tcBorders>
              <w:top w:val="single" w:sz="4" w:space="0" w:color="000000"/>
              <w:bottom w:val="single" w:sz="4" w:space="0" w:color="000000"/>
            </w:tcBorders>
          </w:tcPr>
          <w:p w14:paraId="0A41E10D" w14:textId="5876BEC6" w:rsidR="00B628FF" w:rsidRDefault="005B2D2F">
            <w:pPr>
              <w:pStyle w:val="MeasureTableYearHeadings"/>
              <w:keepNext/>
            </w:pPr>
            <w:r>
              <w:t>2026</w:t>
            </w:r>
            <w:r w:rsidR="00B31B37">
              <w:noBreakHyphen/>
            </w:r>
            <w:r>
              <w:t>27</w:t>
            </w:r>
          </w:p>
        </w:tc>
        <w:tc>
          <w:tcPr>
            <w:tcW w:w="1043" w:type="dxa"/>
            <w:tcBorders>
              <w:top w:val="single" w:sz="4" w:space="0" w:color="000000"/>
              <w:bottom w:val="single" w:sz="4" w:space="0" w:color="000000"/>
            </w:tcBorders>
          </w:tcPr>
          <w:p w14:paraId="1C63629A" w14:textId="2E2EAFF6" w:rsidR="00B628FF" w:rsidRDefault="005B2D2F">
            <w:pPr>
              <w:pStyle w:val="MeasureTableYearHeadings"/>
              <w:keepNext/>
            </w:pPr>
            <w:r>
              <w:t>2027</w:t>
            </w:r>
            <w:r w:rsidR="00B31B37">
              <w:noBreakHyphen/>
            </w:r>
            <w:r>
              <w:t>28</w:t>
            </w:r>
          </w:p>
        </w:tc>
        <w:tc>
          <w:tcPr>
            <w:tcW w:w="1043" w:type="dxa"/>
            <w:tcBorders>
              <w:top w:val="single" w:sz="4" w:space="0" w:color="000000"/>
              <w:bottom w:val="single" w:sz="4" w:space="0" w:color="000000"/>
            </w:tcBorders>
          </w:tcPr>
          <w:p w14:paraId="2BCA6E3C" w14:textId="23829A78" w:rsidR="00B628FF" w:rsidRDefault="005B2D2F">
            <w:pPr>
              <w:pStyle w:val="MeasureTableYearHeadings"/>
              <w:keepNext/>
            </w:pPr>
            <w:r>
              <w:t>2028</w:t>
            </w:r>
            <w:r w:rsidR="00B31B37">
              <w:noBreakHyphen/>
            </w:r>
            <w:r>
              <w:t>29</w:t>
            </w:r>
          </w:p>
        </w:tc>
      </w:tr>
      <w:tr w:rsidR="00B628FF" w14:paraId="731EA8C6" w14:textId="77777777">
        <w:trPr>
          <w:cantSplit/>
        </w:trPr>
        <w:tc>
          <w:tcPr>
            <w:tcW w:w="2500" w:type="dxa"/>
            <w:tcBorders>
              <w:top w:val="single" w:sz="4" w:space="0" w:color="000000"/>
              <w:bottom w:val="single" w:sz="4" w:space="0" w:color="000000"/>
            </w:tcBorders>
          </w:tcPr>
          <w:p w14:paraId="164481FA" w14:textId="77777777" w:rsidR="00B628FF" w:rsidRDefault="005B2D2F">
            <w:pPr>
              <w:pStyle w:val="MeasureTableHeadingleftalignedwith2ptsspacing"/>
              <w:keepNext/>
            </w:pPr>
            <w:r>
              <w:t>Department of Defence</w:t>
            </w:r>
          </w:p>
        </w:tc>
        <w:tc>
          <w:tcPr>
            <w:tcW w:w="1043" w:type="dxa"/>
            <w:tcBorders>
              <w:top w:val="single" w:sz="4" w:space="0" w:color="000000"/>
              <w:bottom w:val="single" w:sz="4" w:space="0" w:color="000000"/>
            </w:tcBorders>
          </w:tcPr>
          <w:p w14:paraId="5D3B1562" w14:textId="391262B1"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3EB027F8" w14:textId="4E5260CE"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06FA26FF" w14:textId="66B7F896"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45B6A634" w14:textId="3A015BBC"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0B13011F" w14:textId="00B22AAA" w:rsidR="00B628FF" w:rsidRDefault="00B31B37">
            <w:pPr>
              <w:pStyle w:val="MeasureTableDataRightAlignedwith2ptsspacing"/>
              <w:keepNext/>
            </w:pPr>
            <w:r>
              <w:noBreakHyphen/>
            </w:r>
          </w:p>
        </w:tc>
      </w:tr>
      <w:tr w:rsidR="00B628FF" w14:paraId="7E79A77C" w14:textId="77777777">
        <w:trPr>
          <w:cantSplit/>
        </w:trPr>
        <w:tc>
          <w:tcPr>
            <w:tcW w:w="2500" w:type="dxa"/>
            <w:tcBorders>
              <w:top w:val="single" w:sz="4" w:space="0" w:color="000000"/>
              <w:bottom w:val="single" w:sz="4" w:space="0" w:color="000000"/>
            </w:tcBorders>
          </w:tcPr>
          <w:p w14:paraId="7A3D9BB4" w14:textId="77777777" w:rsidR="00B628FF" w:rsidRDefault="005B2D2F">
            <w:pPr>
              <w:pStyle w:val="MeasureTableHeadingleftalignedwith2ptsspacing"/>
              <w:keepNext/>
            </w:pPr>
            <w:r>
              <w:t>Department of Foreign Affairs and Trade</w:t>
            </w:r>
          </w:p>
        </w:tc>
        <w:tc>
          <w:tcPr>
            <w:tcW w:w="1043" w:type="dxa"/>
            <w:tcBorders>
              <w:top w:val="single" w:sz="4" w:space="0" w:color="000000"/>
              <w:bottom w:val="single" w:sz="4" w:space="0" w:color="000000"/>
            </w:tcBorders>
          </w:tcPr>
          <w:p w14:paraId="288B3843" w14:textId="0FD747D5"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7FFA1D28" w14:textId="73319DC1"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393D77ED" w14:textId="641FC573"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062E8443" w14:textId="7BCBC7F3"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4194A48E" w14:textId="70A1D6E1" w:rsidR="00B628FF" w:rsidRDefault="00B31B37">
            <w:pPr>
              <w:pStyle w:val="MeasureTableDataRightAlignedwith2ptsspacing"/>
              <w:keepNext/>
            </w:pPr>
            <w:r>
              <w:noBreakHyphen/>
            </w:r>
          </w:p>
        </w:tc>
      </w:tr>
      <w:tr w:rsidR="00B628FF" w14:paraId="6B050EA6" w14:textId="77777777">
        <w:trPr>
          <w:cantSplit/>
        </w:trPr>
        <w:tc>
          <w:tcPr>
            <w:tcW w:w="2500" w:type="dxa"/>
            <w:tcBorders>
              <w:top w:val="single" w:sz="4" w:space="0" w:color="000000"/>
              <w:bottom w:val="single" w:sz="4" w:space="0" w:color="000000"/>
            </w:tcBorders>
          </w:tcPr>
          <w:p w14:paraId="1C1B4054" w14:textId="77777777" w:rsidR="00B628FF" w:rsidRDefault="005B2D2F">
            <w:pPr>
              <w:pStyle w:val="Totalrowleftaligned"/>
              <w:keepNext/>
            </w:pPr>
            <w:r>
              <w:t>Total – Payments</w:t>
            </w:r>
          </w:p>
        </w:tc>
        <w:tc>
          <w:tcPr>
            <w:tcW w:w="1043" w:type="dxa"/>
            <w:tcBorders>
              <w:top w:val="single" w:sz="4" w:space="0" w:color="000000"/>
              <w:bottom w:val="single" w:sz="4" w:space="0" w:color="000000"/>
            </w:tcBorders>
          </w:tcPr>
          <w:p w14:paraId="5C7F88CB" w14:textId="7A493F93" w:rsidR="00B628FF" w:rsidRDefault="00B31B37">
            <w:pPr>
              <w:pStyle w:val="Totaldatarowrightaligned"/>
              <w:keepNext/>
            </w:pPr>
            <w:r>
              <w:noBreakHyphen/>
            </w:r>
          </w:p>
        </w:tc>
        <w:tc>
          <w:tcPr>
            <w:tcW w:w="1043" w:type="dxa"/>
            <w:tcBorders>
              <w:top w:val="single" w:sz="4" w:space="0" w:color="000000"/>
              <w:bottom w:val="single" w:sz="4" w:space="0" w:color="000000"/>
            </w:tcBorders>
          </w:tcPr>
          <w:p w14:paraId="23AFA904" w14:textId="3F664B3B" w:rsidR="00B628FF" w:rsidRDefault="00B31B37">
            <w:pPr>
              <w:pStyle w:val="Totaldatarowrightaligned"/>
              <w:keepNext/>
            </w:pPr>
            <w:r>
              <w:noBreakHyphen/>
            </w:r>
          </w:p>
        </w:tc>
        <w:tc>
          <w:tcPr>
            <w:tcW w:w="1043" w:type="dxa"/>
            <w:tcBorders>
              <w:top w:val="single" w:sz="4" w:space="0" w:color="000000"/>
              <w:bottom w:val="single" w:sz="4" w:space="0" w:color="000000"/>
            </w:tcBorders>
          </w:tcPr>
          <w:p w14:paraId="24F3CD0E" w14:textId="692E3EC9" w:rsidR="00B628FF" w:rsidRDefault="00B31B37">
            <w:pPr>
              <w:pStyle w:val="Totaldatarowrightaligned"/>
              <w:keepNext/>
            </w:pPr>
            <w:r>
              <w:noBreakHyphen/>
            </w:r>
          </w:p>
        </w:tc>
        <w:tc>
          <w:tcPr>
            <w:tcW w:w="1043" w:type="dxa"/>
            <w:tcBorders>
              <w:top w:val="single" w:sz="4" w:space="0" w:color="000000"/>
              <w:bottom w:val="single" w:sz="4" w:space="0" w:color="000000"/>
            </w:tcBorders>
          </w:tcPr>
          <w:p w14:paraId="380E5A51" w14:textId="5771DB4A" w:rsidR="00B628FF" w:rsidRDefault="00B31B37">
            <w:pPr>
              <w:pStyle w:val="Totaldatarowrightaligned"/>
              <w:keepNext/>
            </w:pPr>
            <w:r>
              <w:noBreakHyphen/>
            </w:r>
          </w:p>
        </w:tc>
        <w:tc>
          <w:tcPr>
            <w:tcW w:w="1043" w:type="dxa"/>
            <w:tcBorders>
              <w:top w:val="single" w:sz="4" w:space="0" w:color="000000"/>
              <w:bottom w:val="single" w:sz="4" w:space="0" w:color="000000"/>
            </w:tcBorders>
          </w:tcPr>
          <w:p w14:paraId="19ABB32A" w14:textId="1D43C5BC" w:rsidR="00B628FF" w:rsidRDefault="00B31B37">
            <w:pPr>
              <w:pStyle w:val="Totaldatarowrightaligned"/>
              <w:keepNext/>
            </w:pPr>
            <w:r>
              <w:noBreakHyphen/>
            </w:r>
          </w:p>
        </w:tc>
      </w:tr>
    </w:tbl>
    <w:p w14:paraId="3C0FDF94" w14:textId="77777777" w:rsidR="00B628FF" w:rsidRDefault="00B628FF">
      <w:pPr>
        <w:keepNext/>
        <w:spacing w:line="226" w:lineRule="exact"/>
        <w:rPr>
          <w:sz w:val="16"/>
        </w:rPr>
      </w:pPr>
    </w:p>
    <w:p w14:paraId="4801128C" w14:textId="11626138" w:rsidR="00B628FF" w:rsidRDefault="005B2D2F">
      <w:pPr>
        <w:pStyle w:val="Normal2"/>
      </w:pPr>
      <w:r>
        <w:t>The Government will provide $36.0 million over five</w:t>
      </w:r>
      <w:r w:rsidR="0083225B">
        <w:t> </w:t>
      </w:r>
      <w:r>
        <w:t>years from 2024–‍25 (and $7.8 million per year ongoing) for the Australian Embassy in Kyiv, returning diplomatic and consular services to Ukraine. Australia</w:t>
      </w:r>
      <w:r w:rsidR="00B31B37">
        <w:t>’</w:t>
      </w:r>
      <w:r>
        <w:t>s return to a full diplomatic presence is part of the Government</w:t>
      </w:r>
      <w:r w:rsidR="00B31B37">
        <w:t>’</w:t>
      </w:r>
      <w:r>
        <w:t>s ongoing support for Ukraine.</w:t>
      </w:r>
    </w:p>
    <w:p w14:paraId="6C316045" w14:textId="77777777" w:rsidR="00B628FF" w:rsidRDefault="005B2D2F">
      <w:pPr>
        <w:pStyle w:val="Normal2"/>
      </w:pPr>
      <w:r>
        <w:t>The Government has already provided funding for this measure.</w:t>
      </w:r>
    </w:p>
    <w:p w14:paraId="3D4727FC" w14:textId="39D01153" w:rsidR="00B628FF" w:rsidRDefault="005B2D2F">
      <w:pPr>
        <w:pStyle w:val="MeasureTitle"/>
      </w:pPr>
      <w:r>
        <w:t>Boosting Australia</w:t>
      </w:r>
      <w:r w:rsidR="00B31B37">
        <w:t>’</w:t>
      </w:r>
      <w:r>
        <w:t>s Economic Ties with India</w:t>
      </w:r>
    </w:p>
    <w:p w14:paraId="6DD5BE31" w14:textId="77777777" w:rsidR="00B628FF" w:rsidRDefault="005B2D2F">
      <w:pPr>
        <w:pStyle w:val="MeasureTableHeading"/>
      </w:pPr>
      <w:r>
        <w:t>Payments ($m)</w:t>
      </w:r>
    </w:p>
    <w:tbl>
      <w:tblPr>
        <w:tblOverlap w:val="never"/>
        <w:tblW w:w="7721" w:type="dxa"/>
        <w:tblBorders>
          <w:top w:val="single" w:sz="4" w:space="0" w:color="000000"/>
          <w:bottom w:val="single" w:sz="4" w:space="0" w:color="000000"/>
        </w:tblBorders>
        <w:tblLayout w:type="fixed"/>
        <w:tblLook w:val="04A0" w:firstRow="1" w:lastRow="0" w:firstColumn="1" w:lastColumn="0" w:noHBand="0" w:noVBand="1"/>
      </w:tblPr>
      <w:tblGrid>
        <w:gridCol w:w="2501"/>
        <w:gridCol w:w="1044"/>
        <w:gridCol w:w="1044"/>
        <w:gridCol w:w="1044"/>
        <w:gridCol w:w="1044"/>
        <w:gridCol w:w="1044"/>
      </w:tblGrid>
      <w:tr w:rsidR="00B628FF" w14:paraId="1248D2E0" w14:textId="77777777">
        <w:trPr>
          <w:cantSplit/>
        </w:trPr>
        <w:tc>
          <w:tcPr>
            <w:tcW w:w="2500" w:type="dxa"/>
            <w:tcBorders>
              <w:top w:val="single" w:sz="4" w:space="0" w:color="000000"/>
              <w:bottom w:val="single" w:sz="4" w:space="0" w:color="000000"/>
            </w:tcBorders>
          </w:tcPr>
          <w:p w14:paraId="3BEE613A" w14:textId="77777777" w:rsidR="00B628FF" w:rsidRDefault="00B628FF">
            <w:pPr>
              <w:pStyle w:val="MeasureTableYearHeadings"/>
              <w:keepNext/>
            </w:pPr>
          </w:p>
        </w:tc>
        <w:tc>
          <w:tcPr>
            <w:tcW w:w="1043" w:type="dxa"/>
            <w:tcBorders>
              <w:top w:val="single" w:sz="4" w:space="0" w:color="000000"/>
              <w:bottom w:val="single" w:sz="4" w:space="0" w:color="000000"/>
            </w:tcBorders>
          </w:tcPr>
          <w:p w14:paraId="4314B8A0" w14:textId="0908FEFE" w:rsidR="00B628FF" w:rsidRDefault="005B2D2F">
            <w:pPr>
              <w:pStyle w:val="MeasureTableYearHeadings"/>
              <w:keepNext/>
            </w:pPr>
            <w:r>
              <w:t>2024</w:t>
            </w:r>
            <w:r w:rsidR="00B31B37">
              <w:noBreakHyphen/>
            </w:r>
            <w:r>
              <w:t>25</w:t>
            </w:r>
          </w:p>
        </w:tc>
        <w:tc>
          <w:tcPr>
            <w:tcW w:w="1043" w:type="dxa"/>
            <w:tcBorders>
              <w:top w:val="single" w:sz="4" w:space="0" w:color="000000"/>
              <w:bottom w:val="single" w:sz="4" w:space="0" w:color="000000"/>
            </w:tcBorders>
          </w:tcPr>
          <w:p w14:paraId="0CFBA1B4" w14:textId="42448661" w:rsidR="00B628FF" w:rsidRDefault="005B2D2F">
            <w:pPr>
              <w:pStyle w:val="MeasureTableYearHeadings"/>
              <w:keepNext/>
            </w:pPr>
            <w:r>
              <w:t>2025</w:t>
            </w:r>
            <w:r w:rsidR="00B31B37">
              <w:noBreakHyphen/>
            </w:r>
            <w:r>
              <w:t>26</w:t>
            </w:r>
          </w:p>
        </w:tc>
        <w:tc>
          <w:tcPr>
            <w:tcW w:w="1043" w:type="dxa"/>
            <w:tcBorders>
              <w:top w:val="single" w:sz="4" w:space="0" w:color="000000"/>
              <w:bottom w:val="single" w:sz="4" w:space="0" w:color="000000"/>
            </w:tcBorders>
          </w:tcPr>
          <w:p w14:paraId="2C77261F" w14:textId="1EEE4CBD" w:rsidR="00B628FF" w:rsidRDefault="005B2D2F">
            <w:pPr>
              <w:pStyle w:val="MeasureTableYearHeadings"/>
              <w:keepNext/>
            </w:pPr>
            <w:r>
              <w:t>2026</w:t>
            </w:r>
            <w:r w:rsidR="00B31B37">
              <w:noBreakHyphen/>
            </w:r>
            <w:r>
              <w:t>27</w:t>
            </w:r>
          </w:p>
        </w:tc>
        <w:tc>
          <w:tcPr>
            <w:tcW w:w="1043" w:type="dxa"/>
            <w:tcBorders>
              <w:top w:val="single" w:sz="4" w:space="0" w:color="000000"/>
              <w:bottom w:val="single" w:sz="4" w:space="0" w:color="000000"/>
            </w:tcBorders>
          </w:tcPr>
          <w:p w14:paraId="71FE41C9" w14:textId="7F1ADBF5" w:rsidR="00B628FF" w:rsidRDefault="005B2D2F">
            <w:pPr>
              <w:pStyle w:val="MeasureTableYearHeadings"/>
              <w:keepNext/>
            </w:pPr>
            <w:r>
              <w:t>2027</w:t>
            </w:r>
            <w:r w:rsidR="00B31B37">
              <w:noBreakHyphen/>
            </w:r>
            <w:r>
              <w:t>28</w:t>
            </w:r>
          </w:p>
        </w:tc>
        <w:tc>
          <w:tcPr>
            <w:tcW w:w="1043" w:type="dxa"/>
            <w:tcBorders>
              <w:top w:val="single" w:sz="4" w:space="0" w:color="000000"/>
              <w:bottom w:val="single" w:sz="4" w:space="0" w:color="000000"/>
            </w:tcBorders>
          </w:tcPr>
          <w:p w14:paraId="422EA3A5" w14:textId="5EC33713" w:rsidR="00B628FF" w:rsidRDefault="005B2D2F">
            <w:pPr>
              <w:pStyle w:val="MeasureTableYearHeadings"/>
              <w:keepNext/>
            </w:pPr>
            <w:r>
              <w:t>2028</w:t>
            </w:r>
            <w:r w:rsidR="00B31B37">
              <w:noBreakHyphen/>
            </w:r>
            <w:r>
              <w:t>29</w:t>
            </w:r>
          </w:p>
        </w:tc>
      </w:tr>
      <w:tr w:rsidR="00B628FF" w14:paraId="555FE566" w14:textId="77777777">
        <w:trPr>
          <w:cantSplit/>
        </w:trPr>
        <w:tc>
          <w:tcPr>
            <w:tcW w:w="2500" w:type="dxa"/>
            <w:tcBorders>
              <w:top w:val="single" w:sz="4" w:space="0" w:color="000000"/>
              <w:bottom w:val="single" w:sz="4" w:space="0" w:color="000000"/>
            </w:tcBorders>
          </w:tcPr>
          <w:p w14:paraId="0ECE9E5D" w14:textId="77777777" w:rsidR="00B628FF" w:rsidRDefault="005B2D2F">
            <w:pPr>
              <w:pStyle w:val="MeasureTableHeadingleftalignedwith2ptsspacing"/>
              <w:keepNext/>
            </w:pPr>
            <w:r>
              <w:t>Department of Foreign Affairs and Trade</w:t>
            </w:r>
          </w:p>
        </w:tc>
        <w:tc>
          <w:tcPr>
            <w:tcW w:w="1043" w:type="dxa"/>
            <w:tcBorders>
              <w:top w:val="single" w:sz="4" w:space="0" w:color="000000"/>
              <w:bottom w:val="single" w:sz="4" w:space="0" w:color="000000"/>
            </w:tcBorders>
          </w:tcPr>
          <w:p w14:paraId="279E1819" w14:textId="580F96D1"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770F4767" w14:textId="77777777" w:rsidR="00B628FF" w:rsidRDefault="005B2D2F">
            <w:pPr>
              <w:pStyle w:val="MeasureTableDataRightAlignedwith2ptsspacing"/>
              <w:keepNext/>
            </w:pPr>
            <w:r>
              <w:t>2.3</w:t>
            </w:r>
          </w:p>
        </w:tc>
        <w:tc>
          <w:tcPr>
            <w:tcW w:w="1043" w:type="dxa"/>
            <w:tcBorders>
              <w:top w:val="single" w:sz="4" w:space="0" w:color="000000"/>
              <w:bottom w:val="single" w:sz="4" w:space="0" w:color="000000"/>
            </w:tcBorders>
          </w:tcPr>
          <w:p w14:paraId="20332FD5" w14:textId="77777777" w:rsidR="00B628FF" w:rsidRDefault="005B2D2F">
            <w:pPr>
              <w:pStyle w:val="MeasureTableDataRightAlignedwith2ptsspacing"/>
              <w:keepNext/>
            </w:pPr>
            <w:r>
              <w:t>5.3</w:t>
            </w:r>
          </w:p>
        </w:tc>
        <w:tc>
          <w:tcPr>
            <w:tcW w:w="1043" w:type="dxa"/>
            <w:tcBorders>
              <w:top w:val="single" w:sz="4" w:space="0" w:color="000000"/>
              <w:bottom w:val="single" w:sz="4" w:space="0" w:color="000000"/>
            </w:tcBorders>
          </w:tcPr>
          <w:p w14:paraId="66BECA21" w14:textId="77777777" w:rsidR="00B628FF" w:rsidRDefault="005B2D2F">
            <w:pPr>
              <w:pStyle w:val="MeasureTableDataRightAlignedwith2ptsspacing"/>
              <w:keepNext/>
            </w:pPr>
            <w:r>
              <w:t>5.3</w:t>
            </w:r>
          </w:p>
        </w:tc>
        <w:tc>
          <w:tcPr>
            <w:tcW w:w="1043" w:type="dxa"/>
            <w:tcBorders>
              <w:top w:val="single" w:sz="4" w:space="0" w:color="000000"/>
              <w:bottom w:val="single" w:sz="4" w:space="0" w:color="000000"/>
            </w:tcBorders>
          </w:tcPr>
          <w:p w14:paraId="405D4654" w14:textId="77777777" w:rsidR="00B628FF" w:rsidRDefault="005B2D2F">
            <w:pPr>
              <w:pStyle w:val="MeasureTableDataRightAlignedwith2ptsspacing"/>
              <w:keepNext/>
            </w:pPr>
            <w:r>
              <w:t>3.3</w:t>
            </w:r>
          </w:p>
        </w:tc>
      </w:tr>
    </w:tbl>
    <w:p w14:paraId="5AF04E93" w14:textId="77777777" w:rsidR="00B628FF" w:rsidRDefault="00B628FF">
      <w:pPr>
        <w:keepNext/>
        <w:spacing w:line="226" w:lineRule="exact"/>
        <w:rPr>
          <w:sz w:val="16"/>
        </w:rPr>
      </w:pPr>
    </w:p>
    <w:p w14:paraId="5003330B" w14:textId="77777777" w:rsidR="00B628FF" w:rsidRDefault="005B2D2F">
      <w:pPr>
        <w:pStyle w:val="Normal2"/>
      </w:pPr>
      <w:r>
        <w:t>The Government will provide $20.0 million over four years from 2025–‍26 to support increased economic engagement with India. Funding includes:</w:t>
      </w:r>
    </w:p>
    <w:p w14:paraId="25CA1E70" w14:textId="168D0D2C" w:rsidR="00B628FF" w:rsidRDefault="005B2D2F">
      <w:pPr>
        <w:pStyle w:val="Bullet"/>
      </w:pPr>
      <w:r>
        <w:t>$16.0 million to establish an Australia‑India Trade and Investment Accelerator Fund to</w:t>
      </w:r>
      <w:r w:rsidR="00D46B94">
        <w:t> </w:t>
      </w:r>
      <w:r>
        <w:t>support cooperative projects targeted at reducing technical and regulatory barriers to</w:t>
      </w:r>
      <w:r w:rsidR="00D46B94">
        <w:t> </w:t>
      </w:r>
      <w:r>
        <w:t>trade</w:t>
      </w:r>
    </w:p>
    <w:p w14:paraId="55FE88AD" w14:textId="77777777" w:rsidR="00B628FF" w:rsidRDefault="005B2D2F">
      <w:pPr>
        <w:pStyle w:val="Bullet"/>
      </w:pPr>
      <w:r>
        <w:t>$4.0 million to extend the Maitri Grants Program to support exchange and collaboration between Australian and Indian cultural, education, research and business communities.</w:t>
      </w:r>
    </w:p>
    <w:p w14:paraId="20CE3475" w14:textId="77777777" w:rsidR="00B628FF" w:rsidRDefault="005B2D2F">
      <w:pPr>
        <w:pStyle w:val="Normal2"/>
      </w:pPr>
      <w:r>
        <w:t>The cost of this measure will be partially met from savings from within the Foreign Affairs and Trade portfolio.</w:t>
      </w:r>
    </w:p>
    <w:p w14:paraId="21BF3DA7" w14:textId="77777777" w:rsidR="00B628FF" w:rsidRDefault="005B2D2F">
      <w:pPr>
        <w:pStyle w:val="MeasureTitle"/>
      </w:pPr>
      <w:r>
        <w:t>Support for Royal Solomon Islands Police Force Expansion</w:t>
      </w:r>
    </w:p>
    <w:p w14:paraId="40ACFEA5" w14:textId="77777777" w:rsidR="00B628FF" w:rsidRDefault="005B2D2F">
      <w:pPr>
        <w:pStyle w:val="MeasureTableHeading"/>
      </w:pPr>
      <w:r>
        <w:t>Payments ($m)</w:t>
      </w:r>
    </w:p>
    <w:tbl>
      <w:tblPr>
        <w:tblOverlap w:val="never"/>
        <w:tblW w:w="7721" w:type="dxa"/>
        <w:tblBorders>
          <w:top w:val="single" w:sz="4" w:space="0" w:color="000000"/>
          <w:bottom w:val="single" w:sz="4" w:space="0" w:color="000000"/>
        </w:tblBorders>
        <w:tblLayout w:type="fixed"/>
        <w:tblLook w:val="04A0" w:firstRow="1" w:lastRow="0" w:firstColumn="1" w:lastColumn="0" w:noHBand="0" w:noVBand="1"/>
      </w:tblPr>
      <w:tblGrid>
        <w:gridCol w:w="2501"/>
        <w:gridCol w:w="1044"/>
        <w:gridCol w:w="1044"/>
        <w:gridCol w:w="1044"/>
        <w:gridCol w:w="1044"/>
        <w:gridCol w:w="1044"/>
      </w:tblGrid>
      <w:tr w:rsidR="00B628FF" w14:paraId="1D330118" w14:textId="77777777">
        <w:trPr>
          <w:cantSplit/>
        </w:trPr>
        <w:tc>
          <w:tcPr>
            <w:tcW w:w="2500" w:type="dxa"/>
            <w:tcBorders>
              <w:top w:val="single" w:sz="4" w:space="0" w:color="000000"/>
              <w:bottom w:val="single" w:sz="4" w:space="0" w:color="000000"/>
            </w:tcBorders>
          </w:tcPr>
          <w:p w14:paraId="47B1C4A7" w14:textId="77777777" w:rsidR="00B628FF" w:rsidRDefault="00B628FF">
            <w:pPr>
              <w:pStyle w:val="MeasureTableYearHeadings"/>
              <w:keepNext/>
            </w:pPr>
          </w:p>
        </w:tc>
        <w:tc>
          <w:tcPr>
            <w:tcW w:w="1043" w:type="dxa"/>
            <w:tcBorders>
              <w:top w:val="single" w:sz="4" w:space="0" w:color="000000"/>
              <w:bottom w:val="single" w:sz="4" w:space="0" w:color="000000"/>
            </w:tcBorders>
          </w:tcPr>
          <w:p w14:paraId="09D203CD" w14:textId="1CABDDAD" w:rsidR="00B628FF" w:rsidRDefault="005B2D2F">
            <w:pPr>
              <w:pStyle w:val="MeasureTableYearHeadings"/>
              <w:keepNext/>
            </w:pPr>
            <w:r>
              <w:t>2024</w:t>
            </w:r>
            <w:r w:rsidR="00B31B37">
              <w:noBreakHyphen/>
            </w:r>
            <w:r>
              <w:t>25</w:t>
            </w:r>
          </w:p>
        </w:tc>
        <w:tc>
          <w:tcPr>
            <w:tcW w:w="1043" w:type="dxa"/>
            <w:tcBorders>
              <w:top w:val="single" w:sz="4" w:space="0" w:color="000000"/>
              <w:bottom w:val="single" w:sz="4" w:space="0" w:color="000000"/>
            </w:tcBorders>
          </w:tcPr>
          <w:p w14:paraId="58E88DBD" w14:textId="7F1A02DE" w:rsidR="00B628FF" w:rsidRDefault="005B2D2F">
            <w:pPr>
              <w:pStyle w:val="MeasureTableYearHeadings"/>
              <w:keepNext/>
            </w:pPr>
            <w:r>
              <w:t>2025</w:t>
            </w:r>
            <w:r w:rsidR="00B31B37">
              <w:noBreakHyphen/>
            </w:r>
            <w:r>
              <w:t>26</w:t>
            </w:r>
          </w:p>
        </w:tc>
        <w:tc>
          <w:tcPr>
            <w:tcW w:w="1043" w:type="dxa"/>
            <w:tcBorders>
              <w:top w:val="single" w:sz="4" w:space="0" w:color="000000"/>
              <w:bottom w:val="single" w:sz="4" w:space="0" w:color="000000"/>
            </w:tcBorders>
          </w:tcPr>
          <w:p w14:paraId="6C926353" w14:textId="56B1BAAA" w:rsidR="00B628FF" w:rsidRDefault="005B2D2F">
            <w:pPr>
              <w:pStyle w:val="MeasureTableYearHeadings"/>
              <w:keepNext/>
            </w:pPr>
            <w:r>
              <w:t>2026</w:t>
            </w:r>
            <w:r w:rsidR="00B31B37">
              <w:noBreakHyphen/>
            </w:r>
            <w:r>
              <w:t>27</w:t>
            </w:r>
          </w:p>
        </w:tc>
        <w:tc>
          <w:tcPr>
            <w:tcW w:w="1043" w:type="dxa"/>
            <w:tcBorders>
              <w:top w:val="single" w:sz="4" w:space="0" w:color="000000"/>
              <w:bottom w:val="single" w:sz="4" w:space="0" w:color="000000"/>
            </w:tcBorders>
          </w:tcPr>
          <w:p w14:paraId="46F954EC" w14:textId="37F0FCBA" w:rsidR="00B628FF" w:rsidRDefault="005B2D2F">
            <w:pPr>
              <w:pStyle w:val="MeasureTableYearHeadings"/>
              <w:keepNext/>
            </w:pPr>
            <w:r>
              <w:t>2027</w:t>
            </w:r>
            <w:r w:rsidR="00B31B37">
              <w:noBreakHyphen/>
            </w:r>
            <w:r>
              <w:t>28</w:t>
            </w:r>
          </w:p>
        </w:tc>
        <w:tc>
          <w:tcPr>
            <w:tcW w:w="1043" w:type="dxa"/>
            <w:tcBorders>
              <w:top w:val="single" w:sz="4" w:space="0" w:color="000000"/>
              <w:bottom w:val="single" w:sz="4" w:space="0" w:color="000000"/>
            </w:tcBorders>
          </w:tcPr>
          <w:p w14:paraId="663BBF9E" w14:textId="5D4C6E13" w:rsidR="00B628FF" w:rsidRDefault="005B2D2F">
            <w:pPr>
              <w:pStyle w:val="MeasureTableYearHeadings"/>
              <w:keepNext/>
            </w:pPr>
            <w:r>
              <w:t>2028</w:t>
            </w:r>
            <w:r w:rsidR="00B31B37">
              <w:noBreakHyphen/>
            </w:r>
            <w:r>
              <w:t>29</w:t>
            </w:r>
          </w:p>
        </w:tc>
      </w:tr>
      <w:tr w:rsidR="00B628FF" w14:paraId="46961CD4" w14:textId="77777777">
        <w:trPr>
          <w:cantSplit/>
        </w:trPr>
        <w:tc>
          <w:tcPr>
            <w:tcW w:w="2500" w:type="dxa"/>
            <w:tcBorders>
              <w:top w:val="single" w:sz="4" w:space="0" w:color="000000"/>
              <w:bottom w:val="single" w:sz="4" w:space="0" w:color="000000"/>
            </w:tcBorders>
          </w:tcPr>
          <w:p w14:paraId="48BDB063" w14:textId="77777777" w:rsidR="00B628FF" w:rsidRDefault="005B2D2F">
            <w:pPr>
              <w:pStyle w:val="MeasureTableHeadingleftalignedwith2ptsspacing"/>
              <w:keepNext/>
            </w:pPr>
            <w:r>
              <w:t>Australian Federal Police</w:t>
            </w:r>
          </w:p>
        </w:tc>
        <w:tc>
          <w:tcPr>
            <w:tcW w:w="1043" w:type="dxa"/>
            <w:tcBorders>
              <w:top w:val="single" w:sz="4" w:space="0" w:color="000000"/>
              <w:bottom w:val="single" w:sz="4" w:space="0" w:color="000000"/>
            </w:tcBorders>
          </w:tcPr>
          <w:p w14:paraId="3024A86C" w14:textId="0852A6BA"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095E04A4" w14:textId="68BC7C40"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76E4AD0A" w14:textId="30F39118"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3DCF51F1" w14:textId="501550D9"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55876763" w14:textId="02421B18" w:rsidR="00B628FF" w:rsidRDefault="00B31B37">
            <w:pPr>
              <w:pStyle w:val="MeasureTableDataRightAlignedwith2ptsspacing"/>
              <w:keepNext/>
            </w:pPr>
            <w:r>
              <w:noBreakHyphen/>
            </w:r>
          </w:p>
        </w:tc>
      </w:tr>
      <w:tr w:rsidR="00B628FF" w14:paraId="462D2F3A" w14:textId="77777777">
        <w:trPr>
          <w:cantSplit/>
        </w:trPr>
        <w:tc>
          <w:tcPr>
            <w:tcW w:w="2500" w:type="dxa"/>
            <w:tcBorders>
              <w:top w:val="single" w:sz="4" w:space="0" w:color="000000"/>
              <w:bottom w:val="single" w:sz="4" w:space="0" w:color="000000"/>
            </w:tcBorders>
          </w:tcPr>
          <w:p w14:paraId="07DCBF05" w14:textId="77777777" w:rsidR="00B628FF" w:rsidRDefault="005B2D2F">
            <w:pPr>
              <w:pStyle w:val="MeasureTableHeadingleftalignedwith2ptsspacing"/>
              <w:keepNext/>
            </w:pPr>
            <w:r>
              <w:t>Department of Defence</w:t>
            </w:r>
          </w:p>
        </w:tc>
        <w:tc>
          <w:tcPr>
            <w:tcW w:w="1043" w:type="dxa"/>
            <w:tcBorders>
              <w:top w:val="single" w:sz="4" w:space="0" w:color="000000"/>
              <w:bottom w:val="single" w:sz="4" w:space="0" w:color="000000"/>
            </w:tcBorders>
          </w:tcPr>
          <w:p w14:paraId="3A98D9AA" w14:textId="129170B0"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14E3271A" w14:textId="4B600FE4"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695FC9D7" w14:textId="422ED753"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1ACF1C31" w14:textId="29A02B9A"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16794A89" w14:textId="4C6BB4C8" w:rsidR="00B628FF" w:rsidRDefault="00B31B37">
            <w:pPr>
              <w:pStyle w:val="MeasureTableDataRightAlignedwith2ptsspacing"/>
              <w:keepNext/>
            </w:pPr>
            <w:r>
              <w:noBreakHyphen/>
            </w:r>
          </w:p>
        </w:tc>
      </w:tr>
      <w:tr w:rsidR="00B628FF" w14:paraId="1CE1E1DD" w14:textId="77777777">
        <w:trPr>
          <w:cantSplit/>
        </w:trPr>
        <w:tc>
          <w:tcPr>
            <w:tcW w:w="2500" w:type="dxa"/>
            <w:tcBorders>
              <w:top w:val="single" w:sz="4" w:space="0" w:color="000000"/>
              <w:bottom w:val="single" w:sz="4" w:space="0" w:color="000000"/>
            </w:tcBorders>
          </w:tcPr>
          <w:p w14:paraId="4E79AC85" w14:textId="77777777" w:rsidR="00B628FF" w:rsidRDefault="005B2D2F">
            <w:pPr>
              <w:pStyle w:val="MeasureTableHeadingleftalignedwith2ptsspacing"/>
              <w:keepNext/>
            </w:pPr>
            <w:r>
              <w:t>Department of Foreign Affairs and Trade</w:t>
            </w:r>
          </w:p>
        </w:tc>
        <w:tc>
          <w:tcPr>
            <w:tcW w:w="1043" w:type="dxa"/>
            <w:tcBorders>
              <w:top w:val="single" w:sz="4" w:space="0" w:color="000000"/>
              <w:bottom w:val="single" w:sz="4" w:space="0" w:color="000000"/>
            </w:tcBorders>
          </w:tcPr>
          <w:p w14:paraId="2CDC4C19" w14:textId="26F7F022"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1A60367F" w14:textId="4EB12B5C"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781770B0" w14:textId="15EC1231"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364B05E0" w14:textId="59FE86F2"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772D389D" w14:textId="52A43651" w:rsidR="00B628FF" w:rsidRDefault="00B31B37">
            <w:pPr>
              <w:pStyle w:val="MeasureTableDataRightAlignedwith2ptsspacing"/>
              <w:keepNext/>
            </w:pPr>
            <w:r>
              <w:noBreakHyphen/>
            </w:r>
          </w:p>
        </w:tc>
      </w:tr>
      <w:tr w:rsidR="00B628FF" w14:paraId="09297508" w14:textId="77777777">
        <w:trPr>
          <w:cantSplit/>
        </w:trPr>
        <w:tc>
          <w:tcPr>
            <w:tcW w:w="2500" w:type="dxa"/>
            <w:tcBorders>
              <w:top w:val="single" w:sz="4" w:space="0" w:color="000000"/>
              <w:bottom w:val="single" w:sz="4" w:space="0" w:color="000000"/>
            </w:tcBorders>
          </w:tcPr>
          <w:p w14:paraId="20A29475" w14:textId="77777777" w:rsidR="00B628FF" w:rsidRDefault="005B2D2F">
            <w:pPr>
              <w:pStyle w:val="Totalrowleftaligned"/>
              <w:keepNext/>
            </w:pPr>
            <w:r>
              <w:t>Total – Payments</w:t>
            </w:r>
          </w:p>
        </w:tc>
        <w:tc>
          <w:tcPr>
            <w:tcW w:w="1043" w:type="dxa"/>
            <w:tcBorders>
              <w:top w:val="single" w:sz="4" w:space="0" w:color="000000"/>
              <w:bottom w:val="single" w:sz="4" w:space="0" w:color="000000"/>
            </w:tcBorders>
          </w:tcPr>
          <w:p w14:paraId="182616B0" w14:textId="1511A883" w:rsidR="00B628FF" w:rsidRDefault="00B31B37">
            <w:pPr>
              <w:pStyle w:val="Totaldatarowrightaligned"/>
              <w:keepNext/>
            </w:pPr>
            <w:r>
              <w:noBreakHyphen/>
            </w:r>
          </w:p>
        </w:tc>
        <w:tc>
          <w:tcPr>
            <w:tcW w:w="1043" w:type="dxa"/>
            <w:tcBorders>
              <w:top w:val="single" w:sz="4" w:space="0" w:color="000000"/>
              <w:bottom w:val="single" w:sz="4" w:space="0" w:color="000000"/>
            </w:tcBorders>
          </w:tcPr>
          <w:p w14:paraId="08410AAC" w14:textId="2E906F81" w:rsidR="00B628FF" w:rsidRDefault="00B31B37">
            <w:pPr>
              <w:pStyle w:val="Totaldatarowrightaligned"/>
              <w:keepNext/>
            </w:pPr>
            <w:r>
              <w:noBreakHyphen/>
            </w:r>
          </w:p>
        </w:tc>
        <w:tc>
          <w:tcPr>
            <w:tcW w:w="1043" w:type="dxa"/>
            <w:tcBorders>
              <w:top w:val="single" w:sz="4" w:space="0" w:color="000000"/>
              <w:bottom w:val="single" w:sz="4" w:space="0" w:color="000000"/>
            </w:tcBorders>
          </w:tcPr>
          <w:p w14:paraId="42432CD2" w14:textId="3F0F47AD" w:rsidR="00B628FF" w:rsidRDefault="00B31B37">
            <w:pPr>
              <w:pStyle w:val="Totaldatarowrightaligned"/>
              <w:keepNext/>
            </w:pPr>
            <w:r>
              <w:noBreakHyphen/>
            </w:r>
          </w:p>
        </w:tc>
        <w:tc>
          <w:tcPr>
            <w:tcW w:w="1043" w:type="dxa"/>
            <w:tcBorders>
              <w:top w:val="single" w:sz="4" w:space="0" w:color="000000"/>
              <w:bottom w:val="single" w:sz="4" w:space="0" w:color="000000"/>
            </w:tcBorders>
          </w:tcPr>
          <w:p w14:paraId="261B40F1" w14:textId="7B223497" w:rsidR="00B628FF" w:rsidRDefault="00B31B37">
            <w:pPr>
              <w:pStyle w:val="Totaldatarowrightaligned"/>
              <w:keepNext/>
            </w:pPr>
            <w:r>
              <w:noBreakHyphen/>
            </w:r>
          </w:p>
        </w:tc>
        <w:tc>
          <w:tcPr>
            <w:tcW w:w="1043" w:type="dxa"/>
            <w:tcBorders>
              <w:top w:val="single" w:sz="4" w:space="0" w:color="000000"/>
              <w:bottom w:val="single" w:sz="4" w:space="0" w:color="000000"/>
            </w:tcBorders>
          </w:tcPr>
          <w:p w14:paraId="7E97306B" w14:textId="7C9551A4" w:rsidR="00B628FF" w:rsidRDefault="00B31B37">
            <w:pPr>
              <w:pStyle w:val="Totaldatarowrightaligned"/>
              <w:keepNext/>
            </w:pPr>
            <w:r>
              <w:noBreakHyphen/>
            </w:r>
          </w:p>
        </w:tc>
      </w:tr>
    </w:tbl>
    <w:p w14:paraId="167B66A3" w14:textId="77777777" w:rsidR="00B628FF" w:rsidRDefault="00B628FF">
      <w:pPr>
        <w:keepNext/>
        <w:spacing w:line="226" w:lineRule="exact"/>
        <w:rPr>
          <w:sz w:val="16"/>
        </w:rPr>
      </w:pPr>
    </w:p>
    <w:p w14:paraId="171D2D92" w14:textId="62E0CE6E" w:rsidR="00B628FF" w:rsidRDefault="005B2D2F">
      <w:pPr>
        <w:pStyle w:val="Normal2"/>
      </w:pPr>
      <w:r>
        <w:t>The Government will provide $164.6 million over four years from 2024–‍25 to support growth in the Royal Solomon Islands Police Force and build Solomon Islands</w:t>
      </w:r>
      <w:r w:rsidR="00B31B37">
        <w:t>’</w:t>
      </w:r>
      <w:r>
        <w:t xml:space="preserve"> ability to meet its security needs. This will enhance regional security and longstanding cooperation between Solomon Islands and Australia.</w:t>
      </w:r>
    </w:p>
    <w:p w14:paraId="5569EFE9" w14:textId="77777777" w:rsidR="00B628FF" w:rsidRDefault="005B2D2F">
      <w:pPr>
        <w:pStyle w:val="Normal2"/>
      </w:pPr>
      <w:r>
        <w:t>The Government has already provided funding for this measure.</w:t>
      </w:r>
    </w:p>
    <w:p w14:paraId="5C25AE7C" w14:textId="1C2BA798" w:rsidR="00B628FF" w:rsidRDefault="005B2D2F">
      <w:pPr>
        <w:pStyle w:val="Normal2"/>
      </w:pPr>
      <w:r>
        <w:t>Partial funding for this measure will be held in the Contingency Reserve to address requirements informed by Solomon Islands</w:t>
      </w:r>
      <w:r w:rsidR="00B31B37">
        <w:t>’</w:t>
      </w:r>
      <w:r>
        <w:t xml:space="preserve"> needs.</w:t>
      </w:r>
    </w:p>
    <w:p w14:paraId="2CA3BA04" w14:textId="77777777" w:rsidR="00B628FF" w:rsidRDefault="005B2D2F">
      <w:pPr>
        <w:pStyle w:val="MeasureTitle"/>
      </w:pPr>
      <w:r>
        <w:t>Supporting the Giant Pandas at Adelaide Zoo</w:t>
      </w:r>
    </w:p>
    <w:p w14:paraId="202405AB" w14:textId="77777777" w:rsidR="00B628FF" w:rsidRDefault="005B2D2F">
      <w:pPr>
        <w:pStyle w:val="MeasureTableHeading"/>
      </w:pPr>
      <w:r>
        <w:t>Payments ($m)</w:t>
      </w:r>
    </w:p>
    <w:tbl>
      <w:tblPr>
        <w:tblOverlap w:val="never"/>
        <w:tblW w:w="7721" w:type="dxa"/>
        <w:tblBorders>
          <w:top w:val="single" w:sz="4" w:space="0" w:color="000000"/>
          <w:bottom w:val="single" w:sz="4" w:space="0" w:color="000000"/>
        </w:tblBorders>
        <w:tblLayout w:type="fixed"/>
        <w:tblLook w:val="04A0" w:firstRow="1" w:lastRow="0" w:firstColumn="1" w:lastColumn="0" w:noHBand="0" w:noVBand="1"/>
      </w:tblPr>
      <w:tblGrid>
        <w:gridCol w:w="2501"/>
        <w:gridCol w:w="1044"/>
        <w:gridCol w:w="1044"/>
        <w:gridCol w:w="1044"/>
        <w:gridCol w:w="1044"/>
        <w:gridCol w:w="1044"/>
      </w:tblGrid>
      <w:tr w:rsidR="00B628FF" w14:paraId="3A55222D" w14:textId="77777777">
        <w:trPr>
          <w:cantSplit/>
        </w:trPr>
        <w:tc>
          <w:tcPr>
            <w:tcW w:w="2500" w:type="dxa"/>
            <w:tcBorders>
              <w:top w:val="single" w:sz="4" w:space="0" w:color="000000"/>
              <w:bottom w:val="single" w:sz="4" w:space="0" w:color="000000"/>
            </w:tcBorders>
          </w:tcPr>
          <w:p w14:paraId="20FA3F46" w14:textId="77777777" w:rsidR="00B628FF" w:rsidRDefault="00B628FF">
            <w:pPr>
              <w:pStyle w:val="MeasureTableYearHeadings"/>
              <w:keepNext/>
            </w:pPr>
          </w:p>
        </w:tc>
        <w:tc>
          <w:tcPr>
            <w:tcW w:w="1043" w:type="dxa"/>
            <w:tcBorders>
              <w:top w:val="single" w:sz="4" w:space="0" w:color="000000"/>
              <w:bottom w:val="single" w:sz="4" w:space="0" w:color="000000"/>
            </w:tcBorders>
          </w:tcPr>
          <w:p w14:paraId="3B5A2537" w14:textId="055710E4" w:rsidR="00B628FF" w:rsidRDefault="005B2D2F">
            <w:pPr>
              <w:pStyle w:val="MeasureTableYearHeadings"/>
              <w:keepNext/>
            </w:pPr>
            <w:r>
              <w:t>2024</w:t>
            </w:r>
            <w:r w:rsidR="00B31B37">
              <w:noBreakHyphen/>
            </w:r>
            <w:r>
              <w:t>25</w:t>
            </w:r>
          </w:p>
        </w:tc>
        <w:tc>
          <w:tcPr>
            <w:tcW w:w="1043" w:type="dxa"/>
            <w:tcBorders>
              <w:top w:val="single" w:sz="4" w:space="0" w:color="000000"/>
              <w:bottom w:val="single" w:sz="4" w:space="0" w:color="000000"/>
            </w:tcBorders>
          </w:tcPr>
          <w:p w14:paraId="0C527F15" w14:textId="59B74711" w:rsidR="00B628FF" w:rsidRDefault="005B2D2F">
            <w:pPr>
              <w:pStyle w:val="MeasureTableYearHeadings"/>
              <w:keepNext/>
            </w:pPr>
            <w:r>
              <w:t>2025</w:t>
            </w:r>
            <w:r w:rsidR="00B31B37">
              <w:noBreakHyphen/>
            </w:r>
            <w:r>
              <w:t>26</w:t>
            </w:r>
          </w:p>
        </w:tc>
        <w:tc>
          <w:tcPr>
            <w:tcW w:w="1043" w:type="dxa"/>
            <w:tcBorders>
              <w:top w:val="single" w:sz="4" w:space="0" w:color="000000"/>
              <w:bottom w:val="single" w:sz="4" w:space="0" w:color="000000"/>
            </w:tcBorders>
          </w:tcPr>
          <w:p w14:paraId="53E202C6" w14:textId="71A27D8E" w:rsidR="00B628FF" w:rsidRDefault="005B2D2F">
            <w:pPr>
              <w:pStyle w:val="MeasureTableYearHeadings"/>
              <w:keepNext/>
            </w:pPr>
            <w:r>
              <w:t>2026</w:t>
            </w:r>
            <w:r w:rsidR="00B31B37">
              <w:noBreakHyphen/>
            </w:r>
            <w:r>
              <w:t>27</w:t>
            </w:r>
          </w:p>
        </w:tc>
        <w:tc>
          <w:tcPr>
            <w:tcW w:w="1043" w:type="dxa"/>
            <w:tcBorders>
              <w:top w:val="single" w:sz="4" w:space="0" w:color="000000"/>
              <w:bottom w:val="single" w:sz="4" w:space="0" w:color="000000"/>
            </w:tcBorders>
          </w:tcPr>
          <w:p w14:paraId="20913DF9" w14:textId="7C26283C" w:rsidR="00B628FF" w:rsidRDefault="005B2D2F">
            <w:pPr>
              <w:pStyle w:val="MeasureTableYearHeadings"/>
              <w:keepNext/>
            </w:pPr>
            <w:r>
              <w:t>2027</w:t>
            </w:r>
            <w:r w:rsidR="00B31B37">
              <w:noBreakHyphen/>
            </w:r>
            <w:r>
              <w:t>28</w:t>
            </w:r>
          </w:p>
        </w:tc>
        <w:tc>
          <w:tcPr>
            <w:tcW w:w="1043" w:type="dxa"/>
            <w:tcBorders>
              <w:top w:val="single" w:sz="4" w:space="0" w:color="000000"/>
              <w:bottom w:val="single" w:sz="4" w:space="0" w:color="000000"/>
            </w:tcBorders>
          </w:tcPr>
          <w:p w14:paraId="7F033D57" w14:textId="3155CC9B" w:rsidR="00B628FF" w:rsidRDefault="005B2D2F">
            <w:pPr>
              <w:pStyle w:val="MeasureTableYearHeadings"/>
              <w:keepNext/>
            </w:pPr>
            <w:r>
              <w:t>2028</w:t>
            </w:r>
            <w:r w:rsidR="00B31B37">
              <w:noBreakHyphen/>
            </w:r>
            <w:r>
              <w:t>29</w:t>
            </w:r>
          </w:p>
        </w:tc>
      </w:tr>
      <w:tr w:rsidR="00B628FF" w14:paraId="5F9AE47B" w14:textId="77777777">
        <w:trPr>
          <w:cantSplit/>
        </w:trPr>
        <w:tc>
          <w:tcPr>
            <w:tcW w:w="2500" w:type="dxa"/>
            <w:tcBorders>
              <w:top w:val="single" w:sz="4" w:space="0" w:color="000000"/>
              <w:bottom w:val="single" w:sz="4" w:space="0" w:color="000000"/>
            </w:tcBorders>
          </w:tcPr>
          <w:p w14:paraId="6F0CDDA7" w14:textId="77777777" w:rsidR="00B628FF" w:rsidRDefault="005B2D2F">
            <w:pPr>
              <w:pStyle w:val="MeasureTableHeadingleftalignedwith2ptsspacing"/>
              <w:keepNext/>
            </w:pPr>
            <w:r>
              <w:t>Australian Trade and Investment Commission</w:t>
            </w:r>
          </w:p>
        </w:tc>
        <w:tc>
          <w:tcPr>
            <w:tcW w:w="1043" w:type="dxa"/>
            <w:tcBorders>
              <w:top w:val="single" w:sz="4" w:space="0" w:color="000000"/>
              <w:bottom w:val="single" w:sz="4" w:space="0" w:color="000000"/>
            </w:tcBorders>
          </w:tcPr>
          <w:p w14:paraId="5BA0508B" w14:textId="1AA04DA9"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303ECE85" w14:textId="517AF577"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74859EFA" w14:textId="117D32FA"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4530D4C8" w14:textId="67F71FEE"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7D5FCF26" w14:textId="6898A8D3" w:rsidR="00B628FF" w:rsidRDefault="00B31B37">
            <w:pPr>
              <w:pStyle w:val="MeasureTableDataRightAlignedwith2ptsspacing"/>
              <w:keepNext/>
            </w:pPr>
            <w:r>
              <w:noBreakHyphen/>
            </w:r>
          </w:p>
        </w:tc>
      </w:tr>
      <w:tr w:rsidR="00B628FF" w14:paraId="43E2DA1C" w14:textId="77777777">
        <w:trPr>
          <w:cantSplit/>
        </w:trPr>
        <w:tc>
          <w:tcPr>
            <w:tcW w:w="2500" w:type="dxa"/>
            <w:tcBorders>
              <w:top w:val="single" w:sz="4" w:space="0" w:color="000000"/>
              <w:bottom w:val="single" w:sz="4" w:space="0" w:color="000000"/>
            </w:tcBorders>
          </w:tcPr>
          <w:p w14:paraId="543C304E" w14:textId="77777777" w:rsidR="00B628FF" w:rsidRDefault="005B2D2F">
            <w:pPr>
              <w:pStyle w:val="MeasureTableHeadingleftalignedwith2ptsspacing"/>
              <w:keepNext/>
            </w:pPr>
            <w:r>
              <w:t>Department of the Treasury</w:t>
            </w:r>
          </w:p>
        </w:tc>
        <w:tc>
          <w:tcPr>
            <w:tcW w:w="1043" w:type="dxa"/>
            <w:tcBorders>
              <w:top w:val="single" w:sz="4" w:space="0" w:color="000000"/>
              <w:bottom w:val="single" w:sz="4" w:space="0" w:color="000000"/>
            </w:tcBorders>
          </w:tcPr>
          <w:p w14:paraId="2415F036" w14:textId="43AA0907"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78AD1337" w14:textId="5E07F091"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22C72FC0" w14:textId="5C162AF7"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4E7F9B83" w14:textId="64A1E842"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107DC45D" w14:textId="7A957E89" w:rsidR="00B628FF" w:rsidRDefault="00B31B37">
            <w:pPr>
              <w:pStyle w:val="MeasureTableDataRightAlignedwith2ptsspacing"/>
              <w:keepNext/>
            </w:pPr>
            <w:r>
              <w:noBreakHyphen/>
            </w:r>
          </w:p>
        </w:tc>
      </w:tr>
      <w:tr w:rsidR="00B628FF" w14:paraId="4FFAD921" w14:textId="77777777">
        <w:trPr>
          <w:cantSplit/>
        </w:trPr>
        <w:tc>
          <w:tcPr>
            <w:tcW w:w="2500" w:type="dxa"/>
            <w:tcBorders>
              <w:top w:val="single" w:sz="4" w:space="0" w:color="000000"/>
              <w:bottom w:val="single" w:sz="4" w:space="0" w:color="000000"/>
            </w:tcBorders>
          </w:tcPr>
          <w:p w14:paraId="70D63218" w14:textId="77777777" w:rsidR="00B628FF" w:rsidRDefault="005B2D2F">
            <w:pPr>
              <w:pStyle w:val="Totalrowleftaligned"/>
              <w:keepNext/>
            </w:pPr>
            <w:r>
              <w:t>Total – Payments</w:t>
            </w:r>
          </w:p>
        </w:tc>
        <w:tc>
          <w:tcPr>
            <w:tcW w:w="1043" w:type="dxa"/>
            <w:tcBorders>
              <w:top w:val="single" w:sz="4" w:space="0" w:color="000000"/>
              <w:bottom w:val="single" w:sz="4" w:space="0" w:color="000000"/>
            </w:tcBorders>
          </w:tcPr>
          <w:p w14:paraId="644CBF53" w14:textId="104E9584" w:rsidR="00B628FF" w:rsidRDefault="00B31B37">
            <w:pPr>
              <w:pStyle w:val="Totaldatarowrightaligned"/>
              <w:keepNext/>
            </w:pPr>
            <w:r>
              <w:noBreakHyphen/>
            </w:r>
          </w:p>
        </w:tc>
        <w:tc>
          <w:tcPr>
            <w:tcW w:w="1043" w:type="dxa"/>
            <w:tcBorders>
              <w:top w:val="single" w:sz="4" w:space="0" w:color="000000"/>
              <w:bottom w:val="single" w:sz="4" w:space="0" w:color="000000"/>
            </w:tcBorders>
          </w:tcPr>
          <w:p w14:paraId="6F54AFB0" w14:textId="476C7C47" w:rsidR="00B628FF" w:rsidRDefault="00B31B37">
            <w:pPr>
              <w:pStyle w:val="Totaldatarowrightaligned"/>
              <w:keepNext/>
            </w:pPr>
            <w:r>
              <w:noBreakHyphen/>
            </w:r>
          </w:p>
        </w:tc>
        <w:tc>
          <w:tcPr>
            <w:tcW w:w="1043" w:type="dxa"/>
            <w:tcBorders>
              <w:top w:val="single" w:sz="4" w:space="0" w:color="000000"/>
              <w:bottom w:val="single" w:sz="4" w:space="0" w:color="000000"/>
            </w:tcBorders>
          </w:tcPr>
          <w:p w14:paraId="1EE4D94B" w14:textId="1CAD57C7" w:rsidR="00B628FF" w:rsidRDefault="00B31B37">
            <w:pPr>
              <w:pStyle w:val="Totaldatarowrightaligned"/>
              <w:keepNext/>
            </w:pPr>
            <w:r>
              <w:noBreakHyphen/>
            </w:r>
          </w:p>
        </w:tc>
        <w:tc>
          <w:tcPr>
            <w:tcW w:w="1043" w:type="dxa"/>
            <w:tcBorders>
              <w:top w:val="single" w:sz="4" w:space="0" w:color="000000"/>
              <w:bottom w:val="single" w:sz="4" w:space="0" w:color="000000"/>
            </w:tcBorders>
          </w:tcPr>
          <w:p w14:paraId="4C70CA84" w14:textId="3440E29B" w:rsidR="00B628FF" w:rsidRDefault="00B31B37">
            <w:pPr>
              <w:pStyle w:val="Totaldatarowrightaligned"/>
              <w:keepNext/>
            </w:pPr>
            <w:r>
              <w:noBreakHyphen/>
            </w:r>
          </w:p>
        </w:tc>
        <w:tc>
          <w:tcPr>
            <w:tcW w:w="1043" w:type="dxa"/>
            <w:tcBorders>
              <w:top w:val="single" w:sz="4" w:space="0" w:color="000000"/>
              <w:bottom w:val="single" w:sz="4" w:space="0" w:color="000000"/>
            </w:tcBorders>
          </w:tcPr>
          <w:p w14:paraId="1E16139B" w14:textId="59BB49F9" w:rsidR="00B628FF" w:rsidRDefault="00B31B37">
            <w:pPr>
              <w:pStyle w:val="Totaldatarowrightaligned"/>
              <w:keepNext/>
            </w:pPr>
            <w:r>
              <w:noBreakHyphen/>
            </w:r>
          </w:p>
        </w:tc>
      </w:tr>
    </w:tbl>
    <w:p w14:paraId="6568AD30" w14:textId="77777777" w:rsidR="00B628FF" w:rsidRDefault="00B628FF">
      <w:pPr>
        <w:keepNext/>
        <w:spacing w:line="226" w:lineRule="exact"/>
        <w:rPr>
          <w:sz w:val="16"/>
        </w:rPr>
      </w:pPr>
    </w:p>
    <w:p w14:paraId="7BC90158" w14:textId="77777777" w:rsidR="00B628FF" w:rsidRDefault="005B2D2F">
      <w:pPr>
        <w:pStyle w:val="Normal2"/>
      </w:pPr>
      <w:r w:rsidRPr="5FA307DC">
        <w:rPr>
          <w:lang w:val="en-US"/>
        </w:rPr>
        <w:t>The Government will contribute $3.8 million over five years from 2024–‍25 (and an additional $3.8 million from 2029–‍30 to 2033–‍34) alongside the South Australian Government to support the Giant Pandas at Adelaide Zoo.</w:t>
      </w:r>
    </w:p>
    <w:p w14:paraId="69459749" w14:textId="77777777" w:rsidR="00B628FF" w:rsidRDefault="005B2D2F">
      <w:pPr>
        <w:pStyle w:val="Normal2"/>
      </w:pPr>
      <w:r>
        <w:t>The Government has already provided funding for this measure.</w:t>
      </w:r>
    </w:p>
    <w:p w14:paraId="2DC9B159" w14:textId="77777777" w:rsidR="00B628FF" w:rsidRDefault="005B2D2F">
      <w:pPr>
        <w:pStyle w:val="Normal2"/>
      </w:pPr>
      <w:r>
        <w:t>The Treasury manages Commonwealth payments to the states and territories.</w:t>
      </w:r>
    </w:p>
    <w:p w14:paraId="2DA57767" w14:textId="77777777" w:rsidR="00B628FF" w:rsidRDefault="00B628FF">
      <w:pPr>
        <w:sectPr w:rsidR="00B628FF" w:rsidSect="00A06F82">
          <w:headerReference w:type="even" r:id="rId75"/>
          <w:headerReference w:type="default" r:id="rId76"/>
          <w:footerReference w:type="even" r:id="rId77"/>
          <w:footerReference w:type="default" r:id="rId78"/>
          <w:headerReference w:type="first" r:id="rId79"/>
          <w:footerReference w:type="first" r:id="rId80"/>
          <w:pgSz w:w="11906" w:h="16838"/>
          <w:pgMar w:top="2835" w:right="2098" w:bottom="2466" w:left="2098" w:header="1814" w:footer="1814" w:gutter="0"/>
          <w:cols w:space="720"/>
          <w:docGrid w:linePitch="272"/>
        </w:sectPr>
      </w:pPr>
    </w:p>
    <w:p w14:paraId="3FE27C9D" w14:textId="77777777" w:rsidR="00B628FF" w:rsidRDefault="005B2D2F">
      <w:pPr>
        <w:pStyle w:val="PortfolioName"/>
      </w:pPr>
      <w:r>
        <w:t>Health and Aged Care</w:t>
      </w:r>
    </w:p>
    <w:p w14:paraId="6ED376D6" w14:textId="77777777" w:rsidR="00B628FF" w:rsidRDefault="005B2D2F">
      <w:pPr>
        <w:pStyle w:val="MeasureTitle"/>
      </w:pPr>
      <w:r>
        <w:t>Critical Health Infrastructure and Systems</w:t>
      </w:r>
    </w:p>
    <w:p w14:paraId="4182EDD9" w14:textId="77777777" w:rsidR="00B628FF" w:rsidRDefault="005B2D2F">
      <w:pPr>
        <w:pStyle w:val="MeasureTableHeading"/>
      </w:pPr>
      <w:r>
        <w:t>Payments ($m)</w:t>
      </w:r>
    </w:p>
    <w:tbl>
      <w:tblPr>
        <w:tblOverlap w:val="never"/>
        <w:tblW w:w="7721" w:type="dxa"/>
        <w:tblBorders>
          <w:top w:val="single" w:sz="4" w:space="0" w:color="000000"/>
          <w:bottom w:val="single" w:sz="4" w:space="0" w:color="000000"/>
        </w:tblBorders>
        <w:tblLayout w:type="fixed"/>
        <w:tblLook w:val="04A0" w:firstRow="1" w:lastRow="0" w:firstColumn="1" w:lastColumn="0" w:noHBand="0" w:noVBand="1"/>
      </w:tblPr>
      <w:tblGrid>
        <w:gridCol w:w="2501"/>
        <w:gridCol w:w="1044"/>
        <w:gridCol w:w="1044"/>
        <w:gridCol w:w="1044"/>
        <w:gridCol w:w="1044"/>
        <w:gridCol w:w="1044"/>
      </w:tblGrid>
      <w:tr w:rsidR="00B628FF" w14:paraId="22176091" w14:textId="77777777">
        <w:trPr>
          <w:cantSplit/>
        </w:trPr>
        <w:tc>
          <w:tcPr>
            <w:tcW w:w="2500" w:type="dxa"/>
            <w:tcBorders>
              <w:top w:val="single" w:sz="4" w:space="0" w:color="000000"/>
              <w:bottom w:val="single" w:sz="4" w:space="0" w:color="000000"/>
            </w:tcBorders>
          </w:tcPr>
          <w:p w14:paraId="56EB6C48" w14:textId="77777777" w:rsidR="00B628FF" w:rsidRDefault="00B628FF">
            <w:pPr>
              <w:pStyle w:val="MeasureTableYearHeadings"/>
              <w:keepNext/>
            </w:pPr>
          </w:p>
        </w:tc>
        <w:tc>
          <w:tcPr>
            <w:tcW w:w="1043" w:type="dxa"/>
            <w:tcBorders>
              <w:top w:val="single" w:sz="4" w:space="0" w:color="000000"/>
              <w:bottom w:val="single" w:sz="4" w:space="0" w:color="000000"/>
            </w:tcBorders>
          </w:tcPr>
          <w:p w14:paraId="20A5E6D1" w14:textId="200E564F" w:rsidR="00B628FF" w:rsidRDefault="005B2D2F">
            <w:pPr>
              <w:pStyle w:val="MeasureTableYearHeadings"/>
              <w:keepNext/>
            </w:pPr>
            <w:r>
              <w:t>2024</w:t>
            </w:r>
            <w:r w:rsidR="00B31B37">
              <w:noBreakHyphen/>
            </w:r>
            <w:r>
              <w:t>25</w:t>
            </w:r>
          </w:p>
        </w:tc>
        <w:tc>
          <w:tcPr>
            <w:tcW w:w="1043" w:type="dxa"/>
            <w:tcBorders>
              <w:top w:val="single" w:sz="4" w:space="0" w:color="000000"/>
              <w:bottom w:val="single" w:sz="4" w:space="0" w:color="000000"/>
            </w:tcBorders>
          </w:tcPr>
          <w:p w14:paraId="17949F8B" w14:textId="028C9FC6" w:rsidR="00B628FF" w:rsidRDefault="005B2D2F">
            <w:pPr>
              <w:pStyle w:val="MeasureTableYearHeadings"/>
              <w:keepNext/>
            </w:pPr>
            <w:r>
              <w:t>2025</w:t>
            </w:r>
            <w:r w:rsidR="00B31B37">
              <w:noBreakHyphen/>
            </w:r>
            <w:r>
              <w:t>26</w:t>
            </w:r>
          </w:p>
        </w:tc>
        <w:tc>
          <w:tcPr>
            <w:tcW w:w="1043" w:type="dxa"/>
            <w:tcBorders>
              <w:top w:val="single" w:sz="4" w:space="0" w:color="000000"/>
              <w:bottom w:val="single" w:sz="4" w:space="0" w:color="000000"/>
            </w:tcBorders>
          </w:tcPr>
          <w:p w14:paraId="3BB95324" w14:textId="37DF5084" w:rsidR="00B628FF" w:rsidRDefault="005B2D2F">
            <w:pPr>
              <w:pStyle w:val="MeasureTableYearHeadings"/>
              <w:keepNext/>
            </w:pPr>
            <w:r>
              <w:t>2026</w:t>
            </w:r>
            <w:r w:rsidR="00B31B37">
              <w:noBreakHyphen/>
            </w:r>
            <w:r>
              <w:t>27</w:t>
            </w:r>
          </w:p>
        </w:tc>
        <w:tc>
          <w:tcPr>
            <w:tcW w:w="1043" w:type="dxa"/>
            <w:tcBorders>
              <w:top w:val="single" w:sz="4" w:space="0" w:color="000000"/>
              <w:bottom w:val="single" w:sz="4" w:space="0" w:color="000000"/>
            </w:tcBorders>
          </w:tcPr>
          <w:p w14:paraId="4FB75608" w14:textId="3788AA7E" w:rsidR="00B628FF" w:rsidRDefault="005B2D2F">
            <w:pPr>
              <w:pStyle w:val="MeasureTableYearHeadings"/>
              <w:keepNext/>
            </w:pPr>
            <w:r>
              <w:t>2027</w:t>
            </w:r>
            <w:r w:rsidR="00B31B37">
              <w:noBreakHyphen/>
            </w:r>
            <w:r>
              <w:t>28</w:t>
            </w:r>
          </w:p>
        </w:tc>
        <w:tc>
          <w:tcPr>
            <w:tcW w:w="1043" w:type="dxa"/>
            <w:tcBorders>
              <w:top w:val="single" w:sz="4" w:space="0" w:color="000000"/>
              <w:bottom w:val="single" w:sz="4" w:space="0" w:color="000000"/>
            </w:tcBorders>
          </w:tcPr>
          <w:p w14:paraId="476C5576" w14:textId="7F1A9A46" w:rsidR="00B628FF" w:rsidRDefault="005B2D2F">
            <w:pPr>
              <w:pStyle w:val="MeasureTableYearHeadings"/>
              <w:keepNext/>
            </w:pPr>
            <w:r>
              <w:t>2028</w:t>
            </w:r>
            <w:r w:rsidR="00B31B37">
              <w:noBreakHyphen/>
            </w:r>
            <w:r>
              <w:t>29</w:t>
            </w:r>
          </w:p>
        </w:tc>
      </w:tr>
      <w:tr w:rsidR="00B628FF" w14:paraId="78232300" w14:textId="77777777">
        <w:trPr>
          <w:cantSplit/>
        </w:trPr>
        <w:tc>
          <w:tcPr>
            <w:tcW w:w="2500" w:type="dxa"/>
            <w:tcBorders>
              <w:top w:val="single" w:sz="4" w:space="0" w:color="000000"/>
              <w:bottom w:val="single" w:sz="4" w:space="0" w:color="000000"/>
            </w:tcBorders>
          </w:tcPr>
          <w:p w14:paraId="75E06633" w14:textId="77777777" w:rsidR="00B628FF" w:rsidRDefault="005B2D2F">
            <w:pPr>
              <w:pStyle w:val="MeasureTableHeadingleftalignedwith2ptsspacing"/>
              <w:keepNext/>
            </w:pPr>
            <w:r>
              <w:t>Department of Health and Aged Care</w:t>
            </w:r>
          </w:p>
        </w:tc>
        <w:tc>
          <w:tcPr>
            <w:tcW w:w="1043" w:type="dxa"/>
            <w:tcBorders>
              <w:top w:val="single" w:sz="4" w:space="0" w:color="000000"/>
              <w:bottom w:val="single" w:sz="4" w:space="0" w:color="000000"/>
            </w:tcBorders>
          </w:tcPr>
          <w:p w14:paraId="3CBDB654" w14:textId="471AD137"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55087B79" w14:textId="77777777" w:rsidR="00B628FF" w:rsidRDefault="005B2D2F">
            <w:pPr>
              <w:pStyle w:val="MeasureTableDataRightAlignedwith2ptsspacing"/>
              <w:keepNext/>
            </w:pPr>
            <w:r>
              <w:t>0.6</w:t>
            </w:r>
          </w:p>
        </w:tc>
        <w:tc>
          <w:tcPr>
            <w:tcW w:w="1043" w:type="dxa"/>
            <w:tcBorders>
              <w:top w:val="single" w:sz="4" w:space="0" w:color="000000"/>
              <w:bottom w:val="single" w:sz="4" w:space="0" w:color="000000"/>
            </w:tcBorders>
          </w:tcPr>
          <w:p w14:paraId="4175AB52" w14:textId="77777777" w:rsidR="00B628FF" w:rsidRDefault="005B2D2F">
            <w:pPr>
              <w:pStyle w:val="MeasureTableDataRightAlignedwith2ptsspacing"/>
              <w:keepNext/>
            </w:pPr>
            <w:r>
              <w:t>0.6</w:t>
            </w:r>
          </w:p>
        </w:tc>
        <w:tc>
          <w:tcPr>
            <w:tcW w:w="1043" w:type="dxa"/>
            <w:tcBorders>
              <w:top w:val="single" w:sz="4" w:space="0" w:color="000000"/>
              <w:bottom w:val="single" w:sz="4" w:space="0" w:color="000000"/>
            </w:tcBorders>
          </w:tcPr>
          <w:p w14:paraId="5A3A44E0" w14:textId="77777777" w:rsidR="00B628FF" w:rsidRDefault="005B2D2F">
            <w:pPr>
              <w:pStyle w:val="MeasureTableDataRightAlignedwith2ptsspacing"/>
              <w:keepNext/>
            </w:pPr>
            <w:r>
              <w:t>0.6</w:t>
            </w:r>
          </w:p>
        </w:tc>
        <w:tc>
          <w:tcPr>
            <w:tcW w:w="1043" w:type="dxa"/>
            <w:tcBorders>
              <w:top w:val="single" w:sz="4" w:space="0" w:color="000000"/>
              <w:bottom w:val="single" w:sz="4" w:space="0" w:color="000000"/>
            </w:tcBorders>
          </w:tcPr>
          <w:p w14:paraId="08712849" w14:textId="77777777" w:rsidR="00B628FF" w:rsidRDefault="005B2D2F">
            <w:pPr>
              <w:pStyle w:val="MeasureTableDataRightAlignedwith2ptsspacing"/>
              <w:keepNext/>
            </w:pPr>
            <w:r>
              <w:t>0.6</w:t>
            </w:r>
          </w:p>
        </w:tc>
      </w:tr>
      <w:tr w:rsidR="00B628FF" w14:paraId="4DFAC8BC" w14:textId="77777777">
        <w:trPr>
          <w:cantSplit/>
        </w:trPr>
        <w:tc>
          <w:tcPr>
            <w:tcW w:w="2500" w:type="dxa"/>
            <w:tcBorders>
              <w:top w:val="single" w:sz="4" w:space="0" w:color="000000"/>
              <w:bottom w:val="single" w:sz="4" w:space="0" w:color="000000"/>
            </w:tcBorders>
          </w:tcPr>
          <w:p w14:paraId="7702B6D3" w14:textId="77777777" w:rsidR="00B628FF" w:rsidRDefault="005B2D2F">
            <w:pPr>
              <w:pStyle w:val="MeasureTableHeadingleftalignedwith2ptsspacing"/>
              <w:keepNext/>
            </w:pPr>
            <w:r>
              <w:t>Australian Radiation Protection and Nuclear Safety Agency</w:t>
            </w:r>
          </w:p>
        </w:tc>
        <w:tc>
          <w:tcPr>
            <w:tcW w:w="1043" w:type="dxa"/>
            <w:tcBorders>
              <w:top w:val="single" w:sz="4" w:space="0" w:color="000000"/>
              <w:bottom w:val="single" w:sz="4" w:space="0" w:color="000000"/>
            </w:tcBorders>
          </w:tcPr>
          <w:p w14:paraId="3E2CB85C" w14:textId="24134D05"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54A97710" w14:textId="79544E22"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04499242" w14:textId="502C3071"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157CA19B" w14:textId="40EC8A5B"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6950708D" w14:textId="74A285C8" w:rsidR="00B628FF" w:rsidRDefault="00B31B37">
            <w:pPr>
              <w:pStyle w:val="MeasureTableDataRightAlignedwith2ptsspacing"/>
              <w:keepNext/>
            </w:pPr>
            <w:r>
              <w:noBreakHyphen/>
            </w:r>
          </w:p>
        </w:tc>
      </w:tr>
      <w:tr w:rsidR="00B628FF" w14:paraId="4E89A357" w14:textId="77777777">
        <w:trPr>
          <w:cantSplit/>
        </w:trPr>
        <w:tc>
          <w:tcPr>
            <w:tcW w:w="2500" w:type="dxa"/>
            <w:tcBorders>
              <w:top w:val="single" w:sz="4" w:space="0" w:color="000000"/>
              <w:bottom w:val="single" w:sz="4" w:space="0" w:color="000000"/>
            </w:tcBorders>
          </w:tcPr>
          <w:p w14:paraId="28F3A346" w14:textId="77777777" w:rsidR="00B628FF" w:rsidRDefault="005B2D2F">
            <w:pPr>
              <w:pStyle w:val="Totalrowleftaligned"/>
              <w:keepNext/>
            </w:pPr>
            <w:r>
              <w:t>Total – Payments</w:t>
            </w:r>
          </w:p>
        </w:tc>
        <w:tc>
          <w:tcPr>
            <w:tcW w:w="1043" w:type="dxa"/>
            <w:tcBorders>
              <w:top w:val="single" w:sz="4" w:space="0" w:color="000000"/>
              <w:bottom w:val="single" w:sz="4" w:space="0" w:color="000000"/>
            </w:tcBorders>
          </w:tcPr>
          <w:p w14:paraId="25CB7924" w14:textId="263CE50C" w:rsidR="00B628FF" w:rsidRDefault="00B31B37">
            <w:pPr>
              <w:pStyle w:val="Totaldatarowrightaligned"/>
              <w:keepNext/>
            </w:pPr>
            <w:r>
              <w:noBreakHyphen/>
            </w:r>
          </w:p>
        </w:tc>
        <w:tc>
          <w:tcPr>
            <w:tcW w:w="1043" w:type="dxa"/>
            <w:tcBorders>
              <w:top w:val="single" w:sz="4" w:space="0" w:color="000000"/>
              <w:bottom w:val="single" w:sz="4" w:space="0" w:color="000000"/>
            </w:tcBorders>
          </w:tcPr>
          <w:p w14:paraId="09F32336" w14:textId="77777777" w:rsidR="00B628FF" w:rsidRDefault="005B2D2F">
            <w:pPr>
              <w:pStyle w:val="Totaldatarowrightaligned"/>
              <w:keepNext/>
            </w:pPr>
            <w:r>
              <w:t>0.6</w:t>
            </w:r>
          </w:p>
        </w:tc>
        <w:tc>
          <w:tcPr>
            <w:tcW w:w="1043" w:type="dxa"/>
            <w:tcBorders>
              <w:top w:val="single" w:sz="4" w:space="0" w:color="000000"/>
              <w:bottom w:val="single" w:sz="4" w:space="0" w:color="000000"/>
            </w:tcBorders>
          </w:tcPr>
          <w:p w14:paraId="4F9A8CE2" w14:textId="77777777" w:rsidR="00B628FF" w:rsidRDefault="005B2D2F">
            <w:pPr>
              <w:pStyle w:val="Totaldatarowrightaligned"/>
              <w:keepNext/>
            </w:pPr>
            <w:r>
              <w:t>0.6</w:t>
            </w:r>
          </w:p>
        </w:tc>
        <w:tc>
          <w:tcPr>
            <w:tcW w:w="1043" w:type="dxa"/>
            <w:tcBorders>
              <w:top w:val="single" w:sz="4" w:space="0" w:color="000000"/>
              <w:bottom w:val="single" w:sz="4" w:space="0" w:color="000000"/>
            </w:tcBorders>
          </w:tcPr>
          <w:p w14:paraId="771B91C4" w14:textId="77777777" w:rsidR="00B628FF" w:rsidRDefault="005B2D2F">
            <w:pPr>
              <w:pStyle w:val="Totaldatarowrightaligned"/>
              <w:keepNext/>
            </w:pPr>
            <w:r>
              <w:t>0.6</w:t>
            </w:r>
          </w:p>
        </w:tc>
        <w:tc>
          <w:tcPr>
            <w:tcW w:w="1043" w:type="dxa"/>
            <w:tcBorders>
              <w:top w:val="single" w:sz="4" w:space="0" w:color="000000"/>
              <w:bottom w:val="single" w:sz="4" w:space="0" w:color="000000"/>
            </w:tcBorders>
          </w:tcPr>
          <w:p w14:paraId="77B3F9F8" w14:textId="77777777" w:rsidR="00B628FF" w:rsidRDefault="005B2D2F">
            <w:pPr>
              <w:pStyle w:val="Totaldatarowrightaligned"/>
              <w:keepNext/>
            </w:pPr>
            <w:r>
              <w:t>0.6</w:t>
            </w:r>
          </w:p>
        </w:tc>
      </w:tr>
      <w:tr w:rsidR="00B628FF" w14:paraId="65C5ECA4" w14:textId="77777777">
        <w:trPr>
          <w:cantSplit/>
        </w:trPr>
        <w:tc>
          <w:tcPr>
            <w:tcW w:w="2500" w:type="dxa"/>
          </w:tcPr>
          <w:p w14:paraId="114C3160" w14:textId="77777777" w:rsidR="00B628FF" w:rsidRDefault="005B2D2F">
            <w:pPr>
              <w:pStyle w:val="AgencyName"/>
              <w:keepNext/>
            </w:pPr>
            <w:r>
              <w:t>Related receipts ($m)</w:t>
            </w:r>
          </w:p>
        </w:tc>
        <w:tc>
          <w:tcPr>
            <w:tcW w:w="1043" w:type="dxa"/>
          </w:tcPr>
          <w:p w14:paraId="330EF183" w14:textId="77777777" w:rsidR="00B628FF" w:rsidRDefault="00B628FF">
            <w:pPr>
              <w:pStyle w:val="AgencyName"/>
              <w:keepNext/>
            </w:pPr>
          </w:p>
        </w:tc>
        <w:tc>
          <w:tcPr>
            <w:tcW w:w="1043" w:type="dxa"/>
          </w:tcPr>
          <w:p w14:paraId="5F540CEC" w14:textId="77777777" w:rsidR="00B628FF" w:rsidRDefault="00B628FF">
            <w:pPr>
              <w:pStyle w:val="AgencyName"/>
              <w:keepNext/>
            </w:pPr>
          </w:p>
        </w:tc>
        <w:tc>
          <w:tcPr>
            <w:tcW w:w="1043" w:type="dxa"/>
          </w:tcPr>
          <w:p w14:paraId="3680ADE0" w14:textId="77777777" w:rsidR="00B628FF" w:rsidRDefault="00B628FF">
            <w:pPr>
              <w:pStyle w:val="AgencyName"/>
              <w:keepNext/>
            </w:pPr>
          </w:p>
        </w:tc>
        <w:tc>
          <w:tcPr>
            <w:tcW w:w="1043" w:type="dxa"/>
          </w:tcPr>
          <w:p w14:paraId="019B32AF" w14:textId="77777777" w:rsidR="00B628FF" w:rsidRDefault="00B628FF">
            <w:pPr>
              <w:pStyle w:val="AgencyName"/>
              <w:keepNext/>
            </w:pPr>
          </w:p>
        </w:tc>
        <w:tc>
          <w:tcPr>
            <w:tcW w:w="1043" w:type="dxa"/>
          </w:tcPr>
          <w:p w14:paraId="39F421EA" w14:textId="77777777" w:rsidR="00B628FF" w:rsidRDefault="00B628FF">
            <w:pPr>
              <w:pStyle w:val="AgencyName"/>
              <w:keepNext/>
            </w:pPr>
          </w:p>
        </w:tc>
      </w:tr>
      <w:tr w:rsidR="00B628FF" w14:paraId="3058BE70" w14:textId="77777777">
        <w:tc>
          <w:tcPr>
            <w:tcW w:w="2500" w:type="dxa"/>
          </w:tcPr>
          <w:p w14:paraId="751444B0" w14:textId="77777777" w:rsidR="00B628FF" w:rsidRDefault="005B2D2F">
            <w:pPr>
              <w:pStyle w:val="AgencyNamewith2ptsspacing"/>
              <w:keepNext/>
            </w:pPr>
            <w:r>
              <w:t>Department of Health and Aged Care</w:t>
            </w:r>
          </w:p>
        </w:tc>
        <w:tc>
          <w:tcPr>
            <w:tcW w:w="1043" w:type="dxa"/>
          </w:tcPr>
          <w:p w14:paraId="259C1078" w14:textId="6DDDDFE2" w:rsidR="00B628FF" w:rsidRDefault="00B31B37">
            <w:pPr>
              <w:pStyle w:val="Measuretabledatarightaligneditalics"/>
              <w:keepNext/>
            </w:pPr>
            <w:r>
              <w:noBreakHyphen/>
            </w:r>
          </w:p>
        </w:tc>
        <w:tc>
          <w:tcPr>
            <w:tcW w:w="1043" w:type="dxa"/>
          </w:tcPr>
          <w:p w14:paraId="6F30A13C" w14:textId="77777777" w:rsidR="00B628FF" w:rsidRDefault="005B2D2F">
            <w:pPr>
              <w:pStyle w:val="Measuretabledatarightaligneditalics"/>
              <w:keepNext/>
            </w:pPr>
            <w:r>
              <w:t>0.6</w:t>
            </w:r>
          </w:p>
        </w:tc>
        <w:tc>
          <w:tcPr>
            <w:tcW w:w="1043" w:type="dxa"/>
          </w:tcPr>
          <w:p w14:paraId="37A66C3D" w14:textId="77777777" w:rsidR="00B628FF" w:rsidRDefault="005B2D2F">
            <w:pPr>
              <w:pStyle w:val="Measuretabledatarightaligneditalics"/>
              <w:keepNext/>
            </w:pPr>
            <w:r>
              <w:t>0.6</w:t>
            </w:r>
          </w:p>
        </w:tc>
        <w:tc>
          <w:tcPr>
            <w:tcW w:w="1043" w:type="dxa"/>
          </w:tcPr>
          <w:p w14:paraId="06933A4D" w14:textId="77777777" w:rsidR="00B628FF" w:rsidRDefault="005B2D2F">
            <w:pPr>
              <w:pStyle w:val="Measuretabledatarightaligneditalics"/>
              <w:keepNext/>
            </w:pPr>
            <w:r>
              <w:t>0.6</w:t>
            </w:r>
          </w:p>
        </w:tc>
        <w:tc>
          <w:tcPr>
            <w:tcW w:w="1043" w:type="dxa"/>
          </w:tcPr>
          <w:p w14:paraId="59306327" w14:textId="77777777" w:rsidR="00B628FF" w:rsidRDefault="005B2D2F">
            <w:pPr>
              <w:pStyle w:val="Measuretabledatarightaligneditalics"/>
              <w:keepNext/>
            </w:pPr>
            <w:r>
              <w:t>0.6</w:t>
            </w:r>
          </w:p>
        </w:tc>
      </w:tr>
    </w:tbl>
    <w:p w14:paraId="578E9E69" w14:textId="77777777" w:rsidR="00B628FF" w:rsidRDefault="00B628FF">
      <w:pPr>
        <w:keepNext/>
        <w:spacing w:line="226" w:lineRule="exact"/>
        <w:rPr>
          <w:sz w:val="16"/>
        </w:rPr>
      </w:pPr>
    </w:p>
    <w:p w14:paraId="1560062D" w14:textId="77777777" w:rsidR="00B628FF" w:rsidRDefault="005B2D2F">
      <w:pPr>
        <w:pStyle w:val="Normal2"/>
      </w:pPr>
      <w:r>
        <w:t>The Government will provide funding to secure critical health infrastructure and systems, including:</w:t>
      </w:r>
    </w:p>
    <w:p w14:paraId="1FD9B2A2" w14:textId="77777777" w:rsidR="00B628FF" w:rsidRDefault="005B2D2F">
      <w:pPr>
        <w:pStyle w:val="Bullet"/>
      </w:pPr>
      <w:r>
        <w:t>$22.9 million over five years from 2024–‍25 to address intravenous (IV) fluids shortages by expanding onshore IV fluid production capacity, establishing a panel of suppliers for IV fluids, and undertaking a clinical review of IV fluids</w:t>
      </w:r>
    </w:p>
    <w:p w14:paraId="7DA6B2DC" w14:textId="57CF3304" w:rsidR="00B628FF" w:rsidRDefault="005B2D2F">
      <w:pPr>
        <w:pStyle w:val="Bullet"/>
      </w:pPr>
      <w:r>
        <w:t xml:space="preserve">$3.7 million over two years from 2025–‍26 to replace the Cobalt‑60 </w:t>
      </w:r>
      <w:r w:rsidR="00FC5306">
        <w:t>t</w:t>
      </w:r>
      <w:r>
        <w:t xml:space="preserve">eletherapy </w:t>
      </w:r>
      <w:r w:rsidR="00FC5306">
        <w:t>s</w:t>
      </w:r>
      <w:r>
        <w:t>ource for the calibration of radiotherapy devices used for radiation therapy</w:t>
      </w:r>
    </w:p>
    <w:p w14:paraId="7F28A318" w14:textId="77777777" w:rsidR="00B628FF" w:rsidRDefault="005B2D2F">
      <w:pPr>
        <w:pStyle w:val="Bullet"/>
      </w:pPr>
      <w:r>
        <w:t>$2.4 million over four years from 2025–‍26 (and $0.6 million per year ongoing) to increase the core operating funding for the National Joint Replacement Registry.</w:t>
      </w:r>
    </w:p>
    <w:p w14:paraId="5505D59D" w14:textId="77777777" w:rsidR="00B628FF" w:rsidRDefault="005B2D2F">
      <w:pPr>
        <w:pStyle w:val="Normal2"/>
      </w:pPr>
      <w:r>
        <w:t>The Government has already provided partial funding for this measure.</w:t>
      </w:r>
    </w:p>
    <w:p w14:paraId="5BE0D8A7" w14:textId="77777777" w:rsidR="00B628FF" w:rsidRDefault="005B2D2F">
      <w:pPr>
        <w:pStyle w:val="Normal2"/>
      </w:pPr>
      <w:r>
        <w:t>The cost of this measure will be partially met from within the existing resourcing of the Department of Health and Aged Care and the Australian Radiation Protection and Nuclear Safety Agency.</w:t>
      </w:r>
    </w:p>
    <w:p w14:paraId="5BE458BB" w14:textId="40ECE00C" w:rsidR="00B628FF" w:rsidRDefault="005B2D2F">
      <w:pPr>
        <w:pStyle w:val="Normal2"/>
      </w:pPr>
      <w:r w:rsidRPr="5FA307DC">
        <w:rPr>
          <w:lang w:val="en-US"/>
        </w:rPr>
        <w:t>The cost of this measure will be partially met from the anticipated recovery of $2.4 million over four</w:t>
      </w:r>
      <w:r w:rsidR="00417830" w:rsidRPr="5FA307DC">
        <w:rPr>
          <w:lang w:val="en-US"/>
        </w:rPr>
        <w:t> </w:t>
      </w:r>
      <w:r w:rsidRPr="5FA307DC">
        <w:rPr>
          <w:lang w:val="en-US"/>
        </w:rPr>
        <w:t>years from 2025–‍26 (and $0.6 million per year ongoing) through changes to the National Joint Replacement Registry Levy.</w:t>
      </w:r>
    </w:p>
    <w:p w14:paraId="622CE482" w14:textId="77777777" w:rsidR="00B628FF" w:rsidRDefault="005B2D2F">
      <w:pPr>
        <w:pStyle w:val="Normal2"/>
      </w:pPr>
      <w:r w:rsidRPr="5FA307DC">
        <w:rPr>
          <w:lang w:val="en-US"/>
        </w:rPr>
        <w:t xml:space="preserve">This measure builds on the 2024–‍25 Budget measure titled </w:t>
      </w:r>
      <w:r w:rsidRPr="5FA307DC">
        <w:rPr>
          <w:i/>
          <w:iCs/>
          <w:lang w:val="en-US"/>
        </w:rPr>
        <w:t>National Joint Replacement Registry – additional funding.</w:t>
      </w:r>
    </w:p>
    <w:p w14:paraId="6F47429D" w14:textId="77777777" w:rsidR="00B628FF" w:rsidRDefault="005B2D2F">
      <w:pPr>
        <w:pStyle w:val="MeasureTitle"/>
      </w:pPr>
      <w:r>
        <w:t>Digital Mental Health</w:t>
      </w:r>
    </w:p>
    <w:p w14:paraId="1BD376C0" w14:textId="77777777" w:rsidR="00B628FF" w:rsidRDefault="005B2D2F">
      <w:pPr>
        <w:pStyle w:val="MeasureTableHeading"/>
      </w:pPr>
      <w:r>
        <w:t>Payments ($m)</w:t>
      </w:r>
    </w:p>
    <w:tbl>
      <w:tblPr>
        <w:tblOverlap w:val="never"/>
        <w:tblW w:w="7721" w:type="dxa"/>
        <w:tblBorders>
          <w:top w:val="single" w:sz="4" w:space="0" w:color="000000"/>
          <w:bottom w:val="single" w:sz="4" w:space="0" w:color="000000"/>
        </w:tblBorders>
        <w:tblLayout w:type="fixed"/>
        <w:tblLook w:val="04A0" w:firstRow="1" w:lastRow="0" w:firstColumn="1" w:lastColumn="0" w:noHBand="0" w:noVBand="1"/>
      </w:tblPr>
      <w:tblGrid>
        <w:gridCol w:w="2501"/>
        <w:gridCol w:w="1044"/>
        <w:gridCol w:w="1044"/>
        <w:gridCol w:w="1044"/>
        <w:gridCol w:w="1044"/>
        <w:gridCol w:w="1044"/>
      </w:tblGrid>
      <w:tr w:rsidR="00B628FF" w14:paraId="392DC955" w14:textId="77777777">
        <w:trPr>
          <w:cantSplit/>
        </w:trPr>
        <w:tc>
          <w:tcPr>
            <w:tcW w:w="2500" w:type="dxa"/>
            <w:tcBorders>
              <w:top w:val="single" w:sz="4" w:space="0" w:color="000000"/>
              <w:bottom w:val="single" w:sz="4" w:space="0" w:color="000000"/>
            </w:tcBorders>
          </w:tcPr>
          <w:p w14:paraId="1A7F6504" w14:textId="77777777" w:rsidR="00B628FF" w:rsidRDefault="00B628FF">
            <w:pPr>
              <w:pStyle w:val="MeasureTableYearHeadings"/>
              <w:keepNext/>
            </w:pPr>
          </w:p>
        </w:tc>
        <w:tc>
          <w:tcPr>
            <w:tcW w:w="1043" w:type="dxa"/>
            <w:tcBorders>
              <w:top w:val="single" w:sz="4" w:space="0" w:color="000000"/>
              <w:bottom w:val="single" w:sz="4" w:space="0" w:color="000000"/>
            </w:tcBorders>
          </w:tcPr>
          <w:p w14:paraId="245305F3" w14:textId="60942E65" w:rsidR="00B628FF" w:rsidRDefault="005B2D2F">
            <w:pPr>
              <w:pStyle w:val="MeasureTableYearHeadings"/>
              <w:keepNext/>
            </w:pPr>
            <w:r>
              <w:t>2024</w:t>
            </w:r>
            <w:r w:rsidR="00B31B37">
              <w:noBreakHyphen/>
            </w:r>
            <w:r>
              <w:t>25</w:t>
            </w:r>
          </w:p>
        </w:tc>
        <w:tc>
          <w:tcPr>
            <w:tcW w:w="1043" w:type="dxa"/>
            <w:tcBorders>
              <w:top w:val="single" w:sz="4" w:space="0" w:color="000000"/>
              <w:bottom w:val="single" w:sz="4" w:space="0" w:color="000000"/>
            </w:tcBorders>
          </w:tcPr>
          <w:p w14:paraId="2017F74C" w14:textId="2C7429DE" w:rsidR="00B628FF" w:rsidRDefault="005B2D2F">
            <w:pPr>
              <w:pStyle w:val="MeasureTableYearHeadings"/>
              <w:keepNext/>
            </w:pPr>
            <w:r>
              <w:t>2025</w:t>
            </w:r>
            <w:r w:rsidR="00B31B37">
              <w:noBreakHyphen/>
            </w:r>
            <w:r>
              <w:t>26</w:t>
            </w:r>
          </w:p>
        </w:tc>
        <w:tc>
          <w:tcPr>
            <w:tcW w:w="1043" w:type="dxa"/>
            <w:tcBorders>
              <w:top w:val="single" w:sz="4" w:space="0" w:color="000000"/>
              <w:bottom w:val="single" w:sz="4" w:space="0" w:color="000000"/>
            </w:tcBorders>
          </w:tcPr>
          <w:p w14:paraId="5276E50B" w14:textId="10A3088E" w:rsidR="00B628FF" w:rsidRDefault="005B2D2F">
            <w:pPr>
              <w:pStyle w:val="MeasureTableYearHeadings"/>
              <w:keepNext/>
            </w:pPr>
            <w:r>
              <w:t>2026</w:t>
            </w:r>
            <w:r w:rsidR="00B31B37">
              <w:noBreakHyphen/>
            </w:r>
            <w:r>
              <w:t>27</w:t>
            </w:r>
          </w:p>
        </w:tc>
        <w:tc>
          <w:tcPr>
            <w:tcW w:w="1043" w:type="dxa"/>
            <w:tcBorders>
              <w:top w:val="single" w:sz="4" w:space="0" w:color="000000"/>
              <w:bottom w:val="single" w:sz="4" w:space="0" w:color="000000"/>
            </w:tcBorders>
          </w:tcPr>
          <w:p w14:paraId="363DA6F2" w14:textId="68309BDC" w:rsidR="00B628FF" w:rsidRDefault="005B2D2F">
            <w:pPr>
              <w:pStyle w:val="MeasureTableYearHeadings"/>
              <w:keepNext/>
            </w:pPr>
            <w:r>
              <w:t>2027</w:t>
            </w:r>
            <w:r w:rsidR="00B31B37">
              <w:noBreakHyphen/>
            </w:r>
            <w:r>
              <w:t>28</w:t>
            </w:r>
          </w:p>
        </w:tc>
        <w:tc>
          <w:tcPr>
            <w:tcW w:w="1043" w:type="dxa"/>
            <w:tcBorders>
              <w:top w:val="single" w:sz="4" w:space="0" w:color="000000"/>
              <w:bottom w:val="single" w:sz="4" w:space="0" w:color="000000"/>
            </w:tcBorders>
          </w:tcPr>
          <w:p w14:paraId="763A647B" w14:textId="206A481D" w:rsidR="00B628FF" w:rsidRDefault="005B2D2F">
            <w:pPr>
              <w:pStyle w:val="MeasureTableYearHeadings"/>
              <w:keepNext/>
            </w:pPr>
            <w:r>
              <w:t>2028</w:t>
            </w:r>
            <w:r w:rsidR="00B31B37">
              <w:noBreakHyphen/>
            </w:r>
            <w:r>
              <w:t>29</w:t>
            </w:r>
          </w:p>
        </w:tc>
      </w:tr>
      <w:tr w:rsidR="00B628FF" w14:paraId="28AE0E92" w14:textId="77777777">
        <w:trPr>
          <w:cantSplit/>
        </w:trPr>
        <w:tc>
          <w:tcPr>
            <w:tcW w:w="2500" w:type="dxa"/>
            <w:tcBorders>
              <w:top w:val="single" w:sz="4" w:space="0" w:color="000000"/>
              <w:bottom w:val="single" w:sz="4" w:space="0" w:color="000000"/>
            </w:tcBorders>
          </w:tcPr>
          <w:p w14:paraId="2C918517" w14:textId="77777777" w:rsidR="00B628FF" w:rsidRDefault="005B2D2F">
            <w:pPr>
              <w:pStyle w:val="MeasureTableHeadingleftalignedwith2ptsspacing"/>
              <w:keepNext/>
            </w:pPr>
            <w:r>
              <w:t>Department of Health and Aged Care</w:t>
            </w:r>
          </w:p>
        </w:tc>
        <w:tc>
          <w:tcPr>
            <w:tcW w:w="1043" w:type="dxa"/>
            <w:tcBorders>
              <w:top w:val="single" w:sz="4" w:space="0" w:color="000000"/>
              <w:bottom w:val="single" w:sz="4" w:space="0" w:color="000000"/>
            </w:tcBorders>
          </w:tcPr>
          <w:p w14:paraId="65AB9A92" w14:textId="1D028D59"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0355BD5E" w14:textId="77777777" w:rsidR="00B628FF" w:rsidRDefault="005B2D2F">
            <w:pPr>
              <w:pStyle w:val="MeasureTableDataRightAlignedwith2ptsspacing"/>
              <w:keepNext/>
            </w:pPr>
            <w:r>
              <w:t>14.8</w:t>
            </w:r>
          </w:p>
        </w:tc>
        <w:tc>
          <w:tcPr>
            <w:tcW w:w="1043" w:type="dxa"/>
            <w:tcBorders>
              <w:top w:val="single" w:sz="4" w:space="0" w:color="000000"/>
              <w:bottom w:val="single" w:sz="4" w:space="0" w:color="000000"/>
            </w:tcBorders>
          </w:tcPr>
          <w:p w14:paraId="0B4E68F6" w14:textId="77777777" w:rsidR="00B628FF" w:rsidRDefault="005B2D2F">
            <w:pPr>
              <w:pStyle w:val="MeasureTableDataRightAlignedwith2ptsspacing"/>
              <w:keepNext/>
            </w:pPr>
            <w:r>
              <w:t>15.2</w:t>
            </w:r>
          </w:p>
        </w:tc>
        <w:tc>
          <w:tcPr>
            <w:tcW w:w="1043" w:type="dxa"/>
            <w:tcBorders>
              <w:top w:val="single" w:sz="4" w:space="0" w:color="000000"/>
              <w:bottom w:val="single" w:sz="4" w:space="0" w:color="000000"/>
            </w:tcBorders>
          </w:tcPr>
          <w:p w14:paraId="5A1D667B" w14:textId="77777777" w:rsidR="00B628FF" w:rsidRDefault="005B2D2F">
            <w:pPr>
              <w:pStyle w:val="MeasureTableDataRightAlignedwith2ptsspacing"/>
              <w:keepNext/>
            </w:pPr>
            <w:r>
              <w:t>15.5</w:t>
            </w:r>
          </w:p>
        </w:tc>
        <w:tc>
          <w:tcPr>
            <w:tcW w:w="1043" w:type="dxa"/>
            <w:tcBorders>
              <w:top w:val="single" w:sz="4" w:space="0" w:color="000000"/>
              <w:bottom w:val="single" w:sz="4" w:space="0" w:color="000000"/>
            </w:tcBorders>
          </w:tcPr>
          <w:p w14:paraId="34F1509B" w14:textId="2E4D02A6" w:rsidR="00B628FF" w:rsidRDefault="00B31B37">
            <w:pPr>
              <w:pStyle w:val="MeasureTableDataRightAlignedwith2ptsspacing"/>
              <w:keepNext/>
            </w:pPr>
            <w:r>
              <w:noBreakHyphen/>
            </w:r>
          </w:p>
        </w:tc>
      </w:tr>
    </w:tbl>
    <w:p w14:paraId="3871BCB9" w14:textId="77777777" w:rsidR="00B628FF" w:rsidRDefault="00B628FF">
      <w:pPr>
        <w:keepNext/>
        <w:spacing w:line="226" w:lineRule="exact"/>
        <w:rPr>
          <w:sz w:val="16"/>
        </w:rPr>
      </w:pPr>
    </w:p>
    <w:p w14:paraId="7E61DC32" w14:textId="03A824AA" w:rsidR="00B628FF" w:rsidRDefault="005B2D2F">
      <w:pPr>
        <w:pStyle w:val="Normal2"/>
      </w:pPr>
      <w:r w:rsidRPr="5FA307DC">
        <w:rPr>
          <w:lang w:val="en-US"/>
        </w:rPr>
        <w:t>The Government will provide additional funding of $46.0 million over four</w:t>
      </w:r>
      <w:r w:rsidR="00417830" w:rsidRPr="5FA307DC">
        <w:rPr>
          <w:lang w:val="en-US"/>
        </w:rPr>
        <w:t> </w:t>
      </w:r>
      <w:r w:rsidRPr="5FA307DC">
        <w:rPr>
          <w:lang w:val="en-US"/>
        </w:rPr>
        <w:t>years from 2024–‍25 to continue digital mental health services.</w:t>
      </w:r>
    </w:p>
    <w:p w14:paraId="0B4965F3" w14:textId="77777777" w:rsidR="00B628FF" w:rsidRDefault="005B2D2F">
      <w:pPr>
        <w:pStyle w:val="Normal2"/>
      </w:pPr>
      <w:r w:rsidRPr="5FA307DC">
        <w:rPr>
          <w:lang w:val="en-US"/>
        </w:rPr>
        <w:t>The cost of this measure will be partially met from within the existing resourcing of the Department of Health and Aged Care.</w:t>
      </w:r>
    </w:p>
    <w:p w14:paraId="19D8D174" w14:textId="77777777" w:rsidR="00B628FF" w:rsidRDefault="005B2D2F">
      <w:pPr>
        <w:pStyle w:val="Normal2"/>
      </w:pPr>
      <w:r>
        <w:t xml:space="preserve">This measure builds on the 2023–‍24 MYEFO measure titled </w:t>
      </w:r>
      <w:r w:rsidRPr="005B2D2F">
        <w:rPr>
          <w:i/>
        </w:rPr>
        <w:t>Mental Health</w:t>
      </w:r>
      <w:r>
        <w:t>.</w:t>
      </w:r>
    </w:p>
    <w:p w14:paraId="2DE80F21" w14:textId="77777777" w:rsidR="00B628FF" w:rsidRDefault="005B2D2F">
      <w:pPr>
        <w:pStyle w:val="MeasureTitle"/>
      </w:pPr>
      <w:r>
        <w:t>Even Cheaper Medicines</w:t>
      </w:r>
    </w:p>
    <w:p w14:paraId="3A994379" w14:textId="77777777" w:rsidR="00B628FF" w:rsidRDefault="005B2D2F">
      <w:pPr>
        <w:pStyle w:val="MeasureTableHeading"/>
      </w:pPr>
      <w:r>
        <w:t>Payments ($m)</w:t>
      </w:r>
    </w:p>
    <w:tbl>
      <w:tblPr>
        <w:tblOverlap w:val="never"/>
        <w:tblW w:w="7721" w:type="dxa"/>
        <w:tblBorders>
          <w:top w:val="single" w:sz="4" w:space="0" w:color="000000"/>
          <w:bottom w:val="single" w:sz="4" w:space="0" w:color="000000"/>
        </w:tblBorders>
        <w:tblLayout w:type="fixed"/>
        <w:tblLook w:val="04A0" w:firstRow="1" w:lastRow="0" w:firstColumn="1" w:lastColumn="0" w:noHBand="0" w:noVBand="1"/>
      </w:tblPr>
      <w:tblGrid>
        <w:gridCol w:w="2501"/>
        <w:gridCol w:w="1044"/>
        <w:gridCol w:w="1044"/>
        <w:gridCol w:w="1044"/>
        <w:gridCol w:w="1044"/>
        <w:gridCol w:w="1044"/>
      </w:tblGrid>
      <w:tr w:rsidR="00B628FF" w14:paraId="7EB1A206" w14:textId="77777777">
        <w:trPr>
          <w:cantSplit/>
        </w:trPr>
        <w:tc>
          <w:tcPr>
            <w:tcW w:w="2500" w:type="dxa"/>
            <w:tcBorders>
              <w:top w:val="single" w:sz="4" w:space="0" w:color="000000"/>
              <w:bottom w:val="single" w:sz="4" w:space="0" w:color="000000"/>
            </w:tcBorders>
          </w:tcPr>
          <w:p w14:paraId="24BE54AC" w14:textId="77777777" w:rsidR="00B628FF" w:rsidRDefault="00B628FF">
            <w:pPr>
              <w:pStyle w:val="MeasureTableYearHeadings"/>
              <w:keepNext/>
            </w:pPr>
          </w:p>
        </w:tc>
        <w:tc>
          <w:tcPr>
            <w:tcW w:w="1043" w:type="dxa"/>
            <w:tcBorders>
              <w:top w:val="single" w:sz="4" w:space="0" w:color="000000"/>
              <w:bottom w:val="single" w:sz="4" w:space="0" w:color="000000"/>
            </w:tcBorders>
          </w:tcPr>
          <w:p w14:paraId="34C30A8D" w14:textId="3F90B7F3" w:rsidR="00B628FF" w:rsidRDefault="005B2D2F">
            <w:pPr>
              <w:pStyle w:val="MeasureTableYearHeadings"/>
              <w:keepNext/>
            </w:pPr>
            <w:r>
              <w:t>2024</w:t>
            </w:r>
            <w:r w:rsidR="00B31B37">
              <w:noBreakHyphen/>
            </w:r>
            <w:r>
              <w:t>25</w:t>
            </w:r>
          </w:p>
        </w:tc>
        <w:tc>
          <w:tcPr>
            <w:tcW w:w="1043" w:type="dxa"/>
            <w:tcBorders>
              <w:top w:val="single" w:sz="4" w:space="0" w:color="000000"/>
              <w:bottom w:val="single" w:sz="4" w:space="0" w:color="000000"/>
            </w:tcBorders>
          </w:tcPr>
          <w:p w14:paraId="39788250" w14:textId="121D925A" w:rsidR="00B628FF" w:rsidRDefault="005B2D2F">
            <w:pPr>
              <w:pStyle w:val="MeasureTableYearHeadings"/>
              <w:keepNext/>
            </w:pPr>
            <w:r>
              <w:t>2025</w:t>
            </w:r>
            <w:r w:rsidR="00B31B37">
              <w:noBreakHyphen/>
            </w:r>
            <w:r>
              <w:t>26</w:t>
            </w:r>
          </w:p>
        </w:tc>
        <w:tc>
          <w:tcPr>
            <w:tcW w:w="1043" w:type="dxa"/>
            <w:tcBorders>
              <w:top w:val="single" w:sz="4" w:space="0" w:color="000000"/>
              <w:bottom w:val="single" w:sz="4" w:space="0" w:color="000000"/>
            </w:tcBorders>
          </w:tcPr>
          <w:p w14:paraId="5F2C0EA7" w14:textId="55E8D6ED" w:rsidR="00B628FF" w:rsidRDefault="005B2D2F">
            <w:pPr>
              <w:pStyle w:val="MeasureTableYearHeadings"/>
              <w:keepNext/>
            </w:pPr>
            <w:r>
              <w:t>2026</w:t>
            </w:r>
            <w:r w:rsidR="00B31B37">
              <w:noBreakHyphen/>
            </w:r>
            <w:r>
              <w:t>27</w:t>
            </w:r>
          </w:p>
        </w:tc>
        <w:tc>
          <w:tcPr>
            <w:tcW w:w="1043" w:type="dxa"/>
            <w:tcBorders>
              <w:top w:val="single" w:sz="4" w:space="0" w:color="000000"/>
              <w:bottom w:val="single" w:sz="4" w:space="0" w:color="000000"/>
            </w:tcBorders>
          </w:tcPr>
          <w:p w14:paraId="383B0378" w14:textId="3021B80C" w:rsidR="00B628FF" w:rsidRDefault="005B2D2F">
            <w:pPr>
              <w:pStyle w:val="MeasureTableYearHeadings"/>
              <w:keepNext/>
            </w:pPr>
            <w:r>
              <w:t>2027</w:t>
            </w:r>
            <w:r w:rsidR="00B31B37">
              <w:noBreakHyphen/>
            </w:r>
            <w:r>
              <w:t>28</w:t>
            </w:r>
          </w:p>
        </w:tc>
        <w:tc>
          <w:tcPr>
            <w:tcW w:w="1043" w:type="dxa"/>
            <w:tcBorders>
              <w:top w:val="single" w:sz="4" w:space="0" w:color="000000"/>
              <w:bottom w:val="single" w:sz="4" w:space="0" w:color="000000"/>
            </w:tcBorders>
          </w:tcPr>
          <w:p w14:paraId="4B00F486" w14:textId="10D8592C" w:rsidR="00B628FF" w:rsidRDefault="005B2D2F">
            <w:pPr>
              <w:pStyle w:val="MeasureTableYearHeadings"/>
              <w:keepNext/>
            </w:pPr>
            <w:r>
              <w:t>2028</w:t>
            </w:r>
            <w:r w:rsidR="00B31B37">
              <w:noBreakHyphen/>
            </w:r>
            <w:r>
              <w:t>29</w:t>
            </w:r>
          </w:p>
        </w:tc>
      </w:tr>
      <w:tr w:rsidR="00B628FF" w14:paraId="1E387AE1" w14:textId="77777777">
        <w:trPr>
          <w:cantSplit/>
        </w:trPr>
        <w:tc>
          <w:tcPr>
            <w:tcW w:w="2500" w:type="dxa"/>
            <w:tcBorders>
              <w:top w:val="single" w:sz="4" w:space="0" w:color="000000"/>
              <w:bottom w:val="single" w:sz="4" w:space="0" w:color="000000"/>
            </w:tcBorders>
          </w:tcPr>
          <w:p w14:paraId="7FA1CF37" w14:textId="77777777" w:rsidR="00B628FF" w:rsidRDefault="005B2D2F">
            <w:pPr>
              <w:pStyle w:val="MeasureTableHeadingleftalignedwith2ptsspacing"/>
              <w:keepNext/>
            </w:pPr>
            <w:r>
              <w:t>Department of Health and Aged Care</w:t>
            </w:r>
          </w:p>
        </w:tc>
        <w:tc>
          <w:tcPr>
            <w:tcW w:w="1043" w:type="dxa"/>
            <w:tcBorders>
              <w:top w:val="single" w:sz="4" w:space="0" w:color="000000"/>
              <w:bottom w:val="single" w:sz="4" w:space="0" w:color="000000"/>
            </w:tcBorders>
          </w:tcPr>
          <w:p w14:paraId="7D9767BD" w14:textId="29205D2E"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3473BA1E" w14:textId="77777777" w:rsidR="00B628FF" w:rsidRDefault="005B2D2F">
            <w:pPr>
              <w:pStyle w:val="MeasureTableDataRightAlignedwith2ptsspacing"/>
              <w:keepNext/>
            </w:pPr>
            <w:r>
              <w:t>107.7</w:t>
            </w:r>
          </w:p>
        </w:tc>
        <w:tc>
          <w:tcPr>
            <w:tcW w:w="1043" w:type="dxa"/>
            <w:tcBorders>
              <w:top w:val="single" w:sz="4" w:space="0" w:color="000000"/>
              <w:bottom w:val="single" w:sz="4" w:space="0" w:color="000000"/>
            </w:tcBorders>
          </w:tcPr>
          <w:p w14:paraId="56B7DF7F" w14:textId="77777777" w:rsidR="00B628FF" w:rsidRDefault="005B2D2F">
            <w:pPr>
              <w:pStyle w:val="MeasureTableDataRightAlignedwith2ptsspacing"/>
              <w:keepNext/>
            </w:pPr>
            <w:r>
              <w:t>214.9</w:t>
            </w:r>
          </w:p>
        </w:tc>
        <w:tc>
          <w:tcPr>
            <w:tcW w:w="1043" w:type="dxa"/>
            <w:tcBorders>
              <w:top w:val="single" w:sz="4" w:space="0" w:color="000000"/>
              <w:bottom w:val="single" w:sz="4" w:space="0" w:color="000000"/>
            </w:tcBorders>
          </w:tcPr>
          <w:p w14:paraId="6705F9BB" w14:textId="77777777" w:rsidR="00B628FF" w:rsidRDefault="005B2D2F">
            <w:pPr>
              <w:pStyle w:val="MeasureTableDataRightAlignedwith2ptsspacing"/>
              <w:keepNext/>
            </w:pPr>
            <w:r>
              <w:t>225.5</w:t>
            </w:r>
          </w:p>
        </w:tc>
        <w:tc>
          <w:tcPr>
            <w:tcW w:w="1043" w:type="dxa"/>
            <w:tcBorders>
              <w:top w:val="single" w:sz="4" w:space="0" w:color="000000"/>
              <w:bottom w:val="single" w:sz="4" w:space="0" w:color="000000"/>
            </w:tcBorders>
          </w:tcPr>
          <w:p w14:paraId="6B4A58AB" w14:textId="77777777" w:rsidR="00B628FF" w:rsidRDefault="005B2D2F">
            <w:pPr>
              <w:pStyle w:val="MeasureTableDataRightAlignedwith2ptsspacing"/>
              <w:keepNext/>
            </w:pPr>
            <w:r>
              <w:t>236.4</w:t>
            </w:r>
          </w:p>
        </w:tc>
      </w:tr>
      <w:tr w:rsidR="00B628FF" w14:paraId="0871017C" w14:textId="77777777">
        <w:trPr>
          <w:cantSplit/>
        </w:trPr>
        <w:tc>
          <w:tcPr>
            <w:tcW w:w="2500" w:type="dxa"/>
          </w:tcPr>
          <w:p w14:paraId="77CECCCC" w14:textId="77777777" w:rsidR="00B628FF" w:rsidRDefault="005B2D2F">
            <w:pPr>
              <w:pStyle w:val="AgencyName"/>
              <w:keepNext/>
            </w:pPr>
            <w:r>
              <w:t>Related receipts ($m)</w:t>
            </w:r>
          </w:p>
        </w:tc>
        <w:tc>
          <w:tcPr>
            <w:tcW w:w="1043" w:type="dxa"/>
          </w:tcPr>
          <w:p w14:paraId="53939DC0" w14:textId="77777777" w:rsidR="00B628FF" w:rsidRDefault="00B628FF">
            <w:pPr>
              <w:pStyle w:val="AgencyName"/>
              <w:keepNext/>
            </w:pPr>
          </w:p>
        </w:tc>
        <w:tc>
          <w:tcPr>
            <w:tcW w:w="1043" w:type="dxa"/>
          </w:tcPr>
          <w:p w14:paraId="6117C177" w14:textId="77777777" w:rsidR="00B628FF" w:rsidRDefault="00B628FF">
            <w:pPr>
              <w:pStyle w:val="AgencyName"/>
              <w:keepNext/>
            </w:pPr>
          </w:p>
        </w:tc>
        <w:tc>
          <w:tcPr>
            <w:tcW w:w="1043" w:type="dxa"/>
          </w:tcPr>
          <w:p w14:paraId="6765CF97" w14:textId="77777777" w:rsidR="00B628FF" w:rsidRDefault="00B628FF">
            <w:pPr>
              <w:pStyle w:val="AgencyName"/>
              <w:keepNext/>
            </w:pPr>
          </w:p>
        </w:tc>
        <w:tc>
          <w:tcPr>
            <w:tcW w:w="1043" w:type="dxa"/>
          </w:tcPr>
          <w:p w14:paraId="47D9BA22" w14:textId="77777777" w:rsidR="00B628FF" w:rsidRDefault="00B628FF">
            <w:pPr>
              <w:pStyle w:val="AgencyName"/>
              <w:keepNext/>
            </w:pPr>
          </w:p>
        </w:tc>
        <w:tc>
          <w:tcPr>
            <w:tcW w:w="1043" w:type="dxa"/>
          </w:tcPr>
          <w:p w14:paraId="06C681DF" w14:textId="77777777" w:rsidR="00B628FF" w:rsidRDefault="00B628FF">
            <w:pPr>
              <w:pStyle w:val="AgencyName"/>
              <w:keepNext/>
            </w:pPr>
          </w:p>
        </w:tc>
      </w:tr>
      <w:tr w:rsidR="00B628FF" w14:paraId="27DA22C0" w14:textId="77777777">
        <w:tc>
          <w:tcPr>
            <w:tcW w:w="2500" w:type="dxa"/>
          </w:tcPr>
          <w:p w14:paraId="7252B1BC" w14:textId="77777777" w:rsidR="00B628FF" w:rsidRDefault="005B2D2F">
            <w:pPr>
              <w:pStyle w:val="AgencyNamewith2ptsspacing"/>
              <w:keepNext/>
            </w:pPr>
            <w:r>
              <w:t>Department of Health and Aged Care</w:t>
            </w:r>
          </w:p>
        </w:tc>
        <w:tc>
          <w:tcPr>
            <w:tcW w:w="1043" w:type="dxa"/>
          </w:tcPr>
          <w:p w14:paraId="69796245" w14:textId="6CF3B32D" w:rsidR="00B628FF" w:rsidRDefault="00B31B37">
            <w:pPr>
              <w:pStyle w:val="Measuretabledatarightaligneditalics"/>
              <w:keepNext/>
            </w:pPr>
            <w:r>
              <w:noBreakHyphen/>
            </w:r>
          </w:p>
        </w:tc>
        <w:tc>
          <w:tcPr>
            <w:tcW w:w="1043" w:type="dxa"/>
          </w:tcPr>
          <w:p w14:paraId="70BBDD56" w14:textId="77777777" w:rsidR="00B628FF" w:rsidRDefault="005B2D2F">
            <w:pPr>
              <w:pStyle w:val="Measuretabledatarightaligneditalics"/>
              <w:keepNext/>
            </w:pPr>
            <w:r>
              <w:t>11.5</w:t>
            </w:r>
          </w:p>
        </w:tc>
        <w:tc>
          <w:tcPr>
            <w:tcW w:w="1043" w:type="dxa"/>
          </w:tcPr>
          <w:p w14:paraId="72271823" w14:textId="77777777" w:rsidR="00B628FF" w:rsidRDefault="005B2D2F">
            <w:pPr>
              <w:pStyle w:val="Measuretabledatarightaligneditalics"/>
              <w:keepNext/>
            </w:pPr>
            <w:r>
              <w:t>24.5</w:t>
            </w:r>
          </w:p>
        </w:tc>
        <w:tc>
          <w:tcPr>
            <w:tcW w:w="1043" w:type="dxa"/>
          </w:tcPr>
          <w:p w14:paraId="60D5E622" w14:textId="77777777" w:rsidR="00B628FF" w:rsidRDefault="005B2D2F">
            <w:pPr>
              <w:pStyle w:val="Measuretabledatarightaligneditalics"/>
              <w:keepNext/>
            </w:pPr>
            <w:r>
              <w:t>27.8</w:t>
            </w:r>
          </w:p>
        </w:tc>
        <w:tc>
          <w:tcPr>
            <w:tcW w:w="1043" w:type="dxa"/>
          </w:tcPr>
          <w:p w14:paraId="08EA8417" w14:textId="77777777" w:rsidR="00B628FF" w:rsidRDefault="005B2D2F">
            <w:pPr>
              <w:pStyle w:val="Measuretabledatarightaligneditalics"/>
              <w:keepNext/>
            </w:pPr>
            <w:r>
              <w:t>31.6</w:t>
            </w:r>
          </w:p>
        </w:tc>
      </w:tr>
    </w:tbl>
    <w:p w14:paraId="7673E2A8" w14:textId="77777777" w:rsidR="00B628FF" w:rsidRDefault="00B628FF">
      <w:pPr>
        <w:keepNext/>
        <w:spacing w:line="226" w:lineRule="exact"/>
        <w:rPr>
          <w:sz w:val="16"/>
        </w:rPr>
      </w:pPr>
    </w:p>
    <w:p w14:paraId="56CB4F1A" w14:textId="77777777" w:rsidR="00B628FF" w:rsidRDefault="005B2D2F">
      <w:pPr>
        <w:pStyle w:val="Normal2"/>
      </w:pPr>
      <w:r>
        <w:t>The Government will provide $784.6 million over four years from 2025–‍26 (and $236.4 million per year ongoing) to lower the Pharmaceutical Benefits Scheme (PBS) general patient co‑payment from $31.60 to $25.00 on 1 January 2026.</w:t>
      </w:r>
    </w:p>
    <w:p w14:paraId="50A66CE4" w14:textId="77777777" w:rsidR="00B628FF" w:rsidRDefault="005B2D2F">
      <w:pPr>
        <w:pStyle w:val="Normal2"/>
      </w:pPr>
      <w:r>
        <w:t xml:space="preserve">The measure extends the 2024–‍25 Budget measure titled </w:t>
      </w:r>
      <w:r w:rsidRPr="005B2D2F">
        <w:rPr>
          <w:i/>
        </w:rPr>
        <w:t>Securing Cheaper Medicines</w:t>
      </w:r>
      <w:r>
        <w:t xml:space="preserve"> and the 2022–‍23 October Budget measure titled </w:t>
      </w:r>
      <w:r w:rsidRPr="005B2D2F">
        <w:rPr>
          <w:i/>
        </w:rPr>
        <w:t>Plan for Cheaper Medicines.</w:t>
      </w:r>
    </w:p>
    <w:p w14:paraId="1BAC3581" w14:textId="77777777" w:rsidR="00B628FF" w:rsidRDefault="005B2D2F">
      <w:pPr>
        <w:pStyle w:val="MeasureTitle"/>
      </w:pPr>
      <w:r>
        <w:t>Funding Pay Increases for Aged Care Workers – nurses</w:t>
      </w:r>
    </w:p>
    <w:p w14:paraId="388D6510" w14:textId="77777777" w:rsidR="00B628FF" w:rsidRDefault="005B2D2F">
      <w:pPr>
        <w:pStyle w:val="MeasureTableHeading"/>
      </w:pPr>
      <w:r>
        <w:t>Payments ($m)</w:t>
      </w:r>
    </w:p>
    <w:tbl>
      <w:tblPr>
        <w:tblOverlap w:val="never"/>
        <w:tblW w:w="7721" w:type="dxa"/>
        <w:tblBorders>
          <w:top w:val="single" w:sz="4" w:space="0" w:color="000000"/>
          <w:bottom w:val="single" w:sz="4" w:space="0" w:color="000000"/>
        </w:tblBorders>
        <w:tblLayout w:type="fixed"/>
        <w:tblLook w:val="04A0" w:firstRow="1" w:lastRow="0" w:firstColumn="1" w:lastColumn="0" w:noHBand="0" w:noVBand="1"/>
      </w:tblPr>
      <w:tblGrid>
        <w:gridCol w:w="2501"/>
        <w:gridCol w:w="1044"/>
        <w:gridCol w:w="1044"/>
        <w:gridCol w:w="1044"/>
        <w:gridCol w:w="1044"/>
        <w:gridCol w:w="1044"/>
      </w:tblGrid>
      <w:tr w:rsidR="00B628FF" w14:paraId="2E50F818" w14:textId="77777777">
        <w:trPr>
          <w:cantSplit/>
        </w:trPr>
        <w:tc>
          <w:tcPr>
            <w:tcW w:w="2500" w:type="dxa"/>
            <w:tcBorders>
              <w:top w:val="single" w:sz="4" w:space="0" w:color="000000"/>
              <w:bottom w:val="single" w:sz="4" w:space="0" w:color="000000"/>
            </w:tcBorders>
          </w:tcPr>
          <w:p w14:paraId="236AF06E" w14:textId="77777777" w:rsidR="00B628FF" w:rsidRDefault="00B628FF">
            <w:pPr>
              <w:pStyle w:val="MeasureTableYearHeadings"/>
              <w:keepNext/>
            </w:pPr>
          </w:p>
        </w:tc>
        <w:tc>
          <w:tcPr>
            <w:tcW w:w="1043" w:type="dxa"/>
            <w:tcBorders>
              <w:top w:val="single" w:sz="4" w:space="0" w:color="000000"/>
              <w:bottom w:val="single" w:sz="4" w:space="0" w:color="000000"/>
            </w:tcBorders>
          </w:tcPr>
          <w:p w14:paraId="589668BA" w14:textId="5EAAF5E3" w:rsidR="00B628FF" w:rsidRDefault="005B2D2F">
            <w:pPr>
              <w:pStyle w:val="MeasureTableYearHeadings"/>
              <w:keepNext/>
            </w:pPr>
            <w:r>
              <w:t>2024</w:t>
            </w:r>
            <w:r w:rsidR="00B31B37">
              <w:noBreakHyphen/>
            </w:r>
            <w:r>
              <w:t>25</w:t>
            </w:r>
          </w:p>
        </w:tc>
        <w:tc>
          <w:tcPr>
            <w:tcW w:w="1043" w:type="dxa"/>
            <w:tcBorders>
              <w:top w:val="single" w:sz="4" w:space="0" w:color="000000"/>
              <w:bottom w:val="single" w:sz="4" w:space="0" w:color="000000"/>
            </w:tcBorders>
          </w:tcPr>
          <w:p w14:paraId="1D3C8D53" w14:textId="49D4BAFA" w:rsidR="00B628FF" w:rsidRDefault="005B2D2F">
            <w:pPr>
              <w:pStyle w:val="MeasureTableYearHeadings"/>
              <w:keepNext/>
            </w:pPr>
            <w:r>
              <w:t>2025</w:t>
            </w:r>
            <w:r w:rsidR="00B31B37">
              <w:noBreakHyphen/>
            </w:r>
            <w:r>
              <w:t>26</w:t>
            </w:r>
          </w:p>
        </w:tc>
        <w:tc>
          <w:tcPr>
            <w:tcW w:w="1043" w:type="dxa"/>
            <w:tcBorders>
              <w:top w:val="single" w:sz="4" w:space="0" w:color="000000"/>
              <w:bottom w:val="single" w:sz="4" w:space="0" w:color="000000"/>
            </w:tcBorders>
          </w:tcPr>
          <w:p w14:paraId="37067641" w14:textId="40155A06" w:rsidR="00B628FF" w:rsidRDefault="005B2D2F">
            <w:pPr>
              <w:pStyle w:val="MeasureTableYearHeadings"/>
              <w:keepNext/>
            </w:pPr>
            <w:r>
              <w:t>2026</w:t>
            </w:r>
            <w:r w:rsidR="00B31B37">
              <w:noBreakHyphen/>
            </w:r>
            <w:r>
              <w:t>27</w:t>
            </w:r>
          </w:p>
        </w:tc>
        <w:tc>
          <w:tcPr>
            <w:tcW w:w="1043" w:type="dxa"/>
            <w:tcBorders>
              <w:top w:val="single" w:sz="4" w:space="0" w:color="000000"/>
              <w:bottom w:val="single" w:sz="4" w:space="0" w:color="000000"/>
            </w:tcBorders>
          </w:tcPr>
          <w:p w14:paraId="0DF371EF" w14:textId="3299F446" w:rsidR="00B628FF" w:rsidRDefault="005B2D2F">
            <w:pPr>
              <w:pStyle w:val="MeasureTableYearHeadings"/>
              <w:keepNext/>
            </w:pPr>
            <w:r>
              <w:t>2027</w:t>
            </w:r>
            <w:r w:rsidR="00B31B37">
              <w:noBreakHyphen/>
            </w:r>
            <w:r>
              <w:t>28</w:t>
            </w:r>
          </w:p>
        </w:tc>
        <w:tc>
          <w:tcPr>
            <w:tcW w:w="1043" w:type="dxa"/>
            <w:tcBorders>
              <w:top w:val="single" w:sz="4" w:space="0" w:color="000000"/>
              <w:bottom w:val="single" w:sz="4" w:space="0" w:color="000000"/>
            </w:tcBorders>
          </w:tcPr>
          <w:p w14:paraId="4F669AE4" w14:textId="589A6215" w:rsidR="00B628FF" w:rsidRDefault="005B2D2F">
            <w:pPr>
              <w:pStyle w:val="MeasureTableYearHeadings"/>
              <w:keepNext/>
            </w:pPr>
            <w:r>
              <w:t>2028</w:t>
            </w:r>
            <w:r w:rsidR="00B31B37">
              <w:noBreakHyphen/>
            </w:r>
            <w:r>
              <w:t>29</w:t>
            </w:r>
          </w:p>
        </w:tc>
      </w:tr>
      <w:tr w:rsidR="00B628FF" w14:paraId="6D5D03F8" w14:textId="77777777">
        <w:trPr>
          <w:cantSplit/>
        </w:trPr>
        <w:tc>
          <w:tcPr>
            <w:tcW w:w="2500" w:type="dxa"/>
            <w:tcBorders>
              <w:top w:val="single" w:sz="4" w:space="0" w:color="000000"/>
              <w:bottom w:val="single" w:sz="4" w:space="0" w:color="000000"/>
            </w:tcBorders>
          </w:tcPr>
          <w:p w14:paraId="734A6D55" w14:textId="77777777" w:rsidR="00B628FF" w:rsidRDefault="005B2D2F">
            <w:pPr>
              <w:pStyle w:val="MeasureTableHeadingleftalignedwith2ptsspacing"/>
              <w:keepNext/>
            </w:pPr>
            <w:r>
              <w:t>Department of Health and Aged Care</w:t>
            </w:r>
          </w:p>
        </w:tc>
        <w:tc>
          <w:tcPr>
            <w:tcW w:w="1043" w:type="dxa"/>
            <w:tcBorders>
              <w:top w:val="single" w:sz="4" w:space="0" w:color="000000"/>
              <w:bottom w:val="single" w:sz="4" w:space="0" w:color="000000"/>
            </w:tcBorders>
          </w:tcPr>
          <w:p w14:paraId="09515410" w14:textId="77777777" w:rsidR="00B628FF" w:rsidRDefault="005B2D2F">
            <w:pPr>
              <w:pStyle w:val="MeasureTableDataRightAlignedwith2ptsspacing"/>
              <w:keepNext/>
            </w:pPr>
            <w:r>
              <w:t>3.5</w:t>
            </w:r>
          </w:p>
        </w:tc>
        <w:tc>
          <w:tcPr>
            <w:tcW w:w="1043" w:type="dxa"/>
            <w:tcBorders>
              <w:top w:val="single" w:sz="4" w:space="0" w:color="000000"/>
              <w:bottom w:val="single" w:sz="4" w:space="0" w:color="000000"/>
            </w:tcBorders>
          </w:tcPr>
          <w:p w14:paraId="101298CC" w14:textId="77777777" w:rsidR="00B628FF" w:rsidRDefault="005B2D2F">
            <w:pPr>
              <w:pStyle w:val="MeasureTableDataRightAlignedwith2ptsspacing"/>
              <w:keepNext/>
            </w:pPr>
            <w:r>
              <w:t>36.3</w:t>
            </w:r>
          </w:p>
        </w:tc>
        <w:tc>
          <w:tcPr>
            <w:tcW w:w="1043" w:type="dxa"/>
            <w:tcBorders>
              <w:top w:val="single" w:sz="4" w:space="0" w:color="000000"/>
              <w:bottom w:val="single" w:sz="4" w:space="0" w:color="000000"/>
            </w:tcBorders>
          </w:tcPr>
          <w:p w14:paraId="347C7951" w14:textId="77777777" w:rsidR="00B628FF" w:rsidRDefault="005B2D2F">
            <w:pPr>
              <w:pStyle w:val="MeasureTableDataRightAlignedwith2ptsspacing"/>
              <w:keepNext/>
            </w:pPr>
            <w:r>
              <w:t>41.4</w:t>
            </w:r>
          </w:p>
        </w:tc>
        <w:tc>
          <w:tcPr>
            <w:tcW w:w="1043" w:type="dxa"/>
            <w:tcBorders>
              <w:top w:val="single" w:sz="4" w:space="0" w:color="000000"/>
              <w:bottom w:val="single" w:sz="4" w:space="0" w:color="000000"/>
            </w:tcBorders>
          </w:tcPr>
          <w:p w14:paraId="2646DC8A" w14:textId="77777777" w:rsidR="00B628FF" w:rsidRDefault="005B2D2F">
            <w:pPr>
              <w:pStyle w:val="MeasureTableDataRightAlignedwith2ptsspacing"/>
              <w:keepNext/>
            </w:pPr>
            <w:r>
              <w:t>0.3</w:t>
            </w:r>
          </w:p>
        </w:tc>
        <w:tc>
          <w:tcPr>
            <w:tcW w:w="1043" w:type="dxa"/>
            <w:tcBorders>
              <w:top w:val="single" w:sz="4" w:space="0" w:color="000000"/>
              <w:bottom w:val="single" w:sz="4" w:space="0" w:color="000000"/>
            </w:tcBorders>
          </w:tcPr>
          <w:p w14:paraId="078751E2" w14:textId="77777777" w:rsidR="00B628FF" w:rsidRDefault="005B2D2F">
            <w:pPr>
              <w:pStyle w:val="MeasureTableDataRightAlignedwith2ptsspacing"/>
              <w:keepNext/>
            </w:pPr>
            <w:r>
              <w:t>0.3</w:t>
            </w:r>
          </w:p>
        </w:tc>
      </w:tr>
      <w:tr w:rsidR="00B628FF" w14:paraId="3055E3D3" w14:textId="77777777">
        <w:trPr>
          <w:cantSplit/>
        </w:trPr>
        <w:tc>
          <w:tcPr>
            <w:tcW w:w="2500" w:type="dxa"/>
            <w:tcBorders>
              <w:top w:val="single" w:sz="4" w:space="0" w:color="000000"/>
              <w:bottom w:val="single" w:sz="4" w:space="0" w:color="000000"/>
            </w:tcBorders>
          </w:tcPr>
          <w:p w14:paraId="246E3C21" w14:textId="30BD010A" w:rsidR="00B628FF" w:rsidRDefault="005B2D2F">
            <w:pPr>
              <w:pStyle w:val="MeasureTableHeadingleftalignedwith2ptsspacing"/>
              <w:keepNext/>
            </w:pPr>
            <w:r>
              <w:t>Department of Veterans</w:t>
            </w:r>
            <w:r w:rsidR="00B31B37">
              <w:t>’</w:t>
            </w:r>
            <w:r>
              <w:t xml:space="preserve"> Affairs</w:t>
            </w:r>
          </w:p>
        </w:tc>
        <w:tc>
          <w:tcPr>
            <w:tcW w:w="1043" w:type="dxa"/>
            <w:tcBorders>
              <w:top w:val="single" w:sz="4" w:space="0" w:color="000000"/>
              <w:bottom w:val="single" w:sz="4" w:space="0" w:color="000000"/>
            </w:tcBorders>
          </w:tcPr>
          <w:p w14:paraId="34057B5B" w14:textId="7CB1FBB9"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515A22D5" w14:textId="77777777" w:rsidR="00B628FF" w:rsidRDefault="005B2D2F">
            <w:pPr>
              <w:pStyle w:val="MeasureTableDataRightAlignedwith2ptsspacing"/>
              <w:keepNext/>
            </w:pPr>
            <w:r>
              <w:t>0.1</w:t>
            </w:r>
          </w:p>
        </w:tc>
        <w:tc>
          <w:tcPr>
            <w:tcW w:w="1043" w:type="dxa"/>
            <w:tcBorders>
              <w:top w:val="single" w:sz="4" w:space="0" w:color="000000"/>
              <w:bottom w:val="single" w:sz="4" w:space="0" w:color="000000"/>
            </w:tcBorders>
          </w:tcPr>
          <w:p w14:paraId="09F717E1" w14:textId="77777777" w:rsidR="00B628FF" w:rsidRDefault="005B2D2F">
            <w:pPr>
              <w:pStyle w:val="MeasureTableDataRightAlignedwith2ptsspacing"/>
              <w:keepNext/>
            </w:pPr>
            <w:r>
              <w:t>0.1</w:t>
            </w:r>
          </w:p>
        </w:tc>
        <w:tc>
          <w:tcPr>
            <w:tcW w:w="1043" w:type="dxa"/>
            <w:tcBorders>
              <w:top w:val="single" w:sz="4" w:space="0" w:color="000000"/>
              <w:bottom w:val="single" w:sz="4" w:space="0" w:color="000000"/>
            </w:tcBorders>
          </w:tcPr>
          <w:p w14:paraId="675BC5B0" w14:textId="17485772"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46BBDE8F" w14:textId="7C5B751B" w:rsidR="00B628FF" w:rsidRDefault="00B31B37">
            <w:pPr>
              <w:pStyle w:val="MeasureTableDataRightAlignedwith2ptsspacing"/>
              <w:keepNext/>
            </w:pPr>
            <w:r>
              <w:noBreakHyphen/>
            </w:r>
          </w:p>
        </w:tc>
      </w:tr>
      <w:tr w:rsidR="00B628FF" w14:paraId="15392E35" w14:textId="77777777">
        <w:trPr>
          <w:cantSplit/>
        </w:trPr>
        <w:tc>
          <w:tcPr>
            <w:tcW w:w="2500" w:type="dxa"/>
            <w:tcBorders>
              <w:top w:val="single" w:sz="4" w:space="0" w:color="000000"/>
              <w:bottom w:val="single" w:sz="4" w:space="0" w:color="000000"/>
            </w:tcBorders>
          </w:tcPr>
          <w:p w14:paraId="6A11E141" w14:textId="77777777" w:rsidR="00B628FF" w:rsidRDefault="005B2D2F">
            <w:pPr>
              <w:pStyle w:val="Totalrowleftaligned"/>
              <w:keepNext/>
            </w:pPr>
            <w:r>
              <w:t>Total – Payments</w:t>
            </w:r>
          </w:p>
        </w:tc>
        <w:tc>
          <w:tcPr>
            <w:tcW w:w="1043" w:type="dxa"/>
            <w:tcBorders>
              <w:top w:val="single" w:sz="4" w:space="0" w:color="000000"/>
              <w:bottom w:val="single" w:sz="4" w:space="0" w:color="000000"/>
            </w:tcBorders>
          </w:tcPr>
          <w:p w14:paraId="4AFB5F04" w14:textId="77777777" w:rsidR="00B628FF" w:rsidRDefault="005B2D2F">
            <w:pPr>
              <w:pStyle w:val="Totaldatarowrightaligned"/>
              <w:keepNext/>
            </w:pPr>
            <w:r>
              <w:t>3.5</w:t>
            </w:r>
          </w:p>
        </w:tc>
        <w:tc>
          <w:tcPr>
            <w:tcW w:w="1043" w:type="dxa"/>
            <w:tcBorders>
              <w:top w:val="single" w:sz="4" w:space="0" w:color="000000"/>
              <w:bottom w:val="single" w:sz="4" w:space="0" w:color="000000"/>
            </w:tcBorders>
          </w:tcPr>
          <w:p w14:paraId="28790594" w14:textId="77777777" w:rsidR="00B628FF" w:rsidRDefault="005B2D2F">
            <w:pPr>
              <w:pStyle w:val="Totaldatarowrightaligned"/>
              <w:keepNext/>
            </w:pPr>
            <w:r>
              <w:t>36.4</w:t>
            </w:r>
          </w:p>
        </w:tc>
        <w:tc>
          <w:tcPr>
            <w:tcW w:w="1043" w:type="dxa"/>
            <w:tcBorders>
              <w:top w:val="single" w:sz="4" w:space="0" w:color="000000"/>
              <w:bottom w:val="single" w:sz="4" w:space="0" w:color="000000"/>
            </w:tcBorders>
          </w:tcPr>
          <w:p w14:paraId="45D7D289" w14:textId="77777777" w:rsidR="00B628FF" w:rsidRDefault="005B2D2F">
            <w:pPr>
              <w:pStyle w:val="Totaldatarowrightaligned"/>
              <w:keepNext/>
            </w:pPr>
            <w:r>
              <w:t>41.5</w:t>
            </w:r>
          </w:p>
        </w:tc>
        <w:tc>
          <w:tcPr>
            <w:tcW w:w="1043" w:type="dxa"/>
            <w:tcBorders>
              <w:top w:val="single" w:sz="4" w:space="0" w:color="000000"/>
              <w:bottom w:val="single" w:sz="4" w:space="0" w:color="000000"/>
            </w:tcBorders>
          </w:tcPr>
          <w:p w14:paraId="03B4AE76" w14:textId="77777777" w:rsidR="00B628FF" w:rsidRDefault="005B2D2F">
            <w:pPr>
              <w:pStyle w:val="Totaldatarowrightaligned"/>
              <w:keepNext/>
            </w:pPr>
            <w:r>
              <w:t>0.3</w:t>
            </w:r>
          </w:p>
        </w:tc>
        <w:tc>
          <w:tcPr>
            <w:tcW w:w="1043" w:type="dxa"/>
            <w:tcBorders>
              <w:top w:val="single" w:sz="4" w:space="0" w:color="000000"/>
              <w:bottom w:val="single" w:sz="4" w:space="0" w:color="000000"/>
            </w:tcBorders>
          </w:tcPr>
          <w:p w14:paraId="45958C6E" w14:textId="77777777" w:rsidR="00B628FF" w:rsidRDefault="005B2D2F">
            <w:pPr>
              <w:pStyle w:val="Totaldatarowrightaligned"/>
              <w:keepNext/>
            </w:pPr>
            <w:r>
              <w:t>0.3</w:t>
            </w:r>
          </w:p>
        </w:tc>
      </w:tr>
    </w:tbl>
    <w:p w14:paraId="4DAE5D5A" w14:textId="77777777" w:rsidR="00B628FF" w:rsidRDefault="00B628FF">
      <w:pPr>
        <w:keepNext/>
        <w:spacing w:line="226" w:lineRule="exact"/>
        <w:rPr>
          <w:sz w:val="16"/>
        </w:rPr>
      </w:pPr>
    </w:p>
    <w:p w14:paraId="35402514" w14:textId="1AFC30AB" w:rsidR="00B628FF" w:rsidRDefault="005B2D2F">
      <w:pPr>
        <w:pStyle w:val="Normal2"/>
      </w:pPr>
      <w:r w:rsidRPr="5FA307DC">
        <w:rPr>
          <w:lang w:val="en-US"/>
        </w:rPr>
        <w:t>The Government will provide $88.3 million over five years from 2024–‍25 (and $0.9 million per year ongoing) to fund the outcome of the Fair Work Commission</w:t>
      </w:r>
      <w:r w:rsidR="00B31B37">
        <w:rPr>
          <w:lang w:val="en-US"/>
        </w:rPr>
        <w:t>’</w:t>
      </w:r>
      <w:r w:rsidRPr="5FA307DC">
        <w:rPr>
          <w:lang w:val="en-US"/>
        </w:rPr>
        <w:t>s decision to increase the minimum award wages of registered and enrolled nurses employed in the aged care sector. Funding includes:</w:t>
      </w:r>
    </w:p>
    <w:p w14:paraId="78DB52DE" w14:textId="77777777" w:rsidR="00B628FF" w:rsidRDefault="005B2D2F">
      <w:pPr>
        <w:pStyle w:val="Bullet"/>
      </w:pPr>
      <w:r>
        <w:t xml:space="preserve">$48.7 million over three years from 2024–‍25 for </w:t>
      </w:r>
      <w:r w:rsidRPr="005B2D2F">
        <w:rPr>
          <w:i/>
        </w:rPr>
        <w:t>Commonwealth Home Support Programme</w:t>
      </w:r>
      <w:r>
        <w:t xml:space="preserve"> providers to cover the cost of the increase in award wages</w:t>
      </w:r>
    </w:p>
    <w:p w14:paraId="1107105A" w14:textId="77777777" w:rsidR="00B628FF" w:rsidRDefault="005B2D2F">
      <w:pPr>
        <w:pStyle w:val="Bullet"/>
      </w:pPr>
      <w:r>
        <w:t>$35.5 million over two years from 2025–‍26 to fund historical leave provisions for Commonwealth‑funded aged care providers</w:t>
      </w:r>
    </w:p>
    <w:p w14:paraId="570B105B" w14:textId="77777777" w:rsidR="00B628FF" w:rsidRDefault="005B2D2F">
      <w:pPr>
        <w:pStyle w:val="Bullet"/>
      </w:pPr>
      <w:r>
        <w:t>$3.0 million over five years from 2024–‍25 (and $0.6 million per year ongoing) for the Independent Health and Aged Care Pricing Authority to develop supplementary Australian National Aged Care Classification funding model (AN‑ACC) pricing advice and provide quality assurance</w:t>
      </w:r>
    </w:p>
    <w:p w14:paraId="5E7F4DB8" w14:textId="77777777" w:rsidR="00B628FF" w:rsidRDefault="005B2D2F">
      <w:pPr>
        <w:pStyle w:val="Bullet"/>
      </w:pPr>
      <w:r>
        <w:t xml:space="preserve">$1.1 million over five years from 2024–‍25 (and $0.3 million per year ongoing) to increase funding for the </w:t>
      </w:r>
      <w:r w:rsidRPr="005B2D2F">
        <w:rPr>
          <w:i/>
        </w:rPr>
        <w:t>Multi‑Purpose Services Program</w:t>
      </w:r>
      <w:r>
        <w:t xml:space="preserve"> and the </w:t>
      </w:r>
      <w:r w:rsidRPr="005B2D2F">
        <w:rPr>
          <w:i/>
        </w:rPr>
        <w:t>National Aboriginal and Torres Strait Islander Flexible Aged Care Program</w:t>
      </w:r>
      <w:r>
        <w:t>.</w:t>
      </w:r>
    </w:p>
    <w:p w14:paraId="54D583CE" w14:textId="77777777" w:rsidR="00B628FF" w:rsidRDefault="005B2D2F">
      <w:pPr>
        <w:pStyle w:val="Normal2"/>
      </w:pPr>
      <w:r w:rsidRPr="5FA307DC">
        <w:rPr>
          <w:lang w:val="en-US"/>
        </w:rPr>
        <w:t xml:space="preserve">The Government will also provide $30.1 million over five years from 2024–‍25 (and $7.8 million per year ongoing) to fund </w:t>
      </w:r>
      <w:r w:rsidRPr="5FA307DC">
        <w:rPr>
          <w:i/>
          <w:iCs/>
          <w:lang w:val="en-US"/>
        </w:rPr>
        <w:t>Commonwealth Home Support Programme</w:t>
      </w:r>
      <w:r w:rsidRPr="5FA307DC">
        <w:rPr>
          <w:lang w:val="en-US"/>
        </w:rPr>
        <w:t xml:space="preserve"> providers through a revised approach of an uplift in indexation to existing grant agreements to cover the cost of the increase in award wages from the Fair Work Commission Stage 3 decision on the Aged Care Work Value Case. The funding will move to the </w:t>
      </w:r>
      <w:r w:rsidRPr="5FA307DC">
        <w:rPr>
          <w:i/>
          <w:iCs/>
          <w:lang w:val="en-US"/>
        </w:rPr>
        <w:t>Support at Home</w:t>
      </w:r>
      <w:r w:rsidRPr="5FA307DC">
        <w:rPr>
          <w:lang w:val="en-US"/>
        </w:rPr>
        <w:t xml:space="preserve"> program when the </w:t>
      </w:r>
      <w:r w:rsidRPr="5FA307DC">
        <w:rPr>
          <w:i/>
          <w:iCs/>
          <w:lang w:val="en-US"/>
        </w:rPr>
        <w:t xml:space="preserve">Commonwealth Home Support Programme </w:t>
      </w:r>
      <w:r w:rsidRPr="5FA307DC">
        <w:rPr>
          <w:lang w:val="en-US"/>
        </w:rPr>
        <w:t xml:space="preserve">rolls into the </w:t>
      </w:r>
      <w:r w:rsidRPr="5FA307DC">
        <w:rPr>
          <w:i/>
          <w:iCs/>
          <w:lang w:val="en-US"/>
        </w:rPr>
        <w:t>Support at Home</w:t>
      </w:r>
      <w:r w:rsidRPr="5FA307DC">
        <w:rPr>
          <w:lang w:val="en-US"/>
        </w:rPr>
        <w:t xml:space="preserve"> program from no earlier than 1 July 2027.</w:t>
      </w:r>
    </w:p>
    <w:p w14:paraId="1E2E4842" w14:textId="77777777" w:rsidR="00B628FF" w:rsidRDefault="005B2D2F">
      <w:pPr>
        <w:pStyle w:val="Normal2"/>
      </w:pPr>
      <w:r w:rsidRPr="5FA307DC">
        <w:rPr>
          <w:lang w:val="en-US"/>
        </w:rPr>
        <w:t>The cost of this measure will be partially met from within the existing resourcing of the Department of Health and Aged Care.</w:t>
      </w:r>
    </w:p>
    <w:p w14:paraId="7096DE52" w14:textId="5C40234C" w:rsidR="00B628FF" w:rsidRDefault="005B2D2F">
      <w:pPr>
        <w:pStyle w:val="Normal2"/>
      </w:pPr>
      <w:r w:rsidRPr="5FA307DC">
        <w:rPr>
          <w:lang w:val="en-US"/>
        </w:rPr>
        <w:t>The 2025–‍26 Budget also includes $2.5 billion over five years from 2024–‍25 (and an additional $6.1 billion from 2029–‍30 to 2034–‍35) to meet the cost of the Fair Work Commission</w:t>
      </w:r>
      <w:r w:rsidR="00B31B37">
        <w:rPr>
          <w:lang w:val="en-US"/>
        </w:rPr>
        <w:t>’</w:t>
      </w:r>
      <w:r w:rsidRPr="5FA307DC">
        <w:rPr>
          <w:lang w:val="en-US"/>
        </w:rPr>
        <w:t xml:space="preserve">s decision for aged care nurses with funding to other aged care programs including residential aged care, the </w:t>
      </w:r>
      <w:r w:rsidRPr="5FA307DC">
        <w:rPr>
          <w:i/>
          <w:iCs/>
          <w:lang w:val="en-US"/>
        </w:rPr>
        <w:t>Home Care Packages</w:t>
      </w:r>
      <w:r w:rsidRPr="5FA307DC">
        <w:rPr>
          <w:lang w:val="en-US"/>
        </w:rPr>
        <w:t xml:space="preserve"> program and the </w:t>
      </w:r>
      <w:r w:rsidRPr="5FA307DC">
        <w:rPr>
          <w:i/>
          <w:iCs/>
          <w:lang w:val="en-US"/>
        </w:rPr>
        <w:t>Support at Home</w:t>
      </w:r>
      <w:r w:rsidRPr="5FA307DC">
        <w:rPr>
          <w:lang w:val="en-US"/>
        </w:rPr>
        <w:t xml:space="preserve"> program, which will be delivered through increases that will flow through program indexation.</w:t>
      </w:r>
    </w:p>
    <w:p w14:paraId="66DBE187" w14:textId="44987556" w:rsidR="00B628FF" w:rsidRDefault="005B2D2F">
      <w:pPr>
        <w:pStyle w:val="Normal2"/>
      </w:pPr>
      <w:r>
        <w:t xml:space="preserve">This measure builds on the 2023–‍24 Budget and 2024–‍25 MYEFO measures titled </w:t>
      </w:r>
      <w:r w:rsidRPr="005B2D2F">
        <w:rPr>
          <w:i/>
        </w:rPr>
        <w:t>Funding</w:t>
      </w:r>
      <w:r w:rsidR="00473052">
        <w:rPr>
          <w:i/>
        </w:rPr>
        <w:t> </w:t>
      </w:r>
      <w:r w:rsidRPr="005B2D2F">
        <w:rPr>
          <w:i/>
        </w:rPr>
        <w:t>Pay Increases for Aged Care Workers.</w:t>
      </w:r>
    </w:p>
    <w:p w14:paraId="1C67EE0F" w14:textId="77777777" w:rsidR="00B628FF" w:rsidRDefault="005B2D2F">
      <w:pPr>
        <w:pStyle w:val="MeasureTitle"/>
      </w:pPr>
      <w:r>
        <w:t>Health – savings</w:t>
      </w:r>
    </w:p>
    <w:p w14:paraId="5A246C25" w14:textId="77777777" w:rsidR="00B628FF" w:rsidRDefault="005B2D2F">
      <w:pPr>
        <w:pStyle w:val="MeasureTableHeading"/>
      </w:pPr>
      <w:r>
        <w:t>Payments ($m)</w:t>
      </w:r>
    </w:p>
    <w:tbl>
      <w:tblPr>
        <w:tblOverlap w:val="never"/>
        <w:tblW w:w="7721" w:type="dxa"/>
        <w:tblBorders>
          <w:top w:val="single" w:sz="4" w:space="0" w:color="000000"/>
          <w:bottom w:val="single" w:sz="4" w:space="0" w:color="000000"/>
        </w:tblBorders>
        <w:tblLayout w:type="fixed"/>
        <w:tblLook w:val="04A0" w:firstRow="1" w:lastRow="0" w:firstColumn="1" w:lastColumn="0" w:noHBand="0" w:noVBand="1"/>
      </w:tblPr>
      <w:tblGrid>
        <w:gridCol w:w="2501"/>
        <w:gridCol w:w="1044"/>
        <w:gridCol w:w="1044"/>
        <w:gridCol w:w="1044"/>
        <w:gridCol w:w="1044"/>
        <w:gridCol w:w="1044"/>
      </w:tblGrid>
      <w:tr w:rsidR="00B628FF" w14:paraId="05BC47BF" w14:textId="77777777">
        <w:trPr>
          <w:cantSplit/>
        </w:trPr>
        <w:tc>
          <w:tcPr>
            <w:tcW w:w="2500" w:type="dxa"/>
            <w:tcBorders>
              <w:top w:val="single" w:sz="4" w:space="0" w:color="000000"/>
              <w:bottom w:val="single" w:sz="4" w:space="0" w:color="000000"/>
            </w:tcBorders>
          </w:tcPr>
          <w:p w14:paraId="4255B835" w14:textId="77777777" w:rsidR="00B628FF" w:rsidRDefault="00B628FF">
            <w:pPr>
              <w:pStyle w:val="MeasureTableYearHeadings"/>
              <w:keepNext/>
            </w:pPr>
          </w:p>
        </w:tc>
        <w:tc>
          <w:tcPr>
            <w:tcW w:w="1043" w:type="dxa"/>
            <w:tcBorders>
              <w:top w:val="single" w:sz="4" w:space="0" w:color="000000"/>
              <w:bottom w:val="single" w:sz="4" w:space="0" w:color="000000"/>
            </w:tcBorders>
          </w:tcPr>
          <w:p w14:paraId="6D88B140" w14:textId="6ABDEEB3" w:rsidR="00B628FF" w:rsidRDefault="005B2D2F">
            <w:pPr>
              <w:pStyle w:val="MeasureTableYearHeadings"/>
              <w:keepNext/>
            </w:pPr>
            <w:r>
              <w:t>2024</w:t>
            </w:r>
            <w:r w:rsidR="00B31B37">
              <w:noBreakHyphen/>
            </w:r>
            <w:r>
              <w:t>25</w:t>
            </w:r>
          </w:p>
        </w:tc>
        <w:tc>
          <w:tcPr>
            <w:tcW w:w="1043" w:type="dxa"/>
            <w:tcBorders>
              <w:top w:val="single" w:sz="4" w:space="0" w:color="000000"/>
              <w:bottom w:val="single" w:sz="4" w:space="0" w:color="000000"/>
            </w:tcBorders>
          </w:tcPr>
          <w:p w14:paraId="3004E8F3" w14:textId="7C0E4A18" w:rsidR="00B628FF" w:rsidRDefault="005B2D2F">
            <w:pPr>
              <w:pStyle w:val="MeasureTableYearHeadings"/>
              <w:keepNext/>
            </w:pPr>
            <w:r>
              <w:t>2025</w:t>
            </w:r>
            <w:r w:rsidR="00B31B37">
              <w:noBreakHyphen/>
            </w:r>
            <w:r>
              <w:t>26</w:t>
            </w:r>
          </w:p>
        </w:tc>
        <w:tc>
          <w:tcPr>
            <w:tcW w:w="1043" w:type="dxa"/>
            <w:tcBorders>
              <w:top w:val="single" w:sz="4" w:space="0" w:color="000000"/>
              <w:bottom w:val="single" w:sz="4" w:space="0" w:color="000000"/>
            </w:tcBorders>
          </w:tcPr>
          <w:p w14:paraId="47698021" w14:textId="0EAA780B" w:rsidR="00B628FF" w:rsidRDefault="005B2D2F">
            <w:pPr>
              <w:pStyle w:val="MeasureTableYearHeadings"/>
              <w:keepNext/>
            </w:pPr>
            <w:r>
              <w:t>2026</w:t>
            </w:r>
            <w:r w:rsidR="00B31B37">
              <w:noBreakHyphen/>
            </w:r>
            <w:r>
              <w:t>27</w:t>
            </w:r>
          </w:p>
        </w:tc>
        <w:tc>
          <w:tcPr>
            <w:tcW w:w="1043" w:type="dxa"/>
            <w:tcBorders>
              <w:top w:val="single" w:sz="4" w:space="0" w:color="000000"/>
              <w:bottom w:val="single" w:sz="4" w:space="0" w:color="000000"/>
            </w:tcBorders>
          </w:tcPr>
          <w:p w14:paraId="35654143" w14:textId="75C22EB9" w:rsidR="00B628FF" w:rsidRDefault="005B2D2F">
            <w:pPr>
              <w:pStyle w:val="MeasureTableYearHeadings"/>
              <w:keepNext/>
            </w:pPr>
            <w:r>
              <w:t>2027</w:t>
            </w:r>
            <w:r w:rsidR="00B31B37">
              <w:noBreakHyphen/>
            </w:r>
            <w:r>
              <w:t>28</w:t>
            </w:r>
          </w:p>
        </w:tc>
        <w:tc>
          <w:tcPr>
            <w:tcW w:w="1043" w:type="dxa"/>
            <w:tcBorders>
              <w:top w:val="single" w:sz="4" w:space="0" w:color="000000"/>
              <w:bottom w:val="single" w:sz="4" w:space="0" w:color="000000"/>
            </w:tcBorders>
          </w:tcPr>
          <w:p w14:paraId="088587ED" w14:textId="260C54DD" w:rsidR="00B628FF" w:rsidRDefault="005B2D2F">
            <w:pPr>
              <w:pStyle w:val="MeasureTableYearHeadings"/>
              <w:keepNext/>
            </w:pPr>
            <w:r>
              <w:t>2028</w:t>
            </w:r>
            <w:r w:rsidR="00B31B37">
              <w:noBreakHyphen/>
            </w:r>
            <w:r>
              <w:t>29</w:t>
            </w:r>
          </w:p>
        </w:tc>
      </w:tr>
      <w:tr w:rsidR="00B628FF" w14:paraId="7AA69C28" w14:textId="77777777">
        <w:trPr>
          <w:cantSplit/>
        </w:trPr>
        <w:tc>
          <w:tcPr>
            <w:tcW w:w="2500" w:type="dxa"/>
            <w:tcBorders>
              <w:top w:val="single" w:sz="4" w:space="0" w:color="000000"/>
              <w:bottom w:val="single" w:sz="4" w:space="0" w:color="000000"/>
            </w:tcBorders>
          </w:tcPr>
          <w:p w14:paraId="23192A27" w14:textId="74FE057A" w:rsidR="00B628FF" w:rsidRDefault="005B2D2F">
            <w:pPr>
              <w:pStyle w:val="MeasureTableHeadingleftalignedwith2ptsspacing"/>
              <w:keepNext/>
            </w:pPr>
            <w:r>
              <w:t>Department of Veterans</w:t>
            </w:r>
            <w:r w:rsidR="00B31B37">
              <w:t>’</w:t>
            </w:r>
            <w:r>
              <w:t xml:space="preserve"> Affairs</w:t>
            </w:r>
          </w:p>
        </w:tc>
        <w:tc>
          <w:tcPr>
            <w:tcW w:w="1043" w:type="dxa"/>
            <w:tcBorders>
              <w:top w:val="single" w:sz="4" w:space="0" w:color="000000"/>
              <w:bottom w:val="single" w:sz="4" w:space="0" w:color="000000"/>
            </w:tcBorders>
          </w:tcPr>
          <w:p w14:paraId="1772E3C0" w14:textId="7132E138"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2D97FE77" w14:textId="6E02B2B6" w:rsidR="00B628FF" w:rsidRDefault="00B31B37">
            <w:pPr>
              <w:pStyle w:val="MeasureTableDataRightAlignedwith2ptsspacing"/>
              <w:keepNext/>
            </w:pPr>
            <w:r>
              <w:noBreakHyphen/>
            </w:r>
            <w:r w:rsidR="005B2D2F">
              <w:t>0.1</w:t>
            </w:r>
          </w:p>
        </w:tc>
        <w:tc>
          <w:tcPr>
            <w:tcW w:w="1043" w:type="dxa"/>
            <w:tcBorders>
              <w:top w:val="single" w:sz="4" w:space="0" w:color="000000"/>
              <w:bottom w:val="single" w:sz="4" w:space="0" w:color="000000"/>
            </w:tcBorders>
          </w:tcPr>
          <w:p w14:paraId="3B09DA2C" w14:textId="77777777" w:rsidR="00B628FF" w:rsidRDefault="005B2D2F">
            <w:pPr>
              <w:pStyle w:val="MeasureTableDataRightAlignedwith2ptsspacing"/>
              <w:keepNext/>
            </w:pPr>
            <w:r>
              <w:t>..</w:t>
            </w:r>
          </w:p>
        </w:tc>
        <w:tc>
          <w:tcPr>
            <w:tcW w:w="1043" w:type="dxa"/>
            <w:tcBorders>
              <w:top w:val="single" w:sz="4" w:space="0" w:color="000000"/>
              <w:bottom w:val="single" w:sz="4" w:space="0" w:color="000000"/>
            </w:tcBorders>
          </w:tcPr>
          <w:p w14:paraId="040393A5" w14:textId="1C700517"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1843C343" w14:textId="1B23F8E9" w:rsidR="00B628FF" w:rsidRDefault="00B31B37">
            <w:pPr>
              <w:pStyle w:val="MeasureTableDataRightAlignedwith2ptsspacing"/>
              <w:keepNext/>
            </w:pPr>
            <w:r>
              <w:noBreakHyphen/>
            </w:r>
          </w:p>
        </w:tc>
      </w:tr>
      <w:tr w:rsidR="00B628FF" w14:paraId="75A57429" w14:textId="77777777">
        <w:trPr>
          <w:cantSplit/>
        </w:trPr>
        <w:tc>
          <w:tcPr>
            <w:tcW w:w="2500" w:type="dxa"/>
            <w:tcBorders>
              <w:top w:val="single" w:sz="4" w:space="0" w:color="000000"/>
              <w:bottom w:val="single" w:sz="4" w:space="0" w:color="000000"/>
            </w:tcBorders>
          </w:tcPr>
          <w:p w14:paraId="64C19AEC" w14:textId="77777777" w:rsidR="00B628FF" w:rsidRDefault="005B2D2F">
            <w:pPr>
              <w:pStyle w:val="MeasureTableHeadingleftalignedwith2ptsspacing"/>
              <w:keepNext/>
            </w:pPr>
            <w:r>
              <w:t>Department of Health and Aged Care</w:t>
            </w:r>
          </w:p>
        </w:tc>
        <w:tc>
          <w:tcPr>
            <w:tcW w:w="1043" w:type="dxa"/>
            <w:tcBorders>
              <w:top w:val="single" w:sz="4" w:space="0" w:color="000000"/>
              <w:bottom w:val="single" w:sz="4" w:space="0" w:color="000000"/>
            </w:tcBorders>
          </w:tcPr>
          <w:p w14:paraId="72613B41" w14:textId="75C52B4A"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172B1F8E" w14:textId="2052E393" w:rsidR="00B628FF" w:rsidRDefault="00B31B37">
            <w:pPr>
              <w:pStyle w:val="MeasureTableDataRightAlignedwith2ptsspacing"/>
              <w:keepNext/>
            </w:pPr>
            <w:r>
              <w:noBreakHyphen/>
            </w:r>
            <w:r w:rsidR="005B2D2F">
              <w:t>3.7</w:t>
            </w:r>
          </w:p>
        </w:tc>
        <w:tc>
          <w:tcPr>
            <w:tcW w:w="1043" w:type="dxa"/>
            <w:tcBorders>
              <w:top w:val="single" w:sz="4" w:space="0" w:color="000000"/>
              <w:bottom w:val="single" w:sz="4" w:space="0" w:color="000000"/>
            </w:tcBorders>
          </w:tcPr>
          <w:p w14:paraId="6C6656A3" w14:textId="0F8BE579"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2D169311" w14:textId="605B078E"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5614C3B9" w14:textId="1F8A9B0D" w:rsidR="00B628FF" w:rsidRDefault="00B31B37">
            <w:pPr>
              <w:pStyle w:val="MeasureTableDataRightAlignedwith2ptsspacing"/>
              <w:keepNext/>
            </w:pPr>
            <w:r>
              <w:noBreakHyphen/>
            </w:r>
          </w:p>
        </w:tc>
      </w:tr>
      <w:tr w:rsidR="00B628FF" w14:paraId="5BE607EA" w14:textId="77777777">
        <w:trPr>
          <w:cantSplit/>
        </w:trPr>
        <w:tc>
          <w:tcPr>
            <w:tcW w:w="2500" w:type="dxa"/>
            <w:tcBorders>
              <w:top w:val="single" w:sz="4" w:space="0" w:color="000000"/>
              <w:bottom w:val="single" w:sz="4" w:space="0" w:color="000000"/>
            </w:tcBorders>
          </w:tcPr>
          <w:p w14:paraId="67662E92" w14:textId="77777777" w:rsidR="00B628FF" w:rsidRDefault="005B2D2F">
            <w:pPr>
              <w:pStyle w:val="Totalrowleftaligned"/>
              <w:keepNext/>
            </w:pPr>
            <w:r>
              <w:t>Total – Payments</w:t>
            </w:r>
          </w:p>
        </w:tc>
        <w:tc>
          <w:tcPr>
            <w:tcW w:w="1043" w:type="dxa"/>
            <w:tcBorders>
              <w:top w:val="single" w:sz="4" w:space="0" w:color="000000"/>
              <w:bottom w:val="single" w:sz="4" w:space="0" w:color="000000"/>
            </w:tcBorders>
          </w:tcPr>
          <w:p w14:paraId="5615839C" w14:textId="5CA330CA" w:rsidR="00B628FF" w:rsidRDefault="00B31B37">
            <w:pPr>
              <w:pStyle w:val="Totaldatarowrightaligned"/>
              <w:keepNext/>
            </w:pPr>
            <w:r>
              <w:noBreakHyphen/>
            </w:r>
          </w:p>
        </w:tc>
        <w:tc>
          <w:tcPr>
            <w:tcW w:w="1043" w:type="dxa"/>
            <w:tcBorders>
              <w:top w:val="single" w:sz="4" w:space="0" w:color="000000"/>
              <w:bottom w:val="single" w:sz="4" w:space="0" w:color="000000"/>
            </w:tcBorders>
          </w:tcPr>
          <w:p w14:paraId="1266D915" w14:textId="6765E9D1" w:rsidR="00B628FF" w:rsidRDefault="00B31B37">
            <w:pPr>
              <w:pStyle w:val="Totaldatarowrightaligned"/>
              <w:keepNext/>
            </w:pPr>
            <w:r>
              <w:noBreakHyphen/>
            </w:r>
            <w:r w:rsidR="005B2D2F">
              <w:t>3.8</w:t>
            </w:r>
          </w:p>
        </w:tc>
        <w:tc>
          <w:tcPr>
            <w:tcW w:w="1043" w:type="dxa"/>
            <w:tcBorders>
              <w:top w:val="single" w:sz="4" w:space="0" w:color="000000"/>
              <w:bottom w:val="single" w:sz="4" w:space="0" w:color="000000"/>
            </w:tcBorders>
          </w:tcPr>
          <w:p w14:paraId="0EA2B334" w14:textId="77777777" w:rsidR="00B628FF" w:rsidRDefault="005B2D2F">
            <w:pPr>
              <w:pStyle w:val="Totaldatarowrightaligned"/>
              <w:keepNext/>
            </w:pPr>
            <w:r>
              <w:t>..</w:t>
            </w:r>
          </w:p>
        </w:tc>
        <w:tc>
          <w:tcPr>
            <w:tcW w:w="1043" w:type="dxa"/>
            <w:tcBorders>
              <w:top w:val="single" w:sz="4" w:space="0" w:color="000000"/>
              <w:bottom w:val="single" w:sz="4" w:space="0" w:color="000000"/>
            </w:tcBorders>
          </w:tcPr>
          <w:p w14:paraId="12C18AB0" w14:textId="4DC2E84D" w:rsidR="00B628FF" w:rsidRDefault="00B31B37">
            <w:pPr>
              <w:pStyle w:val="Totaldatarowrightaligned"/>
              <w:keepNext/>
            </w:pPr>
            <w:r>
              <w:noBreakHyphen/>
            </w:r>
          </w:p>
        </w:tc>
        <w:tc>
          <w:tcPr>
            <w:tcW w:w="1043" w:type="dxa"/>
            <w:tcBorders>
              <w:top w:val="single" w:sz="4" w:space="0" w:color="000000"/>
              <w:bottom w:val="single" w:sz="4" w:space="0" w:color="000000"/>
            </w:tcBorders>
          </w:tcPr>
          <w:p w14:paraId="25F24FA4" w14:textId="205CF5F5" w:rsidR="00B628FF" w:rsidRDefault="00B31B37">
            <w:pPr>
              <w:pStyle w:val="Totaldatarowrightaligned"/>
              <w:keepNext/>
            </w:pPr>
            <w:r>
              <w:noBreakHyphen/>
            </w:r>
          </w:p>
        </w:tc>
      </w:tr>
    </w:tbl>
    <w:p w14:paraId="22CA84D6" w14:textId="77777777" w:rsidR="00B628FF" w:rsidRDefault="00B628FF">
      <w:pPr>
        <w:keepNext/>
        <w:spacing w:line="226" w:lineRule="exact"/>
        <w:rPr>
          <w:sz w:val="16"/>
        </w:rPr>
      </w:pPr>
    </w:p>
    <w:p w14:paraId="4E56BDA3" w14:textId="77777777" w:rsidR="00B628FF" w:rsidRDefault="005B2D2F">
      <w:pPr>
        <w:pStyle w:val="Normal2"/>
      </w:pPr>
      <w:r>
        <w:t>The Government will achieve savings of $3.8 million over two years from 2025–‍26 by deferring changes to the Medicare Benefits Schedule (MBS) to reclassify the intravitreal eye injection item as a Type C out‑of‑hospital item, to allow time for further consultation on the proposed changes.</w:t>
      </w:r>
    </w:p>
    <w:p w14:paraId="70B60362" w14:textId="77777777" w:rsidR="00B628FF" w:rsidRDefault="005B2D2F">
      <w:pPr>
        <w:pStyle w:val="MeasureTitle"/>
      </w:pPr>
      <w:r>
        <w:t>Implementation of Aged Care Reforms</w:t>
      </w:r>
    </w:p>
    <w:p w14:paraId="11ACB965" w14:textId="77777777" w:rsidR="00B628FF" w:rsidRDefault="005B2D2F">
      <w:pPr>
        <w:pStyle w:val="MeasureTableHeading"/>
      </w:pPr>
      <w:r>
        <w:t>Payments ($m)</w:t>
      </w:r>
    </w:p>
    <w:tbl>
      <w:tblPr>
        <w:tblOverlap w:val="never"/>
        <w:tblW w:w="7721" w:type="dxa"/>
        <w:tblBorders>
          <w:top w:val="single" w:sz="4" w:space="0" w:color="000000"/>
          <w:bottom w:val="single" w:sz="4" w:space="0" w:color="000000"/>
        </w:tblBorders>
        <w:tblLayout w:type="fixed"/>
        <w:tblLook w:val="04A0" w:firstRow="1" w:lastRow="0" w:firstColumn="1" w:lastColumn="0" w:noHBand="0" w:noVBand="1"/>
      </w:tblPr>
      <w:tblGrid>
        <w:gridCol w:w="2501"/>
        <w:gridCol w:w="1044"/>
        <w:gridCol w:w="1044"/>
        <w:gridCol w:w="1044"/>
        <w:gridCol w:w="1044"/>
        <w:gridCol w:w="1044"/>
      </w:tblGrid>
      <w:tr w:rsidR="00B628FF" w14:paraId="0780309D" w14:textId="77777777">
        <w:trPr>
          <w:cantSplit/>
        </w:trPr>
        <w:tc>
          <w:tcPr>
            <w:tcW w:w="2500" w:type="dxa"/>
            <w:tcBorders>
              <w:top w:val="single" w:sz="4" w:space="0" w:color="000000"/>
              <w:bottom w:val="single" w:sz="4" w:space="0" w:color="000000"/>
            </w:tcBorders>
          </w:tcPr>
          <w:p w14:paraId="2A5115A9" w14:textId="77777777" w:rsidR="00B628FF" w:rsidRDefault="00B628FF">
            <w:pPr>
              <w:pStyle w:val="MeasureTableYearHeadings"/>
              <w:keepNext/>
            </w:pPr>
          </w:p>
        </w:tc>
        <w:tc>
          <w:tcPr>
            <w:tcW w:w="1043" w:type="dxa"/>
            <w:tcBorders>
              <w:top w:val="single" w:sz="4" w:space="0" w:color="000000"/>
              <w:bottom w:val="single" w:sz="4" w:space="0" w:color="000000"/>
            </w:tcBorders>
          </w:tcPr>
          <w:p w14:paraId="03B8B031" w14:textId="27C5D2AF" w:rsidR="00B628FF" w:rsidRDefault="005B2D2F">
            <w:pPr>
              <w:pStyle w:val="MeasureTableYearHeadings"/>
              <w:keepNext/>
            </w:pPr>
            <w:r>
              <w:t>2024</w:t>
            </w:r>
            <w:r w:rsidR="00B31B37">
              <w:noBreakHyphen/>
            </w:r>
            <w:r>
              <w:t>25</w:t>
            </w:r>
          </w:p>
        </w:tc>
        <w:tc>
          <w:tcPr>
            <w:tcW w:w="1043" w:type="dxa"/>
            <w:tcBorders>
              <w:top w:val="single" w:sz="4" w:space="0" w:color="000000"/>
              <w:bottom w:val="single" w:sz="4" w:space="0" w:color="000000"/>
            </w:tcBorders>
          </w:tcPr>
          <w:p w14:paraId="5F4BF954" w14:textId="366320E0" w:rsidR="00B628FF" w:rsidRDefault="005B2D2F">
            <w:pPr>
              <w:pStyle w:val="MeasureTableYearHeadings"/>
              <w:keepNext/>
            </w:pPr>
            <w:r>
              <w:t>2025</w:t>
            </w:r>
            <w:r w:rsidR="00B31B37">
              <w:noBreakHyphen/>
            </w:r>
            <w:r>
              <w:t>26</w:t>
            </w:r>
          </w:p>
        </w:tc>
        <w:tc>
          <w:tcPr>
            <w:tcW w:w="1043" w:type="dxa"/>
            <w:tcBorders>
              <w:top w:val="single" w:sz="4" w:space="0" w:color="000000"/>
              <w:bottom w:val="single" w:sz="4" w:space="0" w:color="000000"/>
            </w:tcBorders>
          </w:tcPr>
          <w:p w14:paraId="00A8E7D5" w14:textId="1F372673" w:rsidR="00B628FF" w:rsidRDefault="005B2D2F">
            <w:pPr>
              <w:pStyle w:val="MeasureTableYearHeadings"/>
              <w:keepNext/>
            </w:pPr>
            <w:r>
              <w:t>2026</w:t>
            </w:r>
            <w:r w:rsidR="00B31B37">
              <w:noBreakHyphen/>
            </w:r>
            <w:r>
              <w:t>27</w:t>
            </w:r>
          </w:p>
        </w:tc>
        <w:tc>
          <w:tcPr>
            <w:tcW w:w="1043" w:type="dxa"/>
            <w:tcBorders>
              <w:top w:val="single" w:sz="4" w:space="0" w:color="000000"/>
              <w:bottom w:val="single" w:sz="4" w:space="0" w:color="000000"/>
            </w:tcBorders>
          </w:tcPr>
          <w:p w14:paraId="6AD28176" w14:textId="7E20C65D" w:rsidR="00B628FF" w:rsidRDefault="005B2D2F">
            <w:pPr>
              <w:pStyle w:val="MeasureTableYearHeadings"/>
              <w:keepNext/>
            </w:pPr>
            <w:r>
              <w:t>2027</w:t>
            </w:r>
            <w:r w:rsidR="00B31B37">
              <w:noBreakHyphen/>
            </w:r>
            <w:r>
              <w:t>28</w:t>
            </w:r>
          </w:p>
        </w:tc>
        <w:tc>
          <w:tcPr>
            <w:tcW w:w="1043" w:type="dxa"/>
            <w:tcBorders>
              <w:top w:val="single" w:sz="4" w:space="0" w:color="000000"/>
              <w:bottom w:val="single" w:sz="4" w:space="0" w:color="000000"/>
            </w:tcBorders>
          </w:tcPr>
          <w:p w14:paraId="28BD76B8" w14:textId="64A1A436" w:rsidR="00B628FF" w:rsidRDefault="005B2D2F">
            <w:pPr>
              <w:pStyle w:val="MeasureTableYearHeadings"/>
              <w:keepNext/>
            </w:pPr>
            <w:r>
              <w:t>2028</w:t>
            </w:r>
            <w:r w:rsidR="00B31B37">
              <w:noBreakHyphen/>
            </w:r>
            <w:r>
              <w:t>29</w:t>
            </w:r>
          </w:p>
        </w:tc>
      </w:tr>
      <w:tr w:rsidR="00B628FF" w14:paraId="51FC8748" w14:textId="77777777">
        <w:trPr>
          <w:cantSplit/>
        </w:trPr>
        <w:tc>
          <w:tcPr>
            <w:tcW w:w="2500" w:type="dxa"/>
            <w:tcBorders>
              <w:top w:val="single" w:sz="4" w:space="0" w:color="000000"/>
              <w:bottom w:val="single" w:sz="4" w:space="0" w:color="000000"/>
            </w:tcBorders>
          </w:tcPr>
          <w:p w14:paraId="5BD59A40" w14:textId="77777777" w:rsidR="00B628FF" w:rsidRDefault="005B2D2F">
            <w:pPr>
              <w:pStyle w:val="MeasureTableHeadingleftalignedwith2ptsspacing"/>
              <w:keepNext/>
            </w:pPr>
            <w:r>
              <w:t>Aged Care Quality and Safety Commission</w:t>
            </w:r>
          </w:p>
        </w:tc>
        <w:tc>
          <w:tcPr>
            <w:tcW w:w="1043" w:type="dxa"/>
            <w:tcBorders>
              <w:top w:val="single" w:sz="4" w:space="0" w:color="000000"/>
              <w:bottom w:val="single" w:sz="4" w:space="0" w:color="000000"/>
            </w:tcBorders>
          </w:tcPr>
          <w:p w14:paraId="2C8B7154" w14:textId="44AE31F5"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7C876274" w14:textId="77777777" w:rsidR="00B628FF" w:rsidRDefault="005B2D2F">
            <w:pPr>
              <w:pStyle w:val="MeasureTableDataRightAlignedwith2ptsspacing"/>
              <w:keepNext/>
            </w:pPr>
            <w:r>
              <w:t>116.1</w:t>
            </w:r>
          </w:p>
        </w:tc>
        <w:tc>
          <w:tcPr>
            <w:tcW w:w="1043" w:type="dxa"/>
            <w:tcBorders>
              <w:top w:val="single" w:sz="4" w:space="0" w:color="000000"/>
              <w:bottom w:val="single" w:sz="4" w:space="0" w:color="000000"/>
            </w:tcBorders>
          </w:tcPr>
          <w:p w14:paraId="70D8EC28" w14:textId="6DBC566C"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4CE8A9A6" w14:textId="2685653B"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14C12D88" w14:textId="3A33A6A9" w:rsidR="00B628FF" w:rsidRDefault="00B31B37">
            <w:pPr>
              <w:pStyle w:val="MeasureTableDataRightAlignedwith2ptsspacing"/>
              <w:keepNext/>
            </w:pPr>
            <w:r>
              <w:noBreakHyphen/>
            </w:r>
          </w:p>
        </w:tc>
      </w:tr>
      <w:tr w:rsidR="00B628FF" w14:paraId="059C3C15" w14:textId="77777777">
        <w:trPr>
          <w:cantSplit/>
        </w:trPr>
        <w:tc>
          <w:tcPr>
            <w:tcW w:w="2500" w:type="dxa"/>
            <w:tcBorders>
              <w:top w:val="single" w:sz="4" w:space="0" w:color="000000"/>
              <w:bottom w:val="single" w:sz="4" w:space="0" w:color="000000"/>
            </w:tcBorders>
          </w:tcPr>
          <w:p w14:paraId="5FDEBCEE" w14:textId="77777777" w:rsidR="00B628FF" w:rsidRDefault="005B2D2F">
            <w:pPr>
              <w:pStyle w:val="MeasureTableHeadingleftalignedwith2ptsspacing"/>
              <w:keepNext/>
            </w:pPr>
            <w:r>
              <w:t>Department of Health and Aged Care</w:t>
            </w:r>
          </w:p>
        </w:tc>
        <w:tc>
          <w:tcPr>
            <w:tcW w:w="1043" w:type="dxa"/>
            <w:tcBorders>
              <w:top w:val="single" w:sz="4" w:space="0" w:color="000000"/>
              <w:bottom w:val="single" w:sz="4" w:space="0" w:color="000000"/>
            </w:tcBorders>
          </w:tcPr>
          <w:p w14:paraId="7F02E640" w14:textId="516FB673" w:rsidR="00B628FF" w:rsidRDefault="00B31B37">
            <w:pPr>
              <w:pStyle w:val="MeasureTableDataRightAlignedwith2ptsspacing"/>
              <w:keepNext/>
            </w:pPr>
            <w:r>
              <w:noBreakHyphen/>
            </w:r>
            <w:r w:rsidR="005B2D2F">
              <w:t>0.2</w:t>
            </w:r>
          </w:p>
        </w:tc>
        <w:tc>
          <w:tcPr>
            <w:tcW w:w="1043" w:type="dxa"/>
            <w:tcBorders>
              <w:top w:val="single" w:sz="4" w:space="0" w:color="000000"/>
              <w:bottom w:val="single" w:sz="4" w:space="0" w:color="000000"/>
            </w:tcBorders>
          </w:tcPr>
          <w:p w14:paraId="2D4825C1" w14:textId="77777777" w:rsidR="00B628FF" w:rsidRDefault="005B2D2F">
            <w:pPr>
              <w:pStyle w:val="MeasureTableDataRightAlignedwith2ptsspacing"/>
              <w:keepNext/>
            </w:pPr>
            <w:r>
              <w:t>24.5</w:t>
            </w:r>
          </w:p>
        </w:tc>
        <w:tc>
          <w:tcPr>
            <w:tcW w:w="1043" w:type="dxa"/>
            <w:tcBorders>
              <w:top w:val="single" w:sz="4" w:space="0" w:color="000000"/>
              <w:bottom w:val="single" w:sz="4" w:space="0" w:color="000000"/>
            </w:tcBorders>
          </w:tcPr>
          <w:p w14:paraId="43DD245F" w14:textId="77777777" w:rsidR="00B628FF" w:rsidRDefault="005B2D2F">
            <w:pPr>
              <w:pStyle w:val="MeasureTableDataRightAlignedwith2ptsspacing"/>
              <w:keepNext/>
            </w:pPr>
            <w:r>
              <w:t>10.6</w:t>
            </w:r>
          </w:p>
        </w:tc>
        <w:tc>
          <w:tcPr>
            <w:tcW w:w="1043" w:type="dxa"/>
            <w:tcBorders>
              <w:top w:val="single" w:sz="4" w:space="0" w:color="000000"/>
              <w:bottom w:val="single" w:sz="4" w:space="0" w:color="000000"/>
            </w:tcBorders>
          </w:tcPr>
          <w:p w14:paraId="15C92063" w14:textId="77777777" w:rsidR="00B628FF" w:rsidRDefault="005B2D2F">
            <w:pPr>
              <w:pStyle w:val="MeasureTableDataRightAlignedwith2ptsspacing"/>
              <w:keepNext/>
            </w:pPr>
            <w:r>
              <w:t>11.7</w:t>
            </w:r>
          </w:p>
        </w:tc>
        <w:tc>
          <w:tcPr>
            <w:tcW w:w="1043" w:type="dxa"/>
            <w:tcBorders>
              <w:top w:val="single" w:sz="4" w:space="0" w:color="000000"/>
              <w:bottom w:val="single" w:sz="4" w:space="0" w:color="000000"/>
            </w:tcBorders>
          </w:tcPr>
          <w:p w14:paraId="5FEC4191" w14:textId="77777777" w:rsidR="00B628FF" w:rsidRDefault="005B2D2F">
            <w:pPr>
              <w:pStyle w:val="MeasureTableDataRightAlignedwith2ptsspacing"/>
              <w:keepNext/>
            </w:pPr>
            <w:r>
              <w:t>12.8</w:t>
            </w:r>
          </w:p>
        </w:tc>
      </w:tr>
      <w:tr w:rsidR="00B628FF" w14:paraId="40AA3764" w14:textId="77777777">
        <w:trPr>
          <w:cantSplit/>
        </w:trPr>
        <w:tc>
          <w:tcPr>
            <w:tcW w:w="2500" w:type="dxa"/>
            <w:tcBorders>
              <w:top w:val="single" w:sz="4" w:space="0" w:color="000000"/>
              <w:bottom w:val="single" w:sz="4" w:space="0" w:color="000000"/>
            </w:tcBorders>
          </w:tcPr>
          <w:p w14:paraId="55B9B464" w14:textId="77777777" w:rsidR="00B628FF" w:rsidRDefault="005B2D2F">
            <w:pPr>
              <w:pStyle w:val="MeasureTableHeadingleftalignedwith2ptsspacing"/>
              <w:keepNext/>
            </w:pPr>
            <w:r>
              <w:t>Department of the Treasury</w:t>
            </w:r>
          </w:p>
        </w:tc>
        <w:tc>
          <w:tcPr>
            <w:tcW w:w="1043" w:type="dxa"/>
            <w:tcBorders>
              <w:top w:val="single" w:sz="4" w:space="0" w:color="000000"/>
              <w:bottom w:val="single" w:sz="4" w:space="0" w:color="000000"/>
            </w:tcBorders>
          </w:tcPr>
          <w:p w14:paraId="504A3419" w14:textId="2226F058" w:rsidR="00B628FF" w:rsidRDefault="00B31B37">
            <w:pPr>
              <w:pStyle w:val="MeasureTableDataRightAlignedwith2ptsspacing"/>
              <w:keepNext/>
            </w:pPr>
            <w:r>
              <w:noBreakHyphen/>
            </w:r>
            <w:r w:rsidR="005B2D2F">
              <w:t>10.3</w:t>
            </w:r>
          </w:p>
        </w:tc>
        <w:tc>
          <w:tcPr>
            <w:tcW w:w="1043" w:type="dxa"/>
            <w:tcBorders>
              <w:top w:val="single" w:sz="4" w:space="0" w:color="000000"/>
              <w:bottom w:val="single" w:sz="4" w:space="0" w:color="000000"/>
            </w:tcBorders>
          </w:tcPr>
          <w:p w14:paraId="49BD7FC5" w14:textId="70634FC0" w:rsidR="00B628FF" w:rsidRDefault="00B31B37">
            <w:pPr>
              <w:pStyle w:val="MeasureTableDataRightAlignedwith2ptsspacing"/>
              <w:keepNext/>
            </w:pPr>
            <w:r>
              <w:noBreakHyphen/>
            </w:r>
            <w:r w:rsidR="005B2D2F">
              <w:t>10.3</w:t>
            </w:r>
          </w:p>
        </w:tc>
        <w:tc>
          <w:tcPr>
            <w:tcW w:w="1043" w:type="dxa"/>
            <w:tcBorders>
              <w:top w:val="single" w:sz="4" w:space="0" w:color="000000"/>
              <w:bottom w:val="single" w:sz="4" w:space="0" w:color="000000"/>
            </w:tcBorders>
          </w:tcPr>
          <w:p w14:paraId="05DB767F" w14:textId="285EAEA3"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4F5D9604" w14:textId="68751056"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5450F3EA" w14:textId="2A616010" w:rsidR="00B628FF" w:rsidRDefault="00B31B37">
            <w:pPr>
              <w:pStyle w:val="MeasureTableDataRightAlignedwith2ptsspacing"/>
              <w:keepNext/>
            </w:pPr>
            <w:r>
              <w:noBreakHyphen/>
            </w:r>
          </w:p>
        </w:tc>
      </w:tr>
      <w:tr w:rsidR="00B628FF" w14:paraId="0D503785" w14:textId="77777777">
        <w:trPr>
          <w:cantSplit/>
        </w:trPr>
        <w:tc>
          <w:tcPr>
            <w:tcW w:w="2500" w:type="dxa"/>
            <w:tcBorders>
              <w:top w:val="single" w:sz="4" w:space="0" w:color="000000"/>
              <w:bottom w:val="single" w:sz="4" w:space="0" w:color="000000"/>
            </w:tcBorders>
          </w:tcPr>
          <w:p w14:paraId="5D1BD9EF" w14:textId="77777777" w:rsidR="00B628FF" w:rsidRDefault="005B2D2F">
            <w:pPr>
              <w:pStyle w:val="Totalrowleftaligned"/>
              <w:keepNext/>
            </w:pPr>
            <w:r>
              <w:t>Total – Payments</w:t>
            </w:r>
          </w:p>
        </w:tc>
        <w:tc>
          <w:tcPr>
            <w:tcW w:w="1043" w:type="dxa"/>
            <w:tcBorders>
              <w:top w:val="single" w:sz="4" w:space="0" w:color="000000"/>
              <w:bottom w:val="single" w:sz="4" w:space="0" w:color="000000"/>
            </w:tcBorders>
          </w:tcPr>
          <w:p w14:paraId="1084812A" w14:textId="7CEB2082" w:rsidR="00B628FF" w:rsidRDefault="00B31B37">
            <w:pPr>
              <w:pStyle w:val="Totaldatarowrightaligned"/>
              <w:keepNext/>
            </w:pPr>
            <w:r>
              <w:noBreakHyphen/>
            </w:r>
            <w:r w:rsidR="005B2D2F">
              <w:t>10.5</w:t>
            </w:r>
          </w:p>
        </w:tc>
        <w:tc>
          <w:tcPr>
            <w:tcW w:w="1043" w:type="dxa"/>
            <w:tcBorders>
              <w:top w:val="single" w:sz="4" w:space="0" w:color="000000"/>
              <w:bottom w:val="single" w:sz="4" w:space="0" w:color="000000"/>
            </w:tcBorders>
          </w:tcPr>
          <w:p w14:paraId="465BEBD8" w14:textId="77777777" w:rsidR="00B628FF" w:rsidRDefault="005B2D2F">
            <w:pPr>
              <w:pStyle w:val="Totaldatarowrightaligned"/>
              <w:keepNext/>
            </w:pPr>
            <w:r>
              <w:t>130.3</w:t>
            </w:r>
          </w:p>
        </w:tc>
        <w:tc>
          <w:tcPr>
            <w:tcW w:w="1043" w:type="dxa"/>
            <w:tcBorders>
              <w:top w:val="single" w:sz="4" w:space="0" w:color="000000"/>
              <w:bottom w:val="single" w:sz="4" w:space="0" w:color="000000"/>
            </w:tcBorders>
          </w:tcPr>
          <w:p w14:paraId="4F73912A" w14:textId="77777777" w:rsidR="00B628FF" w:rsidRDefault="005B2D2F">
            <w:pPr>
              <w:pStyle w:val="Totaldatarowrightaligned"/>
              <w:keepNext/>
            </w:pPr>
            <w:r>
              <w:t>10.6</w:t>
            </w:r>
          </w:p>
        </w:tc>
        <w:tc>
          <w:tcPr>
            <w:tcW w:w="1043" w:type="dxa"/>
            <w:tcBorders>
              <w:top w:val="single" w:sz="4" w:space="0" w:color="000000"/>
              <w:bottom w:val="single" w:sz="4" w:space="0" w:color="000000"/>
            </w:tcBorders>
          </w:tcPr>
          <w:p w14:paraId="1F94CDFA" w14:textId="77777777" w:rsidR="00B628FF" w:rsidRDefault="005B2D2F">
            <w:pPr>
              <w:pStyle w:val="Totaldatarowrightaligned"/>
              <w:keepNext/>
            </w:pPr>
            <w:r>
              <w:t>11.7</w:t>
            </w:r>
          </w:p>
        </w:tc>
        <w:tc>
          <w:tcPr>
            <w:tcW w:w="1043" w:type="dxa"/>
            <w:tcBorders>
              <w:top w:val="single" w:sz="4" w:space="0" w:color="000000"/>
              <w:bottom w:val="single" w:sz="4" w:space="0" w:color="000000"/>
            </w:tcBorders>
          </w:tcPr>
          <w:p w14:paraId="2AAEC1DE" w14:textId="77777777" w:rsidR="00B628FF" w:rsidRDefault="005B2D2F">
            <w:pPr>
              <w:pStyle w:val="Totaldatarowrightaligned"/>
              <w:keepNext/>
            </w:pPr>
            <w:r>
              <w:t>12.8</w:t>
            </w:r>
          </w:p>
        </w:tc>
      </w:tr>
      <w:tr w:rsidR="00B628FF" w14:paraId="49AEA884" w14:textId="77777777">
        <w:trPr>
          <w:cantSplit/>
        </w:trPr>
        <w:tc>
          <w:tcPr>
            <w:tcW w:w="2500" w:type="dxa"/>
          </w:tcPr>
          <w:p w14:paraId="596EA2EF" w14:textId="77777777" w:rsidR="00B628FF" w:rsidRDefault="005B2D2F">
            <w:pPr>
              <w:pStyle w:val="AgencyName"/>
              <w:keepNext/>
            </w:pPr>
            <w:r>
              <w:t>Related receipts ($m)</w:t>
            </w:r>
          </w:p>
        </w:tc>
        <w:tc>
          <w:tcPr>
            <w:tcW w:w="1043" w:type="dxa"/>
          </w:tcPr>
          <w:p w14:paraId="046D9ED1" w14:textId="77777777" w:rsidR="00B628FF" w:rsidRDefault="00B628FF">
            <w:pPr>
              <w:pStyle w:val="AgencyName"/>
              <w:keepNext/>
            </w:pPr>
          </w:p>
        </w:tc>
        <w:tc>
          <w:tcPr>
            <w:tcW w:w="1043" w:type="dxa"/>
          </w:tcPr>
          <w:p w14:paraId="7C72724B" w14:textId="77777777" w:rsidR="00B628FF" w:rsidRDefault="00B628FF">
            <w:pPr>
              <w:pStyle w:val="AgencyName"/>
              <w:keepNext/>
            </w:pPr>
          </w:p>
        </w:tc>
        <w:tc>
          <w:tcPr>
            <w:tcW w:w="1043" w:type="dxa"/>
          </w:tcPr>
          <w:p w14:paraId="4D979431" w14:textId="77777777" w:rsidR="00B628FF" w:rsidRDefault="00B628FF">
            <w:pPr>
              <w:pStyle w:val="AgencyName"/>
              <w:keepNext/>
            </w:pPr>
          </w:p>
        </w:tc>
        <w:tc>
          <w:tcPr>
            <w:tcW w:w="1043" w:type="dxa"/>
          </w:tcPr>
          <w:p w14:paraId="4B1CF9D6" w14:textId="77777777" w:rsidR="00B628FF" w:rsidRDefault="00B628FF">
            <w:pPr>
              <w:pStyle w:val="AgencyName"/>
              <w:keepNext/>
            </w:pPr>
          </w:p>
        </w:tc>
        <w:tc>
          <w:tcPr>
            <w:tcW w:w="1043" w:type="dxa"/>
          </w:tcPr>
          <w:p w14:paraId="31A95F02" w14:textId="77777777" w:rsidR="00B628FF" w:rsidRDefault="00B628FF">
            <w:pPr>
              <w:pStyle w:val="AgencyName"/>
              <w:keepNext/>
            </w:pPr>
          </w:p>
        </w:tc>
      </w:tr>
      <w:tr w:rsidR="00B628FF" w14:paraId="38D500DC" w14:textId="77777777">
        <w:tc>
          <w:tcPr>
            <w:tcW w:w="2500" w:type="dxa"/>
          </w:tcPr>
          <w:p w14:paraId="4C83B328" w14:textId="77777777" w:rsidR="00B628FF" w:rsidRDefault="005B2D2F">
            <w:pPr>
              <w:pStyle w:val="AgencyNamewith2ptsspacing"/>
              <w:keepNext/>
            </w:pPr>
            <w:r>
              <w:t>Aged Care Quality and Safety Commission</w:t>
            </w:r>
          </w:p>
        </w:tc>
        <w:tc>
          <w:tcPr>
            <w:tcW w:w="1043" w:type="dxa"/>
          </w:tcPr>
          <w:p w14:paraId="737CF240" w14:textId="55118991" w:rsidR="00B628FF" w:rsidRDefault="00B31B37">
            <w:pPr>
              <w:pStyle w:val="Measuretabledatarightaligneditalics"/>
              <w:keepNext/>
            </w:pPr>
            <w:r>
              <w:noBreakHyphen/>
            </w:r>
          </w:p>
        </w:tc>
        <w:tc>
          <w:tcPr>
            <w:tcW w:w="1043" w:type="dxa"/>
          </w:tcPr>
          <w:p w14:paraId="1B667099" w14:textId="77777777" w:rsidR="00B628FF" w:rsidRDefault="005B2D2F">
            <w:pPr>
              <w:pStyle w:val="Measuretabledatarightaligneditalics"/>
              <w:keepNext/>
            </w:pPr>
            <w:r>
              <w:t>27.7</w:t>
            </w:r>
          </w:p>
        </w:tc>
        <w:tc>
          <w:tcPr>
            <w:tcW w:w="1043" w:type="dxa"/>
          </w:tcPr>
          <w:p w14:paraId="43FA4E10" w14:textId="0E217CA7" w:rsidR="00B628FF" w:rsidRDefault="00B31B37">
            <w:pPr>
              <w:pStyle w:val="Measuretabledatarightaligneditalics"/>
              <w:keepNext/>
            </w:pPr>
            <w:r>
              <w:noBreakHyphen/>
            </w:r>
          </w:p>
        </w:tc>
        <w:tc>
          <w:tcPr>
            <w:tcW w:w="1043" w:type="dxa"/>
          </w:tcPr>
          <w:p w14:paraId="7491834B" w14:textId="668CA75C" w:rsidR="00B628FF" w:rsidRDefault="00B31B37">
            <w:pPr>
              <w:pStyle w:val="Measuretabledatarightaligneditalics"/>
              <w:keepNext/>
            </w:pPr>
            <w:r>
              <w:noBreakHyphen/>
            </w:r>
          </w:p>
        </w:tc>
        <w:tc>
          <w:tcPr>
            <w:tcW w:w="1043" w:type="dxa"/>
          </w:tcPr>
          <w:p w14:paraId="0D66B907" w14:textId="61B51834" w:rsidR="00B628FF" w:rsidRDefault="00B31B37">
            <w:pPr>
              <w:pStyle w:val="Measuretabledatarightaligneditalics"/>
              <w:keepNext/>
            </w:pPr>
            <w:r>
              <w:noBreakHyphen/>
            </w:r>
          </w:p>
        </w:tc>
      </w:tr>
    </w:tbl>
    <w:p w14:paraId="5E8EBE0E" w14:textId="77777777" w:rsidR="00B628FF" w:rsidRDefault="00B628FF">
      <w:pPr>
        <w:keepNext/>
        <w:spacing w:line="226" w:lineRule="exact"/>
        <w:rPr>
          <w:sz w:val="16"/>
        </w:rPr>
      </w:pPr>
    </w:p>
    <w:p w14:paraId="251DF987" w14:textId="77777777" w:rsidR="00B628FF" w:rsidRDefault="005B2D2F">
      <w:pPr>
        <w:pStyle w:val="Normal2"/>
      </w:pPr>
      <w:r w:rsidRPr="5FA307DC">
        <w:rPr>
          <w:lang w:val="en-US"/>
        </w:rPr>
        <w:t>The Government will provide $291.6 million over five years from 2024–‍25 (and an additional $12.7 million in 2029–‍30) to continue the delivery of aged care reforms and the implementation of recommendations from the Royal Commission into Aged Care Quality and Safety. Funding includes:</w:t>
      </w:r>
    </w:p>
    <w:p w14:paraId="09FA6CBD" w14:textId="77777777" w:rsidR="00B628FF" w:rsidRDefault="005B2D2F">
      <w:pPr>
        <w:pStyle w:val="Bullet"/>
      </w:pPr>
      <w:r>
        <w:t xml:space="preserve">$116.1 million in 2025–‍26 in additional funding for the Aged Care Quality and Safety Commission to deliver its regulatory functions under the </w:t>
      </w:r>
      <w:r w:rsidRPr="005B2D2F">
        <w:rPr>
          <w:i/>
        </w:rPr>
        <w:t>Aged Care Act 2024</w:t>
      </w:r>
      <w:r>
        <w:t xml:space="preserve"> from 1 July 2025</w:t>
      </w:r>
    </w:p>
    <w:p w14:paraId="672A4714" w14:textId="77777777" w:rsidR="00B628FF" w:rsidRDefault="005B2D2F">
      <w:pPr>
        <w:pStyle w:val="Bullet"/>
      </w:pPr>
      <w:r>
        <w:t xml:space="preserve">$53.2 million in 2025–‍26 to continue implementation of the Single Assessment System and support the staged digital implementation of the </w:t>
      </w:r>
      <w:r w:rsidRPr="005B2D2F">
        <w:rPr>
          <w:i/>
        </w:rPr>
        <w:t xml:space="preserve">Aged Care Act 2024 </w:t>
      </w:r>
      <w:r>
        <w:t>to ensure continuity of aged care assessment services</w:t>
      </w:r>
    </w:p>
    <w:p w14:paraId="5BF5C1DA" w14:textId="77777777" w:rsidR="00B628FF" w:rsidRDefault="005B2D2F">
      <w:pPr>
        <w:pStyle w:val="Bullet"/>
      </w:pPr>
      <w:r>
        <w:t>$47.6 million over four years from 2025–‍26 (and an additional $12.7 million in 2029–‍30) to support First Nations organisations to deliver culturally appropriate aged care assessments for First Nations people</w:t>
      </w:r>
    </w:p>
    <w:p w14:paraId="7E1A9E22" w14:textId="4B865B1E" w:rsidR="00B628FF" w:rsidRDefault="005B2D2F">
      <w:pPr>
        <w:pStyle w:val="Bullet"/>
      </w:pPr>
      <w:r>
        <w:t xml:space="preserve">$37.8 million in 2025–‍26 for the Aged Care Quality and Safety Commission to support the staged digital implementation of the </w:t>
      </w:r>
      <w:r w:rsidRPr="005B2D2F">
        <w:rPr>
          <w:i/>
        </w:rPr>
        <w:t>Aged Care Act</w:t>
      </w:r>
      <w:r w:rsidR="00780C90">
        <w:rPr>
          <w:i/>
        </w:rPr>
        <w:t> </w:t>
      </w:r>
      <w:r w:rsidRPr="005B2D2F">
        <w:rPr>
          <w:i/>
        </w:rPr>
        <w:t>2024</w:t>
      </w:r>
    </w:p>
    <w:p w14:paraId="5E318BAA" w14:textId="7C6277EB" w:rsidR="00B628FF" w:rsidRDefault="005B2D2F">
      <w:pPr>
        <w:pStyle w:val="Bullet"/>
      </w:pPr>
      <w:r>
        <w:t xml:space="preserve">$24.4 million in 2024–‍25 for additional </w:t>
      </w:r>
      <w:r w:rsidRPr="005B2D2F">
        <w:rPr>
          <w:i/>
        </w:rPr>
        <w:t>Commonwealth Home Support Programme</w:t>
      </w:r>
      <w:r>
        <w:t xml:space="preserve"> assessments to meet new requirements under the </w:t>
      </w:r>
      <w:r w:rsidRPr="005B2D2F">
        <w:rPr>
          <w:i/>
        </w:rPr>
        <w:t>Aged Care Act</w:t>
      </w:r>
      <w:r w:rsidR="00780C90">
        <w:rPr>
          <w:i/>
        </w:rPr>
        <w:t> </w:t>
      </w:r>
      <w:r w:rsidRPr="005B2D2F">
        <w:rPr>
          <w:i/>
        </w:rPr>
        <w:t>2024</w:t>
      </w:r>
    </w:p>
    <w:p w14:paraId="2DC7E8C7" w14:textId="77777777" w:rsidR="00B628FF" w:rsidRDefault="005B2D2F">
      <w:pPr>
        <w:pStyle w:val="Bullet"/>
      </w:pPr>
      <w:r>
        <w:t>$5.7 million in 2025–‍26 for the National Centre for Monitoring Dementia to provide dementia data and monitor progress with the National Dementia Action Plan</w:t>
      </w:r>
    </w:p>
    <w:p w14:paraId="6939E2F9" w14:textId="77777777" w:rsidR="00B628FF" w:rsidRDefault="005B2D2F">
      <w:pPr>
        <w:pStyle w:val="Bullet"/>
      </w:pPr>
      <w:r>
        <w:t>$3.6 million in 2025–‍26 to support an evaluation and stakeholder engagement in a review of the Aged Care Quality Standards</w:t>
      </w:r>
    </w:p>
    <w:p w14:paraId="6CC54BA3" w14:textId="373D5EDD" w:rsidR="00B628FF" w:rsidRDefault="005B2D2F">
      <w:pPr>
        <w:pStyle w:val="Bullet"/>
      </w:pPr>
      <w:r>
        <w:t xml:space="preserve">$2.4 million in 2025–‍26 to extend the </w:t>
      </w:r>
      <w:r w:rsidRPr="005B2D2F">
        <w:rPr>
          <w:i/>
        </w:rPr>
        <w:t>Care Together Program</w:t>
      </w:r>
      <w:r>
        <w:t xml:space="preserve"> to support the start‑up and development of cooperative and mutual enterprises, and deliver business resources and professional support to the aged, disability and veterans</w:t>
      </w:r>
      <w:r w:rsidR="00B31B37">
        <w:t>’</w:t>
      </w:r>
      <w:r>
        <w:t xml:space="preserve"> care sectors</w:t>
      </w:r>
    </w:p>
    <w:p w14:paraId="67F39C9B" w14:textId="77777777" w:rsidR="00B628FF" w:rsidRDefault="005B2D2F">
      <w:pPr>
        <w:pStyle w:val="Bullet"/>
      </w:pPr>
      <w:r>
        <w:t>$0.7 million in 2025–‍26 for Uniting Care to continue the operation of the Aged Care Workforce Remote Accord to support the aged care workforce in remote and very remote communities.</w:t>
      </w:r>
    </w:p>
    <w:p w14:paraId="07CBD1D6" w14:textId="77777777" w:rsidR="00B628FF" w:rsidRDefault="005B2D2F">
      <w:pPr>
        <w:pStyle w:val="Normal2"/>
      </w:pPr>
      <w:r w:rsidRPr="5FA307DC">
        <w:rPr>
          <w:lang w:val="en-US"/>
        </w:rPr>
        <w:t xml:space="preserve">The Government will achieve savings of $21.2 million over three years from 2024–‍25 by not proceeding with part of the 2022–‍23 March Budget measure titled </w:t>
      </w:r>
      <w:r w:rsidRPr="5FA307DC">
        <w:rPr>
          <w:i/>
          <w:iCs/>
          <w:lang w:val="en-US"/>
        </w:rPr>
        <w:t xml:space="preserve">Ageing and Aged Care </w:t>
      </w:r>
      <w:r w:rsidRPr="5FA307DC">
        <w:rPr>
          <w:lang w:val="en-US"/>
        </w:rPr>
        <w:t>to trial new models of multidisciplinary care in residential aged care and inform pricing arrangements through the National Health Reform Agreement</w:t>
      </w:r>
      <w:r w:rsidRPr="5FA307DC">
        <w:rPr>
          <w:i/>
          <w:iCs/>
          <w:lang w:val="en-US"/>
        </w:rPr>
        <w:t>.</w:t>
      </w:r>
    </w:p>
    <w:p w14:paraId="313DA4F5" w14:textId="77777777" w:rsidR="00B628FF" w:rsidRDefault="005B2D2F">
      <w:pPr>
        <w:pStyle w:val="Normal2"/>
      </w:pPr>
      <w:r>
        <w:t>The Government will achieve savings of $27.7 million in 2025–‍26 through cost recovery activities under the new charging model of the Aged Care Quality and Safety Commission.</w:t>
      </w:r>
    </w:p>
    <w:p w14:paraId="24EE16E9" w14:textId="77777777" w:rsidR="00B628FF" w:rsidRDefault="005B2D2F">
      <w:pPr>
        <w:pStyle w:val="Normal2"/>
      </w:pPr>
      <w:r w:rsidRPr="5FA307DC">
        <w:rPr>
          <w:lang w:val="en-US"/>
        </w:rPr>
        <w:t>The cost of this measure will be partially met from within the existing resourcing of the Department of Health and Aged Care.</w:t>
      </w:r>
    </w:p>
    <w:p w14:paraId="5CF19C32" w14:textId="77777777" w:rsidR="00B628FF" w:rsidRDefault="005B2D2F">
      <w:pPr>
        <w:pStyle w:val="MeasureTitle"/>
      </w:pPr>
      <w:r>
        <w:t>Improving Access to Medicines and Pharmacy Programs</w:t>
      </w:r>
    </w:p>
    <w:p w14:paraId="3C0202CE" w14:textId="77777777" w:rsidR="00B628FF" w:rsidRDefault="005B2D2F">
      <w:pPr>
        <w:pStyle w:val="MeasureTableHeading"/>
      </w:pPr>
      <w:r>
        <w:t>Payments ($m)</w:t>
      </w:r>
    </w:p>
    <w:tbl>
      <w:tblPr>
        <w:tblOverlap w:val="never"/>
        <w:tblW w:w="7721" w:type="dxa"/>
        <w:tblBorders>
          <w:top w:val="single" w:sz="4" w:space="0" w:color="000000"/>
          <w:bottom w:val="single" w:sz="4" w:space="0" w:color="000000"/>
        </w:tblBorders>
        <w:tblLayout w:type="fixed"/>
        <w:tblLook w:val="04A0" w:firstRow="1" w:lastRow="0" w:firstColumn="1" w:lastColumn="0" w:noHBand="0" w:noVBand="1"/>
      </w:tblPr>
      <w:tblGrid>
        <w:gridCol w:w="2501"/>
        <w:gridCol w:w="1044"/>
        <w:gridCol w:w="1044"/>
        <w:gridCol w:w="1044"/>
        <w:gridCol w:w="1044"/>
        <w:gridCol w:w="1044"/>
      </w:tblGrid>
      <w:tr w:rsidR="00B628FF" w14:paraId="5DDC01B7" w14:textId="77777777">
        <w:trPr>
          <w:cantSplit/>
        </w:trPr>
        <w:tc>
          <w:tcPr>
            <w:tcW w:w="2500" w:type="dxa"/>
            <w:tcBorders>
              <w:top w:val="single" w:sz="4" w:space="0" w:color="000000"/>
              <w:bottom w:val="single" w:sz="4" w:space="0" w:color="000000"/>
            </w:tcBorders>
          </w:tcPr>
          <w:p w14:paraId="34326E1B" w14:textId="77777777" w:rsidR="00B628FF" w:rsidRDefault="00B628FF">
            <w:pPr>
              <w:pStyle w:val="MeasureTableYearHeadings"/>
              <w:keepNext/>
            </w:pPr>
          </w:p>
        </w:tc>
        <w:tc>
          <w:tcPr>
            <w:tcW w:w="1043" w:type="dxa"/>
            <w:tcBorders>
              <w:top w:val="single" w:sz="4" w:space="0" w:color="000000"/>
              <w:bottom w:val="single" w:sz="4" w:space="0" w:color="000000"/>
            </w:tcBorders>
          </w:tcPr>
          <w:p w14:paraId="0DB6D069" w14:textId="53BD258B" w:rsidR="00B628FF" w:rsidRDefault="005B2D2F">
            <w:pPr>
              <w:pStyle w:val="MeasureTableYearHeadings"/>
              <w:keepNext/>
            </w:pPr>
            <w:r>
              <w:t>2024</w:t>
            </w:r>
            <w:r w:rsidR="00B31B37">
              <w:noBreakHyphen/>
            </w:r>
            <w:r>
              <w:t>25</w:t>
            </w:r>
          </w:p>
        </w:tc>
        <w:tc>
          <w:tcPr>
            <w:tcW w:w="1043" w:type="dxa"/>
            <w:tcBorders>
              <w:top w:val="single" w:sz="4" w:space="0" w:color="000000"/>
              <w:bottom w:val="single" w:sz="4" w:space="0" w:color="000000"/>
            </w:tcBorders>
          </w:tcPr>
          <w:p w14:paraId="39661460" w14:textId="78725014" w:rsidR="00B628FF" w:rsidRDefault="005B2D2F">
            <w:pPr>
              <w:pStyle w:val="MeasureTableYearHeadings"/>
              <w:keepNext/>
            </w:pPr>
            <w:r>
              <w:t>2025</w:t>
            </w:r>
            <w:r w:rsidR="00B31B37">
              <w:noBreakHyphen/>
            </w:r>
            <w:r>
              <w:t>26</w:t>
            </w:r>
          </w:p>
        </w:tc>
        <w:tc>
          <w:tcPr>
            <w:tcW w:w="1043" w:type="dxa"/>
            <w:tcBorders>
              <w:top w:val="single" w:sz="4" w:space="0" w:color="000000"/>
              <w:bottom w:val="single" w:sz="4" w:space="0" w:color="000000"/>
            </w:tcBorders>
          </w:tcPr>
          <w:p w14:paraId="1C28849D" w14:textId="760986CE" w:rsidR="00B628FF" w:rsidRDefault="005B2D2F">
            <w:pPr>
              <w:pStyle w:val="MeasureTableYearHeadings"/>
              <w:keepNext/>
            </w:pPr>
            <w:r>
              <w:t>2026</w:t>
            </w:r>
            <w:r w:rsidR="00B31B37">
              <w:noBreakHyphen/>
            </w:r>
            <w:r>
              <w:t>27</w:t>
            </w:r>
          </w:p>
        </w:tc>
        <w:tc>
          <w:tcPr>
            <w:tcW w:w="1043" w:type="dxa"/>
            <w:tcBorders>
              <w:top w:val="single" w:sz="4" w:space="0" w:color="000000"/>
              <w:bottom w:val="single" w:sz="4" w:space="0" w:color="000000"/>
            </w:tcBorders>
          </w:tcPr>
          <w:p w14:paraId="5974376D" w14:textId="29DD08B3" w:rsidR="00B628FF" w:rsidRDefault="005B2D2F">
            <w:pPr>
              <w:pStyle w:val="MeasureTableYearHeadings"/>
              <w:keepNext/>
            </w:pPr>
            <w:r>
              <w:t>2027</w:t>
            </w:r>
            <w:r w:rsidR="00B31B37">
              <w:noBreakHyphen/>
            </w:r>
            <w:r>
              <w:t>28</w:t>
            </w:r>
          </w:p>
        </w:tc>
        <w:tc>
          <w:tcPr>
            <w:tcW w:w="1043" w:type="dxa"/>
            <w:tcBorders>
              <w:top w:val="single" w:sz="4" w:space="0" w:color="000000"/>
              <w:bottom w:val="single" w:sz="4" w:space="0" w:color="000000"/>
            </w:tcBorders>
          </w:tcPr>
          <w:p w14:paraId="5A7F39DF" w14:textId="5D292D25" w:rsidR="00B628FF" w:rsidRDefault="005B2D2F">
            <w:pPr>
              <w:pStyle w:val="MeasureTableYearHeadings"/>
              <w:keepNext/>
            </w:pPr>
            <w:r>
              <w:t>2028</w:t>
            </w:r>
            <w:r w:rsidR="00B31B37">
              <w:noBreakHyphen/>
            </w:r>
            <w:r>
              <w:t>29</w:t>
            </w:r>
          </w:p>
        </w:tc>
      </w:tr>
      <w:tr w:rsidR="00B628FF" w14:paraId="0F83DF38" w14:textId="77777777">
        <w:trPr>
          <w:cantSplit/>
        </w:trPr>
        <w:tc>
          <w:tcPr>
            <w:tcW w:w="2500" w:type="dxa"/>
            <w:tcBorders>
              <w:top w:val="single" w:sz="4" w:space="0" w:color="000000"/>
              <w:bottom w:val="single" w:sz="4" w:space="0" w:color="000000"/>
            </w:tcBorders>
          </w:tcPr>
          <w:p w14:paraId="5C3AC449" w14:textId="77777777" w:rsidR="00B628FF" w:rsidRDefault="005B2D2F">
            <w:pPr>
              <w:pStyle w:val="MeasureTableHeadingleftalignedwith2ptsspacing"/>
              <w:keepNext/>
            </w:pPr>
            <w:r>
              <w:t>Department of Health and Aged Care</w:t>
            </w:r>
          </w:p>
        </w:tc>
        <w:tc>
          <w:tcPr>
            <w:tcW w:w="1043" w:type="dxa"/>
            <w:tcBorders>
              <w:top w:val="single" w:sz="4" w:space="0" w:color="000000"/>
              <w:bottom w:val="single" w:sz="4" w:space="0" w:color="000000"/>
            </w:tcBorders>
          </w:tcPr>
          <w:p w14:paraId="5589198E" w14:textId="4B7F7440"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07A65227" w14:textId="77777777" w:rsidR="00B628FF" w:rsidRDefault="005B2D2F">
            <w:pPr>
              <w:pStyle w:val="MeasureTableDataRightAlignedwith2ptsspacing"/>
              <w:keepNext/>
            </w:pPr>
            <w:r>
              <w:t>4.2</w:t>
            </w:r>
          </w:p>
        </w:tc>
        <w:tc>
          <w:tcPr>
            <w:tcW w:w="1043" w:type="dxa"/>
            <w:tcBorders>
              <w:top w:val="single" w:sz="4" w:space="0" w:color="000000"/>
              <w:bottom w:val="single" w:sz="4" w:space="0" w:color="000000"/>
            </w:tcBorders>
          </w:tcPr>
          <w:p w14:paraId="12AA556C" w14:textId="77777777" w:rsidR="00B628FF" w:rsidRDefault="005B2D2F">
            <w:pPr>
              <w:pStyle w:val="MeasureTableDataRightAlignedwith2ptsspacing"/>
              <w:keepNext/>
            </w:pPr>
            <w:r>
              <w:t>3.1</w:t>
            </w:r>
          </w:p>
        </w:tc>
        <w:tc>
          <w:tcPr>
            <w:tcW w:w="1043" w:type="dxa"/>
            <w:tcBorders>
              <w:top w:val="single" w:sz="4" w:space="0" w:color="000000"/>
              <w:bottom w:val="single" w:sz="4" w:space="0" w:color="000000"/>
            </w:tcBorders>
          </w:tcPr>
          <w:p w14:paraId="2B9BCD01" w14:textId="77777777" w:rsidR="00B628FF" w:rsidRDefault="005B2D2F">
            <w:pPr>
              <w:pStyle w:val="MeasureTableDataRightAlignedwith2ptsspacing"/>
              <w:keepNext/>
            </w:pPr>
            <w:r>
              <w:t>3.9</w:t>
            </w:r>
          </w:p>
        </w:tc>
        <w:tc>
          <w:tcPr>
            <w:tcW w:w="1043" w:type="dxa"/>
            <w:tcBorders>
              <w:top w:val="single" w:sz="4" w:space="0" w:color="000000"/>
              <w:bottom w:val="single" w:sz="4" w:space="0" w:color="000000"/>
            </w:tcBorders>
          </w:tcPr>
          <w:p w14:paraId="13145EC1" w14:textId="77777777" w:rsidR="00B628FF" w:rsidRDefault="005B2D2F">
            <w:pPr>
              <w:pStyle w:val="MeasureTableDataRightAlignedwith2ptsspacing"/>
              <w:keepNext/>
            </w:pPr>
            <w:r>
              <w:t>4.5</w:t>
            </w:r>
          </w:p>
        </w:tc>
      </w:tr>
      <w:tr w:rsidR="00B628FF" w14:paraId="000909CB" w14:textId="77777777">
        <w:trPr>
          <w:cantSplit/>
        </w:trPr>
        <w:tc>
          <w:tcPr>
            <w:tcW w:w="2500" w:type="dxa"/>
            <w:tcBorders>
              <w:top w:val="single" w:sz="4" w:space="0" w:color="000000"/>
              <w:bottom w:val="single" w:sz="4" w:space="0" w:color="000000"/>
            </w:tcBorders>
          </w:tcPr>
          <w:p w14:paraId="5117174C" w14:textId="77777777" w:rsidR="00B628FF" w:rsidRDefault="005B2D2F">
            <w:pPr>
              <w:pStyle w:val="MeasureTableHeadingleftalignedwith2ptsspacing"/>
              <w:keepNext/>
            </w:pPr>
            <w:r>
              <w:t>Australian Digital Health Agency</w:t>
            </w:r>
          </w:p>
        </w:tc>
        <w:tc>
          <w:tcPr>
            <w:tcW w:w="1043" w:type="dxa"/>
            <w:tcBorders>
              <w:top w:val="single" w:sz="4" w:space="0" w:color="000000"/>
              <w:bottom w:val="single" w:sz="4" w:space="0" w:color="000000"/>
            </w:tcBorders>
          </w:tcPr>
          <w:p w14:paraId="7DE5A209" w14:textId="3107184C"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6D8634E5" w14:textId="77777777" w:rsidR="00B628FF" w:rsidRDefault="005B2D2F">
            <w:pPr>
              <w:pStyle w:val="MeasureTableDataRightAlignedwith2ptsspacing"/>
              <w:keepNext/>
            </w:pPr>
            <w:r>
              <w:t>2.4</w:t>
            </w:r>
          </w:p>
        </w:tc>
        <w:tc>
          <w:tcPr>
            <w:tcW w:w="1043" w:type="dxa"/>
            <w:tcBorders>
              <w:top w:val="single" w:sz="4" w:space="0" w:color="000000"/>
              <w:bottom w:val="single" w:sz="4" w:space="0" w:color="000000"/>
            </w:tcBorders>
          </w:tcPr>
          <w:p w14:paraId="50A81852" w14:textId="2F3E4EB6"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5BB9E79E" w14:textId="324B3E71"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05F76C79" w14:textId="2B7C1EA8" w:rsidR="00B628FF" w:rsidRDefault="00B31B37">
            <w:pPr>
              <w:pStyle w:val="MeasureTableDataRightAlignedwith2ptsspacing"/>
              <w:keepNext/>
            </w:pPr>
            <w:r>
              <w:noBreakHyphen/>
            </w:r>
          </w:p>
        </w:tc>
      </w:tr>
      <w:tr w:rsidR="00B628FF" w14:paraId="7A4DCAC0" w14:textId="77777777">
        <w:trPr>
          <w:cantSplit/>
        </w:trPr>
        <w:tc>
          <w:tcPr>
            <w:tcW w:w="2500" w:type="dxa"/>
            <w:tcBorders>
              <w:top w:val="single" w:sz="4" w:space="0" w:color="000000"/>
              <w:bottom w:val="single" w:sz="4" w:space="0" w:color="000000"/>
            </w:tcBorders>
          </w:tcPr>
          <w:p w14:paraId="75C96E2F" w14:textId="77777777" w:rsidR="00B628FF" w:rsidRDefault="005B2D2F">
            <w:pPr>
              <w:pStyle w:val="MeasureTableHeadingleftalignedwith2ptsspacing"/>
              <w:keepNext/>
            </w:pPr>
            <w:r>
              <w:t>Services Australia</w:t>
            </w:r>
          </w:p>
        </w:tc>
        <w:tc>
          <w:tcPr>
            <w:tcW w:w="1043" w:type="dxa"/>
            <w:tcBorders>
              <w:top w:val="single" w:sz="4" w:space="0" w:color="000000"/>
              <w:bottom w:val="single" w:sz="4" w:space="0" w:color="000000"/>
            </w:tcBorders>
          </w:tcPr>
          <w:p w14:paraId="4B94FF2E" w14:textId="45FA72FE"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2E0E63CD" w14:textId="77777777" w:rsidR="00B628FF" w:rsidRDefault="005B2D2F">
            <w:pPr>
              <w:pStyle w:val="MeasureTableDataRightAlignedwith2ptsspacing"/>
              <w:keepNext/>
            </w:pPr>
            <w:r>
              <w:t>0.8</w:t>
            </w:r>
          </w:p>
        </w:tc>
        <w:tc>
          <w:tcPr>
            <w:tcW w:w="1043" w:type="dxa"/>
            <w:tcBorders>
              <w:top w:val="single" w:sz="4" w:space="0" w:color="000000"/>
              <w:bottom w:val="single" w:sz="4" w:space="0" w:color="000000"/>
            </w:tcBorders>
          </w:tcPr>
          <w:p w14:paraId="79176C03" w14:textId="729ADCE0"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1297A64E" w14:textId="56408369"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5ED3B183" w14:textId="4C048F35" w:rsidR="00B628FF" w:rsidRDefault="00B31B37">
            <w:pPr>
              <w:pStyle w:val="MeasureTableDataRightAlignedwith2ptsspacing"/>
              <w:keepNext/>
            </w:pPr>
            <w:r>
              <w:noBreakHyphen/>
            </w:r>
          </w:p>
        </w:tc>
      </w:tr>
      <w:tr w:rsidR="00B628FF" w14:paraId="1777C3F4" w14:textId="77777777">
        <w:trPr>
          <w:cantSplit/>
        </w:trPr>
        <w:tc>
          <w:tcPr>
            <w:tcW w:w="2500" w:type="dxa"/>
            <w:tcBorders>
              <w:top w:val="single" w:sz="4" w:space="0" w:color="000000"/>
              <w:bottom w:val="single" w:sz="4" w:space="0" w:color="000000"/>
            </w:tcBorders>
          </w:tcPr>
          <w:p w14:paraId="156811A0" w14:textId="1AE1FD8D" w:rsidR="00B628FF" w:rsidRDefault="005B2D2F">
            <w:pPr>
              <w:pStyle w:val="MeasureTableHeadingleftalignedwith2ptsspacing"/>
              <w:keepNext/>
            </w:pPr>
            <w:r>
              <w:t>Department of Veterans</w:t>
            </w:r>
            <w:r w:rsidR="00B31B37">
              <w:t>’</w:t>
            </w:r>
            <w:r>
              <w:t xml:space="preserve"> Affairs</w:t>
            </w:r>
          </w:p>
        </w:tc>
        <w:tc>
          <w:tcPr>
            <w:tcW w:w="1043" w:type="dxa"/>
            <w:tcBorders>
              <w:top w:val="single" w:sz="4" w:space="0" w:color="000000"/>
              <w:bottom w:val="single" w:sz="4" w:space="0" w:color="000000"/>
            </w:tcBorders>
          </w:tcPr>
          <w:p w14:paraId="5478F3ED" w14:textId="446361DA"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3F32ABE8" w14:textId="290B66B2"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15F9B0D6" w14:textId="14C648DB"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2701B525" w14:textId="2A92FCC2"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078F1726" w14:textId="24969237" w:rsidR="00B628FF" w:rsidRDefault="00B31B37">
            <w:pPr>
              <w:pStyle w:val="MeasureTableDataRightAlignedwith2ptsspacing"/>
              <w:keepNext/>
            </w:pPr>
            <w:r>
              <w:noBreakHyphen/>
            </w:r>
          </w:p>
        </w:tc>
      </w:tr>
      <w:tr w:rsidR="00B628FF" w14:paraId="4519448B" w14:textId="77777777">
        <w:trPr>
          <w:cantSplit/>
        </w:trPr>
        <w:tc>
          <w:tcPr>
            <w:tcW w:w="2500" w:type="dxa"/>
            <w:tcBorders>
              <w:top w:val="single" w:sz="4" w:space="0" w:color="000000"/>
              <w:bottom w:val="single" w:sz="4" w:space="0" w:color="000000"/>
            </w:tcBorders>
          </w:tcPr>
          <w:p w14:paraId="68A5357D" w14:textId="77777777" w:rsidR="00B628FF" w:rsidRDefault="005B2D2F">
            <w:pPr>
              <w:pStyle w:val="Totalrowleftaligned"/>
              <w:keepNext/>
            </w:pPr>
            <w:r>
              <w:t>Total – Payments</w:t>
            </w:r>
          </w:p>
        </w:tc>
        <w:tc>
          <w:tcPr>
            <w:tcW w:w="1043" w:type="dxa"/>
            <w:tcBorders>
              <w:top w:val="single" w:sz="4" w:space="0" w:color="000000"/>
              <w:bottom w:val="single" w:sz="4" w:space="0" w:color="000000"/>
            </w:tcBorders>
          </w:tcPr>
          <w:p w14:paraId="2501F20D" w14:textId="6436F2FC" w:rsidR="00B628FF" w:rsidRDefault="00B31B37">
            <w:pPr>
              <w:pStyle w:val="Totaldatarowrightaligned"/>
              <w:keepNext/>
            </w:pPr>
            <w:r>
              <w:noBreakHyphen/>
            </w:r>
          </w:p>
        </w:tc>
        <w:tc>
          <w:tcPr>
            <w:tcW w:w="1043" w:type="dxa"/>
            <w:tcBorders>
              <w:top w:val="single" w:sz="4" w:space="0" w:color="000000"/>
              <w:bottom w:val="single" w:sz="4" w:space="0" w:color="000000"/>
            </w:tcBorders>
          </w:tcPr>
          <w:p w14:paraId="56AF96F1" w14:textId="77777777" w:rsidR="00B628FF" w:rsidRDefault="005B2D2F">
            <w:pPr>
              <w:pStyle w:val="Totaldatarowrightaligned"/>
              <w:keepNext/>
            </w:pPr>
            <w:r>
              <w:t>7.4</w:t>
            </w:r>
          </w:p>
        </w:tc>
        <w:tc>
          <w:tcPr>
            <w:tcW w:w="1043" w:type="dxa"/>
            <w:tcBorders>
              <w:top w:val="single" w:sz="4" w:space="0" w:color="000000"/>
              <w:bottom w:val="single" w:sz="4" w:space="0" w:color="000000"/>
            </w:tcBorders>
          </w:tcPr>
          <w:p w14:paraId="293E7A90" w14:textId="77777777" w:rsidR="00B628FF" w:rsidRDefault="005B2D2F">
            <w:pPr>
              <w:pStyle w:val="Totaldatarowrightaligned"/>
              <w:keepNext/>
            </w:pPr>
            <w:r>
              <w:t>3.1</w:t>
            </w:r>
          </w:p>
        </w:tc>
        <w:tc>
          <w:tcPr>
            <w:tcW w:w="1043" w:type="dxa"/>
            <w:tcBorders>
              <w:top w:val="single" w:sz="4" w:space="0" w:color="000000"/>
              <w:bottom w:val="single" w:sz="4" w:space="0" w:color="000000"/>
            </w:tcBorders>
          </w:tcPr>
          <w:p w14:paraId="5CF0A613" w14:textId="77777777" w:rsidR="00B628FF" w:rsidRDefault="005B2D2F">
            <w:pPr>
              <w:pStyle w:val="Totaldatarowrightaligned"/>
              <w:keepNext/>
            </w:pPr>
            <w:r>
              <w:t>3.9</w:t>
            </w:r>
          </w:p>
        </w:tc>
        <w:tc>
          <w:tcPr>
            <w:tcW w:w="1043" w:type="dxa"/>
            <w:tcBorders>
              <w:top w:val="single" w:sz="4" w:space="0" w:color="000000"/>
              <w:bottom w:val="single" w:sz="4" w:space="0" w:color="000000"/>
            </w:tcBorders>
          </w:tcPr>
          <w:p w14:paraId="172016D9" w14:textId="77777777" w:rsidR="00B628FF" w:rsidRDefault="005B2D2F">
            <w:pPr>
              <w:pStyle w:val="Totaldatarowrightaligned"/>
              <w:keepNext/>
            </w:pPr>
            <w:r>
              <w:t>4.5</w:t>
            </w:r>
          </w:p>
        </w:tc>
      </w:tr>
      <w:tr w:rsidR="00B628FF" w14:paraId="578A1197" w14:textId="77777777">
        <w:trPr>
          <w:cantSplit/>
        </w:trPr>
        <w:tc>
          <w:tcPr>
            <w:tcW w:w="2500" w:type="dxa"/>
          </w:tcPr>
          <w:p w14:paraId="75676DCC" w14:textId="77777777" w:rsidR="00B628FF" w:rsidRDefault="005B2D2F">
            <w:pPr>
              <w:pStyle w:val="AgencyName"/>
              <w:keepNext/>
            </w:pPr>
            <w:r>
              <w:t>Related receipts ($m)</w:t>
            </w:r>
          </w:p>
        </w:tc>
        <w:tc>
          <w:tcPr>
            <w:tcW w:w="1043" w:type="dxa"/>
          </w:tcPr>
          <w:p w14:paraId="1BEC1B21" w14:textId="77777777" w:rsidR="00B628FF" w:rsidRDefault="00B628FF">
            <w:pPr>
              <w:pStyle w:val="AgencyName"/>
              <w:keepNext/>
            </w:pPr>
          </w:p>
        </w:tc>
        <w:tc>
          <w:tcPr>
            <w:tcW w:w="1043" w:type="dxa"/>
          </w:tcPr>
          <w:p w14:paraId="4BD989BE" w14:textId="77777777" w:rsidR="00B628FF" w:rsidRDefault="00B628FF">
            <w:pPr>
              <w:pStyle w:val="AgencyName"/>
              <w:keepNext/>
            </w:pPr>
          </w:p>
        </w:tc>
        <w:tc>
          <w:tcPr>
            <w:tcW w:w="1043" w:type="dxa"/>
          </w:tcPr>
          <w:p w14:paraId="7386262C" w14:textId="77777777" w:rsidR="00B628FF" w:rsidRDefault="00B628FF">
            <w:pPr>
              <w:pStyle w:val="AgencyName"/>
              <w:keepNext/>
            </w:pPr>
          </w:p>
        </w:tc>
        <w:tc>
          <w:tcPr>
            <w:tcW w:w="1043" w:type="dxa"/>
          </w:tcPr>
          <w:p w14:paraId="7C735241" w14:textId="77777777" w:rsidR="00B628FF" w:rsidRDefault="00B628FF">
            <w:pPr>
              <w:pStyle w:val="AgencyName"/>
              <w:keepNext/>
            </w:pPr>
          </w:p>
        </w:tc>
        <w:tc>
          <w:tcPr>
            <w:tcW w:w="1043" w:type="dxa"/>
          </w:tcPr>
          <w:p w14:paraId="6F277395" w14:textId="77777777" w:rsidR="00B628FF" w:rsidRDefault="00B628FF">
            <w:pPr>
              <w:pStyle w:val="AgencyName"/>
              <w:keepNext/>
            </w:pPr>
          </w:p>
        </w:tc>
      </w:tr>
      <w:tr w:rsidR="00B628FF" w14:paraId="4B529687" w14:textId="77777777">
        <w:tc>
          <w:tcPr>
            <w:tcW w:w="2500" w:type="dxa"/>
          </w:tcPr>
          <w:p w14:paraId="66D1AE70" w14:textId="77777777" w:rsidR="00B628FF" w:rsidRDefault="005B2D2F">
            <w:pPr>
              <w:pStyle w:val="AgencyNamewith2ptsspacing"/>
              <w:keepNext/>
            </w:pPr>
            <w:r>
              <w:t>Department of Health and Aged Care</w:t>
            </w:r>
          </w:p>
        </w:tc>
        <w:tc>
          <w:tcPr>
            <w:tcW w:w="1043" w:type="dxa"/>
          </w:tcPr>
          <w:p w14:paraId="151DDDB3" w14:textId="533AD1D8" w:rsidR="00B628FF" w:rsidRDefault="00B31B37">
            <w:pPr>
              <w:pStyle w:val="Measuretabledatarightaligneditalics"/>
              <w:keepNext/>
            </w:pPr>
            <w:r>
              <w:noBreakHyphen/>
            </w:r>
          </w:p>
        </w:tc>
        <w:tc>
          <w:tcPr>
            <w:tcW w:w="1043" w:type="dxa"/>
          </w:tcPr>
          <w:p w14:paraId="35CEDBCB" w14:textId="664B2E1E" w:rsidR="00B628FF" w:rsidRDefault="00B31B37">
            <w:pPr>
              <w:pStyle w:val="Measuretabledatarightaligneditalics"/>
              <w:keepNext/>
            </w:pPr>
            <w:r>
              <w:noBreakHyphen/>
            </w:r>
          </w:p>
        </w:tc>
        <w:tc>
          <w:tcPr>
            <w:tcW w:w="1043" w:type="dxa"/>
          </w:tcPr>
          <w:p w14:paraId="5BD2C453" w14:textId="77777777" w:rsidR="00B628FF" w:rsidRDefault="005B2D2F">
            <w:pPr>
              <w:pStyle w:val="Measuretabledatarightaligneditalics"/>
              <w:keepNext/>
            </w:pPr>
            <w:r>
              <w:t>nfp</w:t>
            </w:r>
          </w:p>
        </w:tc>
        <w:tc>
          <w:tcPr>
            <w:tcW w:w="1043" w:type="dxa"/>
          </w:tcPr>
          <w:p w14:paraId="3FC28C3A" w14:textId="77777777" w:rsidR="00B628FF" w:rsidRDefault="005B2D2F">
            <w:pPr>
              <w:pStyle w:val="Measuretabledatarightaligneditalics"/>
              <w:keepNext/>
            </w:pPr>
            <w:r>
              <w:t>nfp</w:t>
            </w:r>
          </w:p>
        </w:tc>
        <w:tc>
          <w:tcPr>
            <w:tcW w:w="1043" w:type="dxa"/>
          </w:tcPr>
          <w:p w14:paraId="258A7260" w14:textId="77777777" w:rsidR="00B628FF" w:rsidRDefault="005B2D2F">
            <w:pPr>
              <w:pStyle w:val="Measuretabledatarightaligneditalics"/>
              <w:keepNext/>
            </w:pPr>
            <w:r>
              <w:t>nfp</w:t>
            </w:r>
          </w:p>
        </w:tc>
      </w:tr>
    </w:tbl>
    <w:p w14:paraId="3A65A816" w14:textId="77777777" w:rsidR="00B628FF" w:rsidRDefault="00B628FF">
      <w:pPr>
        <w:keepNext/>
        <w:spacing w:line="226" w:lineRule="exact"/>
        <w:rPr>
          <w:sz w:val="16"/>
        </w:rPr>
      </w:pPr>
    </w:p>
    <w:p w14:paraId="68EE352C" w14:textId="77777777" w:rsidR="00B628FF" w:rsidRDefault="005B2D2F">
      <w:pPr>
        <w:pStyle w:val="Normal2"/>
      </w:pPr>
      <w:r>
        <w:t>The Government will provide funding over six years from 2024–‍25 to improve access to medicines and to trial an expansion of the range of services delivered by community pharmacies. Funding includes:</w:t>
      </w:r>
    </w:p>
    <w:p w14:paraId="157AC961" w14:textId="77777777" w:rsidR="00B628FF" w:rsidRDefault="005B2D2F">
      <w:pPr>
        <w:pStyle w:val="Bullet"/>
      </w:pPr>
      <w:r>
        <w:t>$539.4 million over five years from 2024–‍25 (and an additional $98.8 million in 2029–‍30) to establish the First Pharmaceutical Wholesalers Agreement with the National Pharmaceutical Services Association to ensure medicines remain accessible across Australia</w:t>
      </w:r>
    </w:p>
    <w:p w14:paraId="228C5366" w14:textId="77777777" w:rsidR="00B628FF" w:rsidRDefault="005B2D2F">
      <w:pPr>
        <w:pStyle w:val="Bullet"/>
      </w:pPr>
      <w:r>
        <w:t>$109.1 million over four years from 2025–‍26 to support two national trials to make it cheaper and easier for many women to get contraceptives and treatment for uncomplicated urinary tract infections</w:t>
      </w:r>
    </w:p>
    <w:p w14:paraId="7C683CA1" w14:textId="77777777" w:rsidR="00B628FF" w:rsidRDefault="005B2D2F">
      <w:pPr>
        <w:pStyle w:val="Bullet"/>
      </w:pPr>
      <w:r>
        <w:t xml:space="preserve">$13.2 million over four years from 2025–‍26 (and $4.5 million per year ongoing) to meet increasing demand on the </w:t>
      </w:r>
      <w:r w:rsidRPr="005B2D2F">
        <w:rPr>
          <w:i/>
        </w:rPr>
        <w:t>National Return and Disposal of Unwanted Medicines Program</w:t>
      </w:r>
      <w:r>
        <w:t xml:space="preserve"> and guarantee safe disposal of unwanted medicines</w:t>
      </w:r>
    </w:p>
    <w:p w14:paraId="45EADEC1" w14:textId="77777777" w:rsidR="00B628FF" w:rsidRDefault="005B2D2F">
      <w:pPr>
        <w:pStyle w:val="Bullet"/>
      </w:pPr>
      <w:r>
        <w:t>$10.0 million in 2027–‍28 to review pharmaceutical wholesaling arrangements to ensure they remain fit for purpose</w:t>
      </w:r>
    </w:p>
    <w:p w14:paraId="5E706C1A" w14:textId="36B43911" w:rsidR="00B628FF" w:rsidRDefault="005B2D2F">
      <w:pPr>
        <w:pStyle w:val="Bullet"/>
      </w:pPr>
      <w:r>
        <w:t>$5.7 million in 2025–‍26 to extend funding to ensure sustainability of Australia</w:t>
      </w:r>
      <w:r w:rsidR="00B31B37">
        <w:t>’</w:t>
      </w:r>
      <w:r>
        <w:t>s electronic prescribing infrastructure</w:t>
      </w:r>
    </w:p>
    <w:p w14:paraId="19F0010E" w14:textId="3D2C2A7E" w:rsidR="00B628FF" w:rsidRDefault="005B2D2F">
      <w:pPr>
        <w:pStyle w:val="Bullet"/>
      </w:pPr>
      <w:r>
        <w:t>$1.0 million in 2025–‍26 to update Australia</w:t>
      </w:r>
      <w:r w:rsidR="00B31B37">
        <w:t>’</w:t>
      </w:r>
      <w:r>
        <w:t>s pharmacist practice standards and guidelines as part of implementing the Strategic Agreement on Pharmacist Professional Practice with the Pharmaceutical Society of Australia.</w:t>
      </w:r>
    </w:p>
    <w:p w14:paraId="2765473C" w14:textId="77777777" w:rsidR="00B628FF" w:rsidRDefault="005B2D2F">
      <w:pPr>
        <w:pStyle w:val="Normal2"/>
      </w:pPr>
      <w:r>
        <w:t>The Government has already provided partial funding for this measure.</w:t>
      </w:r>
    </w:p>
    <w:p w14:paraId="736A97C5" w14:textId="77777777" w:rsidR="00B628FF" w:rsidRDefault="005B2D2F">
      <w:pPr>
        <w:pStyle w:val="Normal2"/>
      </w:pPr>
      <w:r w:rsidRPr="5FA307DC">
        <w:rPr>
          <w:lang w:val="en-US"/>
        </w:rPr>
        <w:t>The cost of this measure will be partially met from within the existing resources of the Department of Health and Aged Care.</w:t>
      </w:r>
    </w:p>
    <w:p w14:paraId="5B4D4BA3" w14:textId="77777777" w:rsidR="00B628FF" w:rsidRDefault="005B2D2F">
      <w:pPr>
        <w:pStyle w:val="Normal2"/>
      </w:pPr>
      <w:r w:rsidRPr="5FA307DC">
        <w:rPr>
          <w:lang w:val="en-US"/>
        </w:rPr>
        <w:t>The financial implications for some elements of this measure are not for publication (nfp) because the disclosure of funding would reveal individual arrangements between third parties and the Commonwealth that are confidential and commercially privileged, which cannot be disclosed under Deeds of Agreements.</w:t>
      </w:r>
    </w:p>
    <w:p w14:paraId="3F5B9BC9" w14:textId="40E72B6F" w:rsidR="00B628FF" w:rsidRDefault="005B2D2F">
      <w:pPr>
        <w:pStyle w:val="Normal2"/>
      </w:pPr>
      <w:r w:rsidRPr="5FA307DC">
        <w:rPr>
          <w:lang w:val="en-US"/>
        </w:rPr>
        <w:t xml:space="preserve">This measure extends the 2023–‍24 Budget measure titled </w:t>
      </w:r>
      <w:r w:rsidRPr="5FA307DC">
        <w:rPr>
          <w:i/>
          <w:iCs/>
          <w:lang w:val="en-US"/>
        </w:rPr>
        <w:t xml:space="preserve">Reducing Patient Costs and Improving Services through Community </w:t>
      </w:r>
      <w:proofErr w:type="gramStart"/>
      <w:r w:rsidRPr="5FA307DC">
        <w:rPr>
          <w:i/>
          <w:iCs/>
          <w:lang w:val="en-US"/>
        </w:rPr>
        <w:t>Pharmacies</w:t>
      </w:r>
      <w:r w:rsidR="00192F3F" w:rsidRPr="5FA307DC">
        <w:rPr>
          <w:lang w:val="en-US"/>
        </w:rPr>
        <w:t>,</w:t>
      </w:r>
      <w:r w:rsidRPr="5FA307DC">
        <w:rPr>
          <w:lang w:val="en-US"/>
        </w:rPr>
        <w:t xml:space="preserve"> and</w:t>
      </w:r>
      <w:proofErr w:type="gramEnd"/>
      <w:r w:rsidRPr="5FA307DC">
        <w:rPr>
          <w:lang w:val="en-US"/>
        </w:rPr>
        <w:t xml:space="preserve"> builds on the 2024–‍25 MYEFO measure titled </w:t>
      </w:r>
      <w:r w:rsidRPr="5FA307DC">
        <w:rPr>
          <w:i/>
          <w:iCs/>
          <w:lang w:val="en-US"/>
        </w:rPr>
        <w:t>Eighth Community Pharmacy Agreement</w:t>
      </w:r>
      <w:r w:rsidRPr="5FA307DC">
        <w:rPr>
          <w:lang w:val="en-US"/>
        </w:rPr>
        <w:t xml:space="preserve"> and the 2024–‍25 Budget measure titled </w:t>
      </w:r>
      <w:r w:rsidRPr="5FA307DC">
        <w:rPr>
          <w:i/>
          <w:iCs/>
          <w:lang w:val="en-US"/>
        </w:rPr>
        <w:t>Securing Cheaper Medicines</w:t>
      </w:r>
      <w:r w:rsidRPr="5FA307DC">
        <w:rPr>
          <w:lang w:val="en-US"/>
        </w:rPr>
        <w:t>.</w:t>
      </w:r>
    </w:p>
    <w:p w14:paraId="38743341" w14:textId="77777777" w:rsidR="00B628FF" w:rsidRDefault="005B2D2F">
      <w:pPr>
        <w:pStyle w:val="MeasureTitle"/>
      </w:pPr>
      <w:r>
        <w:t>Medical Research and Clinical Trials</w:t>
      </w:r>
    </w:p>
    <w:p w14:paraId="5CDF1828" w14:textId="77777777" w:rsidR="00B628FF" w:rsidRDefault="005B2D2F">
      <w:pPr>
        <w:pStyle w:val="MeasureTableHeading"/>
      </w:pPr>
      <w:r>
        <w:t>Payments ($m)</w:t>
      </w:r>
    </w:p>
    <w:tbl>
      <w:tblPr>
        <w:tblOverlap w:val="never"/>
        <w:tblW w:w="7721" w:type="dxa"/>
        <w:tblBorders>
          <w:top w:val="single" w:sz="4" w:space="0" w:color="000000"/>
          <w:bottom w:val="single" w:sz="4" w:space="0" w:color="000000"/>
        </w:tblBorders>
        <w:tblLayout w:type="fixed"/>
        <w:tblLook w:val="04A0" w:firstRow="1" w:lastRow="0" w:firstColumn="1" w:lastColumn="0" w:noHBand="0" w:noVBand="1"/>
      </w:tblPr>
      <w:tblGrid>
        <w:gridCol w:w="2501"/>
        <w:gridCol w:w="1044"/>
        <w:gridCol w:w="1044"/>
        <w:gridCol w:w="1044"/>
        <w:gridCol w:w="1044"/>
        <w:gridCol w:w="1044"/>
      </w:tblGrid>
      <w:tr w:rsidR="00B628FF" w14:paraId="062272A0" w14:textId="77777777">
        <w:trPr>
          <w:cantSplit/>
        </w:trPr>
        <w:tc>
          <w:tcPr>
            <w:tcW w:w="2500" w:type="dxa"/>
            <w:tcBorders>
              <w:top w:val="single" w:sz="4" w:space="0" w:color="000000"/>
              <w:bottom w:val="single" w:sz="4" w:space="0" w:color="000000"/>
            </w:tcBorders>
          </w:tcPr>
          <w:p w14:paraId="75AEA4AC" w14:textId="77777777" w:rsidR="00B628FF" w:rsidRDefault="00B628FF">
            <w:pPr>
              <w:pStyle w:val="MeasureTableYearHeadings"/>
              <w:keepNext/>
            </w:pPr>
          </w:p>
        </w:tc>
        <w:tc>
          <w:tcPr>
            <w:tcW w:w="1043" w:type="dxa"/>
            <w:tcBorders>
              <w:top w:val="single" w:sz="4" w:space="0" w:color="000000"/>
              <w:bottom w:val="single" w:sz="4" w:space="0" w:color="000000"/>
            </w:tcBorders>
          </w:tcPr>
          <w:p w14:paraId="47F05B23" w14:textId="2B34EFC9" w:rsidR="00B628FF" w:rsidRDefault="005B2D2F">
            <w:pPr>
              <w:pStyle w:val="MeasureTableYearHeadings"/>
              <w:keepNext/>
            </w:pPr>
            <w:r>
              <w:t>2024</w:t>
            </w:r>
            <w:r w:rsidR="00B31B37">
              <w:noBreakHyphen/>
            </w:r>
            <w:r>
              <w:t>25</w:t>
            </w:r>
          </w:p>
        </w:tc>
        <w:tc>
          <w:tcPr>
            <w:tcW w:w="1043" w:type="dxa"/>
            <w:tcBorders>
              <w:top w:val="single" w:sz="4" w:space="0" w:color="000000"/>
              <w:bottom w:val="single" w:sz="4" w:space="0" w:color="000000"/>
            </w:tcBorders>
          </w:tcPr>
          <w:p w14:paraId="6AE522E8" w14:textId="2A971FE0" w:rsidR="00B628FF" w:rsidRDefault="005B2D2F">
            <w:pPr>
              <w:pStyle w:val="MeasureTableYearHeadings"/>
              <w:keepNext/>
            </w:pPr>
            <w:r>
              <w:t>2025</w:t>
            </w:r>
            <w:r w:rsidR="00B31B37">
              <w:noBreakHyphen/>
            </w:r>
            <w:r>
              <w:t>26</w:t>
            </w:r>
          </w:p>
        </w:tc>
        <w:tc>
          <w:tcPr>
            <w:tcW w:w="1043" w:type="dxa"/>
            <w:tcBorders>
              <w:top w:val="single" w:sz="4" w:space="0" w:color="000000"/>
              <w:bottom w:val="single" w:sz="4" w:space="0" w:color="000000"/>
            </w:tcBorders>
          </w:tcPr>
          <w:p w14:paraId="73790C46" w14:textId="7E7BB265" w:rsidR="00B628FF" w:rsidRDefault="005B2D2F">
            <w:pPr>
              <w:pStyle w:val="MeasureTableYearHeadings"/>
              <w:keepNext/>
            </w:pPr>
            <w:r>
              <w:t>2026</w:t>
            </w:r>
            <w:r w:rsidR="00B31B37">
              <w:noBreakHyphen/>
            </w:r>
            <w:r>
              <w:t>27</w:t>
            </w:r>
          </w:p>
        </w:tc>
        <w:tc>
          <w:tcPr>
            <w:tcW w:w="1043" w:type="dxa"/>
            <w:tcBorders>
              <w:top w:val="single" w:sz="4" w:space="0" w:color="000000"/>
              <w:bottom w:val="single" w:sz="4" w:space="0" w:color="000000"/>
            </w:tcBorders>
          </w:tcPr>
          <w:p w14:paraId="05D8CC26" w14:textId="11E24B86" w:rsidR="00B628FF" w:rsidRDefault="005B2D2F">
            <w:pPr>
              <w:pStyle w:val="MeasureTableYearHeadings"/>
              <w:keepNext/>
            </w:pPr>
            <w:r>
              <w:t>2027</w:t>
            </w:r>
            <w:r w:rsidR="00B31B37">
              <w:noBreakHyphen/>
            </w:r>
            <w:r>
              <w:t>28</w:t>
            </w:r>
          </w:p>
        </w:tc>
        <w:tc>
          <w:tcPr>
            <w:tcW w:w="1043" w:type="dxa"/>
            <w:tcBorders>
              <w:top w:val="single" w:sz="4" w:space="0" w:color="000000"/>
              <w:bottom w:val="single" w:sz="4" w:space="0" w:color="000000"/>
            </w:tcBorders>
          </w:tcPr>
          <w:p w14:paraId="691C84E0" w14:textId="65A030BA" w:rsidR="00B628FF" w:rsidRDefault="005B2D2F">
            <w:pPr>
              <w:pStyle w:val="MeasureTableYearHeadings"/>
              <w:keepNext/>
            </w:pPr>
            <w:r>
              <w:t>2028</w:t>
            </w:r>
            <w:r w:rsidR="00B31B37">
              <w:noBreakHyphen/>
            </w:r>
            <w:r>
              <w:t>29</w:t>
            </w:r>
          </w:p>
        </w:tc>
      </w:tr>
      <w:tr w:rsidR="00B628FF" w14:paraId="517FE900" w14:textId="77777777">
        <w:trPr>
          <w:cantSplit/>
        </w:trPr>
        <w:tc>
          <w:tcPr>
            <w:tcW w:w="2500" w:type="dxa"/>
            <w:tcBorders>
              <w:top w:val="single" w:sz="4" w:space="0" w:color="000000"/>
              <w:bottom w:val="single" w:sz="4" w:space="0" w:color="000000"/>
            </w:tcBorders>
          </w:tcPr>
          <w:p w14:paraId="72941127" w14:textId="77777777" w:rsidR="00B628FF" w:rsidRDefault="005B2D2F">
            <w:pPr>
              <w:pStyle w:val="MeasureTableHeadingleftalignedwith2ptsspacing"/>
              <w:keepNext/>
            </w:pPr>
            <w:r>
              <w:t>National Health and Medical Research Council</w:t>
            </w:r>
          </w:p>
        </w:tc>
        <w:tc>
          <w:tcPr>
            <w:tcW w:w="1043" w:type="dxa"/>
            <w:tcBorders>
              <w:top w:val="single" w:sz="4" w:space="0" w:color="000000"/>
              <w:bottom w:val="single" w:sz="4" w:space="0" w:color="000000"/>
            </w:tcBorders>
          </w:tcPr>
          <w:p w14:paraId="35630BBD" w14:textId="77777777" w:rsidR="00B628FF" w:rsidRDefault="005B2D2F">
            <w:pPr>
              <w:pStyle w:val="MeasureTableDataRightAlignedwith2ptsspacing"/>
              <w:keepNext/>
            </w:pPr>
            <w:r>
              <w:t>7.8</w:t>
            </w:r>
          </w:p>
        </w:tc>
        <w:tc>
          <w:tcPr>
            <w:tcW w:w="1043" w:type="dxa"/>
            <w:tcBorders>
              <w:top w:val="single" w:sz="4" w:space="0" w:color="000000"/>
              <w:bottom w:val="single" w:sz="4" w:space="0" w:color="000000"/>
            </w:tcBorders>
          </w:tcPr>
          <w:p w14:paraId="33C63431" w14:textId="6439FFCE"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55CD102B" w14:textId="3C472075"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36F22FB1" w14:textId="2EF3D276"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041C6CA0" w14:textId="073D45B8" w:rsidR="00B628FF" w:rsidRDefault="00B31B37">
            <w:pPr>
              <w:pStyle w:val="MeasureTableDataRightAlignedwith2ptsspacing"/>
              <w:keepNext/>
            </w:pPr>
            <w:r>
              <w:noBreakHyphen/>
            </w:r>
          </w:p>
        </w:tc>
      </w:tr>
      <w:tr w:rsidR="00B628FF" w14:paraId="210775A8" w14:textId="77777777">
        <w:trPr>
          <w:cantSplit/>
        </w:trPr>
        <w:tc>
          <w:tcPr>
            <w:tcW w:w="2500" w:type="dxa"/>
            <w:tcBorders>
              <w:top w:val="single" w:sz="4" w:space="0" w:color="000000"/>
              <w:bottom w:val="single" w:sz="4" w:space="0" w:color="000000"/>
            </w:tcBorders>
          </w:tcPr>
          <w:p w14:paraId="331A8BA7" w14:textId="77777777" w:rsidR="00B628FF" w:rsidRDefault="005B2D2F">
            <w:pPr>
              <w:pStyle w:val="MeasureTableHeadingleftalignedwith2ptsspacing"/>
              <w:keepNext/>
            </w:pPr>
            <w:r>
              <w:t>Department of Health and Aged Care</w:t>
            </w:r>
          </w:p>
        </w:tc>
        <w:tc>
          <w:tcPr>
            <w:tcW w:w="1043" w:type="dxa"/>
            <w:tcBorders>
              <w:top w:val="single" w:sz="4" w:space="0" w:color="000000"/>
              <w:bottom w:val="single" w:sz="4" w:space="0" w:color="000000"/>
            </w:tcBorders>
          </w:tcPr>
          <w:p w14:paraId="1C6C59AA" w14:textId="59D44ED4" w:rsidR="00B628FF" w:rsidRDefault="00B31B37">
            <w:pPr>
              <w:pStyle w:val="MeasureTableDataRightAlignedwith2ptsspacing"/>
              <w:keepNext/>
            </w:pPr>
            <w:r>
              <w:noBreakHyphen/>
            </w:r>
            <w:r w:rsidR="005B2D2F">
              <w:t>7.8</w:t>
            </w:r>
          </w:p>
        </w:tc>
        <w:tc>
          <w:tcPr>
            <w:tcW w:w="1043" w:type="dxa"/>
            <w:tcBorders>
              <w:top w:val="single" w:sz="4" w:space="0" w:color="000000"/>
              <w:bottom w:val="single" w:sz="4" w:space="0" w:color="000000"/>
            </w:tcBorders>
          </w:tcPr>
          <w:p w14:paraId="03B899FD" w14:textId="14DB7C2B"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5BF84079" w14:textId="38A26F66"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5DCE3952" w14:textId="564E7F98"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4B79F70C" w14:textId="3BD7C7C4" w:rsidR="00B628FF" w:rsidRDefault="00B31B37">
            <w:pPr>
              <w:pStyle w:val="MeasureTableDataRightAlignedwith2ptsspacing"/>
              <w:keepNext/>
            </w:pPr>
            <w:r>
              <w:noBreakHyphen/>
            </w:r>
          </w:p>
        </w:tc>
      </w:tr>
      <w:tr w:rsidR="00B628FF" w14:paraId="26C14B99" w14:textId="77777777">
        <w:trPr>
          <w:cantSplit/>
        </w:trPr>
        <w:tc>
          <w:tcPr>
            <w:tcW w:w="2500" w:type="dxa"/>
            <w:tcBorders>
              <w:top w:val="single" w:sz="4" w:space="0" w:color="000000"/>
              <w:bottom w:val="single" w:sz="4" w:space="0" w:color="000000"/>
            </w:tcBorders>
          </w:tcPr>
          <w:p w14:paraId="36396FE5" w14:textId="77777777" w:rsidR="00B628FF" w:rsidRDefault="005B2D2F">
            <w:pPr>
              <w:pStyle w:val="MeasureTableHeadingleftalignedwith2ptsspacing"/>
              <w:keepNext/>
            </w:pPr>
            <w:r>
              <w:t>Department of the Treasury</w:t>
            </w:r>
          </w:p>
        </w:tc>
        <w:tc>
          <w:tcPr>
            <w:tcW w:w="1043" w:type="dxa"/>
            <w:tcBorders>
              <w:top w:val="single" w:sz="4" w:space="0" w:color="000000"/>
              <w:bottom w:val="single" w:sz="4" w:space="0" w:color="000000"/>
            </w:tcBorders>
          </w:tcPr>
          <w:p w14:paraId="54867111" w14:textId="77777777" w:rsidR="00B628FF" w:rsidRDefault="005B2D2F">
            <w:pPr>
              <w:pStyle w:val="MeasureTableDataRightAlignedwith2ptsspacing"/>
              <w:keepNext/>
            </w:pPr>
            <w:r>
              <w:t>nfp</w:t>
            </w:r>
          </w:p>
        </w:tc>
        <w:tc>
          <w:tcPr>
            <w:tcW w:w="1043" w:type="dxa"/>
            <w:tcBorders>
              <w:top w:val="single" w:sz="4" w:space="0" w:color="000000"/>
              <w:bottom w:val="single" w:sz="4" w:space="0" w:color="000000"/>
            </w:tcBorders>
          </w:tcPr>
          <w:p w14:paraId="44AC80F4" w14:textId="77777777" w:rsidR="00B628FF" w:rsidRDefault="005B2D2F">
            <w:pPr>
              <w:pStyle w:val="MeasureTableDataRightAlignedwith2ptsspacing"/>
              <w:keepNext/>
            </w:pPr>
            <w:r>
              <w:t>nfp</w:t>
            </w:r>
          </w:p>
        </w:tc>
        <w:tc>
          <w:tcPr>
            <w:tcW w:w="1043" w:type="dxa"/>
            <w:tcBorders>
              <w:top w:val="single" w:sz="4" w:space="0" w:color="000000"/>
              <w:bottom w:val="single" w:sz="4" w:space="0" w:color="000000"/>
            </w:tcBorders>
          </w:tcPr>
          <w:p w14:paraId="28DBDA12" w14:textId="77777777" w:rsidR="00B628FF" w:rsidRDefault="005B2D2F">
            <w:pPr>
              <w:pStyle w:val="MeasureTableDataRightAlignedwith2ptsspacing"/>
              <w:keepNext/>
            </w:pPr>
            <w:r>
              <w:t>nfp</w:t>
            </w:r>
          </w:p>
        </w:tc>
        <w:tc>
          <w:tcPr>
            <w:tcW w:w="1043" w:type="dxa"/>
            <w:tcBorders>
              <w:top w:val="single" w:sz="4" w:space="0" w:color="000000"/>
              <w:bottom w:val="single" w:sz="4" w:space="0" w:color="000000"/>
            </w:tcBorders>
          </w:tcPr>
          <w:p w14:paraId="1549BEAE" w14:textId="77777777" w:rsidR="00B628FF" w:rsidRDefault="005B2D2F">
            <w:pPr>
              <w:pStyle w:val="MeasureTableDataRightAlignedwith2ptsspacing"/>
              <w:keepNext/>
            </w:pPr>
            <w:r>
              <w:t>nfp</w:t>
            </w:r>
          </w:p>
        </w:tc>
        <w:tc>
          <w:tcPr>
            <w:tcW w:w="1043" w:type="dxa"/>
            <w:tcBorders>
              <w:top w:val="single" w:sz="4" w:space="0" w:color="000000"/>
              <w:bottom w:val="single" w:sz="4" w:space="0" w:color="000000"/>
            </w:tcBorders>
          </w:tcPr>
          <w:p w14:paraId="4924E065" w14:textId="77777777" w:rsidR="00B628FF" w:rsidRDefault="005B2D2F">
            <w:pPr>
              <w:pStyle w:val="MeasureTableDataRightAlignedwith2ptsspacing"/>
              <w:keepNext/>
            </w:pPr>
            <w:r>
              <w:t>nfp</w:t>
            </w:r>
          </w:p>
        </w:tc>
      </w:tr>
      <w:tr w:rsidR="00B628FF" w14:paraId="7B8413F0" w14:textId="77777777">
        <w:trPr>
          <w:cantSplit/>
        </w:trPr>
        <w:tc>
          <w:tcPr>
            <w:tcW w:w="2500" w:type="dxa"/>
            <w:tcBorders>
              <w:top w:val="single" w:sz="4" w:space="0" w:color="000000"/>
              <w:bottom w:val="single" w:sz="4" w:space="0" w:color="000000"/>
            </w:tcBorders>
          </w:tcPr>
          <w:p w14:paraId="607DFC4E" w14:textId="77777777" w:rsidR="00B628FF" w:rsidRDefault="005B2D2F">
            <w:pPr>
              <w:pStyle w:val="Totalrowleftaligned"/>
              <w:keepNext/>
            </w:pPr>
            <w:r>
              <w:t>Total – Payments</w:t>
            </w:r>
          </w:p>
        </w:tc>
        <w:tc>
          <w:tcPr>
            <w:tcW w:w="1043" w:type="dxa"/>
            <w:tcBorders>
              <w:top w:val="single" w:sz="4" w:space="0" w:color="000000"/>
              <w:bottom w:val="single" w:sz="4" w:space="0" w:color="000000"/>
            </w:tcBorders>
          </w:tcPr>
          <w:p w14:paraId="5C45205D" w14:textId="7EE9E5EB" w:rsidR="00B628FF" w:rsidRDefault="00B31B37">
            <w:pPr>
              <w:pStyle w:val="Totaldatarowrightaligned"/>
              <w:keepNext/>
            </w:pPr>
            <w:r>
              <w:noBreakHyphen/>
            </w:r>
          </w:p>
        </w:tc>
        <w:tc>
          <w:tcPr>
            <w:tcW w:w="1043" w:type="dxa"/>
            <w:tcBorders>
              <w:top w:val="single" w:sz="4" w:space="0" w:color="000000"/>
              <w:bottom w:val="single" w:sz="4" w:space="0" w:color="000000"/>
            </w:tcBorders>
          </w:tcPr>
          <w:p w14:paraId="62F77C6E" w14:textId="5158CECD" w:rsidR="00B628FF" w:rsidRDefault="00B31B37">
            <w:pPr>
              <w:pStyle w:val="Totaldatarowrightaligned"/>
              <w:keepNext/>
            </w:pPr>
            <w:r>
              <w:noBreakHyphen/>
            </w:r>
          </w:p>
        </w:tc>
        <w:tc>
          <w:tcPr>
            <w:tcW w:w="1043" w:type="dxa"/>
            <w:tcBorders>
              <w:top w:val="single" w:sz="4" w:space="0" w:color="000000"/>
              <w:bottom w:val="single" w:sz="4" w:space="0" w:color="000000"/>
            </w:tcBorders>
          </w:tcPr>
          <w:p w14:paraId="4B6D7056" w14:textId="160BECD6" w:rsidR="00B628FF" w:rsidRDefault="00B31B37">
            <w:pPr>
              <w:pStyle w:val="Totaldatarowrightaligned"/>
              <w:keepNext/>
            </w:pPr>
            <w:r>
              <w:noBreakHyphen/>
            </w:r>
          </w:p>
        </w:tc>
        <w:tc>
          <w:tcPr>
            <w:tcW w:w="1043" w:type="dxa"/>
            <w:tcBorders>
              <w:top w:val="single" w:sz="4" w:space="0" w:color="000000"/>
              <w:bottom w:val="single" w:sz="4" w:space="0" w:color="000000"/>
            </w:tcBorders>
          </w:tcPr>
          <w:p w14:paraId="407B6E0E" w14:textId="513D46DC" w:rsidR="00B628FF" w:rsidRDefault="00B31B37">
            <w:pPr>
              <w:pStyle w:val="Totaldatarowrightaligned"/>
              <w:keepNext/>
            </w:pPr>
            <w:r>
              <w:noBreakHyphen/>
            </w:r>
          </w:p>
        </w:tc>
        <w:tc>
          <w:tcPr>
            <w:tcW w:w="1043" w:type="dxa"/>
            <w:tcBorders>
              <w:top w:val="single" w:sz="4" w:space="0" w:color="000000"/>
              <w:bottom w:val="single" w:sz="4" w:space="0" w:color="000000"/>
            </w:tcBorders>
          </w:tcPr>
          <w:p w14:paraId="5A39EE9E" w14:textId="06FDF4C2" w:rsidR="00B628FF" w:rsidRDefault="00B31B37">
            <w:pPr>
              <w:pStyle w:val="Totaldatarowrightaligned"/>
              <w:keepNext/>
            </w:pPr>
            <w:r>
              <w:noBreakHyphen/>
            </w:r>
          </w:p>
        </w:tc>
      </w:tr>
    </w:tbl>
    <w:p w14:paraId="14FDD7A6" w14:textId="77777777" w:rsidR="00B628FF" w:rsidRDefault="00B628FF">
      <w:pPr>
        <w:keepNext/>
        <w:spacing w:line="226" w:lineRule="exact"/>
        <w:rPr>
          <w:sz w:val="16"/>
        </w:rPr>
      </w:pPr>
    </w:p>
    <w:p w14:paraId="6946BFB6" w14:textId="77777777" w:rsidR="00B628FF" w:rsidRDefault="005B2D2F">
      <w:pPr>
        <w:pStyle w:val="Normal2"/>
      </w:pPr>
      <w:r>
        <w:t>The Government will provide $158.6 million over five years from 2024–‍25 to support research and translate medical research to clinical practice, including:</w:t>
      </w:r>
    </w:p>
    <w:p w14:paraId="5A35A319" w14:textId="77777777" w:rsidR="00B628FF" w:rsidRDefault="005B2D2F">
      <w:pPr>
        <w:pStyle w:val="Bullet"/>
      </w:pPr>
      <w:r>
        <w:t>$150.3 million over five years from 2024–‍25 to extend and expand the Zero Childhood Cancer Precision Oncology Medicine Program (ZERO), and to extend the Precision Oncology Screening Platform Enabling Clinical Trials (PrOSPeCT) program and the Australian Rare Cancers Portal (ARC Portal)</w:t>
      </w:r>
    </w:p>
    <w:p w14:paraId="56BEEB32" w14:textId="77777777" w:rsidR="00B628FF" w:rsidRDefault="005B2D2F">
      <w:pPr>
        <w:pStyle w:val="Bullet"/>
      </w:pPr>
      <w:r>
        <w:t>$7.8 million in 2024–‍25 for increased operational costs for the National Health and Medical Research Council</w:t>
      </w:r>
    </w:p>
    <w:p w14:paraId="7551B354" w14:textId="77777777" w:rsidR="00B628FF" w:rsidRDefault="005B2D2F">
      <w:pPr>
        <w:pStyle w:val="Bullet"/>
      </w:pPr>
      <w:r>
        <w:t>$0.6 million in 2025–‍26 to the Commonwealth Scientific and Industrial Research Organisation to maintain the infrastructure and storage facilities for the Australian Health Biobank</w:t>
      </w:r>
    </w:p>
    <w:p w14:paraId="5A59995F" w14:textId="77777777" w:rsidR="00B628FF" w:rsidRDefault="005B2D2F">
      <w:pPr>
        <w:pStyle w:val="Bullet"/>
      </w:pPr>
      <w:r>
        <w:t xml:space="preserve">funding to support an intergovernmental agreement for the cooperative governance and development of the </w:t>
      </w:r>
      <w:r w:rsidRPr="005B2D2F">
        <w:rPr>
          <w:i/>
        </w:rPr>
        <w:t>National One Stop Shop for Clinical Trials and Human Research.</w:t>
      </w:r>
    </w:p>
    <w:p w14:paraId="3A5DB518" w14:textId="77777777" w:rsidR="00B628FF" w:rsidRDefault="005B2D2F">
      <w:pPr>
        <w:pStyle w:val="Normal2"/>
      </w:pPr>
      <w:r>
        <w:t>The Government has already provided partial funding for this measure.</w:t>
      </w:r>
    </w:p>
    <w:p w14:paraId="37F91C8E" w14:textId="77777777" w:rsidR="00B628FF" w:rsidRDefault="005B2D2F">
      <w:pPr>
        <w:pStyle w:val="Normal2"/>
      </w:pPr>
      <w:r w:rsidRPr="5FA307DC">
        <w:rPr>
          <w:lang w:val="en-US"/>
        </w:rPr>
        <w:t>The cost of this measure will be partially met from within the existing resourcing of the Department of Health and Aged Care.</w:t>
      </w:r>
    </w:p>
    <w:p w14:paraId="6AC94E52" w14:textId="77777777" w:rsidR="00B628FF" w:rsidRDefault="005B2D2F">
      <w:pPr>
        <w:pStyle w:val="Normal2"/>
      </w:pPr>
      <w:r>
        <w:t>The Treasury manages Commonwealth payments to the states and territories.</w:t>
      </w:r>
    </w:p>
    <w:p w14:paraId="47CE9EB8" w14:textId="250DB6D8" w:rsidR="00B628FF" w:rsidRDefault="005B2D2F">
      <w:pPr>
        <w:pStyle w:val="Normal2"/>
      </w:pPr>
      <w:r w:rsidRPr="5FA307DC">
        <w:rPr>
          <w:lang w:val="en-US"/>
        </w:rPr>
        <w:t>The financial implications for some elements of this measure are not for publication (nfp) because they would prejudice the Commonwealth</w:t>
      </w:r>
      <w:r w:rsidR="00B31B37">
        <w:rPr>
          <w:lang w:val="en-US"/>
        </w:rPr>
        <w:t>’</w:t>
      </w:r>
      <w:r w:rsidRPr="5FA307DC">
        <w:rPr>
          <w:lang w:val="en-US"/>
        </w:rPr>
        <w:t>s negotiations with jurisdictions on funding levels.</w:t>
      </w:r>
    </w:p>
    <w:p w14:paraId="5CABC74B" w14:textId="77777777" w:rsidR="00B628FF" w:rsidRDefault="005B2D2F">
      <w:pPr>
        <w:pStyle w:val="MeasureTitle"/>
      </w:pPr>
      <w:r>
        <w:t>National Health Reform Agreement – 2025‑26 Uplift</w:t>
      </w:r>
    </w:p>
    <w:p w14:paraId="450968E7" w14:textId="77777777" w:rsidR="00B628FF" w:rsidRDefault="005B2D2F">
      <w:pPr>
        <w:pStyle w:val="MeasureTableHeading"/>
      </w:pPr>
      <w:r>
        <w:t>Payments ($m)</w:t>
      </w:r>
    </w:p>
    <w:tbl>
      <w:tblPr>
        <w:tblOverlap w:val="never"/>
        <w:tblW w:w="7721" w:type="dxa"/>
        <w:tblBorders>
          <w:top w:val="single" w:sz="4" w:space="0" w:color="000000"/>
          <w:bottom w:val="single" w:sz="4" w:space="0" w:color="000000"/>
        </w:tblBorders>
        <w:tblLayout w:type="fixed"/>
        <w:tblLook w:val="04A0" w:firstRow="1" w:lastRow="0" w:firstColumn="1" w:lastColumn="0" w:noHBand="0" w:noVBand="1"/>
      </w:tblPr>
      <w:tblGrid>
        <w:gridCol w:w="2501"/>
        <w:gridCol w:w="1044"/>
        <w:gridCol w:w="1044"/>
        <w:gridCol w:w="1044"/>
        <w:gridCol w:w="1044"/>
        <w:gridCol w:w="1044"/>
      </w:tblGrid>
      <w:tr w:rsidR="00B628FF" w14:paraId="288F5B16" w14:textId="77777777">
        <w:trPr>
          <w:cantSplit/>
        </w:trPr>
        <w:tc>
          <w:tcPr>
            <w:tcW w:w="2500" w:type="dxa"/>
            <w:tcBorders>
              <w:top w:val="single" w:sz="4" w:space="0" w:color="000000"/>
              <w:bottom w:val="single" w:sz="4" w:space="0" w:color="000000"/>
            </w:tcBorders>
          </w:tcPr>
          <w:p w14:paraId="150A4BE6" w14:textId="77777777" w:rsidR="00B628FF" w:rsidRDefault="00B628FF">
            <w:pPr>
              <w:pStyle w:val="MeasureTableYearHeadings"/>
              <w:keepNext/>
            </w:pPr>
          </w:p>
        </w:tc>
        <w:tc>
          <w:tcPr>
            <w:tcW w:w="1043" w:type="dxa"/>
            <w:tcBorders>
              <w:top w:val="single" w:sz="4" w:space="0" w:color="000000"/>
              <w:bottom w:val="single" w:sz="4" w:space="0" w:color="000000"/>
            </w:tcBorders>
          </w:tcPr>
          <w:p w14:paraId="470E7233" w14:textId="332A470E" w:rsidR="00B628FF" w:rsidRDefault="005B2D2F">
            <w:pPr>
              <w:pStyle w:val="MeasureTableYearHeadings"/>
              <w:keepNext/>
            </w:pPr>
            <w:r>
              <w:t>2024</w:t>
            </w:r>
            <w:r w:rsidR="00B31B37">
              <w:noBreakHyphen/>
            </w:r>
            <w:r>
              <w:t>25</w:t>
            </w:r>
          </w:p>
        </w:tc>
        <w:tc>
          <w:tcPr>
            <w:tcW w:w="1043" w:type="dxa"/>
            <w:tcBorders>
              <w:top w:val="single" w:sz="4" w:space="0" w:color="000000"/>
              <w:bottom w:val="single" w:sz="4" w:space="0" w:color="000000"/>
            </w:tcBorders>
          </w:tcPr>
          <w:p w14:paraId="103FD87C" w14:textId="01D98DC7" w:rsidR="00B628FF" w:rsidRDefault="005B2D2F">
            <w:pPr>
              <w:pStyle w:val="MeasureTableYearHeadings"/>
              <w:keepNext/>
            </w:pPr>
            <w:r>
              <w:t>2025</w:t>
            </w:r>
            <w:r w:rsidR="00B31B37">
              <w:noBreakHyphen/>
            </w:r>
            <w:r>
              <w:t>26</w:t>
            </w:r>
          </w:p>
        </w:tc>
        <w:tc>
          <w:tcPr>
            <w:tcW w:w="1043" w:type="dxa"/>
            <w:tcBorders>
              <w:top w:val="single" w:sz="4" w:space="0" w:color="000000"/>
              <w:bottom w:val="single" w:sz="4" w:space="0" w:color="000000"/>
            </w:tcBorders>
          </w:tcPr>
          <w:p w14:paraId="7C60CB3C" w14:textId="0A1E8175" w:rsidR="00B628FF" w:rsidRDefault="005B2D2F">
            <w:pPr>
              <w:pStyle w:val="MeasureTableYearHeadings"/>
              <w:keepNext/>
            </w:pPr>
            <w:r>
              <w:t>2026</w:t>
            </w:r>
            <w:r w:rsidR="00B31B37">
              <w:noBreakHyphen/>
            </w:r>
            <w:r>
              <w:t>27</w:t>
            </w:r>
          </w:p>
        </w:tc>
        <w:tc>
          <w:tcPr>
            <w:tcW w:w="1043" w:type="dxa"/>
            <w:tcBorders>
              <w:top w:val="single" w:sz="4" w:space="0" w:color="000000"/>
              <w:bottom w:val="single" w:sz="4" w:space="0" w:color="000000"/>
            </w:tcBorders>
          </w:tcPr>
          <w:p w14:paraId="2861B3DC" w14:textId="26349CF9" w:rsidR="00B628FF" w:rsidRDefault="005B2D2F">
            <w:pPr>
              <w:pStyle w:val="MeasureTableYearHeadings"/>
              <w:keepNext/>
            </w:pPr>
            <w:r>
              <w:t>2027</w:t>
            </w:r>
            <w:r w:rsidR="00B31B37">
              <w:noBreakHyphen/>
            </w:r>
            <w:r>
              <w:t>28</w:t>
            </w:r>
          </w:p>
        </w:tc>
        <w:tc>
          <w:tcPr>
            <w:tcW w:w="1043" w:type="dxa"/>
            <w:tcBorders>
              <w:top w:val="single" w:sz="4" w:space="0" w:color="000000"/>
              <w:bottom w:val="single" w:sz="4" w:space="0" w:color="000000"/>
            </w:tcBorders>
          </w:tcPr>
          <w:p w14:paraId="473DCA86" w14:textId="25563DD5" w:rsidR="00B628FF" w:rsidRDefault="005B2D2F">
            <w:pPr>
              <w:pStyle w:val="MeasureTableYearHeadings"/>
              <w:keepNext/>
            </w:pPr>
            <w:r>
              <w:t>2028</w:t>
            </w:r>
            <w:r w:rsidR="00B31B37">
              <w:noBreakHyphen/>
            </w:r>
            <w:r>
              <w:t>29</w:t>
            </w:r>
          </w:p>
        </w:tc>
      </w:tr>
      <w:tr w:rsidR="00B628FF" w14:paraId="521F89C5" w14:textId="77777777">
        <w:trPr>
          <w:cantSplit/>
        </w:trPr>
        <w:tc>
          <w:tcPr>
            <w:tcW w:w="2500" w:type="dxa"/>
            <w:tcBorders>
              <w:top w:val="single" w:sz="4" w:space="0" w:color="000000"/>
              <w:bottom w:val="single" w:sz="4" w:space="0" w:color="000000"/>
            </w:tcBorders>
          </w:tcPr>
          <w:p w14:paraId="1EA61DC1" w14:textId="77777777" w:rsidR="00B628FF" w:rsidRDefault="005B2D2F">
            <w:pPr>
              <w:pStyle w:val="MeasureTableHeadingleftalignedwith2ptsspacing"/>
              <w:keepNext/>
            </w:pPr>
            <w:r>
              <w:t>Department of the Treasury</w:t>
            </w:r>
          </w:p>
        </w:tc>
        <w:tc>
          <w:tcPr>
            <w:tcW w:w="1043" w:type="dxa"/>
            <w:tcBorders>
              <w:top w:val="single" w:sz="4" w:space="0" w:color="000000"/>
              <w:bottom w:val="single" w:sz="4" w:space="0" w:color="000000"/>
            </w:tcBorders>
          </w:tcPr>
          <w:p w14:paraId="65D048E2" w14:textId="1A7BB861"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0288E2CB" w14:textId="77777777" w:rsidR="00B628FF" w:rsidRDefault="005B2D2F">
            <w:pPr>
              <w:pStyle w:val="MeasureTableDataRightAlignedwith2ptsspacing"/>
              <w:keepNext/>
            </w:pPr>
            <w:r>
              <w:t>1,766.0</w:t>
            </w:r>
          </w:p>
        </w:tc>
        <w:tc>
          <w:tcPr>
            <w:tcW w:w="1043" w:type="dxa"/>
            <w:tcBorders>
              <w:top w:val="single" w:sz="4" w:space="0" w:color="000000"/>
              <w:bottom w:val="single" w:sz="4" w:space="0" w:color="000000"/>
            </w:tcBorders>
          </w:tcPr>
          <w:p w14:paraId="58712D4F" w14:textId="67FF0D03"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08E405F3" w14:textId="14F84A25"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2EC4E204" w14:textId="23929249" w:rsidR="00B628FF" w:rsidRDefault="00B31B37">
            <w:pPr>
              <w:pStyle w:val="MeasureTableDataRightAlignedwith2ptsspacing"/>
              <w:keepNext/>
            </w:pPr>
            <w:r>
              <w:noBreakHyphen/>
            </w:r>
          </w:p>
        </w:tc>
      </w:tr>
    </w:tbl>
    <w:p w14:paraId="1EF52E00" w14:textId="77777777" w:rsidR="00B628FF" w:rsidRDefault="00B628FF">
      <w:pPr>
        <w:keepNext/>
        <w:spacing w:line="226" w:lineRule="exact"/>
        <w:rPr>
          <w:sz w:val="16"/>
        </w:rPr>
      </w:pPr>
    </w:p>
    <w:p w14:paraId="3EF26AE6" w14:textId="77777777" w:rsidR="00B628FF" w:rsidRDefault="005B2D2F">
      <w:pPr>
        <w:pStyle w:val="Normal2"/>
      </w:pPr>
      <w:r w:rsidRPr="5FA307DC">
        <w:rPr>
          <w:lang w:val="en-US"/>
        </w:rPr>
        <w:t>The Government will provide funding of $33.9 billion in 2025–‍26 to extend the 2020–‍2025 Addendum to the National Health Reform Agreement (NHRA) to 30 June 2026. Funding includes:</w:t>
      </w:r>
    </w:p>
    <w:p w14:paraId="74FBDC88" w14:textId="4B4F918E" w:rsidR="00B628FF" w:rsidRDefault="005B2D2F">
      <w:pPr>
        <w:pStyle w:val="Bullet"/>
      </w:pPr>
      <w:r>
        <w:t>$32.2 billion in 2025–‍26 for Commonwealth funding under the NHRA</w:t>
      </w:r>
    </w:p>
    <w:p w14:paraId="7D484B95" w14:textId="77777777" w:rsidR="00B628FF" w:rsidRDefault="005B2D2F">
      <w:pPr>
        <w:pStyle w:val="Bullet"/>
      </w:pPr>
      <w:r>
        <w:t>$1.8 billion in 2025–‍26 as a one‑off funding boost to fund public hospitals and related health services, including a one‑off uplift to the Northern Territory to better align the Commonwealth contribution rate with other states and territories.</w:t>
      </w:r>
    </w:p>
    <w:p w14:paraId="59888ED6" w14:textId="77777777" w:rsidR="00B628FF" w:rsidRDefault="005B2D2F">
      <w:pPr>
        <w:pStyle w:val="Normal2"/>
      </w:pPr>
      <w:r>
        <w:t>The Government has already provided partial funding for this measure.</w:t>
      </w:r>
    </w:p>
    <w:p w14:paraId="66DC7D62" w14:textId="77777777" w:rsidR="00B628FF" w:rsidRDefault="005B2D2F">
      <w:pPr>
        <w:pStyle w:val="Normal2"/>
      </w:pPr>
      <w:r>
        <w:t>The Treasury manages Commonwealth payments to the states and territories.</w:t>
      </w:r>
    </w:p>
    <w:p w14:paraId="33C30A0B" w14:textId="77777777" w:rsidR="00B628FF" w:rsidRDefault="005B2D2F">
      <w:pPr>
        <w:pStyle w:val="MeasureTitle"/>
      </w:pPr>
      <w:r>
        <w:t>Pharmaceutical Benefits Scheme (PBS) New and Amended Listings</w:t>
      </w:r>
    </w:p>
    <w:p w14:paraId="5C6521FC" w14:textId="77777777" w:rsidR="00B628FF" w:rsidRDefault="005B2D2F">
      <w:pPr>
        <w:pStyle w:val="MeasureTableHeading"/>
      </w:pPr>
      <w:r>
        <w:t>Payments ($m)</w:t>
      </w:r>
    </w:p>
    <w:tbl>
      <w:tblPr>
        <w:tblOverlap w:val="never"/>
        <w:tblW w:w="7721" w:type="dxa"/>
        <w:tblBorders>
          <w:top w:val="single" w:sz="4" w:space="0" w:color="000000"/>
          <w:bottom w:val="single" w:sz="4" w:space="0" w:color="000000"/>
        </w:tblBorders>
        <w:tblLayout w:type="fixed"/>
        <w:tblLook w:val="04A0" w:firstRow="1" w:lastRow="0" w:firstColumn="1" w:lastColumn="0" w:noHBand="0" w:noVBand="1"/>
      </w:tblPr>
      <w:tblGrid>
        <w:gridCol w:w="2501"/>
        <w:gridCol w:w="1044"/>
        <w:gridCol w:w="1044"/>
        <w:gridCol w:w="1044"/>
        <w:gridCol w:w="1044"/>
        <w:gridCol w:w="1044"/>
      </w:tblGrid>
      <w:tr w:rsidR="00B628FF" w14:paraId="6ACC6ECF" w14:textId="77777777">
        <w:trPr>
          <w:cantSplit/>
        </w:trPr>
        <w:tc>
          <w:tcPr>
            <w:tcW w:w="2500" w:type="dxa"/>
            <w:tcBorders>
              <w:top w:val="single" w:sz="4" w:space="0" w:color="000000"/>
              <w:bottom w:val="single" w:sz="4" w:space="0" w:color="000000"/>
            </w:tcBorders>
          </w:tcPr>
          <w:p w14:paraId="2ED5A028" w14:textId="77777777" w:rsidR="00B628FF" w:rsidRDefault="00B628FF">
            <w:pPr>
              <w:pStyle w:val="MeasureTableYearHeadings"/>
              <w:keepNext/>
            </w:pPr>
          </w:p>
        </w:tc>
        <w:tc>
          <w:tcPr>
            <w:tcW w:w="1043" w:type="dxa"/>
            <w:tcBorders>
              <w:top w:val="single" w:sz="4" w:space="0" w:color="000000"/>
              <w:bottom w:val="single" w:sz="4" w:space="0" w:color="000000"/>
            </w:tcBorders>
          </w:tcPr>
          <w:p w14:paraId="546DEFAD" w14:textId="07529BE1" w:rsidR="00B628FF" w:rsidRDefault="005B2D2F">
            <w:pPr>
              <w:pStyle w:val="MeasureTableYearHeadings"/>
              <w:keepNext/>
            </w:pPr>
            <w:r>
              <w:t>2024</w:t>
            </w:r>
            <w:r w:rsidR="00B31B37">
              <w:noBreakHyphen/>
            </w:r>
            <w:r>
              <w:t>25</w:t>
            </w:r>
          </w:p>
        </w:tc>
        <w:tc>
          <w:tcPr>
            <w:tcW w:w="1043" w:type="dxa"/>
            <w:tcBorders>
              <w:top w:val="single" w:sz="4" w:space="0" w:color="000000"/>
              <w:bottom w:val="single" w:sz="4" w:space="0" w:color="000000"/>
            </w:tcBorders>
          </w:tcPr>
          <w:p w14:paraId="1890B530" w14:textId="42DC0219" w:rsidR="00B628FF" w:rsidRDefault="005B2D2F">
            <w:pPr>
              <w:pStyle w:val="MeasureTableYearHeadings"/>
              <w:keepNext/>
            </w:pPr>
            <w:r>
              <w:t>2025</w:t>
            </w:r>
            <w:r w:rsidR="00B31B37">
              <w:noBreakHyphen/>
            </w:r>
            <w:r>
              <w:t>26</w:t>
            </w:r>
          </w:p>
        </w:tc>
        <w:tc>
          <w:tcPr>
            <w:tcW w:w="1043" w:type="dxa"/>
            <w:tcBorders>
              <w:top w:val="single" w:sz="4" w:space="0" w:color="000000"/>
              <w:bottom w:val="single" w:sz="4" w:space="0" w:color="000000"/>
            </w:tcBorders>
          </w:tcPr>
          <w:p w14:paraId="0283B727" w14:textId="4FB74826" w:rsidR="00B628FF" w:rsidRDefault="005B2D2F">
            <w:pPr>
              <w:pStyle w:val="MeasureTableYearHeadings"/>
              <w:keepNext/>
            </w:pPr>
            <w:r>
              <w:t>2026</w:t>
            </w:r>
            <w:r w:rsidR="00B31B37">
              <w:noBreakHyphen/>
            </w:r>
            <w:r>
              <w:t>27</w:t>
            </w:r>
          </w:p>
        </w:tc>
        <w:tc>
          <w:tcPr>
            <w:tcW w:w="1043" w:type="dxa"/>
            <w:tcBorders>
              <w:top w:val="single" w:sz="4" w:space="0" w:color="000000"/>
              <w:bottom w:val="single" w:sz="4" w:space="0" w:color="000000"/>
            </w:tcBorders>
          </w:tcPr>
          <w:p w14:paraId="1215F5F0" w14:textId="51EC8318" w:rsidR="00B628FF" w:rsidRDefault="005B2D2F">
            <w:pPr>
              <w:pStyle w:val="MeasureTableYearHeadings"/>
              <w:keepNext/>
            </w:pPr>
            <w:r>
              <w:t>2027</w:t>
            </w:r>
            <w:r w:rsidR="00B31B37">
              <w:noBreakHyphen/>
            </w:r>
            <w:r>
              <w:t>28</w:t>
            </w:r>
          </w:p>
        </w:tc>
        <w:tc>
          <w:tcPr>
            <w:tcW w:w="1043" w:type="dxa"/>
            <w:tcBorders>
              <w:top w:val="single" w:sz="4" w:space="0" w:color="000000"/>
              <w:bottom w:val="single" w:sz="4" w:space="0" w:color="000000"/>
            </w:tcBorders>
          </w:tcPr>
          <w:p w14:paraId="6F88B674" w14:textId="0E013E28" w:rsidR="00B628FF" w:rsidRDefault="005B2D2F">
            <w:pPr>
              <w:pStyle w:val="MeasureTableYearHeadings"/>
              <w:keepNext/>
            </w:pPr>
            <w:r>
              <w:t>2028</w:t>
            </w:r>
            <w:r w:rsidR="00B31B37">
              <w:noBreakHyphen/>
            </w:r>
            <w:r>
              <w:t>29</w:t>
            </w:r>
          </w:p>
        </w:tc>
      </w:tr>
      <w:tr w:rsidR="00B628FF" w14:paraId="237E8F6C" w14:textId="77777777">
        <w:trPr>
          <w:cantSplit/>
        </w:trPr>
        <w:tc>
          <w:tcPr>
            <w:tcW w:w="2500" w:type="dxa"/>
            <w:tcBorders>
              <w:top w:val="single" w:sz="4" w:space="0" w:color="000000"/>
              <w:bottom w:val="single" w:sz="4" w:space="0" w:color="000000"/>
            </w:tcBorders>
          </w:tcPr>
          <w:p w14:paraId="3FC3DFFA" w14:textId="77777777" w:rsidR="00B628FF" w:rsidRDefault="005B2D2F">
            <w:pPr>
              <w:pStyle w:val="MeasureTableHeadingleftalignedwith2ptsspacing"/>
              <w:keepNext/>
            </w:pPr>
            <w:r>
              <w:t>Department of Health and Aged Care</w:t>
            </w:r>
          </w:p>
        </w:tc>
        <w:tc>
          <w:tcPr>
            <w:tcW w:w="1043" w:type="dxa"/>
            <w:tcBorders>
              <w:top w:val="single" w:sz="4" w:space="0" w:color="000000"/>
              <w:bottom w:val="single" w:sz="4" w:space="0" w:color="000000"/>
            </w:tcBorders>
          </w:tcPr>
          <w:p w14:paraId="58745F7F" w14:textId="77777777" w:rsidR="00B628FF" w:rsidRDefault="005B2D2F">
            <w:pPr>
              <w:pStyle w:val="MeasureTableDataRightAlignedwith2ptsspacing"/>
              <w:keepNext/>
            </w:pPr>
            <w:r>
              <w:t>74.7</w:t>
            </w:r>
          </w:p>
        </w:tc>
        <w:tc>
          <w:tcPr>
            <w:tcW w:w="1043" w:type="dxa"/>
            <w:tcBorders>
              <w:top w:val="single" w:sz="4" w:space="0" w:color="000000"/>
              <w:bottom w:val="single" w:sz="4" w:space="0" w:color="000000"/>
            </w:tcBorders>
          </w:tcPr>
          <w:p w14:paraId="038077A3" w14:textId="77777777" w:rsidR="00B628FF" w:rsidRDefault="005B2D2F">
            <w:pPr>
              <w:pStyle w:val="MeasureTableDataRightAlignedwith2ptsspacing"/>
              <w:keepNext/>
            </w:pPr>
            <w:r>
              <w:t>307.2</w:t>
            </w:r>
          </w:p>
        </w:tc>
        <w:tc>
          <w:tcPr>
            <w:tcW w:w="1043" w:type="dxa"/>
            <w:tcBorders>
              <w:top w:val="single" w:sz="4" w:space="0" w:color="000000"/>
              <w:bottom w:val="single" w:sz="4" w:space="0" w:color="000000"/>
            </w:tcBorders>
          </w:tcPr>
          <w:p w14:paraId="727A5C4A" w14:textId="77777777" w:rsidR="00B628FF" w:rsidRDefault="005B2D2F">
            <w:pPr>
              <w:pStyle w:val="MeasureTableDataRightAlignedwith2ptsspacing"/>
              <w:keepNext/>
            </w:pPr>
            <w:r>
              <w:t>411.1</w:t>
            </w:r>
          </w:p>
        </w:tc>
        <w:tc>
          <w:tcPr>
            <w:tcW w:w="1043" w:type="dxa"/>
            <w:tcBorders>
              <w:top w:val="single" w:sz="4" w:space="0" w:color="000000"/>
              <w:bottom w:val="single" w:sz="4" w:space="0" w:color="000000"/>
            </w:tcBorders>
          </w:tcPr>
          <w:p w14:paraId="5B3365F0" w14:textId="77777777" w:rsidR="00B628FF" w:rsidRDefault="005B2D2F">
            <w:pPr>
              <w:pStyle w:val="MeasureTableDataRightAlignedwith2ptsspacing"/>
              <w:keepNext/>
            </w:pPr>
            <w:r>
              <w:t>471.5</w:t>
            </w:r>
          </w:p>
        </w:tc>
        <w:tc>
          <w:tcPr>
            <w:tcW w:w="1043" w:type="dxa"/>
            <w:tcBorders>
              <w:top w:val="single" w:sz="4" w:space="0" w:color="000000"/>
              <w:bottom w:val="single" w:sz="4" w:space="0" w:color="000000"/>
            </w:tcBorders>
          </w:tcPr>
          <w:p w14:paraId="5DDA871F" w14:textId="77777777" w:rsidR="00B628FF" w:rsidRDefault="005B2D2F">
            <w:pPr>
              <w:pStyle w:val="MeasureTableDataRightAlignedwith2ptsspacing"/>
              <w:keepNext/>
            </w:pPr>
            <w:r>
              <w:t>502.3</w:t>
            </w:r>
          </w:p>
        </w:tc>
      </w:tr>
      <w:tr w:rsidR="00B628FF" w14:paraId="58487D14" w14:textId="77777777">
        <w:trPr>
          <w:cantSplit/>
        </w:trPr>
        <w:tc>
          <w:tcPr>
            <w:tcW w:w="2500" w:type="dxa"/>
            <w:tcBorders>
              <w:top w:val="single" w:sz="4" w:space="0" w:color="000000"/>
              <w:bottom w:val="single" w:sz="4" w:space="0" w:color="000000"/>
            </w:tcBorders>
          </w:tcPr>
          <w:p w14:paraId="4950EFEF" w14:textId="31C428B3" w:rsidR="00B628FF" w:rsidRDefault="005B2D2F">
            <w:pPr>
              <w:pStyle w:val="MeasureTableHeadingleftalignedwith2ptsspacing"/>
              <w:keepNext/>
            </w:pPr>
            <w:r>
              <w:t>Department of Veterans</w:t>
            </w:r>
            <w:r w:rsidR="00B31B37">
              <w:t>’</w:t>
            </w:r>
            <w:r>
              <w:t xml:space="preserve"> Affairs</w:t>
            </w:r>
          </w:p>
        </w:tc>
        <w:tc>
          <w:tcPr>
            <w:tcW w:w="1043" w:type="dxa"/>
            <w:tcBorders>
              <w:top w:val="single" w:sz="4" w:space="0" w:color="000000"/>
              <w:bottom w:val="single" w:sz="4" w:space="0" w:color="000000"/>
            </w:tcBorders>
          </w:tcPr>
          <w:p w14:paraId="41118B86" w14:textId="77777777" w:rsidR="00B628FF" w:rsidRDefault="005B2D2F">
            <w:pPr>
              <w:pStyle w:val="MeasureTableDataRightAlignedwith2ptsspacing"/>
              <w:keepNext/>
            </w:pPr>
            <w:r>
              <w:t>1.1</w:t>
            </w:r>
          </w:p>
        </w:tc>
        <w:tc>
          <w:tcPr>
            <w:tcW w:w="1043" w:type="dxa"/>
            <w:tcBorders>
              <w:top w:val="single" w:sz="4" w:space="0" w:color="000000"/>
              <w:bottom w:val="single" w:sz="4" w:space="0" w:color="000000"/>
            </w:tcBorders>
          </w:tcPr>
          <w:p w14:paraId="59227C81" w14:textId="77777777" w:rsidR="00B628FF" w:rsidRDefault="005B2D2F">
            <w:pPr>
              <w:pStyle w:val="MeasureTableDataRightAlignedwith2ptsspacing"/>
              <w:keepNext/>
            </w:pPr>
            <w:r>
              <w:t>4.8</w:t>
            </w:r>
          </w:p>
        </w:tc>
        <w:tc>
          <w:tcPr>
            <w:tcW w:w="1043" w:type="dxa"/>
            <w:tcBorders>
              <w:top w:val="single" w:sz="4" w:space="0" w:color="000000"/>
              <w:bottom w:val="single" w:sz="4" w:space="0" w:color="000000"/>
            </w:tcBorders>
          </w:tcPr>
          <w:p w14:paraId="1B0F3F20" w14:textId="77777777" w:rsidR="00B628FF" w:rsidRDefault="005B2D2F">
            <w:pPr>
              <w:pStyle w:val="MeasureTableDataRightAlignedwith2ptsspacing"/>
              <w:keepNext/>
            </w:pPr>
            <w:r>
              <w:t>6.7</w:t>
            </w:r>
          </w:p>
        </w:tc>
        <w:tc>
          <w:tcPr>
            <w:tcW w:w="1043" w:type="dxa"/>
            <w:tcBorders>
              <w:top w:val="single" w:sz="4" w:space="0" w:color="000000"/>
              <w:bottom w:val="single" w:sz="4" w:space="0" w:color="000000"/>
            </w:tcBorders>
          </w:tcPr>
          <w:p w14:paraId="32F5756F" w14:textId="77777777" w:rsidR="00B628FF" w:rsidRDefault="005B2D2F">
            <w:pPr>
              <w:pStyle w:val="MeasureTableDataRightAlignedwith2ptsspacing"/>
              <w:keepNext/>
            </w:pPr>
            <w:r>
              <w:t>8.0</w:t>
            </w:r>
          </w:p>
        </w:tc>
        <w:tc>
          <w:tcPr>
            <w:tcW w:w="1043" w:type="dxa"/>
            <w:tcBorders>
              <w:top w:val="single" w:sz="4" w:space="0" w:color="000000"/>
              <w:bottom w:val="single" w:sz="4" w:space="0" w:color="000000"/>
            </w:tcBorders>
          </w:tcPr>
          <w:p w14:paraId="0DA6EFC1" w14:textId="77777777" w:rsidR="00B628FF" w:rsidRDefault="005B2D2F">
            <w:pPr>
              <w:pStyle w:val="MeasureTableDataRightAlignedwith2ptsspacing"/>
              <w:keepNext/>
            </w:pPr>
            <w:r>
              <w:t>8.9</w:t>
            </w:r>
          </w:p>
        </w:tc>
      </w:tr>
      <w:tr w:rsidR="00B628FF" w14:paraId="00F19566" w14:textId="77777777">
        <w:trPr>
          <w:cantSplit/>
        </w:trPr>
        <w:tc>
          <w:tcPr>
            <w:tcW w:w="2500" w:type="dxa"/>
            <w:tcBorders>
              <w:top w:val="single" w:sz="4" w:space="0" w:color="000000"/>
              <w:bottom w:val="single" w:sz="4" w:space="0" w:color="000000"/>
            </w:tcBorders>
          </w:tcPr>
          <w:p w14:paraId="6FF34A6B" w14:textId="77777777" w:rsidR="00B628FF" w:rsidRDefault="005B2D2F">
            <w:pPr>
              <w:pStyle w:val="MeasureTableHeadingleftalignedwith2ptsspacing"/>
              <w:keepNext/>
            </w:pPr>
            <w:r>
              <w:t>Services Australia</w:t>
            </w:r>
          </w:p>
        </w:tc>
        <w:tc>
          <w:tcPr>
            <w:tcW w:w="1043" w:type="dxa"/>
            <w:tcBorders>
              <w:top w:val="single" w:sz="4" w:space="0" w:color="000000"/>
              <w:bottom w:val="single" w:sz="4" w:space="0" w:color="000000"/>
            </w:tcBorders>
          </w:tcPr>
          <w:p w14:paraId="637AE920" w14:textId="77777777" w:rsidR="00B628FF" w:rsidRDefault="005B2D2F">
            <w:pPr>
              <w:pStyle w:val="MeasureTableDataRightAlignedwith2ptsspacing"/>
              <w:keepNext/>
            </w:pPr>
            <w:r>
              <w:t>0.4</w:t>
            </w:r>
          </w:p>
        </w:tc>
        <w:tc>
          <w:tcPr>
            <w:tcW w:w="1043" w:type="dxa"/>
            <w:tcBorders>
              <w:top w:val="single" w:sz="4" w:space="0" w:color="000000"/>
              <w:bottom w:val="single" w:sz="4" w:space="0" w:color="000000"/>
            </w:tcBorders>
          </w:tcPr>
          <w:p w14:paraId="7D4E4D02" w14:textId="77777777" w:rsidR="00B628FF" w:rsidRDefault="005B2D2F">
            <w:pPr>
              <w:pStyle w:val="MeasureTableDataRightAlignedwith2ptsspacing"/>
              <w:keepNext/>
            </w:pPr>
            <w:r>
              <w:t>0.1</w:t>
            </w:r>
          </w:p>
        </w:tc>
        <w:tc>
          <w:tcPr>
            <w:tcW w:w="1043" w:type="dxa"/>
            <w:tcBorders>
              <w:top w:val="single" w:sz="4" w:space="0" w:color="000000"/>
              <w:bottom w:val="single" w:sz="4" w:space="0" w:color="000000"/>
            </w:tcBorders>
          </w:tcPr>
          <w:p w14:paraId="3FED4481" w14:textId="77777777" w:rsidR="00B628FF" w:rsidRDefault="005B2D2F">
            <w:pPr>
              <w:pStyle w:val="MeasureTableDataRightAlignedwith2ptsspacing"/>
              <w:keepNext/>
            </w:pPr>
            <w:r>
              <w:t>0.1</w:t>
            </w:r>
          </w:p>
        </w:tc>
        <w:tc>
          <w:tcPr>
            <w:tcW w:w="1043" w:type="dxa"/>
            <w:tcBorders>
              <w:top w:val="single" w:sz="4" w:space="0" w:color="000000"/>
              <w:bottom w:val="single" w:sz="4" w:space="0" w:color="000000"/>
            </w:tcBorders>
          </w:tcPr>
          <w:p w14:paraId="0C69EF98" w14:textId="77777777" w:rsidR="00B628FF" w:rsidRDefault="005B2D2F">
            <w:pPr>
              <w:pStyle w:val="MeasureTableDataRightAlignedwith2ptsspacing"/>
              <w:keepNext/>
            </w:pPr>
            <w:r>
              <w:t>0.1</w:t>
            </w:r>
          </w:p>
        </w:tc>
        <w:tc>
          <w:tcPr>
            <w:tcW w:w="1043" w:type="dxa"/>
            <w:tcBorders>
              <w:top w:val="single" w:sz="4" w:space="0" w:color="000000"/>
              <w:bottom w:val="single" w:sz="4" w:space="0" w:color="000000"/>
            </w:tcBorders>
          </w:tcPr>
          <w:p w14:paraId="57194ED1" w14:textId="77777777" w:rsidR="00B628FF" w:rsidRDefault="005B2D2F">
            <w:pPr>
              <w:pStyle w:val="MeasureTableDataRightAlignedwith2ptsspacing"/>
              <w:keepNext/>
            </w:pPr>
            <w:r>
              <w:t>0.1</w:t>
            </w:r>
          </w:p>
        </w:tc>
      </w:tr>
      <w:tr w:rsidR="00B628FF" w14:paraId="02F6FFCC" w14:textId="77777777">
        <w:trPr>
          <w:cantSplit/>
        </w:trPr>
        <w:tc>
          <w:tcPr>
            <w:tcW w:w="2500" w:type="dxa"/>
            <w:tcBorders>
              <w:top w:val="single" w:sz="4" w:space="0" w:color="000000"/>
              <w:bottom w:val="single" w:sz="4" w:space="0" w:color="000000"/>
            </w:tcBorders>
          </w:tcPr>
          <w:p w14:paraId="4EFD2BFE" w14:textId="77777777" w:rsidR="00B628FF" w:rsidRDefault="005B2D2F">
            <w:pPr>
              <w:pStyle w:val="Totalrowleftaligned"/>
              <w:keepNext/>
            </w:pPr>
            <w:r>
              <w:t>Total – Payments</w:t>
            </w:r>
          </w:p>
        </w:tc>
        <w:tc>
          <w:tcPr>
            <w:tcW w:w="1043" w:type="dxa"/>
            <w:tcBorders>
              <w:top w:val="single" w:sz="4" w:space="0" w:color="000000"/>
              <w:bottom w:val="single" w:sz="4" w:space="0" w:color="000000"/>
            </w:tcBorders>
          </w:tcPr>
          <w:p w14:paraId="618D831E" w14:textId="77777777" w:rsidR="00B628FF" w:rsidRDefault="005B2D2F">
            <w:pPr>
              <w:pStyle w:val="Totaldatarowrightaligned"/>
              <w:keepNext/>
            </w:pPr>
            <w:r>
              <w:t>76.2</w:t>
            </w:r>
          </w:p>
        </w:tc>
        <w:tc>
          <w:tcPr>
            <w:tcW w:w="1043" w:type="dxa"/>
            <w:tcBorders>
              <w:top w:val="single" w:sz="4" w:space="0" w:color="000000"/>
              <w:bottom w:val="single" w:sz="4" w:space="0" w:color="000000"/>
            </w:tcBorders>
          </w:tcPr>
          <w:p w14:paraId="0CEC0505" w14:textId="77777777" w:rsidR="00B628FF" w:rsidRDefault="005B2D2F">
            <w:pPr>
              <w:pStyle w:val="Totaldatarowrightaligned"/>
              <w:keepNext/>
            </w:pPr>
            <w:r>
              <w:t>312.2</w:t>
            </w:r>
          </w:p>
        </w:tc>
        <w:tc>
          <w:tcPr>
            <w:tcW w:w="1043" w:type="dxa"/>
            <w:tcBorders>
              <w:top w:val="single" w:sz="4" w:space="0" w:color="000000"/>
              <w:bottom w:val="single" w:sz="4" w:space="0" w:color="000000"/>
            </w:tcBorders>
          </w:tcPr>
          <w:p w14:paraId="5589529A" w14:textId="77777777" w:rsidR="00B628FF" w:rsidRDefault="005B2D2F">
            <w:pPr>
              <w:pStyle w:val="Totaldatarowrightaligned"/>
              <w:keepNext/>
            </w:pPr>
            <w:r>
              <w:t>417.9</w:t>
            </w:r>
          </w:p>
        </w:tc>
        <w:tc>
          <w:tcPr>
            <w:tcW w:w="1043" w:type="dxa"/>
            <w:tcBorders>
              <w:top w:val="single" w:sz="4" w:space="0" w:color="000000"/>
              <w:bottom w:val="single" w:sz="4" w:space="0" w:color="000000"/>
            </w:tcBorders>
          </w:tcPr>
          <w:p w14:paraId="1032CA38" w14:textId="77777777" w:rsidR="00B628FF" w:rsidRDefault="005B2D2F">
            <w:pPr>
              <w:pStyle w:val="Totaldatarowrightaligned"/>
              <w:keepNext/>
            </w:pPr>
            <w:r>
              <w:t>479.6</w:t>
            </w:r>
          </w:p>
        </w:tc>
        <w:tc>
          <w:tcPr>
            <w:tcW w:w="1043" w:type="dxa"/>
            <w:tcBorders>
              <w:top w:val="single" w:sz="4" w:space="0" w:color="000000"/>
              <w:bottom w:val="single" w:sz="4" w:space="0" w:color="000000"/>
            </w:tcBorders>
          </w:tcPr>
          <w:p w14:paraId="07848BE2" w14:textId="77777777" w:rsidR="00B628FF" w:rsidRDefault="005B2D2F">
            <w:pPr>
              <w:pStyle w:val="Totaldatarowrightaligned"/>
              <w:keepNext/>
            </w:pPr>
            <w:r>
              <w:t>511.3</w:t>
            </w:r>
          </w:p>
        </w:tc>
      </w:tr>
      <w:tr w:rsidR="00B628FF" w14:paraId="197D2D0E" w14:textId="77777777">
        <w:trPr>
          <w:cantSplit/>
        </w:trPr>
        <w:tc>
          <w:tcPr>
            <w:tcW w:w="2500" w:type="dxa"/>
          </w:tcPr>
          <w:p w14:paraId="58BFEC68" w14:textId="77777777" w:rsidR="00B628FF" w:rsidRDefault="005B2D2F">
            <w:pPr>
              <w:pStyle w:val="AgencyName"/>
              <w:keepNext/>
            </w:pPr>
            <w:r>
              <w:t>Related receipts ($m)</w:t>
            </w:r>
          </w:p>
        </w:tc>
        <w:tc>
          <w:tcPr>
            <w:tcW w:w="1043" w:type="dxa"/>
          </w:tcPr>
          <w:p w14:paraId="55DD2D92" w14:textId="77777777" w:rsidR="00B628FF" w:rsidRDefault="00B628FF">
            <w:pPr>
              <w:pStyle w:val="AgencyName"/>
              <w:keepNext/>
            </w:pPr>
          </w:p>
        </w:tc>
        <w:tc>
          <w:tcPr>
            <w:tcW w:w="1043" w:type="dxa"/>
          </w:tcPr>
          <w:p w14:paraId="212A1814" w14:textId="77777777" w:rsidR="00B628FF" w:rsidRDefault="00B628FF">
            <w:pPr>
              <w:pStyle w:val="AgencyName"/>
              <w:keepNext/>
            </w:pPr>
          </w:p>
        </w:tc>
        <w:tc>
          <w:tcPr>
            <w:tcW w:w="1043" w:type="dxa"/>
          </w:tcPr>
          <w:p w14:paraId="66EA692A" w14:textId="77777777" w:rsidR="00B628FF" w:rsidRDefault="00B628FF">
            <w:pPr>
              <w:pStyle w:val="AgencyName"/>
              <w:keepNext/>
            </w:pPr>
          </w:p>
        </w:tc>
        <w:tc>
          <w:tcPr>
            <w:tcW w:w="1043" w:type="dxa"/>
          </w:tcPr>
          <w:p w14:paraId="49D16F69" w14:textId="77777777" w:rsidR="00B628FF" w:rsidRDefault="00B628FF">
            <w:pPr>
              <w:pStyle w:val="AgencyName"/>
              <w:keepNext/>
            </w:pPr>
          </w:p>
        </w:tc>
        <w:tc>
          <w:tcPr>
            <w:tcW w:w="1043" w:type="dxa"/>
          </w:tcPr>
          <w:p w14:paraId="02ABF25B" w14:textId="77777777" w:rsidR="00B628FF" w:rsidRDefault="00B628FF">
            <w:pPr>
              <w:pStyle w:val="AgencyName"/>
              <w:keepNext/>
            </w:pPr>
          </w:p>
        </w:tc>
      </w:tr>
      <w:tr w:rsidR="00B628FF" w14:paraId="40E42FB2" w14:textId="77777777">
        <w:tc>
          <w:tcPr>
            <w:tcW w:w="2500" w:type="dxa"/>
          </w:tcPr>
          <w:p w14:paraId="72363B11" w14:textId="77777777" w:rsidR="00B628FF" w:rsidRDefault="005B2D2F">
            <w:pPr>
              <w:pStyle w:val="AgencyNamewith2ptsspacing"/>
              <w:keepNext/>
            </w:pPr>
            <w:r>
              <w:t>Department of Health and Aged Care</w:t>
            </w:r>
          </w:p>
        </w:tc>
        <w:tc>
          <w:tcPr>
            <w:tcW w:w="1043" w:type="dxa"/>
          </w:tcPr>
          <w:p w14:paraId="2584E8DF" w14:textId="77777777" w:rsidR="00B628FF" w:rsidRDefault="005B2D2F">
            <w:pPr>
              <w:pStyle w:val="Measuretabledatarightaligneditalics"/>
              <w:keepNext/>
            </w:pPr>
            <w:r>
              <w:t>nfp</w:t>
            </w:r>
          </w:p>
        </w:tc>
        <w:tc>
          <w:tcPr>
            <w:tcW w:w="1043" w:type="dxa"/>
          </w:tcPr>
          <w:p w14:paraId="76E689DA" w14:textId="77777777" w:rsidR="00B628FF" w:rsidRDefault="005B2D2F">
            <w:pPr>
              <w:pStyle w:val="Measuretabledatarightaligneditalics"/>
              <w:keepNext/>
            </w:pPr>
            <w:r>
              <w:t>nfp</w:t>
            </w:r>
          </w:p>
        </w:tc>
        <w:tc>
          <w:tcPr>
            <w:tcW w:w="1043" w:type="dxa"/>
          </w:tcPr>
          <w:p w14:paraId="05435E0B" w14:textId="77777777" w:rsidR="00B628FF" w:rsidRDefault="005B2D2F">
            <w:pPr>
              <w:pStyle w:val="Measuretabledatarightaligneditalics"/>
              <w:keepNext/>
            </w:pPr>
            <w:r>
              <w:t>nfp</w:t>
            </w:r>
          </w:p>
        </w:tc>
        <w:tc>
          <w:tcPr>
            <w:tcW w:w="1043" w:type="dxa"/>
          </w:tcPr>
          <w:p w14:paraId="047B8A91" w14:textId="77777777" w:rsidR="00B628FF" w:rsidRDefault="005B2D2F">
            <w:pPr>
              <w:pStyle w:val="Measuretabledatarightaligneditalics"/>
              <w:keepNext/>
            </w:pPr>
            <w:r>
              <w:t>nfp</w:t>
            </w:r>
          </w:p>
        </w:tc>
        <w:tc>
          <w:tcPr>
            <w:tcW w:w="1043" w:type="dxa"/>
          </w:tcPr>
          <w:p w14:paraId="127F837E" w14:textId="77777777" w:rsidR="00B628FF" w:rsidRDefault="005B2D2F">
            <w:pPr>
              <w:pStyle w:val="Measuretabledatarightaligneditalics"/>
              <w:keepNext/>
            </w:pPr>
            <w:r>
              <w:t>nfp</w:t>
            </w:r>
          </w:p>
        </w:tc>
      </w:tr>
    </w:tbl>
    <w:p w14:paraId="0D069EFA" w14:textId="77777777" w:rsidR="00B628FF" w:rsidRDefault="00B628FF">
      <w:pPr>
        <w:keepNext/>
        <w:spacing w:line="226" w:lineRule="exact"/>
        <w:rPr>
          <w:sz w:val="16"/>
        </w:rPr>
      </w:pPr>
    </w:p>
    <w:p w14:paraId="520D9218" w14:textId="77777777" w:rsidR="00B628FF" w:rsidRDefault="005B2D2F">
      <w:pPr>
        <w:pStyle w:val="Normal2"/>
      </w:pPr>
      <w:r w:rsidRPr="5FA307DC">
        <w:rPr>
          <w:lang w:val="en-US"/>
        </w:rPr>
        <w:t xml:space="preserve">The Government will provide $1.8 billion over five years from 2024–‍25 for new and amended listings on the Pharmaceutical Benefits Scheme (PBS), Repatriation Pharmaceutical Benefits Scheme, Stoma Appliance Scheme and </w:t>
      </w:r>
      <w:proofErr w:type="gramStart"/>
      <w:r w:rsidRPr="5FA307DC">
        <w:rPr>
          <w:lang w:val="en-US"/>
        </w:rPr>
        <w:t>Take Home</w:t>
      </w:r>
      <w:proofErr w:type="gramEnd"/>
      <w:r w:rsidRPr="5FA307DC">
        <w:rPr>
          <w:lang w:val="en-US"/>
        </w:rPr>
        <w:t xml:space="preserve"> Naloxone program. Examples of new and amended PBS listings since the 2024–‍25 MYEFO include:</w:t>
      </w:r>
    </w:p>
    <w:p w14:paraId="6DAA822D" w14:textId="77777777" w:rsidR="00B628FF" w:rsidRDefault="005B2D2F">
      <w:pPr>
        <w:pStyle w:val="Bullet"/>
      </w:pPr>
      <w:r>
        <w:t>olaparib (Lynparza</w:t>
      </w:r>
      <w:r w:rsidRPr="00650CC7">
        <w:rPr>
          <w:vertAlign w:val="superscript"/>
        </w:rPr>
        <w:t>®</w:t>
      </w:r>
      <w:r>
        <w:t>), from 1 January 2025, for treatment of patients with human epidermal growth factor receptor type 2‑negative metastatic breast cancer</w:t>
      </w:r>
    </w:p>
    <w:p w14:paraId="4150E1EC" w14:textId="77777777" w:rsidR="00B628FF" w:rsidRDefault="005B2D2F">
      <w:pPr>
        <w:pStyle w:val="Bullet"/>
      </w:pPr>
      <w:r>
        <w:t>talazoparib (Talzenna</w:t>
      </w:r>
      <w:r w:rsidRPr="00650CC7">
        <w:rPr>
          <w:vertAlign w:val="superscript"/>
        </w:rPr>
        <w:t>®</w:t>
      </w:r>
      <w:r>
        <w:t>), from 1 January 2025, for treatment of patients with prostate cancer who have the BRCA1 or BRCA2 mutations</w:t>
      </w:r>
    </w:p>
    <w:p w14:paraId="56F7F206" w14:textId="77777777" w:rsidR="00B628FF" w:rsidRDefault="005B2D2F">
      <w:pPr>
        <w:pStyle w:val="Bullet"/>
      </w:pPr>
      <w:r>
        <w:t>selpercatinib (Retevmo</w:t>
      </w:r>
      <w:r w:rsidRPr="00650CC7">
        <w:rPr>
          <w:vertAlign w:val="superscript"/>
        </w:rPr>
        <w:t>®</w:t>
      </w:r>
      <w:r>
        <w:t>), from 1 February 2025, for treatment of advanced or metastatic non‑small cell lung cancer</w:t>
      </w:r>
    </w:p>
    <w:p w14:paraId="010CC17A" w14:textId="668FCD88" w:rsidR="00B628FF" w:rsidRDefault="005B2D2F">
      <w:pPr>
        <w:pStyle w:val="Bullet"/>
      </w:pPr>
      <w:r>
        <w:t>estradiol and progesterone (micronised) co</w:t>
      </w:r>
      <w:r w:rsidR="00B31B37">
        <w:noBreakHyphen/>
      </w:r>
      <w:r>
        <w:t>pack (Estrogel Pro</w:t>
      </w:r>
      <w:r w:rsidRPr="00650CC7">
        <w:rPr>
          <w:vertAlign w:val="superscript"/>
        </w:rPr>
        <w:t>®</w:t>
      </w:r>
      <w:r>
        <w:t>), estradiol (Estrogel</w:t>
      </w:r>
      <w:r w:rsidRPr="00650CC7">
        <w:rPr>
          <w:vertAlign w:val="superscript"/>
        </w:rPr>
        <w:t>®</w:t>
      </w:r>
      <w:r>
        <w:t>) and progesterone (Prometrium</w:t>
      </w:r>
      <w:r w:rsidRPr="00650CC7">
        <w:rPr>
          <w:vertAlign w:val="superscript"/>
        </w:rPr>
        <w:t>®</w:t>
      </w:r>
      <w:r>
        <w:t>) from 1 March 2025, as menopausal hormone therapy for estrogen deficiency symptoms in postmenopausal women, the first PBS listings for new types of menopausal hormone therapy in more than 20 years</w:t>
      </w:r>
    </w:p>
    <w:p w14:paraId="61670B02" w14:textId="15FA7CC1" w:rsidR="00B628FF" w:rsidRDefault="005B2D2F">
      <w:pPr>
        <w:pStyle w:val="Bullet"/>
      </w:pPr>
      <w:r>
        <w:t>drosp</w:t>
      </w:r>
      <w:r w:rsidR="00793AC1">
        <w:t>i</w:t>
      </w:r>
      <w:r>
        <w:t>r</w:t>
      </w:r>
      <w:r w:rsidR="00793AC1">
        <w:t>e</w:t>
      </w:r>
      <w:r>
        <w:t>none with ethinylestradiol (Yaz</w:t>
      </w:r>
      <w:r w:rsidRPr="00650CC7">
        <w:rPr>
          <w:vertAlign w:val="superscript"/>
        </w:rPr>
        <w:t>®</w:t>
      </w:r>
      <w:r>
        <w:t xml:space="preserve"> and Yasmin</w:t>
      </w:r>
      <w:r w:rsidRPr="00650CC7">
        <w:rPr>
          <w:vertAlign w:val="superscript"/>
        </w:rPr>
        <w:t>®</w:t>
      </w:r>
      <w:r>
        <w:t>), from 1 May 2025, the first PBS listing for new oral contraceptives in more than 30 years</w:t>
      </w:r>
    </w:p>
    <w:p w14:paraId="491E3394" w14:textId="77777777" w:rsidR="00B628FF" w:rsidRDefault="005B2D2F">
      <w:pPr>
        <w:pStyle w:val="Bullet"/>
      </w:pPr>
      <w:r>
        <w:t>epcoritamab (Epkinly</w:t>
      </w:r>
      <w:r w:rsidRPr="00650CC7">
        <w:rPr>
          <w:vertAlign w:val="superscript"/>
        </w:rPr>
        <w:t>®</w:t>
      </w:r>
      <w:r>
        <w:t>), from 1 May 2025, for treatment of patients with relapsed or refractory diffuse large B‑cell lymphoma</w:t>
      </w:r>
    </w:p>
    <w:p w14:paraId="26AD90A1" w14:textId="77777777" w:rsidR="00B628FF" w:rsidRDefault="005B2D2F">
      <w:pPr>
        <w:pStyle w:val="Bullet"/>
      </w:pPr>
      <w:r>
        <w:t>esketamine nasal spray (Spravato</w:t>
      </w:r>
      <w:r w:rsidRPr="00650CC7">
        <w:rPr>
          <w:vertAlign w:val="superscript"/>
        </w:rPr>
        <w:t>®</w:t>
      </w:r>
      <w:r>
        <w:t>), from 1 May 2025, for treatment‑resistant major depression</w:t>
      </w:r>
    </w:p>
    <w:p w14:paraId="6B923E7C" w14:textId="77777777" w:rsidR="00B628FF" w:rsidRDefault="005B2D2F">
      <w:pPr>
        <w:pStyle w:val="Bullet"/>
      </w:pPr>
      <w:r>
        <w:t>relugolix with estradiol and with norethisterone acetate (Ryeqo</w:t>
      </w:r>
      <w:r w:rsidRPr="00650CC7">
        <w:rPr>
          <w:vertAlign w:val="superscript"/>
        </w:rPr>
        <w:t>®</w:t>
      </w:r>
      <w:r>
        <w:t>), from 1 May 2025, for treatment of patients with moderate to severe pain associated with endometriosis.</w:t>
      </w:r>
    </w:p>
    <w:p w14:paraId="64741E9E" w14:textId="77777777" w:rsidR="00B628FF" w:rsidRDefault="005B2D2F">
      <w:pPr>
        <w:pStyle w:val="Normal2"/>
      </w:pPr>
      <w:r w:rsidRPr="5FA307DC">
        <w:rPr>
          <w:lang w:val="en-US"/>
        </w:rPr>
        <w:t>The financial implications of this measure are not for publication (nfp) because the disclosure of funding would reveal individual arrangements between third parties and the Commonwealth that are confidential and commercially privileged, which cannot be disclosed under Deeds of Agreements.</w:t>
      </w:r>
    </w:p>
    <w:p w14:paraId="55C7921A" w14:textId="77777777" w:rsidR="00B628FF" w:rsidRDefault="005B2D2F">
      <w:pPr>
        <w:pStyle w:val="MeasureTitle"/>
      </w:pPr>
      <w:r>
        <w:t>Preventive Health, Wellbeing and Sport</w:t>
      </w:r>
    </w:p>
    <w:p w14:paraId="643CCF34" w14:textId="77777777" w:rsidR="00B628FF" w:rsidRDefault="005B2D2F">
      <w:pPr>
        <w:pStyle w:val="MeasureTableHeading"/>
      </w:pPr>
      <w:r>
        <w:t>Payments ($m)</w:t>
      </w:r>
    </w:p>
    <w:tbl>
      <w:tblPr>
        <w:tblOverlap w:val="never"/>
        <w:tblW w:w="7721" w:type="dxa"/>
        <w:tblBorders>
          <w:top w:val="single" w:sz="4" w:space="0" w:color="000000"/>
          <w:bottom w:val="single" w:sz="4" w:space="0" w:color="000000"/>
        </w:tblBorders>
        <w:tblLayout w:type="fixed"/>
        <w:tblLook w:val="04A0" w:firstRow="1" w:lastRow="0" w:firstColumn="1" w:lastColumn="0" w:noHBand="0" w:noVBand="1"/>
      </w:tblPr>
      <w:tblGrid>
        <w:gridCol w:w="2501"/>
        <w:gridCol w:w="1044"/>
        <w:gridCol w:w="1044"/>
        <w:gridCol w:w="1044"/>
        <w:gridCol w:w="1044"/>
        <w:gridCol w:w="1044"/>
      </w:tblGrid>
      <w:tr w:rsidR="00B628FF" w14:paraId="54609451" w14:textId="77777777">
        <w:trPr>
          <w:cantSplit/>
        </w:trPr>
        <w:tc>
          <w:tcPr>
            <w:tcW w:w="2500" w:type="dxa"/>
            <w:tcBorders>
              <w:top w:val="single" w:sz="4" w:space="0" w:color="000000"/>
              <w:bottom w:val="single" w:sz="4" w:space="0" w:color="000000"/>
            </w:tcBorders>
          </w:tcPr>
          <w:p w14:paraId="0BE5DCFA" w14:textId="77777777" w:rsidR="00B628FF" w:rsidRDefault="00B628FF">
            <w:pPr>
              <w:pStyle w:val="MeasureTableYearHeadings"/>
              <w:keepNext/>
            </w:pPr>
          </w:p>
        </w:tc>
        <w:tc>
          <w:tcPr>
            <w:tcW w:w="1043" w:type="dxa"/>
            <w:tcBorders>
              <w:top w:val="single" w:sz="4" w:space="0" w:color="000000"/>
              <w:bottom w:val="single" w:sz="4" w:space="0" w:color="000000"/>
            </w:tcBorders>
          </w:tcPr>
          <w:p w14:paraId="0C5B298E" w14:textId="096AE3B8" w:rsidR="00B628FF" w:rsidRDefault="005B2D2F">
            <w:pPr>
              <w:pStyle w:val="MeasureTableYearHeadings"/>
              <w:keepNext/>
            </w:pPr>
            <w:r>
              <w:t>2024</w:t>
            </w:r>
            <w:r w:rsidR="00B31B37">
              <w:noBreakHyphen/>
            </w:r>
            <w:r>
              <w:t>25</w:t>
            </w:r>
          </w:p>
        </w:tc>
        <w:tc>
          <w:tcPr>
            <w:tcW w:w="1043" w:type="dxa"/>
            <w:tcBorders>
              <w:top w:val="single" w:sz="4" w:space="0" w:color="000000"/>
              <w:bottom w:val="single" w:sz="4" w:space="0" w:color="000000"/>
            </w:tcBorders>
          </w:tcPr>
          <w:p w14:paraId="2055F20C" w14:textId="1C79DD4B" w:rsidR="00B628FF" w:rsidRDefault="005B2D2F">
            <w:pPr>
              <w:pStyle w:val="MeasureTableYearHeadings"/>
              <w:keepNext/>
            </w:pPr>
            <w:r>
              <w:t>2025</w:t>
            </w:r>
            <w:r w:rsidR="00B31B37">
              <w:noBreakHyphen/>
            </w:r>
            <w:r>
              <w:t>26</w:t>
            </w:r>
          </w:p>
        </w:tc>
        <w:tc>
          <w:tcPr>
            <w:tcW w:w="1043" w:type="dxa"/>
            <w:tcBorders>
              <w:top w:val="single" w:sz="4" w:space="0" w:color="000000"/>
              <w:bottom w:val="single" w:sz="4" w:space="0" w:color="000000"/>
            </w:tcBorders>
          </w:tcPr>
          <w:p w14:paraId="1C337873" w14:textId="3AD8D745" w:rsidR="00B628FF" w:rsidRDefault="005B2D2F">
            <w:pPr>
              <w:pStyle w:val="MeasureTableYearHeadings"/>
              <w:keepNext/>
            </w:pPr>
            <w:r>
              <w:t>2026</w:t>
            </w:r>
            <w:r w:rsidR="00B31B37">
              <w:noBreakHyphen/>
            </w:r>
            <w:r>
              <w:t>27</w:t>
            </w:r>
          </w:p>
        </w:tc>
        <w:tc>
          <w:tcPr>
            <w:tcW w:w="1043" w:type="dxa"/>
            <w:tcBorders>
              <w:top w:val="single" w:sz="4" w:space="0" w:color="000000"/>
              <w:bottom w:val="single" w:sz="4" w:space="0" w:color="000000"/>
            </w:tcBorders>
          </w:tcPr>
          <w:p w14:paraId="7DA08F31" w14:textId="193343E3" w:rsidR="00B628FF" w:rsidRDefault="005B2D2F">
            <w:pPr>
              <w:pStyle w:val="MeasureTableYearHeadings"/>
              <w:keepNext/>
            </w:pPr>
            <w:r>
              <w:t>2027</w:t>
            </w:r>
            <w:r w:rsidR="00B31B37">
              <w:noBreakHyphen/>
            </w:r>
            <w:r>
              <w:t>28</w:t>
            </w:r>
          </w:p>
        </w:tc>
        <w:tc>
          <w:tcPr>
            <w:tcW w:w="1043" w:type="dxa"/>
            <w:tcBorders>
              <w:top w:val="single" w:sz="4" w:space="0" w:color="000000"/>
              <w:bottom w:val="single" w:sz="4" w:space="0" w:color="000000"/>
            </w:tcBorders>
          </w:tcPr>
          <w:p w14:paraId="13A24C94" w14:textId="07F051E6" w:rsidR="00B628FF" w:rsidRDefault="005B2D2F">
            <w:pPr>
              <w:pStyle w:val="MeasureTableYearHeadings"/>
              <w:keepNext/>
            </w:pPr>
            <w:r>
              <w:t>2028</w:t>
            </w:r>
            <w:r w:rsidR="00B31B37">
              <w:noBreakHyphen/>
            </w:r>
            <w:r>
              <w:t>29</w:t>
            </w:r>
          </w:p>
        </w:tc>
      </w:tr>
      <w:tr w:rsidR="00B628FF" w14:paraId="56A30BB2" w14:textId="77777777">
        <w:trPr>
          <w:cantSplit/>
        </w:trPr>
        <w:tc>
          <w:tcPr>
            <w:tcW w:w="2500" w:type="dxa"/>
            <w:tcBorders>
              <w:top w:val="single" w:sz="4" w:space="0" w:color="000000"/>
              <w:bottom w:val="single" w:sz="4" w:space="0" w:color="000000"/>
            </w:tcBorders>
          </w:tcPr>
          <w:p w14:paraId="1826DD5E" w14:textId="77777777" w:rsidR="00B628FF" w:rsidRDefault="005B2D2F">
            <w:pPr>
              <w:pStyle w:val="MeasureTableHeadingleftalignedwith2ptsspacing"/>
              <w:keepNext/>
            </w:pPr>
            <w:r>
              <w:t>Department of the Treasury</w:t>
            </w:r>
          </w:p>
        </w:tc>
        <w:tc>
          <w:tcPr>
            <w:tcW w:w="1043" w:type="dxa"/>
            <w:tcBorders>
              <w:top w:val="single" w:sz="4" w:space="0" w:color="000000"/>
              <w:bottom w:val="single" w:sz="4" w:space="0" w:color="000000"/>
            </w:tcBorders>
          </w:tcPr>
          <w:p w14:paraId="26070EE1" w14:textId="15061A70"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77D29C43" w14:textId="77777777" w:rsidR="00B628FF" w:rsidRDefault="005B2D2F">
            <w:pPr>
              <w:pStyle w:val="MeasureTableDataRightAlignedwith2ptsspacing"/>
              <w:keepNext/>
            </w:pPr>
            <w:r>
              <w:t>13.6</w:t>
            </w:r>
          </w:p>
        </w:tc>
        <w:tc>
          <w:tcPr>
            <w:tcW w:w="1043" w:type="dxa"/>
            <w:tcBorders>
              <w:top w:val="single" w:sz="4" w:space="0" w:color="000000"/>
              <w:bottom w:val="single" w:sz="4" w:space="0" w:color="000000"/>
            </w:tcBorders>
          </w:tcPr>
          <w:p w14:paraId="65C19DF7" w14:textId="41CB2949"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4FD5EEA9" w14:textId="39CD93B6"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5D31B2BE" w14:textId="42BB71C3" w:rsidR="00B628FF" w:rsidRDefault="00B31B37">
            <w:pPr>
              <w:pStyle w:val="MeasureTableDataRightAlignedwith2ptsspacing"/>
              <w:keepNext/>
            </w:pPr>
            <w:r>
              <w:noBreakHyphen/>
            </w:r>
          </w:p>
        </w:tc>
      </w:tr>
      <w:tr w:rsidR="00B628FF" w14:paraId="298F7DB7" w14:textId="77777777">
        <w:trPr>
          <w:cantSplit/>
        </w:trPr>
        <w:tc>
          <w:tcPr>
            <w:tcW w:w="2500" w:type="dxa"/>
            <w:tcBorders>
              <w:top w:val="single" w:sz="4" w:space="0" w:color="000000"/>
              <w:bottom w:val="single" w:sz="4" w:space="0" w:color="000000"/>
            </w:tcBorders>
          </w:tcPr>
          <w:p w14:paraId="4804A25A" w14:textId="77777777" w:rsidR="00B628FF" w:rsidRDefault="005B2D2F">
            <w:pPr>
              <w:pStyle w:val="MeasureTableHeadingleftalignedwith2ptsspacing"/>
              <w:keepNext/>
            </w:pPr>
            <w:r>
              <w:t>Department of Health and Aged Care</w:t>
            </w:r>
          </w:p>
        </w:tc>
        <w:tc>
          <w:tcPr>
            <w:tcW w:w="1043" w:type="dxa"/>
            <w:tcBorders>
              <w:top w:val="single" w:sz="4" w:space="0" w:color="000000"/>
              <w:bottom w:val="single" w:sz="4" w:space="0" w:color="000000"/>
            </w:tcBorders>
          </w:tcPr>
          <w:p w14:paraId="74D525BE" w14:textId="4E2A2E17"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3015DC11" w14:textId="77777777" w:rsidR="00B628FF" w:rsidRDefault="005B2D2F">
            <w:pPr>
              <w:pStyle w:val="MeasureTableDataRightAlignedwith2ptsspacing"/>
              <w:keepNext/>
            </w:pPr>
            <w:r>
              <w:t>5.4</w:t>
            </w:r>
          </w:p>
        </w:tc>
        <w:tc>
          <w:tcPr>
            <w:tcW w:w="1043" w:type="dxa"/>
            <w:tcBorders>
              <w:top w:val="single" w:sz="4" w:space="0" w:color="000000"/>
              <w:bottom w:val="single" w:sz="4" w:space="0" w:color="000000"/>
            </w:tcBorders>
          </w:tcPr>
          <w:p w14:paraId="51A83D55" w14:textId="3130C044"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3E45D8D2" w14:textId="3B3C8595"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189BBC32" w14:textId="1A710C5F" w:rsidR="00B628FF" w:rsidRDefault="00B31B37">
            <w:pPr>
              <w:pStyle w:val="MeasureTableDataRightAlignedwith2ptsspacing"/>
              <w:keepNext/>
            </w:pPr>
            <w:r>
              <w:noBreakHyphen/>
            </w:r>
          </w:p>
        </w:tc>
      </w:tr>
      <w:tr w:rsidR="00B628FF" w14:paraId="65DE8004" w14:textId="77777777">
        <w:trPr>
          <w:cantSplit/>
        </w:trPr>
        <w:tc>
          <w:tcPr>
            <w:tcW w:w="2500" w:type="dxa"/>
            <w:tcBorders>
              <w:top w:val="single" w:sz="4" w:space="0" w:color="000000"/>
              <w:bottom w:val="single" w:sz="4" w:space="0" w:color="000000"/>
            </w:tcBorders>
          </w:tcPr>
          <w:p w14:paraId="00D6AE20" w14:textId="77777777" w:rsidR="00B628FF" w:rsidRDefault="005B2D2F">
            <w:pPr>
              <w:pStyle w:val="MeasureTableHeadingleftalignedwith2ptsspacing"/>
              <w:keepNext/>
            </w:pPr>
            <w:r>
              <w:t>Australian Sports Commission</w:t>
            </w:r>
          </w:p>
        </w:tc>
        <w:tc>
          <w:tcPr>
            <w:tcW w:w="1043" w:type="dxa"/>
            <w:tcBorders>
              <w:top w:val="single" w:sz="4" w:space="0" w:color="000000"/>
              <w:bottom w:val="single" w:sz="4" w:space="0" w:color="000000"/>
            </w:tcBorders>
          </w:tcPr>
          <w:p w14:paraId="46E2B088" w14:textId="24A8C5D2"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019B2003" w14:textId="667CF202"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3727C06C" w14:textId="2CE31C34"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0B0DC4F5" w14:textId="4E4E3B01"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2A49A227" w14:textId="1F5E68D7" w:rsidR="00B628FF" w:rsidRDefault="00B31B37">
            <w:pPr>
              <w:pStyle w:val="MeasureTableDataRightAlignedwith2ptsspacing"/>
              <w:keepNext/>
            </w:pPr>
            <w:r>
              <w:noBreakHyphen/>
            </w:r>
          </w:p>
        </w:tc>
      </w:tr>
      <w:tr w:rsidR="00B628FF" w14:paraId="4B9A33DF" w14:textId="77777777">
        <w:trPr>
          <w:cantSplit/>
        </w:trPr>
        <w:tc>
          <w:tcPr>
            <w:tcW w:w="2500" w:type="dxa"/>
            <w:tcBorders>
              <w:top w:val="single" w:sz="4" w:space="0" w:color="000000"/>
              <w:bottom w:val="single" w:sz="4" w:space="0" w:color="000000"/>
            </w:tcBorders>
          </w:tcPr>
          <w:p w14:paraId="23E20F18" w14:textId="77777777" w:rsidR="00B628FF" w:rsidRDefault="005B2D2F">
            <w:pPr>
              <w:pStyle w:val="Totalrowleftaligned"/>
              <w:keepNext/>
            </w:pPr>
            <w:r>
              <w:t>Total – Payments</w:t>
            </w:r>
          </w:p>
        </w:tc>
        <w:tc>
          <w:tcPr>
            <w:tcW w:w="1043" w:type="dxa"/>
            <w:tcBorders>
              <w:top w:val="single" w:sz="4" w:space="0" w:color="000000"/>
              <w:bottom w:val="single" w:sz="4" w:space="0" w:color="000000"/>
            </w:tcBorders>
          </w:tcPr>
          <w:p w14:paraId="3269C5F0" w14:textId="138E522A" w:rsidR="00B628FF" w:rsidRDefault="00B31B37">
            <w:pPr>
              <w:pStyle w:val="Totaldatarowrightaligned"/>
              <w:keepNext/>
            </w:pPr>
            <w:r>
              <w:noBreakHyphen/>
            </w:r>
          </w:p>
        </w:tc>
        <w:tc>
          <w:tcPr>
            <w:tcW w:w="1043" w:type="dxa"/>
            <w:tcBorders>
              <w:top w:val="single" w:sz="4" w:space="0" w:color="000000"/>
              <w:bottom w:val="single" w:sz="4" w:space="0" w:color="000000"/>
            </w:tcBorders>
          </w:tcPr>
          <w:p w14:paraId="1EDB6733" w14:textId="77777777" w:rsidR="00B628FF" w:rsidRDefault="005B2D2F">
            <w:pPr>
              <w:pStyle w:val="Totaldatarowrightaligned"/>
              <w:keepNext/>
            </w:pPr>
            <w:r>
              <w:t>19.0</w:t>
            </w:r>
          </w:p>
        </w:tc>
        <w:tc>
          <w:tcPr>
            <w:tcW w:w="1043" w:type="dxa"/>
            <w:tcBorders>
              <w:top w:val="single" w:sz="4" w:space="0" w:color="000000"/>
              <w:bottom w:val="single" w:sz="4" w:space="0" w:color="000000"/>
            </w:tcBorders>
          </w:tcPr>
          <w:p w14:paraId="6212CF4A" w14:textId="5D3CAF47" w:rsidR="00B628FF" w:rsidRDefault="00B31B37">
            <w:pPr>
              <w:pStyle w:val="Totaldatarowrightaligned"/>
              <w:keepNext/>
            </w:pPr>
            <w:r>
              <w:noBreakHyphen/>
            </w:r>
          </w:p>
        </w:tc>
        <w:tc>
          <w:tcPr>
            <w:tcW w:w="1043" w:type="dxa"/>
            <w:tcBorders>
              <w:top w:val="single" w:sz="4" w:space="0" w:color="000000"/>
              <w:bottom w:val="single" w:sz="4" w:space="0" w:color="000000"/>
            </w:tcBorders>
          </w:tcPr>
          <w:p w14:paraId="06A739D4" w14:textId="063B78AD" w:rsidR="00B628FF" w:rsidRDefault="00B31B37">
            <w:pPr>
              <w:pStyle w:val="Totaldatarowrightaligned"/>
              <w:keepNext/>
            </w:pPr>
            <w:r>
              <w:noBreakHyphen/>
            </w:r>
          </w:p>
        </w:tc>
        <w:tc>
          <w:tcPr>
            <w:tcW w:w="1043" w:type="dxa"/>
            <w:tcBorders>
              <w:top w:val="single" w:sz="4" w:space="0" w:color="000000"/>
              <w:bottom w:val="single" w:sz="4" w:space="0" w:color="000000"/>
            </w:tcBorders>
          </w:tcPr>
          <w:p w14:paraId="58623BBA" w14:textId="098F09CB" w:rsidR="00B628FF" w:rsidRDefault="00B31B37">
            <w:pPr>
              <w:pStyle w:val="Totaldatarowrightaligned"/>
              <w:keepNext/>
            </w:pPr>
            <w:r>
              <w:noBreakHyphen/>
            </w:r>
          </w:p>
        </w:tc>
      </w:tr>
    </w:tbl>
    <w:p w14:paraId="75C4E207" w14:textId="77777777" w:rsidR="00B628FF" w:rsidRDefault="00B628FF">
      <w:pPr>
        <w:keepNext/>
        <w:spacing w:line="226" w:lineRule="exact"/>
        <w:rPr>
          <w:sz w:val="16"/>
        </w:rPr>
      </w:pPr>
    </w:p>
    <w:p w14:paraId="1D201597" w14:textId="77777777" w:rsidR="00B628FF" w:rsidRDefault="005B2D2F">
      <w:pPr>
        <w:pStyle w:val="Normal2"/>
      </w:pPr>
      <w:r>
        <w:t>The Government will provide $132.0 million in 2025–‍26 to improve health outcomes through preventive health and other health initiatives. Funding includes:</w:t>
      </w:r>
    </w:p>
    <w:p w14:paraId="72E8FCD2" w14:textId="77777777" w:rsidR="00B628FF" w:rsidRDefault="005B2D2F">
      <w:pPr>
        <w:pStyle w:val="Bullet"/>
      </w:pPr>
      <w:r>
        <w:t xml:space="preserve">$107.8 million in 2025–‍26 to extend the existing </w:t>
      </w:r>
      <w:r w:rsidRPr="005B2D2F">
        <w:rPr>
          <w:i/>
        </w:rPr>
        <w:t>Public Dental Services for Adults</w:t>
      </w:r>
      <w:r>
        <w:t xml:space="preserve"> funding agreement to 30 June 2026 to support the delivery of dental services to eligible adult dental patients</w:t>
      </w:r>
    </w:p>
    <w:p w14:paraId="6F38029E" w14:textId="77777777" w:rsidR="00B628FF" w:rsidRDefault="005B2D2F">
      <w:pPr>
        <w:pStyle w:val="Bullet"/>
      </w:pPr>
      <w:r>
        <w:t xml:space="preserve">$13.6 million in 2025–‍26 to the New South Wales Government for the St George Illawarra Dragons Community and </w:t>
      </w:r>
      <w:proofErr w:type="gramStart"/>
      <w:r>
        <w:t>High Performance</w:t>
      </w:r>
      <w:proofErr w:type="gramEnd"/>
      <w:r>
        <w:t xml:space="preserve"> Centre, which will provide high performance and community sporting facilities for elite athlete pathways and community programs</w:t>
      </w:r>
    </w:p>
    <w:p w14:paraId="52C94AD4" w14:textId="1837FF7F" w:rsidR="00B628FF" w:rsidRDefault="005B2D2F">
      <w:pPr>
        <w:pStyle w:val="Bullet"/>
      </w:pPr>
      <w:r>
        <w:t>$3.2 million in 2025–‍26 to the Australian Sports Commission to support women and girls</w:t>
      </w:r>
      <w:r w:rsidR="00B31B37">
        <w:t>’</w:t>
      </w:r>
      <w:r>
        <w:t xml:space="preserve"> participation in sports leadership through coaching, officiating and sports administration</w:t>
      </w:r>
    </w:p>
    <w:p w14:paraId="0F48825B" w14:textId="77777777" w:rsidR="00B628FF" w:rsidRDefault="005B2D2F">
      <w:pPr>
        <w:pStyle w:val="Bullet"/>
      </w:pPr>
      <w:r>
        <w:t>$2.9 million in 2025–‍26 to extend funding for fetal alcohol spectrum disorder (FASD) prevention, diagnosis and support activities to support Australians living with FASD, their families and carers</w:t>
      </w:r>
    </w:p>
    <w:p w14:paraId="6BBDA0A4" w14:textId="77777777" w:rsidR="00B628FF" w:rsidRDefault="005B2D2F">
      <w:pPr>
        <w:pStyle w:val="Bullet"/>
      </w:pPr>
      <w:r>
        <w:t>$2.7 million in 2025–‍26 to extend the National Multicultural Peer Navigation Pilot and the Human Immunodeficiency Virus (HIV) Prevention Workforce Development Pilot, supporting the prevention, testing and treatment of HIV in Australia</w:t>
      </w:r>
    </w:p>
    <w:p w14:paraId="64C8ADA2" w14:textId="77777777" w:rsidR="00B628FF" w:rsidRDefault="005B2D2F">
      <w:pPr>
        <w:pStyle w:val="Bullet"/>
      </w:pPr>
      <w:r>
        <w:t>$1.5 million in 2025–‍26 to extend funding for the National Best Practice Support Service for Nicotine and Smoking Cessation (Quit Centre) to provide health professionals with information on smoking and vaping cessation</w:t>
      </w:r>
    </w:p>
    <w:p w14:paraId="01BA1C03" w14:textId="77777777" w:rsidR="00B628FF" w:rsidRDefault="005B2D2F">
      <w:pPr>
        <w:pStyle w:val="Bullet"/>
      </w:pPr>
      <w:r>
        <w:t>$0.4 million in 2025–‍26 to QLife for the continued delivery of LGBTIQA+ peer support and referral services.</w:t>
      </w:r>
    </w:p>
    <w:p w14:paraId="5BD151BD" w14:textId="77777777" w:rsidR="00B628FF" w:rsidRDefault="005B2D2F">
      <w:pPr>
        <w:pStyle w:val="Normal2"/>
      </w:pPr>
      <w:r>
        <w:t>The Government has already provided partial funding for this measure.</w:t>
      </w:r>
    </w:p>
    <w:p w14:paraId="0839B7C7" w14:textId="77777777" w:rsidR="00B628FF" w:rsidRDefault="005B2D2F">
      <w:pPr>
        <w:pStyle w:val="Normal2"/>
      </w:pPr>
      <w:r w:rsidRPr="5FA307DC">
        <w:rPr>
          <w:lang w:val="en-US"/>
        </w:rPr>
        <w:t>The cost of this measure will be partially met from within the existing resourcing of the Department of Health and Aged Care.</w:t>
      </w:r>
    </w:p>
    <w:p w14:paraId="294BF7EE" w14:textId="77777777" w:rsidR="00B628FF" w:rsidRDefault="005B2D2F">
      <w:pPr>
        <w:pStyle w:val="Normal2"/>
      </w:pPr>
      <w:r>
        <w:t>The Treasury manages Commonwealth payments to the states and territories.</w:t>
      </w:r>
    </w:p>
    <w:p w14:paraId="6273267F" w14:textId="77777777" w:rsidR="00B628FF" w:rsidRDefault="005B2D2F">
      <w:pPr>
        <w:pStyle w:val="Normal2"/>
      </w:pPr>
      <w:r>
        <w:t xml:space="preserve">This measure builds on the 2024–‍25 MYEFO measures titled </w:t>
      </w:r>
      <w:r w:rsidRPr="005B2D2F">
        <w:rPr>
          <w:i/>
        </w:rPr>
        <w:t xml:space="preserve">Preventive Health </w:t>
      </w:r>
      <w:r>
        <w:t>and</w:t>
      </w:r>
      <w:r w:rsidRPr="005B2D2F">
        <w:rPr>
          <w:i/>
        </w:rPr>
        <w:t xml:space="preserve"> 10‑Year National Action Plan for the Health and Wellbeing of LGBTIQA+ People</w:t>
      </w:r>
      <w:r>
        <w:t xml:space="preserve">. This measure extends part of the 2023–‍24 Budget measure </w:t>
      </w:r>
      <w:r w:rsidRPr="005B2D2F">
        <w:rPr>
          <w:i/>
        </w:rPr>
        <w:t>Long Term Dental Funding Reform Developmental Work and Interim Funding</w:t>
      </w:r>
      <w:r>
        <w:t>.</w:t>
      </w:r>
    </w:p>
    <w:p w14:paraId="7698C973" w14:textId="77777777" w:rsidR="00B628FF" w:rsidRDefault="005B2D2F">
      <w:pPr>
        <w:pStyle w:val="MeasureTitle"/>
      </w:pPr>
      <w:r>
        <w:t>Strengthening Medicare</w:t>
      </w:r>
    </w:p>
    <w:p w14:paraId="5E752F85" w14:textId="77777777" w:rsidR="00B628FF" w:rsidRDefault="005B2D2F">
      <w:pPr>
        <w:pStyle w:val="MeasureTableHeading"/>
      </w:pPr>
      <w:r>
        <w:t>Payments ($m)</w:t>
      </w:r>
    </w:p>
    <w:tbl>
      <w:tblPr>
        <w:tblOverlap w:val="never"/>
        <w:tblW w:w="7721" w:type="dxa"/>
        <w:tblBorders>
          <w:top w:val="single" w:sz="4" w:space="0" w:color="000000"/>
          <w:bottom w:val="single" w:sz="4" w:space="0" w:color="000000"/>
        </w:tblBorders>
        <w:tblLayout w:type="fixed"/>
        <w:tblLook w:val="04A0" w:firstRow="1" w:lastRow="0" w:firstColumn="1" w:lastColumn="0" w:noHBand="0" w:noVBand="1"/>
      </w:tblPr>
      <w:tblGrid>
        <w:gridCol w:w="2501"/>
        <w:gridCol w:w="1044"/>
        <w:gridCol w:w="1044"/>
        <w:gridCol w:w="1044"/>
        <w:gridCol w:w="1044"/>
        <w:gridCol w:w="1044"/>
      </w:tblGrid>
      <w:tr w:rsidR="00B628FF" w14:paraId="1E011460" w14:textId="77777777">
        <w:trPr>
          <w:cantSplit/>
        </w:trPr>
        <w:tc>
          <w:tcPr>
            <w:tcW w:w="2500" w:type="dxa"/>
            <w:tcBorders>
              <w:top w:val="single" w:sz="4" w:space="0" w:color="000000"/>
              <w:bottom w:val="single" w:sz="4" w:space="0" w:color="000000"/>
            </w:tcBorders>
          </w:tcPr>
          <w:p w14:paraId="50ACED23" w14:textId="77777777" w:rsidR="00B628FF" w:rsidRDefault="00B628FF">
            <w:pPr>
              <w:pStyle w:val="MeasureTableYearHeadings"/>
              <w:keepNext/>
            </w:pPr>
          </w:p>
        </w:tc>
        <w:tc>
          <w:tcPr>
            <w:tcW w:w="1043" w:type="dxa"/>
            <w:tcBorders>
              <w:top w:val="single" w:sz="4" w:space="0" w:color="000000"/>
              <w:bottom w:val="single" w:sz="4" w:space="0" w:color="000000"/>
            </w:tcBorders>
          </w:tcPr>
          <w:p w14:paraId="1512402B" w14:textId="3064065E" w:rsidR="00B628FF" w:rsidRDefault="005B2D2F">
            <w:pPr>
              <w:pStyle w:val="MeasureTableYearHeadings"/>
              <w:keepNext/>
            </w:pPr>
            <w:r>
              <w:t>2024</w:t>
            </w:r>
            <w:r w:rsidR="00B31B37">
              <w:noBreakHyphen/>
            </w:r>
            <w:r>
              <w:t>25</w:t>
            </w:r>
          </w:p>
        </w:tc>
        <w:tc>
          <w:tcPr>
            <w:tcW w:w="1043" w:type="dxa"/>
            <w:tcBorders>
              <w:top w:val="single" w:sz="4" w:space="0" w:color="000000"/>
              <w:bottom w:val="single" w:sz="4" w:space="0" w:color="000000"/>
            </w:tcBorders>
          </w:tcPr>
          <w:p w14:paraId="78346D09" w14:textId="401C763E" w:rsidR="00B628FF" w:rsidRDefault="005B2D2F">
            <w:pPr>
              <w:pStyle w:val="MeasureTableYearHeadings"/>
              <w:keepNext/>
            </w:pPr>
            <w:r>
              <w:t>2025</w:t>
            </w:r>
            <w:r w:rsidR="00B31B37">
              <w:noBreakHyphen/>
            </w:r>
            <w:r>
              <w:t>26</w:t>
            </w:r>
          </w:p>
        </w:tc>
        <w:tc>
          <w:tcPr>
            <w:tcW w:w="1043" w:type="dxa"/>
            <w:tcBorders>
              <w:top w:val="single" w:sz="4" w:space="0" w:color="000000"/>
              <w:bottom w:val="single" w:sz="4" w:space="0" w:color="000000"/>
            </w:tcBorders>
          </w:tcPr>
          <w:p w14:paraId="0E47F40C" w14:textId="20532BAE" w:rsidR="00B628FF" w:rsidRDefault="005B2D2F">
            <w:pPr>
              <w:pStyle w:val="MeasureTableYearHeadings"/>
              <w:keepNext/>
            </w:pPr>
            <w:r>
              <w:t>2026</w:t>
            </w:r>
            <w:r w:rsidR="00B31B37">
              <w:noBreakHyphen/>
            </w:r>
            <w:r>
              <w:t>27</w:t>
            </w:r>
          </w:p>
        </w:tc>
        <w:tc>
          <w:tcPr>
            <w:tcW w:w="1043" w:type="dxa"/>
            <w:tcBorders>
              <w:top w:val="single" w:sz="4" w:space="0" w:color="000000"/>
              <w:bottom w:val="single" w:sz="4" w:space="0" w:color="000000"/>
            </w:tcBorders>
          </w:tcPr>
          <w:p w14:paraId="796A3AE9" w14:textId="1BC02828" w:rsidR="00B628FF" w:rsidRDefault="005B2D2F">
            <w:pPr>
              <w:pStyle w:val="MeasureTableYearHeadings"/>
              <w:keepNext/>
            </w:pPr>
            <w:r>
              <w:t>2027</w:t>
            </w:r>
            <w:r w:rsidR="00B31B37">
              <w:noBreakHyphen/>
            </w:r>
            <w:r>
              <w:t>28</w:t>
            </w:r>
          </w:p>
        </w:tc>
        <w:tc>
          <w:tcPr>
            <w:tcW w:w="1043" w:type="dxa"/>
            <w:tcBorders>
              <w:top w:val="single" w:sz="4" w:space="0" w:color="000000"/>
              <w:bottom w:val="single" w:sz="4" w:space="0" w:color="000000"/>
            </w:tcBorders>
          </w:tcPr>
          <w:p w14:paraId="7B62F294" w14:textId="392953B0" w:rsidR="00B628FF" w:rsidRDefault="005B2D2F">
            <w:pPr>
              <w:pStyle w:val="MeasureTableYearHeadings"/>
              <w:keepNext/>
            </w:pPr>
            <w:r>
              <w:t>2028</w:t>
            </w:r>
            <w:r w:rsidR="00B31B37">
              <w:noBreakHyphen/>
            </w:r>
            <w:r>
              <w:t>29</w:t>
            </w:r>
          </w:p>
        </w:tc>
      </w:tr>
      <w:tr w:rsidR="00B628FF" w14:paraId="42910098" w14:textId="77777777">
        <w:trPr>
          <w:cantSplit/>
        </w:trPr>
        <w:tc>
          <w:tcPr>
            <w:tcW w:w="2500" w:type="dxa"/>
            <w:tcBorders>
              <w:top w:val="single" w:sz="4" w:space="0" w:color="000000"/>
              <w:bottom w:val="single" w:sz="4" w:space="0" w:color="000000"/>
            </w:tcBorders>
          </w:tcPr>
          <w:p w14:paraId="2A775D0D" w14:textId="77777777" w:rsidR="00B628FF" w:rsidRDefault="005B2D2F">
            <w:pPr>
              <w:pStyle w:val="MeasureTableHeadingleftalignedwith2ptsspacing"/>
              <w:keepNext/>
            </w:pPr>
            <w:r>
              <w:t>Department of Health and Aged Care</w:t>
            </w:r>
          </w:p>
        </w:tc>
        <w:tc>
          <w:tcPr>
            <w:tcW w:w="1043" w:type="dxa"/>
            <w:tcBorders>
              <w:top w:val="single" w:sz="4" w:space="0" w:color="000000"/>
              <w:bottom w:val="single" w:sz="4" w:space="0" w:color="000000"/>
            </w:tcBorders>
          </w:tcPr>
          <w:p w14:paraId="40397BB6" w14:textId="1C687AA8"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784BD399" w14:textId="77777777" w:rsidR="00B628FF" w:rsidRDefault="005B2D2F">
            <w:pPr>
              <w:pStyle w:val="MeasureTableDataRightAlignedwith2ptsspacing"/>
              <w:keepNext/>
            </w:pPr>
            <w:r>
              <w:t>1,168.0</w:t>
            </w:r>
          </w:p>
        </w:tc>
        <w:tc>
          <w:tcPr>
            <w:tcW w:w="1043" w:type="dxa"/>
            <w:tcBorders>
              <w:top w:val="single" w:sz="4" w:space="0" w:color="000000"/>
              <w:bottom w:val="single" w:sz="4" w:space="0" w:color="000000"/>
            </w:tcBorders>
          </w:tcPr>
          <w:p w14:paraId="100196A9" w14:textId="77777777" w:rsidR="00B628FF" w:rsidRDefault="005B2D2F">
            <w:pPr>
              <w:pStyle w:val="MeasureTableDataRightAlignedwith2ptsspacing"/>
              <w:keepNext/>
            </w:pPr>
            <w:r>
              <w:t>2,011.7</w:t>
            </w:r>
          </w:p>
        </w:tc>
        <w:tc>
          <w:tcPr>
            <w:tcW w:w="1043" w:type="dxa"/>
            <w:tcBorders>
              <w:top w:val="single" w:sz="4" w:space="0" w:color="000000"/>
              <w:bottom w:val="single" w:sz="4" w:space="0" w:color="000000"/>
            </w:tcBorders>
          </w:tcPr>
          <w:p w14:paraId="27FD9176" w14:textId="77777777" w:rsidR="00B628FF" w:rsidRDefault="005B2D2F">
            <w:pPr>
              <w:pStyle w:val="MeasureTableDataRightAlignedwith2ptsspacing"/>
              <w:keepNext/>
            </w:pPr>
            <w:r>
              <w:t>2,323.8</w:t>
            </w:r>
          </w:p>
        </w:tc>
        <w:tc>
          <w:tcPr>
            <w:tcW w:w="1043" w:type="dxa"/>
            <w:tcBorders>
              <w:top w:val="single" w:sz="4" w:space="0" w:color="000000"/>
              <w:bottom w:val="single" w:sz="4" w:space="0" w:color="000000"/>
            </w:tcBorders>
          </w:tcPr>
          <w:p w14:paraId="45C21AF5" w14:textId="77777777" w:rsidR="00B628FF" w:rsidRDefault="005B2D2F">
            <w:pPr>
              <w:pStyle w:val="MeasureTableDataRightAlignedwith2ptsspacing"/>
              <w:keepNext/>
            </w:pPr>
            <w:r>
              <w:t>2,446.0</w:t>
            </w:r>
          </w:p>
        </w:tc>
      </w:tr>
      <w:tr w:rsidR="00B628FF" w14:paraId="4B5245BA" w14:textId="77777777">
        <w:trPr>
          <w:cantSplit/>
        </w:trPr>
        <w:tc>
          <w:tcPr>
            <w:tcW w:w="2500" w:type="dxa"/>
            <w:tcBorders>
              <w:top w:val="single" w:sz="4" w:space="0" w:color="000000"/>
              <w:bottom w:val="single" w:sz="4" w:space="0" w:color="000000"/>
            </w:tcBorders>
          </w:tcPr>
          <w:p w14:paraId="4FD0AE05" w14:textId="77777777" w:rsidR="00B628FF" w:rsidRDefault="005B2D2F">
            <w:pPr>
              <w:pStyle w:val="MeasureTableHeadingleftalignedwith2ptsspacing"/>
              <w:keepNext/>
            </w:pPr>
            <w:r>
              <w:t>Australian Digital Health Agency</w:t>
            </w:r>
          </w:p>
        </w:tc>
        <w:tc>
          <w:tcPr>
            <w:tcW w:w="1043" w:type="dxa"/>
            <w:tcBorders>
              <w:top w:val="single" w:sz="4" w:space="0" w:color="000000"/>
              <w:bottom w:val="single" w:sz="4" w:space="0" w:color="000000"/>
            </w:tcBorders>
          </w:tcPr>
          <w:p w14:paraId="13B0D7C0" w14:textId="0EB23197"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0251A3BD" w14:textId="77777777" w:rsidR="00B628FF" w:rsidRDefault="005B2D2F">
            <w:pPr>
              <w:pStyle w:val="MeasureTableDataRightAlignedwith2ptsspacing"/>
              <w:keepNext/>
            </w:pPr>
            <w:r>
              <w:t>218.2</w:t>
            </w:r>
          </w:p>
        </w:tc>
        <w:tc>
          <w:tcPr>
            <w:tcW w:w="1043" w:type="dxa"/>
            <w:tcBorders>
              <w:top w:val="single" w:sz="4" w:space="0" w:color="000000"/>
              <w:bottom w:val="single" w:sz="4" w:space="0" w:color="000000"/>
            </w:tcBorders>
          </w:tcPr>
          <w:p w14:paraId="11034BFA" w14:textId="5ED270A6"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46865FC8" w14:textId="7501746F"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2C1561B6" w14:textId="5512994F" w:rsidR="00B628FF" w:rsidRDefault="00B31B37">
            <w:pPr>
              <w:pStyle w:val="MeasureTableDataRightAlignedwith2ptsspacing"/>
              <w:keepNext/>
            </w:pPr>
            <w:r>
              <w:noBreakHyphen/>
            </w:r>
          </w:p>
        </w:tc>
      </w:tr>
      <w:tr w:rsidR="00B628FF" w14:paraId="44E60257" w14:textId="77777777">
        <w:trPr>
          <w:cantSplit/>
        </w:trPr>
        <w:tc>
          <w:tcPr>
            <w:tcW w:w="2500" w:type="dxa"/>
            <w:tcBorders>
              <w:top w:val="single" w:sz="4" w:space="0" w:color="000000"/>
              <w:bottom w:val="single" w:sz="4" w:space="0" w:color="000000"/>
            </w:tcBorders>
          </w:tcPr>
          <w:p w14:paraId="2E49DCC5" w14:textId="77777777" w:rsidR="00B628FF" w:rsidRDefault="005B2D2F">
            <w:pPr>
              <w:pStyle w:val="MeasureTableHeadingleftalignedwith2ptsspacing"/>
              <w:keepNext/>
            </w:pPr>
            <w:r>
              <w:t>Services Australia</w:t>
            </w:r>
          </w:p>
        </w:tc>
        <w:tc>
          <w:tcPr>
            <w:tcW w:w="1043" w:type="dxa"/>
            <w:tcBorders>
              <w:top w:val="single" w:sz="4" w:space="0" w:color="000000"/>
              <w:bottom w:val="single" w:sz="4" w:space="0" w:color="000000"/>
            </w:tcBorders>
          </w:tcPr>
          <w:p w14:paraId="62A73021" w14:textId="4DC80E46"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42EE5587" w14:textId="77777777" w:rsidR="00B628FF" w:rsidRDefault="005B2D2F">
            <w:pPr>
              <w:pStyle w:val="MeasureTableDataRightAlignedwith2ptsspacing"/>
              <w:keepNext/>
            </w:pPr>
            <w:r>
              <w:t>53.3</w:t>
            </w:r>
          </w:p>
        </w:tc>
        <w:tc>
          <w:tcPr>
            <w:tcW w:w="1043" w:type="dxa"/>
            <w:tcBorders>
              <w:top w:val="single" w:sz="4" w:space="0" w:color="000000"/>
              <w:bottom w:val="single" w:sz="4" w:space="0" w:color="000000"/>
            </w:tcBorders>
          </w:tcPr>
          <w:p w14:paraId="4C53F954" w14:textId="77777777" w:rsidR="00B628FF" w:rsidRDefault="005B2D2F">
            <w:pPr>
              <w:pStyle w:val="MeasureTableDataRightAlignedwith2ptsspacing"/>
              <w:keepNext/>
            </w:pPr>
            <w:r>
              <w:t>53.1</w:t>
            </w:r>
          </w:p>
        </w:tc>
        <w:tc>
          <w:tcPr>
            <w:tcW w:w="1043" w:type="dxa"/>
            <w:tcBorders>
              <w:top w:val="single" w:sz="4" w:space="0" w:color="000000"/>
              <w:bottom w:val="single" w:sz="4" w:space="0" w:color="000000"/>
            </w:tcBorders>
          </w:tcPr>
          <w:p w14:paraId="4C90EAD3" w14:textId="77777777" w:rsidR="00B628FF" w:rsidRDefault="005B2D2F">
            <w:pPr>
              <w:pStyle w:val="MeasureTableDataRightAlignedwith2ptsspacing"/>
              <w:keepNext/>
            </w:pPr>
            <w:r>
              <w:t>53.4</w:t>
            </w:r>
          </w:p>
        </w:tc>
        <w:tc>
          <w:tcPr>
            <w:tcW w:w="1043" w:type="dxa"/>
            <w:tcBorders>
              <w:top w:val="single" w:sz="4" w:space="0" w:color="000000"/>
              <w:bottom w:val="single" w:sz="4" w:space="0" w:color="000000"/>
            </w:tcBorders>
          </w:tcPr>
          <w:p w14:paraId="6E8D7C4A" w14:textId="77777777" w:rsidR="00B628FF" w:rsidRDefault="005B2D2F">
            <w:pPr>
              <w:pStyle w:val="MeasureTableDataRightAlignedwith2ptsspacing"/>
              <w:keepNext/>
            </w:pPr>
            <w:r>
              <w:t>54.7</w:t>
            </w:r>
          </w:p>
        </w:tc>
      </w:tr>
      <w:tr w:rsidR="00B628FF" w14:paraId="6B0C291F" w14:textId="77777777">
        <w:trPr>
          <w:cantSplit/>
        </w:trPr>
        <w:tc>
          <w:tcPr>
            <w:tcW w:w="2500" w:type="dxa"/>
            <w:tcBorders>
              <w:top w:val="single" w:sz="4" w:space="0" w:color="000000"/>
              <w:bottom w:val="single" w:sz="4" w:space="0" w:color="000000"/>
            </w:tcBorders>
          </w:tcPr>
          <w:p w14:paraId="46F4AD54" w14:textId="77777777" w:rsidR="00B628FF" w:rsidRDefault="005B2D2F">
            <w:pPr>
              <w:pStyle w:val="MeasureTableHeadingleftalignedwith2ptsspacing"/>
              <w:keepNext/>
            </w:pPr>
            <w:r>
              <w:t>Commonwealth Scientific and Industrial Research Organisation</w:t>
            </w:r>
          </w:p>
        </w:tc>
        <w:tc>
          <w:tcPr>
            <w:tcW w:w="1043" w:type="dxa"/>
            <w:tcBorders>
              <w:top w:val="single" w:sz="4" w:space="0" w:color="000000"/>
              <w:bottom w:val="single" w:sz="4" w:space="0" w:color="000000"/>
            </w:tcBorders>
          </w:tcPr>
          <w:p w14:paraId="33AA54AB" w14:textId="21A80D70"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287F0634" w14:textId="77777777" w:rsidR="00B628FF" w:rsidRDefault="005B2D2F">
            <w:pPr>
              <w:pStyle w:val="MeasureTableDataRightAlignedwith2ptsspacing"/>
              <w:keepNext/>
            </w:pPr>
            <w:r>
              <w:t>6.3</w:t>
            </w:r>
          </w:p>
        </w:tc>
        <w:tc>
          <w:tcPr>
            <w:tcW w:w="1043" w:type="dxa"/>
            <w:tcBorders>
              <w:top w:val="single" w:sz="4" w:space="0" w:color="000000"/>
              <w:bottom w:val="single" w:sz="4" w:space="0" w:color="000000"/>
            </w:tcBorders>
          </w:tcPr>
          <w:p w14:paraId="2C1DC9D1" w14:textId="77777777" w:rsidR="00B628FF" w:rsidRDefault="005B2D2F">
            <w:pPr>
              <w:pStyle w:val="MeasureTableDataRightAlignedwith2ptsspacing"/>
              <w:keepNext/>
            </w:pPr>
            <w:r>
              <w:t>1.9</w:t>
            </w:r>
          </w:p>
        </w:tc>
        <w:tc>
          <w:tcPr>
            <w:tcW w:w="1043" w:type="dxa"/>
            <w:tcBorders>
              <w:top w:val="single" w:sz="4" w:space="0" w:color="000000"/>
              <w:bottom w:val="single" w:sz="4" w:space="0" w:color="000000"/>
            </w:tcBorders>
          </w:tcPr>
          <w:p w14:paraId="0DD41100" w14:textId="077175C9"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1B9CD7B6" w14:textId="3C94D232" w:rsidR="00B628FF" w:rsidRDefault="00B31B37">
            <w:pPr>
              <w:pStyle w:val="MeasureTableDataRightAlignedwith2ptsspacing"/>
              <w:keepNext/>
            </w:pPr>
            <w:r>
              <w:noBreakHyphen/>
            </w:r>
          </w:p>
        </w:tc>
      </w:tr>
      <w:tr w:rsidR="00B628FF" w14:paraId="455644B2" w14:textId="77777777">
        <w:trPr>
          <w:cantSplit/>
        </w:trPr>
        <w:tc>
          <w:tcPr>
            <w:tcW w:w="2500" w:type="dxa"/>
            <w:tcBorders>
              <w:top w:val="single" w:sz="4" w:space="0" w:color="000000"/>
              <w:bottom w:val="single" w:sz="4" w:space="0" w:color="000000"/>
            </w:tcBorders>
          </w:tcPr>
          <w:p w14:paraId="4C927974" w14:textId="77777777" w:rsidR="00B628FF" w:rsidRDefault="005B2D2F">
            <w:pPr>
              <w:pStyle w:val="MeasureTableHeadingleftalignedwith2ptsspacing"/>
              <w:keepNext/>
            </w:pPr>
            <w:r>
              <w:t>Office of the Australian Information Commissioner</w:t>
            </w:r>
          </w:p>
        </w:tc>
        <w:tc>
          <w:tcPr>
            <w:tcW w:w="1043" w:type="dxa"/>
            <w:tcBorders>
              <w:top w:val="single" w:sz="4" w:space="0" w:color="000000"/>
              <w:bottom w:val="single" w:sz="4" w:space="0" w:color="000000"/>
            </w:tcBorders>
          </w:tcPr>
          <w:p w14:paraId="2A4A4643" w14:textId="13867BFF"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7E763A20" w14:textId="77777777" w:rsidR="00B628FF" w:rsidRDefault="005B2D2F">
            <w:pPr>
              <w:pStyle w:val="MeasureTableDataRightAlignedwith2ptsspacing"/>
              <w:keepNext/>
            </w:pPr>
            <w:r>
              <w:t>2.3</w:t>
            </w:r>
          </w:p>
        </w:tc>
        <w:tc>
          <w:tcPr>
            <w:tcW w:w="1043" w:type="dxa"/>
            <w:tcBorders>
              <w:top w:val="single" w:sz="4" w:space="0" w:color="000000"/>
              <w:bottom w:val="single" w:sz="4" w:space="0" w:color="000000"/>
            </w:tcBorders>
          </w:tcPr>
          <w:p w14:paraId="18A0C9E6" w14:textId="6F300E01"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6B6E4229" w14:textId="19E68C49"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7FED1547" w14:textId="78E19730" w:rsidR="00B628FF" w:rsidRDefault="00B31B37">
            <w:pPr>
              <w:pStyle w:val="MeasureTableDataRightAlignedwith2ptsspacing"/>
              <w:keepNext/>
            </w:pPr>
            <w:r>
              <w:noBreakHyphen/>
            </w:r>
          </w:p>
        </w:tc>
      </w:tr>
      <w:tr w:rsidR="00B628FF" w14:paraId="4EA493EF" w14:textId="77777777">
        <w:trPr>
          <w:cantSplit/>
        </w:trPr>
        <w:tc>
          <w:tcPr>
            <w:tcW w:w="2500" w:type="dxa"/>
            <w:tcBorders>
              <w:top w:val="single" w:sz="4" w:space="0" w:color="000000"/>
              <w:bottom w:val="single" w:sz="4" w:space="0" w:color="000000"/>
            </w:tcBorders>
          </w:tcPr>
          <w:p w14:paraId="19963CE7" w14:textId="494B2BD3" w:rsidR="00B628FF" w:rsidRDefault="005B2D2F">
            <w:pPr>
              <w:pStyle w:val="MeasureTableHeadingleftalignedwith2ptsspacing"/>
              <w:keepNext/>
            </w:pPr>
            <w:r>
              <w:t>Department of Veterans</w:t>
            </w:r>
            <w:r w:rsidR="00B31B37">
              <w:t>’</w:t>
            </w:r>
            <w:r>
              <w:t xml:space="preserve"> Affairs</w:t>
            </w:r>
          </w:p>
        </w:tc>
        <w:tc>
          <w:tcPr>
            <w:tcW w:w="1043" w:type="dxa"/>
            <w:tcBorders>
              <w:top w:val="single" w:sz="4" w:space="0" w:color="000000"/>
              <w:bottom w:val="single" w:sz="4" w:space="0" w:color="000000"/>
            </w:tcBorders>
          </w:tcPr>
          <w:p w14:paraId="33AB3466" w14:textId="0D9E354D"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4A05F5A9" w14:textId="77777777" w:rsidR="00B628FF" w:rsidRDefault="005B2D2F">
            <w:pPr>
              <w:pStyle w:val="MeasureTableDataRightAlignedwith2ptsspacing"/>
              <w:keepNext/>
            </w:pPr>
            <w:r>
              <w:t>0.7</w:t>
            </w:r>
          </w:p>
        </w:tc>
        <w:tc>
          <w:tcPr>
            <w:tcW w:w="1043" w:type="dxa"/>
            <w:tcBorders>
              <w:top w:val="single" w:sz="4" w:space="0" w:color="000000"/>
              <w:bottom w:val="single" w:sz="4" w:space="0" w:color="000000"/>
            </w:tcBorders>
          </w:tcPr>
          <w:p w14:paraId="61AE2E9B" w14:textId="77777777" w:rsidR="00B628FF" w:rsidRDefault="005B2D2F">
            <w:pPr>
              <w:pStyle w:val="MeasureTableDataRightAlignedwith2ptsspacing"/>
              <w:keepNext/>
            </w:pPr>
            <w:r>
              <w:t>1.2</w:t>
            </w:r>
          </w:p>
        </w:tc>
        <w:tc>
          <w:tcPr>
            <w:tcW w:w="1043" w:type="dxa"/>
            <w:tcBorders>
              <w:top w:val="single" w:sz="4" w:space="0" w:color="000000"/>
              <w:bottom w:val="single" w:sz="4" w:space="0" w:color="000000"/>
            </w:tcBorders>
          </w:tcPr>
          <w:p w14:paraId="723EE4D2" w14:textId="77777777" w:rsidR="00B628FF" w:rsidRDefault="005B2D2F">
            <w:pPr>
              <w:pStyle w:val="MeasureTableDataRightAlignedwith2ptsspacing"/>
              <w:keepNext/>
            </w:pPr>
            <w:r>
              <w:t>1.2</w:t>
            </w:r>
          </w:p>
        </w:tc>
        <w:tc>
          <w:tcPr>
            <w:tcW w:w="1043" w:type="dxa"/>
            <w:tcBorders>
              <w:top w:val="single" w:sz="4" w:space="0" w:color="000000"/>
              <w:bottom w:val="single" w:sz="4" w:space="0" w:color="000000"/>
            </w:tcBorders>
          </w:tcPr>
          <w:p w14:paraId="71DD376F" w14:textId="77777777" w:rsidR="00B628FF" w:rsidRDefault="005B2D2F">
            <w:pPr>
              <w:pStyle w:val="MeasureTableDataRightAlignedwith2ptsspacing"/>
              <w:keepNext/>
            </w:pPr>
            <w:r>
              <w:t>1.3</w:t>
            </w:r>
          </w:p>
        </w:tc>
      </w:tr>
      <w:tr w:rsidR="00B628FF" w14:paraId="6FCC0C7A" w14:textId="77777777">
        <w:trPr>
          <w:cantSplit/>
        </w:trPr>
        <w:tc>
          <w:tcPr>
            <w:tcW w:w="2500" w:type="dxa"/>
            <w:tcBorders>
              <w:top w:val="single" w:sz="4" w:space="0" w:color="000000"/>
              <w:bottom w:val="single" w:sz="4" w:space="0" w:color="000000"/>
            </w:tcBorders>
          </w:tcPr>
          <w:p w14:paraId="1ACC2659" w14:textId="77777777" w:rsidR="00B628FF" w:rsidRDefault="005B2D2F">
            <w:pPr>
              <w:pStyle w:val="Totalrowleftaligned"/>
              <w:keepNext/>
            </w:pPr>
            <w:r>
              <w:t>Total – Payments</w:t>
            </w:r>
          </w:p>
        </w:tc>
        <w:tc>
          <w:tcPr>
            <w:tcW w:w="1043" w:type="dxa"/>
            <w:tcBorders>
              <w:top w:val="single" w:sz="4" w:space="0" w:color="000000"/>
              <w:bottom w:val="single" w:sz="4" w:space="0" w:color="000000"/>
            </w:tcBorders>
          </w:tcPr>
          <w:p w14:paraId="24E7D4BD" w14:textId="133F16E1" w:rsidR="00B628FF" w:rsidRDefault="00B31B37">
            <w:pPr>
              <w:pStyle w:val="Totaldatarowrightaligned"/>
              <w:keepNext/>
            </w:pPr>
            <w:r>
              <w:noBreakHyphen/>
            </w:r>
          </w:p>
        </w:tc>
        <w:tc>
          <w:tcPr>
            <w:tcW w:w="1043" w:type="dxa"/>
            <w:tcBorders>
              <w:top w:val="single" w:sz="4" w:space="0" w:color="000000"/>
              <w:bottom w:val="single" w:sz="4" w:space="0" w:color="000000"/>
            </w:tcBorders>
          </w:tcPr>
          <w:p w14:paraId="6CD9172C" w14:textId="77777777" w:rsidR="00B628FF" w:rsidRDefault="005B2D2F">
            <w:pPr>
              <w:pStyle w:val="Totaldatarowrightaligned"/>
              <w:keepNext/>
            </w:pPr>
            <w:r>
              <w:t>1,448.8</w:t>
            </w:r>
          </w:p>
        </w:tc>
        <w:tc>
          <w:tcPr>
            <w:tcW w:w="1043" w:type="dxa"/>
            <w:tcBorders>
              <w:top w:val="single" w:sz="4" w:space="0" w:color="000000"/>
              <w:bottom w:val="single" w:sz="4" w:space="0" w:color="000000"/>
            </w:tcBorders>
          </w:tcPr>
          <w:p w14:paraId="5F5ADBE2" w14:textId="77777777" w:rsidR="00B628FF" w:rsidRDefault="005B2D2F">
            <w:pPr>
              <w:pStyle w:val="Totaldatarowrightaligned"/>
              <w:keepNext/>
            </w:pPr>
            <w:r>
              <w:t>2,067.9</w:t>
            </w:r>
          </w:p>
        </w:tc>
        <w:tc>
          <w:tcPr>
            <w:tcW w:w="1043" w:type="dxa"/>
            <w:tcBorders>
              <w:top w:val="single" w:sz="4" w:space="0" w:color="000000"/>
              <w:bottom w:val="single" w:sz="4" w:space="0" w:color="000000"/>
            </w:tcBorders>
          </w:tcPr>
          <w:p w14:paraId="3BB25255" w14:textId="77777777" w:rsidR="00B628FF" w:rsidRDefault="005B2D2F">
            <w:pPr>
              <w:pStyle w:val="Totaldatarowrightaligned"/>
              <w:keepNext/>
            </w:pPr>
            <w:r>
              <w:t>2,378.3</w:t>
            </w:r>
          </w:p>
        </w:tc>
        <w:tc>
          <w:tcPr>
            <w:tcW w:w="1043" w:type="dxa"/>
            <w:tcBorders>
              <w:top w:val="single" w:sz="4" w:space="0" w:color="000000"/>
              <w:bottom w:val="single" w:sz="4" w:space="0" w:color="000000"/>
            </w:tcBorders>
          </w:tcPr>
          <w:p w14:paraId="430D4991" w14:textId="77777777" w:rsidR="00B628FF" w:rsidRDefault="005B2D2F">
            <w:pPr>
              <w:pStyle w:val="Totaldatarowrightaligned"/>
              <w:keepNext/>
            </w:pPr>
            <w:r>
              <w:t>2,502.0</w:t>
            </w:r>
          </w:p>
        </w:tc>
      </w:tr>
    </w:tbl>
    <w:p w14:paraId="02078522" w14:textId="77777777" w:rsidR="00B628FF" w:rsidRDefault="00B628FF">
      <w:pPr>
        <w:keepNext/>
        <w:spacing w:line="226" w:lineRule="exact"/>
        <w:rPr>
          <w:sz w:val="16"/>
        </w:rPr>
      </w:pPr>
    </w:p>
    <w:p w14:paraId="758B1089" w14:textId="75BAD460" w:rsidR="00B628FF" w:rsidRDefault="005B2D2F">
      <w:pPr>
        <w:pStyle w:val="Normal2"/>
      </w:pPr>
      <w:r w:rsidRPr="5FA307DC">
        <w:rPr>
          <w:lang w:val="en-US"/>
        </w:rPr>
        <w:t>The Government will provide additional funding of $8.4</w:t>
      </w:r>
      <w:r w:rsidR="005B3E32" w:rsidRPr="5FA307DC">
        <w:rPr>
          <w:lang w:val="en-US"/>
        </w:rPr>
        <w:t> </w:t>
      </w:r>
      <w:r w:rsidRPr="5FA307DC">
        <w:rPr>
          <w:lang w:val="en-US"/>
        </w:rPr>
        <w:t>billion over five</w:t>
      </w:r>
      <w:r w:rsidR="005B3E32" w:rsidRPr="5FA307DC">
        <w:rPr>
          <w:lang w:val="en-US"/>
        </w:rPr>
        <w:t> </w:t>
      </w:r>
      <w:r w:rsidRPr="5FA307DC">
        <w:rPr>
          <w:lang w:val="en-US"/>
        </w:rPr>
        <w:t>years from 2024–‍25 (and $2.5 billion per year ongoing) to increase access to bulk billing, including:</w:t>
      </w:r>
    </w:p>
    <w:p w14:paraId="730657E5" w14:textId="4590C105" w:rsidR="00B628FF" w:rsidRDefault="005B2D2F">
      <w:pPr>
        <w:pStyle w:val="Bullet"/>
      </w:pPr>
      <w:r>
        <w:t>$7.9 billion over four years from 2025–‍26 (and $2.4 billion per year ongoing) to expand eligibility for bulk billing incentives to all Australians and introduce the new Bulk Billing Practice Incentive Program for general practices if they bulk bill every visit under Medicare. This is the largest single investment in the Medicare Benefits Schedule (MBS) to increase access to bulk billing</w:t>
      </w:r>
    </w:p>
    <w:p w14:paraId="5566F456" w14:textId="6E6D0E29" w:rsidR="00B628FF" w:rsidRDefault="005B2D2F" w:rsidP="003C3E34">
      <w:pPr>
        <w:pStyle w:val="Bullet"/>
        <w:keepNext/>
      </w:pPr>
      <w:r>
        <w:t>$256.2 million over four years from 2025–‍26 (and $82.1 million per year ongoing) to introduce new and amend existing items on the MBS, including:</w:t>
      </w:r>
    </w:p>
    <w:p w14:paraId="69B862BA" w14:textId="77777777" w:rsidR="00B628FF" w:rsidRDefault="005B2D2F" w:rsidP="003C3E34">
      <w:pPr>
        <w:pStyle w:val="Dash"/>
        <w:keepNext/>
      </w:pPr>
      <w:r>
        <w:t>$74.9 million over four years from 2025–‍26 (and $29.1 million per year ongoing) for severe speech and language disorders to be added to the eligible disabilities under the MBS item group for complex neurodevelopmental disorder and disability services</w:t>
      </w:r>
    </w:p>
    <w:p w14:paraId="61B07174" w14:textId="5C3432C8" w:rsidR="00B628FF" w:rsidRDefault="005B2D2F">
      <w:pPr>
        <w:pStyle w:val="Dash"/>
      </w:pPr>
      <w:r>
        <w:t xml:space="preserve">$57.9 million over four years from 2025–‍26 (and $16.4 million per year ongoing) to provide faecal calprotectin tests to manage symptomatic </w:t>
      </w:r>
      <w:r w:rsidR="00793AC1">
        <w:t>i</w:t>
      </w:r>
      <w:r>
        <w:t xml:space="preserve">nflammatory </w:t>
      </w:r>
      <w:r w:rsidR="00793AC1">
        <w:t>b</w:t>
      </w:r>
      <w:r>
        <w:t xml:space="preserve">owel </w:t>
      </w:r>
      <w:r w:rsidR="00793AC1">
        <w:t>d</w:t>
      </w:r>
      <w:r>
        <w:t>isease</w:t>
      </w:r>
    </w:p>
    <w:p w14:paraId="48FD60F5" w14:textId="16DEB521" w:rsidR="00B628FF" w:rsidRDefault="005B2D2F">
      <w:pPr>
        <w:pStyle w:val="Dash"/>
      </w:pPr>
      <w:r>
        <w:t>$43.6 million over four years from 2025–‍26 (and $12.9 million per year ongoing) to support treatment of advanced neuroendocrine tumours</w:t>
      </w:r>
      <w:r w:rsidR="00793AC1">
        <w:t>.</w:t>
      </w:r>
    </w:p>
    <w:p w14:paraId="3B7D6D79" w14:textId="77777777" w:rsidR="00B628FF" w:rsidRDefault="005B2D2F">
      <w:pPr>
        <w:pStyle w:val="Bullet"/>
      </w:pPr>
      <w:r>
        <w:t>$228.7 million in 2025–‍26 to continue modernising My Health Record and support the digital health reform agenda</w:t>
      </w:r>
    </w:p>
    <w:p w14:paraId="2E690164" w14:textId="77777777" w:rsidR="00B628FF" w:rsidRDefault="005B2D2F">
      <w:pPr>
        <w:pStyle w:val="Bullet"/>
      </w:pPr>
      <w:r>
        <w:t>$17.3 million over three years from 2025–‍26 to provide affordable access to Medicare‑eligible Magnetic Resonance Imaging (MRI) services at three metropolitan locations with below average bulk‑billed MRI services, pending MRI licencing requirement changes commencing 1 July 2027</w:t>
      </w:r>
    </w:p>
    <w:p w14:paraId="2F57ED83" w14:textId="1B7268F4" w:rsidR="00793AC1" w:rsidRDefault="00793AC1" w:rsidP="00793AC1">
      <w:pPr>
        <w:pStyle w:val="Bullet"/>
      </w:pPr>
      <w:r>
        <w:t>$15.6 million over two years from 2025–‍26 to continue initiatives under the Health</w:t>
      </w:r>
      <w:r w:rsidR="005B3E32">
        <w:t> </w:t>
      </w:r>
      <w:r>
        <w:t>Delivery Transformation Program</w:t>
      </w:r>
    </w:p>
    <w:p w14:paraId="0D6716B3" w14:textId="77777777" w:rsidR="00B628FF" w:rsidRDefault="005B2D2F">
      <w:pPr>
        <w:pStyle w:val="Bullet"/>
      </w:pPr>
      <w:r>
        <w:t>$7.0 million over five years from 2024–‍25 to deliver improved functionality and more transparency on the Medical Costs Finder website, allowing the public access to data about the median fees charged by individual non‑GP specialists and gap arrangements from private health insurers</w:t>
      </w:r>
    </w:p>
    <w:p w14:paraId="46DE7B70" w14:textId="77777777" w:rsidR="00B628FF" w:rsidRDefault="005B2D2F">
      <w:pPr>
        <w:pStyle w:val="Bullet"/>
      </w:pPr>
      <w:r>
        <w:t xml:space="preserve">$0.9 million over five years from 2024–‍25 (and $0.3 million per year ongoing) for the </w:t>
      </w:r>
      <w:r w:rsidRPr="005B2D2F">
        <w:rPr>
          <w:i/>
        </w:rPr>
        <w:t>Supporting Living Organ Donors Program</w:t>
      </w:r>
      <w:r>
        <w:t xml:space="preserve"> to increase reimbursements and therefore reduce barriers in accessing the program.</w:t>
      </w:r>
    </w:p>
    <w:p w14:paraId="60324A2F" w14:textId="77777777" w:rsidR="00B628FF" w:rsidRDefault="005B2D2F">
      <w:pPr>
        <w:pStyle w:val="Normal2"/>
      </w:pPr>
      <w:r>
        <w:t>The Government has also agreed to extend access to temporary Heart Health Assessment items on the MBS to support patients with or at risk of developing cardiovascular disease, pending longer‑term arrangements.</w:t>
      </w:r>
    </w:p>
    <w:p w14:paraId="0454C665" w14:textId="77777777" w:rsidR="00B628FF" w:rsidRDefault="005B2D2F">
      <w:pPr>
        <w:pStyle w:val="Normal2"/>
      </w:pPr>
      <w:r>
        <w:t>The Government has already provided partial funding for this measure.</w:t>
      </w:r>
    </w:p>
    <w:p w14:paraId="434BB196" w14:textId="77777777" w:rsidR="00B628FF" w:rsidRDefault="005B2D2F">
      <w:pPr>
        <w:pStyle w:val="Normal2"/>
      </w:pPr>
      <w:r w:rsidRPr="5FA307DC">
        <w:rPr>
          <w:lang w:val="en-US"/>
        </w:rPr>
        <w:t>The cost of this measure will be partially met from within the existing resourcing of the Department of Health and Aged Care.</w:t>
      </w:r>
    </w:p>
    <w:p w14:paraId="49E8975E" w14:textId="76B50B92" w:rsidR="00B628FF" w:rsidRDefault="005B2D2F">
      <w:pPr>
        <w:pStyle w:val="Normal2"/>
      </w:pPr>
      <w:r>
        <w:t xml:space="preserve">This measure builds on the 2022–‍23 October Budget measure titled </w:t>
      </w:r>
      <w:r w:rsidRPr="005B2D2F">
        <w:rPr>
          <w:i/>
        </w:rPr>
        <w:t xml:space="preserve">Medicare Benefits Schedule – new and amended listings, </w:t>
      </w:r>
      <w:r>
        <w:t xml:space="preserve">the 2023–‍24 Budget measures titled </w:t>
      </w:r>
      <w:r w:rsidRPr="005B2D2F">
        <w:rPr>
          <w:i/>
        </w:rPr>
        <w:t xml:space="preserve">Strengthening Medicare </w:t>
      </w:r>
      <w:r>
        <w:t xml:space="preserve">and </w:t>
      </w:r>
      <w:r w:rsidRPr="005B2D2F">
        <w:rPr>
          <w:i/>
        </w:rPr>
        <w:t>A Modern and Clinically Appropriate Medicare Benefits Schedule</w:t>
      </w:r>
      <w:r>
        <w:t>, and the 2023–‍24 MYEFO measure</w:t>
      </w:r>
      <w:r w:rsidR="00793AC1">
        <w:t xml:space="preserve"> titled</w:t>
      </w:r>
      <w:r>
        <w:t xml:space="preserve"> </w:t>
      </w:r>
      <w:r w:rsidRPr="005B2D2F">
        <w:rPr>
          <w:i/>
        </w:rPr>
        <w:t>An Effective and Clinically Appropriate Medicare.</w:t>
      </w:r>
    </w:p>
    <w:p w14:paraId="7B03BCBF" w14:textId="77777777" w:rsidR="00B628FF" w:rsidRDefault="005B2D2F">
      <w:pPr>
        <w:pStyle w:val="MeasureTitle"/>
      </w:pPr>
      <w:r>
        <w:t>Strengthening Medicare – Expanding Medicare Urgent Care Clinics</w:t>
      </w:r>
    </w:p>
    <w:p w14:paraId="596CF627" w14:textId="77777777" w:rsidR="00B628FF" w:rsidRDefault="005B2D2F">
      <w:pPr>
        <w:pStyle w:val="MeasureTableHeading"/>
      </w:pPr>
      <w:r>
        <w:t>Payments ($m)</w:t>
      </w:r>
    </w:p>
    <w:tbl>
      <w:tblPr>
        <w:tblOverlap w:val="never"/>
        <w:tblW w:w="7721" w:type="dxa"/>
        <w:tblBorders>
          <w:top w:val="single" w:sz="4" w:space="0" w:color="000000"/>
          <w:bottom w:val="single" w:sz="4" w:space="0" w:color="000000"/>
        </w:tblBorders>
        <w:tblLayout w:type="fixed"/>
        <w:tblLook w:val="04A0" w:firstRow="1" w:lastRow="0" w:firstColumn="1" w:lastColumn="0" w:noHBand="0" w:noVBand="1"/>
      </w:tblPr>
      <w:tblGrid>
        <w:gridCol w:w="2501"/>
        <w:gridCol w:w="1044"/>
        <w:gridCol w:w="1044"/>
        <w:gridCol w:w="1044"/>
        <w:gridCol w:w="1044"/>
        <w:gridCol w:w="1044"/>
      </w:tblGrid>
      <w:tr w:rsidR="00B628FF" w14:paraId="2201BF28" w14:textId="77777777">
        <w:trPr>
          <w:cantSplit/>
        </w:trPr>
        <w:tc>
          <w:tcPr>
            <w:tcW w:w="2500" w:type="dxa"/>
            <w:tcBorders>
              <w:top w:val="single" w:sz="4" w:space="0" w:color="000000"/>
              <w:bottom w:val="single" w:sz="4" w:space="0" w:color="000000"/>
            </w:tcBorders>
          </w:tcPr>
          <w:p w14:paraId="442C1F4B" w14:textId="77777777" w:rsidR="00B628FF" w:rsidRDefault="00B628FF">
            <w:pPr>
              <w:pStyle w:val="MeasureTableYearHeadings"/>
              <w:keepNext/>
            </w:pPr>
          </w:p>
        </w:tc>
        <w:tc>
          <w:tcPr>
            <w:tcW w:w="1043" w:type="dxa"/>
            <w:tcBorders>
              <w:top w:val="single" w:sz="4" w:space="0" w:color="000000"/>
              <w:bottom w:val="single" w:sz="4" w:space="0" w:color="000000"/>
            </w:tcBorders>
          </w:tcPr>
          <w:p w14:paraId="6BB95403" w14:textId="7A00148C" w:rsidR="00B628FF" w:rsidRDefault="005B2D2F">
            <w:pPr>
              <w:pStyle w:val="MeasureTableYearHeadings"/>
              <w:keepNext/>
            </w:pPr>
            <w:r>
              <w:t>2024</w:t>
            </w:r>
            <w:r w:rsidR="00B31B37">
              <w:noBreakHyphen/>
            </w:r>
            <w:r>
              <w:t>25</w:t>
            </w:r>
          </w:p>
        </w:tc>
        <w:tc>
          <w:tcPr>
            <w:tcW w:w="1043" w:type="dxa"/>
            <w:tcBorders>
              <w:top w:val="single" w:sz="4" w:space="0" w:color="000000"/>
              <w:bottom w:val="single" w:sz="4" w:space="0" w:color="000000"/>
            </w:tcBorders>
          </w:tcPr>
          <w:p w14:paraId="3FD8FA24" w14:textId="472992CD" w:rsidR="00B628FF" w:rsidRDefault="005B2D2F">
            <w:pPr>
              <w:pStyle w:val="MeasureTableYearHeadings"/>
              <w:keepNext/>
            </w:pPr>
            <w:r>
              <w:t>2025</w:t>
            </w:r>
            <w:r w:rsidR="00B31B37">
              <w:noBreakHyphen/>
            </w:r>
            <w:r>
              <w:t>26</w:t>
            </w:r>
          </w:p>
        </w:tc>
        <w:tc>
          <w:tcPr>
            <w:tcW w:w="1043" w:type="dxa"/>
            <w:tcBorders>
              <w:top w:val="single" w:sz="4" w:space="0" w:color="000000"/>
              <w:bottom w:val="single" w:sz="4" w:space="0" w:color="000000"/>
            </w:tcBorders>
          </w:tcPr>
          <w:p w14:paraId="02010515" w14:textId="6E740CD6" w:rsidR="00B628FF" w:rsidRDefault="005B2D2F">
            <w:pPr>
              <w:pStyle w:val="MeasureTableYearHeadings"/>
              <w:keepNext/>
            </w:pPr>
            <w:r>
              <w:t>2026</w:t>
            </w:r>
            <w:r w:rsidR="00B31B37">
              <w:noBreakHyphen/>
            </w:r>
            <w:r>
              <w:t>27</w:t>
            </w:r>
          </w:p>
        </w:tc>
        <w:tc>
          <w:tcPr>
            <w:tcW w:w="1043" w:type="dxa"/>
            <w:tcBorders>
              <w:top w:val="single" w:sz="4" w:space="0" w:color="000000"/>
              <w:bottom w:val="single" w:sz="4" w:space="0" w:color="000000"/>
            </w:tcBorders>
          </w:tcPr>
          <w:p w14:paraId="7C2CAD79" w14:textId="0537ECDB" w:rsidR="00B628FF" w:rsidRDefault="005B2D2F">
            <w:pPr>
              <w:pStyle w:val="MeasureTableYearHeadings"/>
              <w:keepNext/>
            </w:pPr>
            <w:r>
              <w:t>2027</w:t>
            </w:r>
            <w:r w:rsidR="00B31B37">
              <w:noBreakHyphen/>
            </w:r>
            <w:r>
              <w:t>28</w:t>
            </w:r>
          </w:p>
        </w:tc>
        <w:tc>
          <w:tcPr>
            <w:tcW w:w="1043" w:type="dxa"/>
            <w:tcBorders>
              <w:top w:val="single" w:sz="4" w:space="0" w:color="000000"/>
              <w:bottom w:val="single" w:sz="4" w:space="0" w:color="000000"/>
            </w:tcBorders>
          </w:tcPr>
          <w:p w14:paraId="5907F9A9" w14:textId="30911DEE" w:rsidR="00B628FF" w:rsidRDefault="005B2D2F">
            <w:pPr>
              <w:pStyle w:val="MeasureTableYearHeadings"/>
              <w:keepNext/>
            </w:pPr>
            <w:r>
              <w:t>2028</w:t>
            </w:r>
            <w:r w:rsidR="00B31B37">
              <w:noBreakHyphen/>
            </w:r>
            <w:r>
              <w:t>29</w:t>
            </w:r>
          </w:p>
        </w:tc>
      </w:tr>
      <w:tr w:rsidR="00B628FF" w14:paraId="0CC5BCA6" w14:textId="77777777">
        <w:trPr>
          <w:cantSplit/>
        </w:trPr>
        <w:tc>
          <w:tcPr>
            <w:tcW w:w="2500" w:type="dxa"/>
            <w:tcBorders>
              <w:top w:val="single" w:sz="4" w:space="0" w:color="000000"/>
              <w:bottom w:val="single" w:sz="4" w:space="0" w:color="000000"/>
            </w:tcBorders>
          </w:tcPr>
          <w:p w14:paraId="380F378D" w14:textId="77777777" w:rsidR="00B628FF" w:rsidRDefault="005B2D2F">
            <w:pPr>
              <w:pStyle w:val="MeasureTableHeadingleftalignedwith2ptsspacing"/>
              <w:keepNext/>
            </w:pPr>
            <w:r>
              <w:t>Department of the Treasury</w:t>
            </w:r>
          </w:p>
        </w:tc>
        <w:tc>
          <w:tcPr>
            <w:tcW w:w="1043" w:type="dxa"/>
            <w:tcBorders>
              <w:top w:val="single" w:sz="4" w:space="0" w:color="000000"/>
              <w:bottom w:val="single" w:sz="4" w:space="0" w:color="000000"/>
            </w:tcBorders>
          </w:tcPr>
          <w:p w14:paraId="3AD2E3C8" w14:textId="1259464F"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4779350A" w14:textId="77777777" w:rsidR="00B628FF" w:rsidRDefault="005B2D2F">
            <w:pPr>
              <w:pStyle w:val="MeasureTableDataRightAlignedwith2ptsspacing"/>
              <w:keepNext/>
            </w:pPr>
            <w:r>
              <w:t>4.2</w:t>
            </w:r>
          </w:p>
        </w:tc>
        <w:tc>
          <w:tcPr>
            <w:tcW w:w="1043" w:type="dxa"/>
            <w:tcBorders>
              <w:top w:val="single" w:sz="4" w:space="0" w:color="000000"/>
              <w:bottom w:val="single" w:sz="4" w:space="0" w:color="000000"/>
            </w:tcBorders>
          </w:tcPr>
          <w:p w14:paraId="0FF4A21E" w14:textId="239E583E"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36FC1870" w14:textId="411C7538"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00425BBB" w14:textId="0276A541" w:rsidR="00B628FF" w:rsidRDefault="00B31B37">
            <w:pPr>
              <w:pStyle w:val="MeasureTableDataRightAlignedwith2ptsspacing"/>
              <w:keepNext/>
            </w:pPr>
            <w:r>
              <w:noBreakHyphen/>
            </w:r>
          </w:p>
        </w:tc>
      </w:tr>
      <w:tr w:rsidR="00B628FF" w14:paraId="2EB85096" w14:textId="77777777">
        <w:trPr>
          <w:cantSplit/>
        </w:trPr>
        <w:tc>
          <w:tcPr>
            <w:tcW w:w="2500" w:type="dxa"/>
            <w:tcBorders>
              <w:top w:val="single" w:sz="4" w:space="0" w:color="000000"/>
              <w:bottom w:val="single" w:sz="4" w:space="0" w:color="000000"/>
            </w:tcBorders>
          </w:tcPr>
          <w:p w14:paraId="18E2EA20" w14:textId="77777777" w:rsidR="00B628FF" w:rsidRDefault="005B2D2F">
            <w:pPr>
              <w:pStyle w:val="MeasureTableHeadingleftalignedwith2ptsspacing"/>
              <w:keepNext/>
            </w:pPr>
            <w:r>
              <w:t>Department of Health and Aged Care</w:t>
            </w:r>
          </w:p>
        </w:tc>
        <w:tc>
          <w:tcPr>
            <w:tcW w:w="1043" w:type="dxa"/>
            <w:tcBorders>
              <w:top w:val="single" w:sz="4" w:space="0" w:color="000000"/>
              <w:bottom w:val="single" w:sz="4" w:space="0" w:color="000000"/>
            </w:tcBorders>
          </w:tcPr>
          <w:p w14:paraId="543C89DB" w14:textId="69C4D4B7"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31818903" w14:textId="77777777" w:rsidR="00B628FF" w:rsidRDefault="005B2D2F">
            <w:pPr>
              <w:pStyle w:val="MeasureTableDataRightAlignedwith2ptsspacing"/>
              <w:keepNext/>
            </w:pPr>
            <w:r>
              <w:t>0.4</w:t>
            </w:r>
          </w:p>
        </w:tc>
        <w:tc>
          <w:tcPr>
            <w:tcW w:w="1043" w:type="dxa"/>
            <w:tcBorders>
              <w:top w:val="single" w:sz="4" w:space="0" w:color="000000"/>
              <w:bottom w:val="single" w:sz="4" w:space="0" w:color="000000"/>
            </w:tcBorders>
          </w:tcPr>
          <w:p w14:paraId="51721034" w14:textId="77777777" w:rsidR="00B628FF" w:rsidRDefault="005B2D2F">
            <w:pPr>
              <w:pStyle w:val="MeasureTableDataRightAlignedwith2ptsspacing"/>
              <w:keepNext/>
            </w:pPr>
            <w:r>
              <w:t>4.4</w:t>
            </w:r>
          </w:p>
        </w:tc>
        <w:tc>
          <w:tcPr>
            <w:tcW w:w="1043" w:type="dxa"/>
            <w:tcBorders>
              <w:top w:val="single" w:sz="4" w:space="0" w:color="000000"/>
              <w:bottom w:val="single" w:sz="4" w:space="0" w:color="000000"/>
            </w:tcBorders>
          </w:tcPr>
          <w:p w14:paraId="1FE48C1C" w14:textId="77777777" w:rsidR="00B628FF" w:rsidRDefault="005B2D2F">
            <w:pPr>
              <w:pStyle w:val="MeasureTableDataRightAlignedwith2ptsspacing"/>
              <w:keepNext/>
            </w:pPr>
            <w:r>
              <w:t>4.5</w:t>
            </w:r>
          </w:p>
        </w:tc>
        <w:tc>
          <w:tcPr>
            <w:tcW w:w="1043" w:type="dxa"/>
            <w:tcBorders>
              <w:top w:val="single" w:sz="4" w:space="0" w:color="000000"/>
              <w:bottom w:val="single" w:sz="4" w:space="0" w:color="000000"/>
            </w:tcBorders>
          </w:tcPr>
          <w:p w14:paraId="1DDFD342" w14:textId="001524F3" w:rsidR="00B628FF" w:rsidRDefault="00B31B37">
            <w:pPr>
              <w:pStyle w:val="MeasureTableDataRightAlignedwith2ptsspacing"/>
              <w:keepNext/>
            </w:pPr>
            <w:r>
              <w:noBreakHyphen/>
            </w:r>
          </w:p>
        </w:tc>
      </w:tr>
      <w:tr w:rsidR="00B628FF" w14:paraId="53C567AE" w14:textId="77777777">
        <w:trPr>
          <w:cantSplit/>
        </w:trPr>
        <w:tc>
          <w:tcPr>
            <w:tcW w:w="2500" w:type="dxa"/>
            <w:tcBorders>
              <w:top w:val="single" w:sz="4" w:space="0" w:color="000000"/>
              <w:bottom w:val="single" w:sz="4" w:space="0" w:color="000000"/>
            </w:tcBorders>
          </w:tcPr>
          <w:p w14:paraId="6FF85A83" w14:textId="359B7A45" w:rsidR="00B628FF" w:rsidRDefault="005B2D2F">
            <w:pPr>
              <w:pStyle w:val="MeasureTableHeadingleftalignedwith2ptsspacing"/>
              <w:keepNext/>
            </w:pPr>
            <w:r>
              <w:t>Department of Veterans</w:t>
            </w:r>
            <w:r w:rsidR="00B31B37">
              <w:t>’</w:t>
            </w:r>
            <w:r>
              <w:t xml:space="preserve"> Affairs</w:t>
            </w:r>
          </w:p>
        </w:tc>
        <w:tc>
          <w:tcPr>
            <w:tcW w:w="1043" w:type="dxa"/>
            <w:tcBorders>
              <w:top w:val="single" w:sz="4" w:space="0" w:color="000000"/>
              <w:bottom w:val="single" w:sz="4" w:space="0" w:color="000000"/>
            </w:tcBorders>
          </w:tcPr>
          <w:p w14:paraId="25B5537F" w14:textId="4EBEA7D0"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3850E503" w14:textId="77777777" w:rsidR="00B628FF" w:rsidRDefault="005B2D2F">
            <w:pPr>
              <w:pStyle w:val="MeasureTableDataRightAlignedwith2ptsspacing"/>
              <w:keepNext/>
            </w:pPr>
            <w:r>
              <w:t>0.1</w:t>
            </w:r>
          </w:p>
        </w:tc>
        <w:tc>
          <w:tcPr>
            <w:tcW w:w="1043" w:type="dxa"/>
            <w:tcBorders>
              <w:top w:val="single" w:sz="4" w:space="0" w:color="000000"/>
              <w:bottom w:val="single" w:sz="4" w:space="0" w:color="000000"/>
            </w:tcBorders>
          </w:tcPr>
          <w:p w14:paraId="126E6E92" w14:textId="77777777" w:rsidR="00B628FF" w:rsidRDefault="005B2D2F">
            <w:pPr>
              <w:pStyle w:val="MeasureTableDataRightAlignedwith2ptsspacing"/>
              <w:keepNext/>
            </w:pPr>
            <w:r>
              <w:t>..</w:t>
            </w:r>
          </w:p>
        </w:tc>
        <w:tc>
          <w:tcPr>
            <w:tcW w:w="1043" w:type="dxa"/>
            <w:tcBorders>
              <w:top w:val="single" w:sz="4" w:space="0" w:color="000000"/>
              <w:bottom w:val="single" w:sz="4" w:space="0" w:color="000000"/>
            </w:tcBorders>
          </w:tcPr>
          <w:p w14:paraId="31949FA5" w14:textId="3019597F"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2DBD5728" w14:textId="129DDF70" w:rsidR="00B628FF" w:rsidRDefault="00B31B37">
            <w:pPr>
              <w:pStyle w:val="MeasureTableDataRightAlignedwith2ptsspacing"/>
              <w:keepNext/>
            </w:pPr>
            <w:r>
              <w:noBreakHyphen/>
            </w:r>
          </w:p>
        </w:tc>
      </w:tr>
      <w:tr w:rsidR="00B628FF" w14:paraId="50B554EF" w14:textId="77777777">
        <w:trPr>
          <w:cantSplit/>
        </w:trPr>
        <w:tc>
          <w:tcPr>
            <w:tcW w:w="2500" w:type="dxa"/>
            <w:tcBorders>
              <w:top w:val="single" w:sz="4" w:space="0" w:color="000000"/>
              <w:bottom w:val="single" w:sz="4" w:space="0" w:color="000000"/>
            </w:tcBorders>
          </w:tcPr>
          <w:p w14:paraId="5727695B" w14:textId="77777777" w:rsidR="00B628FF" w:rsidRDefault="005B2D2F">
            <w:pPr>
              <w:pStyle w:val="MeasureTableHeadingleftalignedwith2ptsspacing"/>
              <w:keepNext/>
            </w:pPr>
            <w:r>
              <w:t>Services Australia</w:t>
            </w:r>
          </w:p>
        </w:tc>
        <w:tc>
          <w:tcPr>
            <w:tcW w:w="1043" w:type="dxa"/>
            <w:tcBorders>
              <w:top w:val="single" w:sz="4" w:space="0" w:color="000000"/>
              <w:bottom w:val="single" w:sz="4" w:space="0" w:color="000000"/>
            </w:tcBorders>
          </w:tcPr>
          <w:p w14:paraId="1E01BE86" w14:textId="63DEE7E0"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43F6D4D3" w14:textId="77777777" w:rsidR="00B628FF" w:rsidRDefault="005B2D2F">
            <w:pPr>
              <w:pStyle w:val="MeasureTableDataRightAlignedwith2ptsspacing"/>
              <w:keepNext/>
            </w:pPr>
            <w:r>
              <w:t>0.1</w:t>
            </w:r>
          </w:p>
        </w:tc>
        <w:tc>
          <w:tcPr>
            <w:tcW w:w="1043" w:type="dxa"/>
            <w:tcBorders>
              <w:top w:val="single" w:sz="4" w:space="0" w:color="000000"/>
              <w:bottom w:val="single" w:sz="4" w:space="0" w:color="000000"/>
            </w:tcBorders>
          </w:tcPr>
          <w:p w14:paraId="6F4F7AB1" w14:textId="77777777" w:rsidR="00B628FF" w:rsidRDefault="005B2D2F">
            <w:pPr>
              <w:pStyle w:val="MeasureTableDataRightAlignedwith2ptsspacing"/>
              <w:keepNext/>
            </w:pPr>
            <w:r>
              <w:t>..</w:t>
            </w:r>
          </w:p>
        </w:tc>
        <w:tc>
          <w:tcPr>
            <w:tcW w:w="1043" w:type="dxa"/>
            <w:tcBorders>
              <w:top w:val="single" w:sz="4" w:space="0" w:color="000000"/>
              <w:bottom w:val="single" w:sz="4" w:space="0" w:color="000000"/>
            </w:tcBorders>
          </w:tcPr>
          <w:p w14:paraId="5722C28C" w14:textId="77777777" w:rsidR="00B628FF" w:rsidRDefault="005B2D2F">
            <w:pPr>
              <w:pStyle w:val="MeasureTableDataRightAlignedwith2ptsspacing"/>
              <w:keepNext/>
            </w:pPr>
            <w:r>
              <w:t>..</w:t>
            </w:r>
          </w:p>
        </w:tc>
        <w:tc>
          <w:tcPr>
            <w:tcW w:w="1043" w:type="dxa"/>
            <w:tcBorders>
              <w:top w:val="single" w:sz="4" w:space="0" w:color="000000"/>
              <w:bottom w:val="single" w:sz="4" w:space="0" w:color="000000"/>
            </w:tcBorders>
          </w:tcPr>
          <w:p w14:paraId="6B8E6493" w14:textId="326DCD23" w:rsidR="00B628FF" w:rsidRDefault="00B31B37">
            <w:pPr>
              <w:pStyle w:val="MeasureTableDataRightAlignedwith2ptsspacing"/>
              <w:keepNext/>
            </w:pPr>
            <w:r>
              <w:noBreakHyphen/>
            </w:r>
          </w:p>
        </w:tc>
      </w:tr>
      <w:tr w:rsidR="00B628FF" w14:paraId="6E4EC824" w14:textId="77777777">
        <w:trPr>
          <w:cantSplit/>
        </w:trPr>
        <w:tc>
          <w:tcPr>
            <w:tcW w:w="2500" w:type="dxa"/>
            <w:tcBorders>
              <w:top w:val="single" w:sz="4" w:space="0" w:color="000000"/>
              <w:bottom w:val="single" w:sz="4" w:space="0" w:color="000000"/>
            </w:tcBorders>
          </w:tcPr>
          <w:p w14:paraId="578846A4" w14:textId="77777777" w:rsidR="00B628FF" w:rsidRDefault="005B2D2F">
            <w:pPr>
              <w:pStyle w:val="Totalrowleftaligned"/>
              <w:keepNext/>
            </w:pPr>
            <w:r>
              <w:t>Total – Payments</w:t>
            </w:r>
          </w:p>
        </w:tc>
        <w:tc>
          <w:tcPr>
            <w:tcW w:w="1043" w:type="dxa"/>
            <w:tcBorders>
              <w:top w:val="single" w:sz="4" w:space="0" w:color="000000"/>
              <w:bottom w:val="single" w:sz="4" w:space="0" w:color="000000"/>
            </w:tcBorders>
          </w:tcPr>
          <w:p w14:paraId="220AD80C" w14:textId="394FE33A" w:rsidR="00B628FF" w:rsidRDefault="00B31B37">
            <w:pPr>
              <w:pStyle w:val="Totaldatarowrightaligned"/>
              <w:keepNext/>
            </w:pPr>
            <w:r>
              <w:noBreakHyphen/>
            </w:r>
          </w:p>
        </w:tc>
        <w:tc>
          <w:tcPr>
            <w:tcW w:w="1043" w:type="dxa"/>
            <w:tcBorders>
              <w:top w:val="single" w:sz="4" w:space="0" w:color="000000"/>
              <w:bottom w:val="single" w:sz="4" w:space="0" w:color="000000"/>
            </w:tcBorders>
          </w:tcPr>
          <w:p w14:paraId="150F0F5E" w14:textId="77777777" w:rsidR="00B628FF" w:rsidRDefault="005B2D2F">
            <w:pPr>
              <w:pStyle w:val="Totaldatarowrightaligned"/>
              <w:keepNext/>
            </w:pPr>
            <w:r>
              <w:t>4.7</w:t>
            </w:r>
          </w:p>
        </w:tc>
        <w:tc>
          <w:tcPr>
            <w:tcW w:w="1043" w:type="dxa"/>
            <w:tcBorders>
              <w:top w:val="single" w:sz="4" w:space="0" w:color="000000"/>
              <w:bottom w:val="single" w:sz="4" w:space="0" w:color="000000"/>
            </w:tcBorders>
          </w:tcPr>
          <w:p w14:paraId="7DCD35CD" w14:textId="77777777" w:rsidR="00B628FF" w:rsidRDefault="005B2D2F">
            <w:pPr>
              <w:pStyle w:val="Totaldatarowrightaligned"/>
              <w:keepNext/>
            </w:pPr>
            <w:r>
              <w:t>4.4</w:t>
            </w:r>
          </w:p>
        </w:tc>
        <w:tc>
          <w:tcPr>
            <w:tcW w:w="1043" w:type="dxa"/>
            <w:tcBorders>
              <w:top w:val="single" w:sz="4" w:space="0" w:color="000000"/>
              <w:bottom w:val="single" w:sz="4" w:space="0" w:color="000000"/>
            </w:tcBorders>
          </w:tcPr>
          <w:p w14:paraId="44960391" w14:textId="77777777" w:rsidR="00B628FF" w:rsidRDefault="005B2D2F">
            <w:pPr>
              <w:pStyle w:val="Totaldatarowrightaligned"/>
              <w:keepNext/>
            </w:pPr>
            <w:r>
              <w:t>4.5</w:t>
            </w:r>
          </w:p>
        </w:tc>
        <w:tc>
          <w:tcPr>
            <w:tcW w:w="1043" w:type="dxa"/>
            <w:tcBorders>
              <w:top w:val="single" w:sz="4" w:space="0" w:color="000000"/>
              <w:bottom w:val="single" w:sz="4" w:space="0" w:color="000000"/>
            </w:tcBorders>
          </w:tcPr>
          <w:p w14:paraId="4A13A286" w14:textId="7C19D5F3" w:rsidR="00B628FF" w:rsidRDefault="00B31B37">
            <w:pPr>
              <w:pStyle w:val="Totaldatarowrightaligned"/>
              <w:keepNext/>
            </w:pPr>
            <w:r>
              <w:noBreakHyphen/>
            </w:r>
          </w:p>
        </w:tc>
      </w:tr>
    </w:tbl>
    <w:p w14:paraId="5F6108A2" w14:textId="77777777" w:rsidR="00B628FF" w:rsidRDefault="00B628FF">
      <w:pPr>
        <w:keepNext/>
        <w:spacing w:line="226" w:lineRule="exact"/>
        <w:rPr>
          <w:sz w:val="16"/>
        </w:rPr>
      </w:pPr>
    </w:p>
    <w:p w14:paraId="28951CEC" w14:textId="5A26E356" w:rsidR="00B628FF" w:rsidRDefault="005B2D2F">
      <w:pPr>
        <w:pStyle w:val="Normal2"/>
      </w:pPr>
      <w:r w:rsidRPr="5FA307DC">
        <w:rPr>
          <w:lang w:val="en-US"/>
        </w:rPr>
        <w:t xml:space="preserve">The Government will provide $657.9 million over three years from 2025–‍26 to expand the </w:t>
      </w:r>
      <w:r w:rsidRPr="5FA307DC">
        <w:rPr>
          <w:i/>
          <w:iCs/>
          <w:lang w:val="en-US"/>
        </w:rPr>
        <w:t>Medicare Urgent Care Clinics Program.</w:t>
      </w:r>
      <w:r w:rsidRPr="5FA307DC">
        <w:rPr>
          <w:lang w:val="en-US"/>
        </w:rPr>
        <w:t xml:space="preserve"> This will include an additional 50 Medicare Urgent Care Clinics across Australia, which will take the total number of Medicare Urgent Care Clinics to</w:t>
      </w:r>
      <w:r w:rsidR="005B3E32" w:rsidRPr="5FA307DC">
        <w:rPr>
          <w:lang w:val="en-US"/>
        </w:rPr>
        <w:t> </w:t>
      </w:r>
      <w:r w:rsidRPr="5FA307DC">
        <w:rPr>
          <w:lang w:val="en-US"/>
        </w:rPr>
        <w:t>137.</w:t>
      </w:r>
    </w:p>
    <w:p w14:paraId="7B835D0D" w14:textId="20EC392E" w:rsidR="00B628FF" w:rsidRDefault="005B2D2F">
      <w:pPr>
        <w:pStyle w:val="Normal2"/>
      </w:pPr>
      <w:r w:rsidRPr="5FA307DC">
        <w:rPr>
          <w:lang w:val="en-US"/>
        </w:rPr>
        <w:t xml:space="preserve">Medicare Urgent Care Clinics reduce pressure on hospital emergency departments by supporting Australians to access care for urgent, but not life‑threatening, conditions. Medicare Urgent Care Clinics are open during extended business hours with no appointments or referrals required, and with </w:t>
      </w:r>
      <w:proofErr w:type="gramStart"/>
      <w:r w:rsidRPr="5FA307DC">
        <w:rPr>
          <w:lang w:val="en-US"/>
        </w:rPr>
        <w:t>no</w:t>
      </w:r>
      <w:proofErr w:type="gramEnd"/>
      <w:r w:rsidRPr="5FA307DC">
        <w:rPr>
          <w:lang w:val="en-US"/>
        </w:rPr>
        <w:t xml:space="preserve"> out‑of‑pocket costs for patients. Funding</w:t>
      </w:r>
      <w:r w:rsidR="005B3E32" w:rsidRPr="5FA307DC">
        <w:rPr>
          <w:lang w:val="en-US"/>
        </w:rPr>
        <w:t> </w:t>
      </w:r>
      <w:r w:rsidRPr="5FA307DC">
        <w:rPr>
          <w:lang w:val="en-US"/>
        </w:rPr>
        <w:t>includes:</w:t>
      </w:r>
    </w:p>
    <w:p w14:paraId="7995BB53" w14:textId="211C12EE" w:rsidR="00B628FF" w:rsidRDefault="005B2D2F">
      <w:pPr>
        <w:pStyle w:val="Bullet"/>
      </w:pPr>
      <w:r>
        <w:t>$653.8 million over three</w:t>
      </w:r>
      <w:r w:rsidR="005B3E32">
        <w:t> </w:t>
      </w:r>
      <w:r>
        <w:t xml:space="preserve">years from 2025–‍26 to expand the </w:t>
      </w:r>
      <w:r w:rsidRPr="005B2D2F">
        <w:rPr>
          <w:i/>
        </w:rPr>
        <w:t>Medicare Urgent Care Clinics Program</w:t>
      </w:r>
      <w:r>
        <w:t xml:space="preserve"> by an additional 50</w:t>
      </w:r>
      <w:r w:rsidR="005B3E32">
        <w:t> </w:t>
      </w:r>
      <w:r>
        <w:t>clinics, extend the opening hours of the Batemans Bay and Launceston Medicare Urgent Care Clinics, and to continue to support the operations of the Mparntwe (Alice Springs) Medicare Urgent Care Clinic</w:t>
      </w:r>
    </w:p>
    <w:p w14:paraId="004045E2" w14:textId="77777777" w:rsidR="00B628FF" w:rsidRDefault="005B2D2F">
      <w:pPr>
        <w:pStyle w:val="Bullet"/>
      </w:pPr>
      <w:r>
        <w:t>$4.1 million over two years from 2025–‍26 to enable state‑funded urgent care services to access Medicare Benefits Schedule items.</w:t>
      </w:r>
    </w:p>
    <w:p w14:paraId="3CC5A3C7" w14:textId="77777777" w:rsidR="00B628FF" w:rsidRDefault="005B2D2F">
      <w:pPr>
        <w:pStyle w:val="Normal2"/>
      </w:pPr>
      <w:r>
        <w:t>The Government has already provided partial funding for this measure.</w:t>
      </w:r>
    </w:p>
    <w:p w14:paraId="0528D760" w14:textId="77777777" w:rsidR="00B628FF" w:rsidRDefault="005B2D2F">
      <w:pPr>
        <w:pStyle w:val="Normal2"/>
      </w:pPr>
      <w:r>
        <w:t>The Treasury manages Commonwealth payments to the states and territories.</w:t>
      </w:r>
    </w:p>
    <w:p w14:paraId="0ADB23B8" w14:textId="77777777" w:rsidR="00B628FF" w:rsidRDefault="005B2D2F">
      <w:pPr>
        <w:pStyle w:val="Normal2"/>
      </w:pPr>
      <w:r w:rsidRPr="5FA307DC">
        <w:rPr>
          <w:lang w:val="en-US"/>
        </w:rPr>
        <w:t xml:space="preserve">This measure builds on the 2024–‍25 Budget measure titled </w:t>
      </w:r>
      <w:r w:rsidRPr="5FA307DC">
        <w:rPr>
          <w:i/>
          <w:iCs/>
          <w:lang w:val="en-US"/>
        </w:rPr>
        <w:t>Strengthening Medicare – Medicare Urgent Care Clinics – additional funding</w:t>
      </w:r>
      <w:r w:rsidRPr="5FA307DC">
        <w:rPr>
          <w:lang w:val="en-US"/>
        </w:rPr>
        <w:t>.</w:t>
      </w:r>
    </w:p>
    <w:p w14:paraId="13F5F2E8" w14:textId="77777777" w:rsidR="00B628FF" w:rsidRDefault="005B2D2F">
      <w:pPr>
        <w:pStyle w:val="MeasureTitle"/>
      </w:pPr>
      <w:r>
        <w:t>Strengthening Medicare – Health Workforce</w:t>
      </w:r>
    </w:p>
    <w:p w14:paraId="5D747670" w14:textId="77777777" w:rsidR="00B628FF" w:rsidRDefault="005B2D2F">
      <w:pPr>
        <w:pStyle w:val="MeasureTableHeading"/>
      </w:pPr>
      <w:r>
        <w:t>Payments ($m)</w:t>
      </w:r>
    </w:p>
    <w:tbl>
      <w:tblPr>
        <w:tblOverlap w:val="never"/>
        <w:tblW w:w="7721" w:type="dxa"/>
        <w:tblBorders>
          <w:top w:val="single" w:sz="4" w:space="0" w:color="000000"/>
          <w:bottom w:val="single" w:sz="4" w:space="0" w:color="000000"/>
        </w:tblBorders>
        <w:tblLayout w:type="fixed"/>
        <w:tblLook w:val="04A0" w:firstRow="1" w:lastRow="0" w:firstColumn="1" w:lastColumn="0" w:noHBand="0" w:noVBand="1"/>
      </w:tblPr>
      <w:tblGrid>
        <w:gridCol w:w="2501"/>
        <w:gridCol w:w="1044"/>
        <w:gridCol w:w="1044"/>
        <w:gridCol w:w="1044"/>
        <w:gridCol w:w="1044"/>
        <w:gridCol w:w="1044"/>
      </w:tblGrid>
      <w:tr w:rsidR="00B628FF" w14:paraId="4E8D7F19" w14:textId="77777777">
        <w:trPr>
          <w:cantSplit/>
        </w:trPr>
        <w:tc>
          <w:tcPr>
            <w:tcW w:w="2500" w:type="dxa"/>
            <w:tcBorders>
              <w:top w:val="single" w:sz="4" w:space="0" w:color="000000"/>
              <w:bottom w:val="single" w:sz="4" w:space="0" w:color="000000"/>
            </w:tcBorders>
          </w:tcPr>
          <w:p w14:paraId="57F07D74" w14:textId="77777777" w:rsidR="00B628FF" w:rsidRDefault="00B628FF">
            <w:pPr>
              <w:pStyle w:val="MeasureTableYearHeadings"/>
              <w:keepNext/>
            </w:pPr>
          </w:p>
        </w:tc>
        <w:tc>
          <w:tcPr>
            <w:tcW w:w="1043" w:type="dxa"/>
            <w:tcBorders>
              <w:top w:val="single" w:sz="4" w:space="0" w:color="000000"/>
              <w:bottom w:val="single" w:sz="4" w:space="0" w:color="000000"/>
            </w:tcBorders>
          </w:tcPr>
          <w:p w14:paraId="4009B204" w14:textId="40777280" w:rsidR="00B628FF" w:rsidRDefault="005B2D2F">
            <w:pPr>
              <w:pStyle w:val="MeasureTableYearHeadings"/>
              <w:keepNext/>
            </w:pPr>
            <w:r>
              <w:t>2024</w:t>
            </w:r>
            <w:r w:rsidR="00B31B37">
              <w:noBreakHyphen/>
            </w:r>
            <w:r>
              <w:t>25</w:t>
            </w:r>
          </w:p>
        </w:tc>
        <w:tc>
          <w:tcPr>
            <w:tcW w:w="1043" w:type="dxa"/>
            <w:tcBorders>
              <w:top w:val="single" w:sz="4" w:space="0" w:color="000000"/>
              <w:bottom w:val="single" w:sz="4" w:space="0" w:color="000000"/>
            </w:tcBorders>
          </w:tcPr>
          <w:p w14:paraId="4EFF2C5A" w14:textId="0E950B2C" w:rsidR="00B628FF" w:rsidRDefault="005B2D2F">
            <w:pPr>
              <w:pStyle w:val="MeasureTableYearHeadings"/>
              <w:keepNext/>
            </w:pPr>
            <w:r>
              <w:t>2025</w:t>
            </w:r>
            <w:r w:rsidR="00B31B37">
              <w:noBreakHyphen/>
            </w:r>
            <w:r>
              <w:t>26</w:t>
            </w:r>
          </w:p>
        </w:tc>
        <w:tc>
          <w:tcPr>
            <w:tcW w:w="1043" w:type="dxa"/>
            <w:tcBorders>
              <w:top w:val="single" w:sz="4" w:space="0" w:color="000000"/>
              <w:bottom w:val="single" w:sz="4" w:space="0" w:color="000000"/>
            </w:tcBorders>
          </w:tcPr>
          <w:p w14:paraId="2E555DED" w14:textId="0210A3E5" w:rsidR="00B628FF" w:rsidRDefault="005B2D2F">
            <w:pPr>
              <w:pStyle w:val="MeasureTableYearHeadings"/>
              <w:keepNext/>
            </w:pPr>
            <w:r>
              <w:t>2026</w:t>
            </w:r>
            <w:r w:rsidR="00B31B37">
              <w:noBreakHyphen/>
            </w:r>
            <w:r>
              <w:t>27</w:t>
            </w:r>
          </w:p>
        </w:tc>
        <w:tc>
          <w:tcPr>
            <w:tcW w:w="1043" w:type="dxa"/>
            <w:tcBorders>
              <w:top w:val="single" w:sz="4" w:space="0" w:color="000000"/>
              <w:bottom w:val="single" w:sz="4" w:space="0" w:color="000000"/>
            </w:tcBorders>
          </w:tcPr>
          <w:p w14:paraId="1C010FC9" w14:textId="77851FF6" w:rsidR="00B628FF" w:rsidRDefault="005B2D2F">
            <w:pPr>
              <w:pStyle w:val="MeasureTableYearHeadings"/>
              <w:keepNext/>
            </w:pPr>
            <w:r>
              <w:t>2027</w:t>
            </w:r>
            <w:r w:rsidR="00B31B37">
              <w:noBreakHyphen/>
            </w:r>
            <w:r>
              <w:t>28</w:t>
            </w:r>
          </w:p>
        </w:tc>
        <w:tc>
          <w:tcPr>
            <w:tcW w:w="1043" w:type="dxa"/>
            <w:tcBorders>
              <w:top w:val="single" w:sz="4" w:space="0" w:color="000000"/>
              <w:bottom w:val="single" w:sz="4" w:space="0" w:color="000000"/>
            </w:tcBorders>
          </w:tcPr>
          <w:p w14:paraId="6FC75ED2" w14:textId="2073F573" w:rsidR="00B628FF" w:rsidRDefault="005B2D2F">
            <w:pPr>
              <w:pStyle w:val="MeasureTableYearHeadings"/>
              <w:keepNext/>
            </w:pPr>
            <w:r>
              <w:t>2028</w:t>
            </w:r>
            <w:r w:rsidR="00B31B37">
              <w:noBreakHyphen/>
            </w:r>
            <w:r>
              <w:t>29</w:t>
            </w:r>
          </w:p>
        </w:tc>
      </w:tr>
      <w:tr w:rsidR="00B628FF" w14:paraId="11CF08F7" w14:textId="77777777">
        <w:trPr>
          <w:cantSplit/>
        </w:trPr>
        <w:tc>
          <w:tcPr>
            <w:tcW w:w="2500" w:type="dxa"/>
            <w:tcBorders>
              <w:top w:val="single" w:sz="4" w:space="0" w:color="000000"/>
              <w:bottom w:val="single" w:sz="4" w:space="0" w:color="000000"/>
            </w:tcBorders>
          </w:tcPr>
          <w:p w14:paraId="2551AFA3" w14:textId="77777777" w:rsidR="00B628FF" w:rsidRDefault="005B2D2F">
            <w:pPr>
              <w:pStyle w:val="MeasureTableHeadingleftalignedwith2ptsspacing"/>
              <w:keepNext/>
            </w:pPr>
            <w:r>
              <w:t>Department of Health and Aged Care</w:t>
            </w:r>
          </w:p>
        </w:tc>
        <w:tc>
          <w:tcPr>
            <w:tcW w:w="1043" w:type="dxa"/>
            <w:tcBorders>
              <w:top w:val="single" w:sz="4" w:space="0" w:color="000000"/>
              <w:bottom w:val="single" w:sz="4" w:space="0" w:color="000000"/>
            </w:tcBorders>
          </w:tcPr>
          <w:p w14:paraId="49CBB39E" w14:textId="77777777" w:rsidR="00B628FF" w:rsidRDefault="005B2D2F">
            <w:pPr>
              <w:pStyle w:val="MeasureTableDataRightAlignedwith2ptsspacing"/>
              <w:keepNext/>
            </w:pPr>
            <w:r>
              <w:t>0.2</w:t>
            </w:r>
          </w:p>
        </w:tc>
        <w:tc>
          <w:tcPr>
            <w:tcW w:w="1043" w:type="dxa"/>
            <w:tcBorders>
              <w:top w:val="single" w:sz="4" w:space="0" w:color="000000"/>
              <w:bottom w:val="single" w:sz="4" w:space="0" w:color="000000"/>
            </w:tcBorders>
          </w:tcPr>
          <w:p w14:paraId="26B67F1B" w14:textId="77777777" w:rsidR="00B628FF" w:rsidRDefault="005B2D2F">
            <w:pPr>
              <w:pStyle w:val="MeasureTableDataRightAlignedwith2ptsspacing"/>
              <w:keepNext/>
            </w:pPr>
            <w:r>
              <w:t>8.5</w:t>
            </w:r>
          </w:p>
        </w:tc>
        <w:tc>
          <w:tcPr>
            <w:tcW w:w="1043" w:type="dxa"/>
            <w:tcBorders>
              <w:top w:val="single" w:sz="4" w:space="0" w:color="000000"/>
              <w:bottom w:val="single" w:sz="4" w:space="0" w:color="000000"/>
            </w:tcBorders>
          </w:tcPr>
          <w:p w14:paraId="4236E5F5" w14:textId="77777777" w:rsidR="00B628FF" w:rsidRDefault="005B2D2F">
            <w:pPr>
              <w:pStyle w:val="MeasureTableDataRightAlignedwith2ptsspacing"/>
              <w:keepNext/>
            </w:pPr>
            <w:r>
              <w:t>8.9</w:t>
            </w:r>
          </w:p>
        </w:tc>
        <w:tc>
          <w:tcPr>
            <w:tcW w:w="1043" w:type="dxa"/>
            <w:tcBorders>
              <w:top w:val="single" w:sz="4" w:space="0" w:color="000000"/>
              <w:bottom w:val="single" w:sz="4" w:space="0" w:color="000000"/>
            </w:tcBorders>
          </w:tcPr>
          <w:p w14:paraId="4F20B5DB" w14:textId="77777777" w:rsidR="00B628FF" w:rsidRDefault="005B2D2F">
            <w:pPr>
              <w:pStyle w:val="MeasureTableDataRightAlignedwith2ptsspacing"/>
              <w:keepNext/>
            </w:pPr>
            <w:r>
              <w:t>3.8</w:t>
            </w:r>
          </w:p>
        </w:tc>
        <w:tc>
          <w:tcPr>
            <w:tcW w:w="1043" w:type="dxa"/>
            <w:tcBorders>
              <w:top w:val="single" w:sz="4" w:space="0" w:color="000000"/>
              <w:bottom w:val="single" w:sz="4" w:space="0" w:color="000000"/>
            </w:tcBorders>
          </w:tcPr>
          <w:p w14:paraId="34ED61D5" w14:textId="77777777" w:rsidR="00B628FF" w:rsidRDefault="005B2D2F">
            <w:pPr>
              <w:pStyle w:val="MeasureTableDataRightAlignedwith2ptsspacing"/>
              <w:keepNext/>
            </w:pPr>
            <w:r>
              <w:t>4.1</w:t>
            </w:r>
          </w:p>
        </w:tc>
      </w:tr>
      <w:tr w:rsidR="00B628FF" w14:paraId="291D6F15" w14:textId="77777777">
        <w:trPr>
          <w:cantSplit/>
        </w:trPr>
        <w:tc>
          <w:tcPr>
            <w:tcW w:w="2500" w:type="dxa"/>
            <w:tcBorders>
              <w:top w:val="single" w:sz="4" w:space="0" w:color="000000"/>
              <w:bottom w:val="single" w:sz="4" w:space="0" w:color="000000"/>
            </w:tcBorders>
          </w:tcPr>
          <w:p w14:paraId="4E97A460" w14:textId="4B3400B1" w:rsidR="00B628FF" w:rsidRDefault="005B2D2F">
            <w:pPr>
              <w:pStyle w:val="MeasureTableHeadingleftalignedwith2ptsspacing"/>
              <w:keepNext/>
            </w:pPr>
            <w:r>
              <w:t>Department of Veterans</w:t>
            </w:r>
            <w:r w:rsidR="00B31B37">
              <w:t>’</w:t>
            </w:r>
            <w:r>
              <w:t xml:space="preserve"> Affairs</w:t>
            </w:r>
          </w:p>
        </w:tc>
        <w:tc>
          <w:tcPr>
            <w:tcW w:w="1043" w:type="dxa"/>
            <w:tcBorders>
              <w:top w:val="single" w:sz="4" w:space="0" w:color="000000"/>
              <w:bottom w:val="single" w:sz="4" w:space="0" w:color="000000"/>
            </w:tcBorders>
          </w:tcPr>
          <w:p w14:paraId="2A89DD01" w14:textId="48206200"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05F038F2" w14:textId="77777777" w:rsidR="00B628FF" w:rsidRDefault="005B2D2F">
            <w:pPr>
              <w:pStyle w:val="MeasureTableDataRightAlignedwith2ptsspacing"/>
              <w:keepNext/>
            </w:pPr>
            <w:r>
              <w:t>0.1</w:t>
            </w:r>
          </w:p>
        </w:tc>
        <w:tc>
          <w:tcPr>
            <w:tcW w:w="1043" w:type="dxa"/>
            <w:tcBorders>
              <w:top w:val="single" w:sz="4" w:space="0" w:color="000000"/>
              <w:bottom w:val="single" w:sz="4" w:space="0" w:color="000000"/>
            </w:tcBorders>
          </w:tcPr>
          <w:p w14:paraId="6BC55DA0" w14:textId="77777777" w:rsidR="00B628FF" w:rsidRDefault="005B2D2F">
            <w:pPr>
              <w:pStyle w:val="MeasureTableDataRightAlignedwith2ptsspacing"/>
              <w:keepNext/>
            </w:pPr>
            <w:r>
              <w:t>0.1</w:t>
            </w:r>
          </w:p>
        </w:tc>
        <w:tc>
          <w:tcPr>
            <w:tcW w:w="1043" w:type="dxa"/>
            <w:tcBorders>
              <w:top w:val="single" w:sz="4" w:space="0" w:color="000000"/>
              <w:bottom w:val="single" w:sz="4" w:space="0" w:color="000000"/>
            </w:tcBorders>
          </w:tcPr>
          <w:p w14:paraId="0DA5A86E" w14:textId="77777777" w:rsidR="00B628FF" w:rsidRDefault="005B2D2F">
            <w:pPr>
              <w:pStyle w:val="MeasureTableDataRightAlignedwith2ptsspacing"/>
              <w:keepNext/>
            </w:pPr>
            <w:r>
              <w:t>0.1</w:t>
            </w:r>
          </w:p>
        </w:tc>
        <w:tc>
          <w:tcPr>
            <w:tcW w:w="1043" w:type="dxa"/>
            <w:tcBorders>
              <w:top w:val="single" w:sz="4" w:space="0" w:color="000000"/>
              <w:bottom w:val="single" w:sz="4" w:space="0" w:color="000000"/>
            </w:tcBorders>
          </w:tcPr>
          <w:p w14:paraId="273B4D9E" w14:textId="77777777" w:rsidR="00B628FF" w:rsidRDefault="005B2D2F">
            <w:pPr>
              <w:pStyle w:val="MeasureTableDataRightAlignedwith2ptsspacing"/>
              <w:keepNext/>
            </w:pPr>
            <w:r>
              <w:t>0.1</w:t>
            </w:r>
          </w:p>
        </w:tc>
      </w:tr>
      <w:tr w:rsidR="00B628FF" w14:paraId="1268E469" w14:textId="77777777">
        <w:trPr>
          <w:cantSplit/>
        </w:trPr>
        <w:tc>
          <w:tcPr>
            <w:tcW w:w="2500" w:type="dxa"/>
            <w:tcBorders>
              <w:top w:val="single" w:sz="4" w:space="0" w:color="000000"/>
              <w:bottom w:val="single" w:sz="4" w:space="0" w:color="000000"/>
            </w:tcBorders>
          </w:tcPr>
          <w:p w14:paraId="693B3372" w14:textId="77777777" w:rsidR="00B628FF" w:rsidRDefault="005B2D2F">
            <w:pPr>
              <w:pStyle w:val="MeasureTableHeadingleftalignedwith2ptsspacing"/>
              <w:keepNext/>
            </w:pPr>
            <w:r>
              <w:t>Department of Education</w:t>
            </w:r>
          </w:p>
        </w:tc>
        <w:tc>
          <w:tcPr>
            <w:tcW w:w="1043" w:type="dxa"/>
            <w:tcBorders>
              <w:top w:val="single" w:sz="4" w:space="0" w:color="000000"/>
              <w:bottom w:val="single" w:sz="4" w:space="0" w:color="000000"/>
            </w:tcBorders>
          </w:tcPr>
          <w:p w14:paraId="1F318CCF" w14:textId="003C209E"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4AF3A65C" w14:textId="4DF3A025"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0041E401" w14:textId="203DA986"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7AD49FE6" w14:textId="44A89D5D"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4A073AD5" w14:textId="728F71FD" w:rsidR="00B628FF" w:rsidRDefault="00B31B37">
            <w:pPr>
              <w:pStyle w:val="MeasureTableDataRightAlignedwith2ptsspacing"/>
              <w:keepNext/>
            </w:pPr>
            <w:r>
              <w:noBreakHyphen/>
            </w:r>
          </w:p>
        </w:tc>
      </w:tr>
      <w:tr w:rsidR="00B628FF" w14:paraId="65BAFF77" w14:textId="77777777">
        <w:trPr>
          <w:cantSplit/>
        </w:trPr>
        <w:tc>
          <w:tcPr>
            <w:tcW w:w="2500" w:type="dxa"/>
            <w:tcBorders>
              <w:top w:val="single" w:sz="4" w:space="0" w:color="000000"/>
              <w:bottom w:val="single" w:sz="4" w:space="0" w:color="000000"/>
            </w:tcBorders>
          </w:tcPr>
          <w:p w14:paraId="5D0F3A41" w14:textId="77777777" w:rsidR="00B628FF" w:rsidRDefault="005B2D2F">
            <w:pPr>
              <w:pStyle w:val="MeasureTableHeadingleftalignedwith2ptsspacing"/>
              <w:keepNext/>
            </w:pPr>
            <w:r>
              <w:t>Department of the Treasury</w:t>
            </w:r>
          </w:p>
        </w:tc>
        <w:tc>
          <w:tcPr>
            <w:tcW w:w="1043" w:type="dxa"/>
            <w:tcBorders>
              <w:top w:val="single" w:sz="4" w:space="0" w:color="000000"/>
              <w:bottom w:val="single" w:sz="4" w:space="0" w:color="000000"/>
            </w:tcBorders>
          </w:tcPr>
          <w:p w14:paraId="2C3AAC9A" w14:textId="2FEF0C99"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61FC5361" w14:textId="5832E36A"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28179C5D" w14:textId="6A257620"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2CD65362" w14:textId="1BF71697"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3549A7E6" w14:textId="018E0292" w:rsidR="00B628FF" w:rsidRDefault="00B31B37">
            <w:pPr>
              <w:pStyle w:val="MeasureTableDataRightAlignedwith2ptsspacing"/>
              <w:keepNext/>
            </w:pPr>
            <w:r>
              <w:noBreakHyphen/>
            </w:r>
          </w:p>
        </w:tc>
      </w:tr>
      <w:tr w:rsidR="00B628FF" w14:paraId="4B2CBE8A" w14:textId="77777777">
        <w:trPr>
          <w:cantSplit/>
        </w:trPr>
        <w:tc>
          <w:tcPr>
            <w:tcW w:w="2500" w:type="dxa"/>
            <w:tcBorders>
              <w:top w:val="single" w:sz="4" w:space="0" w:color="000000"/>
              <w:bottom w:val="single" w:sz="4" w:space="0" w:color="000000"/>
            </w:tcBorders>
          </w:tcPr>
          <w:p w14:paraId="51E75B0F" w14:textId="77777777" w:rsidR="00B628FF" w:rsidRDefault="005B2D2F">
            <w:pPr>
              <w:pStyle w:val="MeasureTableHeadingleftalignedwith2ptsspacing"/>
              <w:keepNext/>
            </w:pPr>
            <w:r>
              <w:t>Services Australia</w:t>
            </w:r>
          </w:p>
        </w:tc>
        <w:tc>
          <w:tcPr>
            <w:tcW w:w="1043" w:type="dxa"/>
            <w:tcBorders>
              <w:top w:val="single" w:sz="4" w:space="0" w:color="000000"/>
              <w:bottom w:val="single" w:sz="4" w:space="0" w:color="000000"/>
            </w:tcBorders>
          </w:tcPr>
          <w:p w14:paraId="339D3EB1" w14:textId="250F81BC"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327AE9E3" w14:textId="5666D401"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306B7E49" w14:textId="4A55ED54"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26D881AD" w14:textId="5C25C5AF"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5AF38471" w14:textId="7E2A91CE" w:rsidR="00B628FF" w:rsidRDefault="00B31B37">
            <w:pPr>
              <w:pStyle w:val="MeasureTableDataRightAlignedwith2ptsspacing"/>
              <w:keepNext/>
            </w:pPr>
            <w:r>
              <w:noBreakHyphen/>
            </w:r>
          </w:p>
        </w:tc>
      </w:tr>
      <w:tr w:rsidR="00B628FF" w14:paraId="3C3EF2CE" w14:textId="77777777">
        <w:trPr>
          <w:cantSplit/>
        </w:trPr>
        <w:tc>
          <w:tcPr>
            <w:tcW w:w="2500" w:type="dxa"/>
            <w:tcBorders>
              <w:top w:val="single" w:sz="4" w:space="0" w:color="000000"/>
              <w:bottom w:val="single" w:sz="4" w:space="0" w:color="000000"/>
            </w:tcBorders>
          </w:tcPr>
          <w:p w14:paraId="0E9685A8" w14:textId="77777777" w:rsidR="00B628FF" w:rsidRDefault="005B2D2F">
            <w:pPr>
              <w:pStyle w:val="Totalrowleftaligned"/>
              <w:keepNext/>
            </w:pPr>
            <w:r>
              <w:t>Total – Payments</w:t>
            </w:r>
          </w:p>
        </w:tc>
        <w:tc>
          <w:tcPr>
            <w:tcW w:w="1043" w:type="dxa"/>
            <w:tcBorders>
              <w:top w:val="single" w:sz="4" w:space="0" w:color="000000"/>
              <w:bottom w:val="single" w:sz="4" w:space="0" w:color="000000"/>
            </w:tcBorders>
          </w:tcPr>
          <w:p w14:paraId="3F92497C" w14:textId="77777777" w:rsidR="00B628FF" w:rsidRDefault="005B2D2F">
            <w:pPr>
              <w:pStyle w:val="Totaldatarowrightaligned"/>
              <w:keepNext/>
            </w:pPr>
            <w:r>
              <w:t>0.2</w:t>
            </w:r>
          </w:p>
        </w:tc>
        <w:tc>
          <w:tcPr>
            <w:tcW w:w="1043" w:type="dxa"/>
            <w:tcBorders>
              <w:top w:val="single" w:sz="4" w:space="0" w:color="000000"/>
              <w:bottom w:val="single" w:sz="4" w:space="0" w:color="000000"/>
            </w:tcBorders>
          </w:tcPr>
          <w:p w14:paraId="6A19F083" w14:textId="77777777" w:rsidR="00B628FF" w:rsidRDefault="005B2D2F">
            <w:pPr>
              <w:pStyle w:val="Totaldatarowrightaligned"/>
              <w:keepNext/>
            </w:pPr>
            <w:r>
              <w:t>8.6</w:t>
            </w:r>
          </w:p>
        </w:tc>
        <w:tc>
          <w:tcPr>
            <w:tcW w:w="1043" w:type="dxa"/>
            <w:tcBorders>
              <w:top w:val="single" w:sz="4" w:space="0" w:color="000000"/>
              <w:bottom w:val="single" w:sz="4" w:space="0" w:color="000000"/>
            </w:tcBorders>
          </w:tcPr>
          <w:p w14:paraId="002CC2F6" w14:textId="77777777" w:rsidR="00B628FF" w:rsidRDefault="005B2D2F">
            <w:pPr>
              <w:pStyle w:val="Totaldatarowrightaligned"/>
              <w:keepNext/>
            </w:pPr>
            <w:r>
              <w:t>9.0</w:t>
            </w:r>
          </w:p>
        </w:tc>
        <w:tc>
          <w:tcPr>
            <w:tcW w:w="1043" w:type="dxa"/>
            <w:tcBorders>
              <w:top w:val="single" w:sz="4" w:space="0" w:color="000000"/>
              <w:bottom w:val="single" w:sz="4" w:space="0" w:color="000000"/>
            </w:tcBorders>
          </w:tcPr>
          <w:p w14:paraId="50400406" w14:textId="77777777" w:rsidR="00B628FF" w:rsidRDefault="005B2D2F">
            <w:pPr>
              <w:pStyle w:val="Totaldatarowrightaligned"/>
              <w:keepNext/>
            </w:pPr>
            <w:r>
              <w:t>3.9</w:t>
            </w:r>
          </w:p>
        </w:tc>
        <w:tc>
          <w:tcPr>
            <w:tcW w:w="1043" w:type="dxa"/>
            <w:tcBorders>
              <w:top w:val="single" w:sz="4" w:space="0" w:color="000000"/>
              <w:bottom w:val="single" w:sz="4" w:space="0" w:color="000000"/>
            </w:tcBorders>
          </w:tcPr>
          <w:p w14:paraId="42E73DE9" w14:textId="77777777" w:rsidR="00B628FF" w:rsidRDefault="005B2D2F">
            <w:pPr>
              <w:pStyle w:val="Totaldatarowrightaligned"/>
              <w:keepNext/>
            </w:pPr>
            <w:r>
              <w:t>4.2</w:t>
            </w:r>
          </w:p>
        </w:tc>
      </w:tr>
      <w:tr w:rsidR="00B628FF" w14:paraId="21BBE21F" w14:textId="77777777">
        <w:trPr>
          <w:cantSplit/>
        </w:trPr>
        <w:tc>
          <w:tcPr>
            <w:tcW w:w="2500" w:type="dxa"/>
          </w:tcPr>
          <w:p w14:paraId="55F59689" w14:textId="77777777" w:rsidR="00B628FF" w:rsidRDefault="005B2D2F">
            <w:pPr>
              <w:pStyle w:val="AgencyName"/>
              <w:keepNext/>
            </w:pPr>
            <w:r>
              <w:t>Related receipts ($m)</w:t>
            </w:r>
          </w:p>
        </w:tc>
        <w:tc>
          <w:tcPr>
            <w:tcW w:w="1043" w:type="dxa"/>
          </w:tcPr>
          <w:p w14:paraId="499CED78" w14:textId="77777777" w:rsidR="00B628FF" w:rsidRDefault="00B628FF">
            <w:pPr>
              <w:pStyle w:val="AgencyName"/>
              <w:keepNext/>
            </w:pPr>
          </w:p>
        </w:tc>
        <w:tc>
          <w:tcPr>
            <w:tcW w:w="1043" w:type="dxa"/>
          </w:tcPr>
          <w:p w14:paraId="244EFD6C" w14:textId="77777777" w:rsidR="00B628FF" w:rsidRDefault="00B628FF">
            <w:pPr>
              <w:pStyle w:val="AgencyName"/>
              <w:keepNext/>
            </w:pPr>
          </w:p>
        </w:tc>
        <w:tc>
          <w:tcPr>
            <w:tcW w:w="1043" w:type="dxa"/>
          </w:tcPr>
          <w:p w14:paraId="055CD023" w14:textId="77777777" w:rsidR="00B628FF" w:rsidRDefault="00B628FF">
            <w:pPr>
              <w:pStyle w:val="AgencyName"/>
              <w:keepNext/>
            </w:pPr>
          </w:p>
        </w:tc>
        <w:tc>
          <w:tcPr>
            <w:tcW w:w="1043" w:type="dxa"/>
          </w:tcPr>
          <w:p w14:paraId="54A96F28" w14:textId="77777777" w:rsidR="00B628FF" w:rsidRDefault="00B628FF">
            <w:pPr>
              <w:pStyle w:val="AgencyName"/>
              <w:keepNext/>
            </w:pPr>
          </w:p>
        </w:tc>
        <w:tc>
          <w:tcPr>
            <w:tcW w:w="1043" w:type="dxa"/>
          </w:tcPr>
          <w:p w14:paraId="031A4453" w14:textId="77777777" w:rsidR="00B628FF" w:rsidRDefault="00B628FF">
            <w:pPr>
              <w:pStyle w:val="AgencyName"/>
              <w:keepNext/>
            </w:pPr>
          </w:p>
        </w:tc>
      </w:tr>
      <w:tr w:rsidR="00B628FF" w14:paraId="0E9B3A00" w14:textId="77777777">
        <w:tc>
          <w:tcPr>
            <w:tcW w:w="2500" w:type="dxa"/>
          </w:tcPr>
          <w:p w14:paraId="3FDE7B0F" w14:textId="77777777" w:rsidR="00B628FF" w:rsidRDefault="005B2D2F">
            <w:pPr>
              <w:pStyle w:val="AgencyNamewith2ptsspacing"/>
              <w:keepNext/>
            </w:pPr>
            <w:r>
              <w:t>Department of Education</w:t>
            </w:r>
          </w:p>
        </w:tc>
        <w:tc>
          <w:tcPr>
            <w:tcW w:w="1043" w:type="dxa"/>
          </w:tcPr>
          <w:p w14:paraId="5523B6FB" w14:textId="252474E7" w:rsidR="00B628FF" w:rsidRDefault="00B31B37">
            <w:pPr>
              <w:pStyle w:val="Measuretabledatarightaligneditalics"/>
              <w:keepNext/>
            </w:pPr>
            <w:r>
              <w:noBreakHyphen/>
            </w:r>
          </w:p>
        </w:tc>
        <w:tc>
          <w:tcPr>
            <w:tcW w:w="1043" w:type="dxa"/>
          </w:tcPr>
          <w:p w14:paraId="562F8E6E" w14:textId="213F0DBC" w:rsidR="00B628FF" w:rsidRDefault="00B31B37">
            <w:pPr>
              <w:pStyle w:val="Measuretabledatarightaligneditalics"/>
              <w:keepNext/>
            </w:pPr>
            <w:r>
              <w:noBreakHyphen/>
            </w:r>
          </w:p>
        </w:tc>
        <w:tc>
          <w:tcPr>
            <w:tcW w:w="1043" w:type="dxa"/>
          </w:tcPr>
          <w:p w14:paraId="7977E43B" w14:textId="77777777" w:rsidR="00B628FF" w:rsidRDefault="005B2D2F">
            <w:pPr>
              <w:pStyle w:val="Measuretabledatarightaligneditalics"/>
              <w:keepNext/>
            </w:pPr>
            <w:r>
              <w:t>..</w:t>
            </w:r>
          </w:p>
        </w:tc>
        <w:tc>
          <w:tcPr>
            <w:tcW w:w="1043" w:type="dxa"/>
          </w:tcPr>
          <w:p w14:paraId="077B9636" w14:textId="77777777" w:rsidR="00B628FF" w:rsidRDefault="005B2D2F">
            <w:pPr>
              <w:pStyle w:val="Measuretabledatarightaligneditalics"/>
              <w:keepNext/>
            </w:pPr>
            <w:r>
              <w:t>..</w:t>
            </w:r>
          </w:p>
        </w:tc>
        <w:tc>
          <w:tcPr>
            <w:tcW w:w="1043" w:type="dxa"/>
          </w:tcPr>
          <w:p w14:paraId="2B3E42F3" w14:textId="77777777" w:rsidR="00B628FF" w:rsidRDefault="005B2D2F">
            <w:pPr>
              <w:pStyle w:val="Measuretabledatarightaligneditalics"/>
              <w:keepNext/>
            </w:pPr>
            <w:r>
              <w:t>..</w:t>
            </w:r>
          </w:p>
        </w:tc>
      </w:tr>
    </w:tbl>
    <w:p w14:paraId="740CBDAE" w14:textId="77777777" w:rsidR="00B628FF" w:rsidRDefault="00B628FF">
      <w:pPr>
        <w:keepNext/>
        <w:spacing w:line="226" w:lineRule="exact"/>
        <w:rPr>
          <w:sz w:val="16"/>
        </w:rPr>
      </w:pPr>
    </w:p>
    <w:p w14:paraId="27D5B872" w14:textId="4240020F" w:rsidR="00B628FF" w:rsidRDefault="005B2D2F">
      <w:pPr>
        <w:pStyle w:val="Normal2"/>
      </w:pPr>
      <w:r>
        <w:t>The Government will provide $662.6 million over five years from 2024–‍25 (and $230.9 million per year ongoing) to continue to strengthen and support Australia</w:t>
      </w:r>
      <w:r w:rsidR="00B31B37">
        <w:t>’</w:t>
      </w:r>
      <w:r>
        <w:t>s health workforce. Funding includes:</w:t>
      </w:r>
    </w:p>
    <w:p w14:paraId="4D11A72F" w14:textId="77777777" w:rsidR="00B628FF" w:rsidRDefault="005B2D2F">
      <w:pPr>
        <w:pStyle w:val="Bullet"/>
      </w:pPr>
      <w:r>
        <w:t>$606.3 million over four years from 2025–‍26 (and $226.3 million per year ongoing) to deliver more Australian doctors and nurses. Funding includes:</w:t>
      </w:r>
    </w:p>
    <w:p w14:paraId="394791A3" w14:textId="006967D0" w:rsidR="00B628FF" w:rsidRDefault="005B2D2F">
      <w:pPr>
        <w:pStyle w:val="Dash"/>
      </w:pPr>
      <w:r>
        <w:t xml:space="preserve">$265.4 million over four years from 2025–‍26 (and $94.8 million per year ongoing) to expand general practitioner (GP) training through the </w:t>
      </w:r>
      <w:r w:rsidRPr="005B2D2F">
        <w:rPr>
          <w:i/>
        </w:rPr>
        <w:t>Australian General Practice Training Program</w:t>
      </w:r>
      <w:r>
        <w:t xml:space="preserve"> and the </w:t>
      </w:r>
      <w:r w:rsidRPr="005B2D2F">
        <w:rPr>
          <w:i/>
        </w:rPr>
        <w:t>Remote Vocational Training Scheme</w:t>
      </w:r>
      <w:r>
        <w:t xml:space="preserve"> to deliver 200</w:t>
      </w:r>
      <w:r w:rsidR="009275F0">
        <w:t> </w:t>
      </w:r>
      <w:r>
        <w:t>new general practitioner training places each year from 2026, increasing to</w:t>
      </w:r>
      <w:r w:rsidR="009275F0">
        <w:t> </w:t>
      </w:r>
      <w:r>
        <w:t>400 from</w:t>
      </w:r>
      <w:r w:rsidR="009275F0">
        <w:t> </w:t>
      </w:r>
      <w:r>
        <w:t>2028</w:t>
      </w:r>
    </w:p>
    <w:p w14:paraId="09AAF2B5" w14:textId="77777777" w:rsidR="00B628FF" w:rsidRDefault="005B2D2F">
      <w:pPr>
        <w:pStyle w:val="Dash"/>
      </w:pPr>
      <w:r>
        <w:t>$248.7 million over four years from 2025–‍26 (and $83.6 million per year ongoing) for salary incentives for junior doctors to specialise in general practice, and to provide paid parental leave and study leave for trainee GPs</w:t>
      </w:r>
    </w:p>
    <w:p w14:paraId="7E2DD115" w14:textId="77777777" w:rsidR="00B628FF" w:rsidRDefault="005B2D2F">
      <w:pPr>
        <w:pStyle w:val="Dash"/>
      </w:pPr>
      <w:r>
        <w:t>$45.0 million over four years from 2025–‍26 (and $29.9 million per year ongoing) for 100 new medical Commonwealth Supported Places per year from 2026, increasing to 150 per year from 2028</w:t>
      </w:r>
    </w:p>
    <w:p w14:paraId="3EBB0FD6" w14:textId="77DA0AD7" w:rsidR="00B628FF" w:rsidRDefault="005B2D2F">
      <w:pPr>
        <w:pStyle w:val="Dash"/>
      </w:pPr>
      <w:r>
        <w:t>$44.0 million over four years from 2025–‍26 (and $16.0 million per year ongoing) for 200 new junior doctor/internship rotations in primary care per year from</w:t>
      </w:r>
      <w:r w:rsidR="009275F0">
        <w:t> </w:t>
      </w:r>
      <w:r>
        <w:t>2026 increasing to 400 per year from</w:t>
      </w:r>
      <w:r w:rsidR="009275F0">
        <w:t> </w:t>
      </w:r>
      <w:r>
        <w:t>2028</w:t>
      </w:r>
    </w:p>
    <w:p w14:paraId="295B4C4D" w14:textId="02DED704" w:rsidR="00B628FF" w:rsidRDefault="005B2D2F">
      <w:pPr>
        <w:pStyle w:val="Dash"/>
      </w:pPr>
      <w:r>
        <w:t>$3.2 million over four years from 2025–‍26 (and $2.0 million per year ongoing) to uncap the number of medical Commonwealth Supported Places for First Nations students from</w:t>
      </w:r>
      <w:r w:rsidR="009275F0">
        <w:t> </w:t>
      </w:r>
      <w:r>
        <w:t>2026.</w:t>
      </w:r>
    </w:p>
    <w:p w14:paraId="2E8AEB5C" w14:textId="77777777" w:rsidR="00B628FF" w:rsidRDefault="005B2D2F">
      <w:pPr>
        <w:pStyle w:val="Bullet"/>
      </w:pPr>
      <w:r>
        <w:t>$28.0 million over three years from 2025–‍26 to support the construction of the Nursing and Midwifery Academy in Victoria, to be operated by the Epworth Medical Foundation</w:t>
      </w:r>
    </w:p>
    <w:p w14:paraId="2273E38B" w14:textId="6BDD5973" w:rsidR="00B628FF" w:rsidRDefault="005B2D2F">
      <w:pPr>
        <w:pStyle w:val="Bullet"/>
      </w:pPr>
      <w:r>
        <w:t>$16.5 million over five years from 2024–‍25 (and $4.6 million per year ongoing) for the costs associated with updates to the Modified Monash Model and Distribution Priority Area classification systems to reflect the latest Australian Bureau of Statistics Census data, and workforce data from the Department of Health and Aged Care</w:t>
      </w:r>
    </w:p>
    <w:p w14:paraId="52ED0B09" w14:textId="77777777" w:rsidR="00B628FF" w:rsidRDefault="005B2D2F">
      <w:pPr>
        <w:pStyle w:val="Bullet"/>
      </w:pPr>
      <w:r>
        <w:t xml:space="preserve">$10.5 million over two years from 2025–‍26 to expand the </w:t>
      </w:r>
      <w:r w:rsidRPr="005B2D2F">
        <w:rPr>
          <w:i/>
        </w:rPr>
        <w:t>Primary Care Nursing and Midwifery Scholarship Program</w:t>
      </w:r>
      <w:r>
        <w:t xml:space="preserve"> to deliver an additional 100 graduate certificate/diploma scholarships and 100 masters scholarships per year to support nurses and midwives to undertake post‑graduate study</w:t>
      </w:r>
    </w:p>
    <w:p w14:paraId="6ACD334E" w14:textId="77777777" w:rsidR="00B628FF" w:rsidRDefault="005B2D2F">
      <w:pPr>
        <w:pStyle w:val="Bullet"/>
      </w:pPr>
      <w:r>
        <w:t xml:space="preserve">$1.3 million over two years from 2024–‍25 to extend the </w:t>
      </w:r>
      <w:r w:rsidRPr="005B2D2F">
        <w:rPr>
          <w:i/>
        </w:rPr>
        <w:t>Obstetrics and Gynaecology Education and Training Program</w:t>
      </w:r>
      <w:r>
        <w:t xml:space="preserve"> by 12 months to provide training for a range of medical professionals who assist in the provision of maternity or maternity‑related services.</w:t>
      </w:r>
    </w:p>
    <w:p w14:paraId="5D362BC6" w14:textId="77777777" w:rsidR="00B628FF" w:rsidRDefault="005B2D2F">
      <w:pPr>
        <w:pStyle w:val="Normal2"/>
      </w:pPr>
      <w:r>
        <w:t>The Government has already provided partial funding for this measure.</w:t>
      </w:r>
    </w:p>
    <w:p w14:paraId="023A2F43" w14:textId="77777777" w:rsidR="00B628FF" w:rsidRDefault="005B2D2F">
      <w:pPr>
        <w:pStyle w:val="Normal2"/>
      </w:pPr>
      <w:r w:rsidRPr="5FA307DC">
        <w:rPr>
          <w:lang w:val="en-US"/>
        </w:rPr>
        <w:t>The costs of this measure will also be partially met from within the existing resourcing of the Department of Health and Aged Care.</w:t>
      </w:r>
    </w:p>
    <w:p w14:paraId="0D33D923" w14:textId="6FE05CBE" w:rsidR="00B628FF" w:rsidRDefault="005B2D2F">
      <w:pPr>
        <w:pStyle w:val="MeasureTitle"/>
      </w:pPr>
      <w:r>
        <w:t>Strengthening Medicare – Women</w:t>
      </w:r>
      <w:r w:rsidR="00B31B37">
        <w:t>’</w:t>
      </w:r>
      <w:r>
        <w:t>s Health</w:t>
      </w:r>
    </w:p>
    <w:p w14:paraId="191DC53F" w14:textId="77777777" w:rsidR="00B628FF" w:rsidRDefault="005B2D2F">
      <w:pPr>
        <w:pStyle w:val="MeasureTableHeading"/>
      </w:pPr>
      <w:r>
        <w:t>Payments ($m)</w:t>
      </w:r>
    </w:p>
    <w:tbl>
      <w:tblPr>
        <w:tblOverlap w:val="never"/>
        <w:tblW w:w="7721" w:type="dxa"/>
        <w:tblBorders>
          <w:top w:val="single" w:sz="4" w:space="0" w:color="000000"/>
          <w:bottom w:val="single" w:sz="4" w:space="0" w:color="000000"/>
        </w:tblBorders>
        <w:tblLayout w:type="fixed"/>
        <w:tblLook w:val="04A0" w:firstRow="1" w:lastRow="0" w:firstColumn="1" w:lastColumn="0" w:noHBand="0" w:noVBand="1"/>
      </w:tblPr>
      <w:tblGrid>
        <w:gridCol w:w="2501"/>
        <w:gridCol w:w="1044"/>
        <w:gridCol w:w="1044"/>
        <w:gridCol w:w="1044"/>
        <w:gridCol w:w="1044"/>
        <w:gridCol w:w="1044"/>
      </w:tblGrid>
      <w:tr w:rsidR="00B628FF" w14:paraId="0F3B452F" w14:textId="77777777">
        <w:trPr>
          <w:cantSplit/>
        </w:trPr>
        <w:tc>
          <w:tcPr>
            <w:tcW w:w="2500" w:type="dxa"/>
            <w:tcBorders>
              <w:top w:val="single" w:sz="4" w:space="0" w:color="000000"/>
              <w:bottom w:val="single" w:sz="4" w:space="0" w:color="000000"/>
            </w:tcBorders>
          </w:tcPr>
          <w:p w14:paraId="2624CED5" w14:textId="77777777" w:rsidR="00B628FF" w:rsidRDefault="00B628FF">
            <w:pPr>
              <w:pStyle w:val="MeasureTableYearHeadings"/>
              <w:keepNext/>
            </w:pPr>
          </w:p>
        </w:tc>
        <w:tc>
          <w:tcPr>
            <w:tcW w:w="1043" w:type="dxa"/>
            <w:tcBorders>
              <w:top w:val="single" w:sz="4" w:space="0" w:color="000000"/>
              <w:bottom w:val="single" w:sz="4" w:space="0" w:color="000000"/>
            </w:tcBorders>
          </w:tcPr>
          <w:p w14:paraId="6D1F7A82" w14:textId="67F50189" w:rsidR="00B628FF" w:rsidRDefault="005B2D2F">
            <w:pPr>
              <w:pStyle w:val="MeasureTableYearHeadings"/>
              <w:keepNext/>
            </w:pPr>
            <w:r>
              <w:t>2024</w:t>
            </w:r>
            <w:r w:rsidR="00B31B37">
              <w:noBreakHyphen/>
            </w:r>
            <w:r>
              <w:t>25</w:t>
            </w:r>
          </w:p>
        </w:tc>
        <w:tc>
          <w:tcPr>
            <w:tcW w:w="1043" w:type="dxa"/>
            <w:tcBorders>
              <w:top w:val="single" w:sz="4" w:space="0" w:color="000000"/>
              <w:bottom w:val="single" w:sz="4" w:space="0" w:color="000000"/>
            </w:tcBorders>
          </w:tcPr>
          <w:p w14:paraId="6BABCD77" w14:textId="3068376C" w:rsidR="00B628FF" w:rsidRDefault="005B2D2F">
            <w:pPr>
              <w:pStyle w:val="MeasureTableYearHeadings"/>
              <w:keepNext/>
            </w:pPr>
            <w:r>
              <w:t>2025</w:t>
            </w:r>
            <w:r w:rsidR="00B31B37">
              <w:noBreakHyphen/>
            </w:r>
            <w:r>
              <w:t>26</w:t>
            </w:r>
          </w:p>
        </w:tc>
        <w:tc>
          <w:tcPr>
            <w:tcW w:w="1043" w:type="dxa"/>
            <w:tcBorders>
              <w:top w:val="single" w:sz="4" w:space="0" w:color="000000"/>
              <w:bottom w:val="single" w:sz="4" w:space="0" w:color="000000"/>
            </w:tcBorders>
          </w:tcPr>
          <w:p w14:paraId="38F6369B" w14:textId="3FBC1A70" w:rsidR="00B628FF" w:rsidRDefault="005B2D2F">
            <w:pPr>
              <w:pStyle w:val="MeasureTableYearHeadings"/>
              <w:keepNext/>
            </w:pPr>
            <w:r>
              <w:t>2026</w:t>
            </w:r>
            <w:r w:rsidR="00B31B37">
              <w:noBreakHyphen/>
            </w:r>
            <w:r>
              <w:t>27</w:t>
            </w:r>
          </w:p>
        </w:tc>
        <w:tc>
          <w:tcPr>
            <w:tcW w:w="1043" w:type="dxa"/>
            <w:tcBorders>
              <w:top w:val="single" w:sz="4" w:space="0" w:color="000000"/>
              <w:bottom w:val="single" w:sz="4" w:space="0" w:color="000000"/>
            </w:tcBorders>
          </w:tcPr>
          <w:p w14:paraId="5899B332" w14:textId="283E2E76" w:rsidR="00B628FF" w:rsidRDefault="005B2D2F">
            <w:pPr>
              <w:pStyle w:val="MeasureTableYearHeadings"/>
              <w:keepNext/>
            </w:pPr>
            <w:r>
              <w:t>2027</w:t>
            </w:r>
            <w:r w:rsidR="00B31B37">
              <w:noBreakHyphen/>
            </w:r>
            <w:r>
              <w:t>28</w:t>
            </w:r>
          </w:p>
        </w:tc>
        <w:tc>
          <w:tcPr>
            <w:tcW w:w="1043" w:type="dxa"/>
            <w:tcBorders>
              <w:top w:val="single" w:sz="4" w:space="0" w:color="000000"/>
              <w:bottom w:val="single" w:sz="4" w:space="0" w:color="000000"/>
            </w:tcBorders>
          </w:tcPr>
          <w:p w14:paraId="1B7C6BAB" w14:textId="4E770B9A" w:rsidR="00B628FF" w:rsidRDefault="005B2D2F">
            <w:pPr>
              <w:pStyle w:val="MeasureTableYearHeadings"/>
              <w:keepNext/>
            </w:pPr>
            <w:r>
              <w:t>2028</w:t>
            </w:r>
            <w:r w:rsidR="00B31B37">
              <w:noBreakHyphen/>
            </w:r>
            <w:r>
              <w:t>29</w:t>
            </w:r>
          </w:p>
        </w:tc>
      </w:tr>
      <w:tr w:rsidR="00B628FF" w14:paraId="69B8E741" w14:textId="77777777">
        <w:trPr>
          <w:cantSplit/>
        </w:trPr>
        <w:tc>
          <w:tcPr>
            <w:tcW w:w="2500" w:type="dxa"/>
            <w:tcBorders>
              <w:top w:val="single" w:sz="4" w:space="0" w:color="000000"/>
              <w:bottom w:val="single" w:sz="4" w:space="0" w:color="000000"/>
            </w:tcBorders>
          </w:tcPr>
          <w:p w14:paraId="6FD9C92E" w14:textId="77777777" w:rsidR="00B628FF" w:rsidRDefault="005B2D2F">
            <w:pPr>
              <w:pStyle w:val="MeasureTableHeadingleftalignedwith2ptsspacing"/>
              <w:keepNext/>
            </w:pPr>
            <w:r>
              <w:t>Department of the Treasury</w:t>
            </w:r>
          </w:p>
        </w:tc>
        <w:tc>
          <w:tcPr>
            <w:tcW w:w="1043" w:type="dxa"/>
            <w:tcBorders>
              <w:top w:val="single" w:sz="4" w:space="0" w:color="000000"/>
              <w:bottom w:val="single" w:sz="4" w:space="0" w:color="000000"/>
            </w:tcBorders>
          </w:tcPr>
          <w:p w14:paraId="1107D0E4" w14:textId="77777777" w:rsidR="00B628FF" w:rsidRDefault="005B2D2F">
            <w:pPr>
              <w:pStyle w:val="MeasureTableDataRightAlignedwith2ptsspacing"/>
              <w:keepNext/>
            </w:pPr>
            <w:r>
              <w:t>4.0</w:t>
            </w:r>
          </w:p>
        </w:tc>
        <w:tc>
          <w:tcPr>
            <w:tcW w:w="1043" w:type="dxa"/>
            <w:tcBorders>
              <w:top w:val="single" w:sz="4" w:space="0" w:color="000000"/>
              <w:bottom w:val="single" w:sz="4" w:space="0" w:color="000000"/>
            </w:tcBorders>
          </w:tcPr>
          <w:p w14:paraId="73E572F2" w14:textId="77777777" w:rsidR="00B628FF" w:rsidRDefault="005B2D2F">
            <w:pPr>
              <w:pStyle w:val="MeasureTableDataRightAlignedwith2ptsspacing"/>
              <w:keepNext/>
            </w:pPr>
            <w:r>
              <w:t>6.0</w:t>
            </w:r>
          </w:p>
        </w:tc>
        <w:tc>
          <w:tcPr>
            <w:tcW w:w="1043" w:type="dxa"/>
            <w:tcBorders>
              <w:top w:val="single" w:sz="4" w:space="0" w:color="000000"/>
              <w:bottom w:val="single" w:sz="4" w:space="0" w:color="000000"/>
            </w:tcBorders>
          </w:tcPr>
          <w:p w14:paraId="4477AFFD" w14:textId="77777777" w:rsidR="00B628FF" w:rsidRDefault="005B2D2F">
            <w:pPr>
              <w:pStyle w:val="MeasureTableDataRightAlignedwith2ptsspacing"/>
              <w:keepNext/>
            </w:pPr>
            <w:r>
              <w:t>3.0</w:t>
            </w:r>
          </w:p>
        </w:tc>
        <w:tc>
          <w:tcPr>
            <w:tcW w:w="1043" w:type="dxa"/>
            <w:tcBorders>
              <w:top w:val="single" w:sz="4" w:space="0" w:color="000000"/>
              <w:bottom w:val="single" w:sz="4" w:space="0" w:color="000000"/>
            </w:tcBorders>
          </w:tcPr>
          <w:p w14:paraId="3EA76356" w14:textId="77777777" w:rsidR="00B628FF" w:rsidRDefault="005B2D2F">
            <w:pPr>
              <w:pStyle w:val="MeasureTableDataRightAlignedwith2ptsspacing"/>
              <w:keepNext/>
            </w:pPr>
            <w:r>
              <w:t>2.0</w:t>
            </w:r>
          </w:p>
        </w:tc>
        <w:tc>
          <w:tcPr>
            <w:tcW w:w="1043" w:type="dxa"/>
            <w:tcBorders>
              <w:top w:val="single" w:sz="4" w:space="0" w:color="000000"/>
              <w:bottom w:val="single" w:sz="4" w:space="0" w:color="000000"/>
            </w:tcBorders>
          </w:tcPr>
          <w:p w14:paraId="369ABFB2" w14:textId="77777777" w:rsidR="00B628FF" w:rsidRDefault="005B2D2F">
            <w:pPr>
              <w:pStyle w:val="MeasureTableDataRightAlignedwith2ptsspacing"/>
              <w:keepNext/>
            </w:pPr>
            <w:r>
              <w:t>1.0</w:t>
            </w:r>
          </w:p>
        </w:tc>
      </w:tr>
      <w:tr w:rsidR="00B628FF" w14:paraId="17018B99" w14:textId="77777777">
        <w:trPr>
          <w:cantSplit/>
        </w:trPr>
        <w:tc>
          <w:tcPr>
            <w:tcW w:w="2500" w:type="dxa"/>
            <w:tcBorders>
              <w:top w:val="single" w:sz="4" w:space="0" w:color="000000"/>
              <w:bottom w:val="single" w:sz="4" w:space="0" w:color="000000"/>
            </w:tcBorders>
          </w:tcPr>
          <w:p w14:paraId="758C8F69" w14:textId="3FE03770" w:rsidR="00B628FF" w:rsidRDefault="005B2D2F">
            <w:pPr>
              <w:pStyle w:val="MeasureTableHeadingleftalignedwith2ptsspacing"/>
              <w:keepNext/>
            </w:pPr>
            <w:r>
              <w:t>Department of Veterans</w:t>
            </w:r>
            <w:r w:rsidR="00B31B37">
              <w:t>’</w:t>
            </w:r>
            <w:r>
              <w:t xml:space="preserve"> Affairs</w:t>
            </w:r>
          </w:p>
        </w:tc>
        <w:tc>
          <w:tcPr>
            <w:tcW w:w="1043" w:type="dxa"/>
            <w:tcBorders>
              <w:top w:val="single" w:sz="4" w:space="0" w:color="000000"/>
              <w:bottom w:val="single" w:sz="4" w:space="0" w:color="000000"/>
            </w:tcBorders>
          </w:tcPr>
          <w:p w14:paraId="2C66B771" w14:textId="7E8CBD3E"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7B982D1C" w14:textId="06C5C9A7"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18077AD1" w14:textId="5C949CD2"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71FF7046" w14:textId="5F00524F"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6F833127" w14:textId="1F151108" w:rsidR="00B628FF" w:rsidRDefault="00B31B37">
            <w:pPr>
              <w:pStyle w:val="MeasureTableDataRightAlignedwith2ptsspacing"/>
              <w:keepNext/>
            </w:pPr>
            <w:r>
              <w:noBreakHyphen/>
            </w:r>
          </w:p>
        </w:tc>
      </w:tr>
      <w:tr w:rsidR="00B628FF" w14:paraId="43A251AD" w14:textId="77777777">
        <w:trPr>
          <w:cantSplit/>
        </w:trPr>
        <w:tc>
          <w:tcPr>
            <w:tcW w:w="2500" w:type="dxa"/>
            <w:tcBorders>
              <w:top w:val="single" w:sz="4" w:space="0" w:color="000000"/>
              <w:bottom w:val="single" w:sz="4" w:space="0" w:color="000000"/>
            </w:tcBorders>
          </w:tcPr>
          <w:p w14:paraId="31552BBF" w14:textId="77777777" w:rsidR="00B628FF" w:rsidRDefault="005B2D2F">
            <w:pPr>
              <w:pStyle w:val="MeasureTableHeadingleftalignedwith2ptsspacing"/>
              <w:keepNext/>
            </w:pPr>
            <w:r>
              <w:t>Services Australia</w:t>
            </w:r>
          </w:p>
        </w:tc>
        <w:tc>
          <w:tcPr>
            <w:tcW w:w="1043" w:type="dxa"/>
            <w:tcBorders>
              <w:top w:val="single" w:sz="4" w:space="0" w:color="000000"/>
              <w:bottom w:val="single" w:sz="4" w:space="0" w:color="000000"/>
            </w:tcBorders>
          </w:tcPr>
          <w:p w14:paraId="2B7C1CF3" w14:textId="255D5184"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536F5298" w14:textId="72B65033"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70C07386" w14:textId="5932DE57"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221CC182" w14:textId="03D14ECE"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44386C5F" w14:textId="2AEC6692" w:rsidR="00B628FF" w:rsidRDefault="00B31B37">
            <w:pPr>
              <w:pStyle w:val="MeasureTableDataRightAlignedwith2ptsspacing"/>
              <w:keepNext/>
            </w:pPr>
            <w:r>
              <w:noBreakHyphen/>
            </w:r>
          </w:p>
        </w:tc>
      </w:tr>
      <w:tr w:rsidR="00B628FF" w14:paraId="4DAA7469" w14:textId="77777777">
        <w:trPr>
          <w:cantSplit/>
        </w:trPr>
        <w:tc>
          <w:tcPr>
            <w:tcW w:w="2500" w:type="dxa"/>
            <w:tcBorders>
              <w:top w:val="single" w:sz="4" w:space="0" w:color="000000"/>
              <w:bottom w:val="single" w:sz="4" w:space="0" w:color="000000"/>
            </w:tcBorders>
          </w:tcPr>
          <w:p w14:paraId="45243988" w14:textId="77777777" w:rsidR="00B628FF" w:rsidRDefault="005B2D2F">
            <w:pPr>
              <w:pStyle w:val="MeasureTableHeadingleftalignedwith2ptsspacing"/>
              <w:keepNext/>
            </w:pPr>
            <w:r>
              <w:t>Department of Health and Aged Care</w:t>
            </w:r>
          </w:p>
        </w:tc>
        <w:tc>
          <w:tcPr>
            <w:tcW w:w="1043" w:type="dxa"/>
            <w:tcBorders>
              <w:top w:val="single" w:sz="4" w:space="0" w:color="000000"/>
              <w:bottom w:val="single" w:sz="4" w:space="0" w:color="000000"/>
            </w:tcBorders>
          </w:tcPr>
          <w:p w14:paraId="19BFEE86" w14:textId="70CB6E81" w:rsidR="00B628FF" w:rsidRDefault="00B31B37">
            <w:pPr>
              <w:pStyle w:val="MeasureTableDataRightAlignedwith2ptsspacing"/>
              <w:keepNext/>
            </w:pPr>
            <w:r>
              <w:noBreakHyphen/>
            </w:r>
            <w:r w:rsidR="005B2D2F">
              <w:t>4.0</w:t>
            </w:r>
          </w:p>
        </w:tc>
        <w:tc>
          <w:tcPr>
            <w:tcW w:w="1043" w:type="dxa"/>
            <w:tcBorders>
              <w:top w:val="single" w:sz="4" w:space="0" w:color="000000"/>
              <w:bottom w:val="single" w:sz="4" w:space="0" w:color="000000"/>
            </w:tcBorders>
          </w:tcPr>
          <w:p w14:paraId="732E5588" w14:textId="15447260" w:rsidR="00B628FF" w:rsidRDefault="00B31B37">
            <w:pPr>
              <w:pStyle w:val="MeasureTableDataRightAlignedwith2ptsspacing"/>
              <w:keepNext/>
            </w:pPr>
            <w:r>
              <w:noBreakHyphen/>
            </w:r>
            <w:r w:rsidR="005B2D2F">
              <w:t>2.0</w:t>
            </w:r>
          </w:p>
        </w:tc>
        <w:tc>
          <w:tcPr>
            <w:tcW w:w="1043" w:type="dxa"/>
            <w:tcBorders>
              <w:top w:val="single" w:sz="4" w:space="0" w:color="000000"/>
              <w:bottom w:val="single" w:sz="4" w:space="0" w:color="000000"/>
            </w:tcBorders>
          </w:tcPr>
          <w:p w14:paraId="53942DDA" w14:textId="43C35B5B"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76AFF050" w14:textId="36ECFB09"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56A33163" w14:textId="65599BC6" w:rsidR="00B628FF" w:rsidRDefault="00B31B37">
            <w:pPr>
              <w:pStyle w:val="MeasureTableDataRightAlignedwith2ptsspacing"/>
              <w:keepNext/>
            </w:pPr>
            <w:r>
              <w:noBreakHyphen/>
            </w:r>
          </w:p>
        </w:tc>
      </w:tr>
      <w:tr w:rsidR="00B628FF" w14:paraId="639454FD" w14:textId="77777777">
        <w:trPr>
          <w:cantSplit/>
        </w:trPr>
        <w:tc>
          <w:tcPr>
            <w:tcW w:w="2500" w:type="dxa"/>
            <w:tcBorders>
              <w:top w:val="single" w:sz="4" w:space="0" w:color="000000"/>
              <w:bottom w:val="single" w:sz="4" w:space="0" w:color="000000"/>
            </w:tcBorders>
          </w:tcPr>
          <w:p w14:paraId="1F40CAFF" w14:textId="77777777" w:rsidR="00B628FF" w:rsidRDefault="005B2D2F">
            <w:pPr>
              <w:pStyle w:val="Totalrowleftaligned"/>
              <w:keepNext/>
            </w:pPr>
            <w:r>
              <w:t>Total – Payments</w:t>
            </w:r>
          </w:p>
        </w:tc>
        <w:tc>
          <w:tcPr>
            <w:tcW w:w="1043" w:type="dxa"/>
            <w:tcBorders>
              <w:top w:val="single" w:sz="4" w:space="0" w:color="000000"/>
              <w:bottom w:val="single" w:sz="4" w:space="0" w:color="000000"/>
            </w:tcBorders>
          </w:tcPr>
          <w:p w14:paraId="13B84CDD" w14:textId="2AB10965" w:rsidR="00B628FF" w:rsidRDefault="00B31B37">
            <w:pPr>
              <w:pStyle w:val="Totaldatarowrightaligned"/>
              <w:keepNext/>
            </w:pPr>
            <w:r>
              <w:noBreakHyphen/>
            </w:r>
          </w:p>
        </w:tc>
        <w:tc>
          <w:tcPr>
            <w:tcW w:w="1043" w:type="dxa"/>
            <w:tcBorders>
              <w:top w:val="single" w:sz="4" w:space="0" w:color="000000"/>
              <w:bottom w:val="single" w:sz="4" w:space="0" w:color="000000"/>
            </w:tcBorders>
          </w:tcPr>
          <w:p w14:paraId="206984EA" w14:textId="77777777" w:rsidR="00B628FF" w:rsidRDefault="005B2D2F">
            <w:pPr>
              <w:pStyle w:val="Totaldatarowrightaligned"/>
              <w:keepNext/>
            </w:pPr>
            <w:r>
              <w:t>4.0</w:t>
            </w:r>
          </w:p>
        </w:tc>
        <w:tc>
          <w:tcPr>
            <w:tcW w:w="1043" w:type="dxa"/>
            <w:tcBorders>
              <w:top w:val="single" w:sz="4" w:space="0" w:color="000000"/>
              <w:bottom w:val="single" w:sz="4" w:space="0" w:color="000000"/>
            </w:tcBorders>
          </w:tcPr>
          <w:p w14:paraId="0B1CDB8E" w14:textId="77777777" w:rsidR="00B628FF" w:rsidRDefault="005B2D2F">
            <w:pPr>
              <w:pStyle w:val="Totaldatarowrightaligned"/>
              <w:keepNext/>
            </w:pPr>
            <w:r>
              <w:t>3.0</w:t>
            </w:r>
          </w:p>
        </w:tc>
        <w:tc>
          <w:tcPr>
            <w:tcW w:w="1043" w:type="dxa"/>
            <w:tcBorders>
              <w:top w:val="single" w:sz="4" w:space="0" w:color="000000"/>
              <w:bottom w:val="single" w:sz="4" w:space="0" w:color="000000"/>
            </w:tcBorders>
          </w:tcPr>
          <w:p w14:paraId="6D1F8231" w14:textId="77777777" w:rsidR="00B628FF" w:rsidRDefault="005B2D2F">
            <w:pPr>
              <w:pStyle w:val="Totaldatarowrightaligned"/>
              <w:keepNext/>
            </w:pPr>
            <w:r>
              <w:t>2.0</w:t>
            </w:r>
          </w:p>
        </w:tc>
        <w:tc>
          <w:tcPr>
            <w:tcW w:w="1043" w:type="dxa"/>
            <w:tcBorders>
              <w:top w:val="single" w:sz="4" w:space="0" w:color="000000"/>
              <w:bottom w:val="single" w:sz="4" w:space="0" w:color="000000"/>
            </w:tcBorders>
          </w:tcPr>
          <w:p w14:paraId="6CD28710" w14:textId="77777777" w:rsidR="00B628FF" w:rsidRDefault="005B2D2F">
            <w:pPr>
              <w:pStyle w:val="Totaldatarowrightaligned"/>
              <w:keepNext/>
            </w:pPr>
            <w:r>
              <w:t>1.0</w:t>
            </w:r>
          </w:p>
        </w:tc>
      </w:tr>
    </w:tbl>
    <w:p w14:paraId="4C8D6891" w14:textId="77777777" w:rsidR="00B628FF" w:rsidRDefault="00B628FF">
      <w:pPr>
        <w:keepNext/>
        <w:spacing w:line="226" w:lineRule="exact"/>
        <w:rPr>
          <w:sz w:val="16"/>
        </w:rPr>
      </w:pPr>
    </w:p>
    <w:p w14:paraId="67F169C6" w14:textId="149CA9F3" w:rsidR="00B628FF" w:rsidRDefault="005B2D2F">
      <w:pPr>
        <w:pStyle w:val="Normal2"/>
      </w:pPr>
      <w:r>
        <w:t>The Government will provide $240.4 million over five years from 2024–‍25 (and $42.3 million per year ongoing) to support women</w:t>
      </w:r>
      <w:r w:rsidR="00B31B37">
        <w:t>’</w:t>
      </w:r>
      <w:r>
        <w:t>s health. Funding includes:</w:t>
      </w:r>
    </w:p>
    <w:p w14:paraId="3373CEBC" w14:textId="25BD9374" w:rsidR="00B628FF" w:rsidRDefault="005B2D2F">
      <w:pPr>
        <w:pStyle w:val="Bullet"/>
      </w:pPr>
      <w:r>
        <w:t xml:space="preserve">$134.3 million over four years from 2025–‍26 (and $35.3 million per year ongoing) to increase the schedule fee for four long‑acting reversible contraception (LARC) items on the Medicare Benefits Schedule (MBS), and to incentivise bulk billing through the creation of an MBS item claimable when a provider </w:t>
      </w:r>
      <w:proofErr w:type="gramStart"/>
      <w:r>
        <w:t>bulk bills</w:t>
      </w:r>
      <w:proofErr w:type="gramEnd"/>
      <w:r>
        <w:t xml:space="preserve"> a LARC insertion or removal service</w:t>
      </w:r>
    </w:p>
    <w:p w14:paraId="7CCEDB29" w14:textId="77777777" w:rsidR="00B628FF" w:rsidRDefault="005B2D2F">
      <w:pPr>
        <w:pStyle w:val="Bullet"/>
      </w:pPr>
      <w:r>
        <w:t>$26.3 million over three years from 2025–‍26 for a health assessment item on the MBS for women of all ages experiencing perimenopause and menopause</w:t>
      </w:r>
    </w:p>
    <w:p w14:paraId="26BA9E12" w14:textId="74CE9A96" w:rsidR="00B628FF" w:rsidRDefault="005B2D2F">
      <w:pPr>
        <w:pStyle w:val="Bullet"/>
      </w:pPr>
      <w:r>
        <w:t>$25.6 million over four years from 2025–‍26 (and $7.0 million per year ongoing) to establish eight LARC Centres of Training Excellence to provide LARC services and training to health professionals</w:t>
      </w:r>
    </w:p>
    <w:p w14:paraId="604EDAD9" w14:textId="77777777" w:rsidR="00B628FF" w:rsidRDefault="005B2D2F">
      <w:pPr>
        <w:pStyle w:val="Bullet"/>
      </w:pPr>
      <w:r>
        <w:t>$20.9 million over three years from 2025–‍26 to support 33 Endometriosis and Pelvic Pain Clinics to provide specialist care and support for women experiencing endometriosis, pelvic pain, perimenopause and menopause</w:t>
      </w:r>
    </w:p>
    <w:p w14:paraId="4C2EAD85" w14:textId="77777777" w:rsidR="00B628FF" w:rsidRDefault="005B2D2F">
      <w:pPr>
        <w:pStyle w:val="Bullet"/>
      </w:pPr>
      <w:r>
        <w:t>$12.8 million over two years from 2025–‍26 for a public campaign to raise awareness of perimenopause and menopause symptoms, and management options</w:t>
      </w:r>
    </w:p>
    <w:p w14:paraId="35C3965E" w14:textId="77777777" w:rsidR="00B628FF" w:rsidRDefault="005B2D2F">
      <w:pPr>
        <w:pStyle w:val="Bullet"/>
      </w:pPr>
      <w:r>
        <w:t>$10.0 million over four years from 2025–‍26 to the New South Wales Government to support the provision of public maternity services for women and babies in the Central Coast region of New South Wales</w:t>
      </w:r>
    </w:p>
    <w:p w14:paraId="2B6C5FD4" w14:textId="3CB96FEF" w:rsidR="00B628FF" w:rsidRDefault="005B2D2F">
      <w:pPr>
        <w:pStyle w:val="Bullet"/>
      </w:pPr>
      <w:r>
        <w:t>$6.0 million over two years from 2024–‍25 to the Tasmanian</w:t>
      </w:r>
      <w:r w:rsidR="00BA1520">
        <w:t> </w:t>
      </w:r>
      <w:r>
        <w:t>Government to improve access to maternity services in Hobart and the surrounding regions</w:t>
      </w:r>
    </w:p>
    <w:p w14:paraId="77A50D06" w14:textId="77777777" w:rsidR="00B628FF" w:rsidRDefault="005B2D2F">
      <w:pPr>
        <w:pStyle w:val="Bullet"/>
      </w:pPr>
      <w:r>
        <w:t>$4.4 million over three years from 2025–‍26 to develop national clinical guidelines for perimenopause and menopause, and to deliver professional development courses for health professionals specialising in perimenopause and menopause.</w:t>
      </w:r>
    </w:p>
    <w:p w14:paraId="11F18430" w14:textId="77777777" w:rsidR="00B628FF" w:rsidRDefault="005B2D2F">
      <w:pPr>
        <w:pStyle w:val="Normal2"/>
      </w:pPr>
      <w:r>
        <w:t>The Government has already provided partial funding for this measure.</w:t>
      </w:r>
    </w:p>
    <w:p w14:paraId="7968D337" w14:textId="77777777" w:rsidR="00B628FF" w:rsidRDefault="005B2D2F">
      <w:pPr>
        <w:pStyle w:val="Normal2"/>
      </w:pPr>
      <w:r w:rsidRPr="5FA307DC">
        <w:rPr>
          <w:lang w:val="en-US"/>
        </w:rPr>
        <w:t>The cost of this measure will be partially met from within the existing resourcing of the Department of Health and Aged Care.</w:t>
      </w:r>
    </w:p>
    <w:p w14:paraId="457BE482" w14:textId="77777777" w:rsidR="00B628FF" w:rsidRDefault="005B2D2F">
      <w:pPr>
        <w:pStyle w:val="Normal2"/>
      </w:pPr>
      <w:r>
        <w:t>The Treasury manages Commonwealth payments to the states and territories.</w:t>
      </w:r>
    </w:p>
    <w:p w14:paraId="3CFA2F0F" w14:textId="32D7B779" w:rsidR="00B628FF" w:rsidRDefault="005B2D2F">
      <w:pPr>
        <w:pStyle w:val="Normal2"/>
      </w:pPr>
      <w:r>
        <w:t xml:space="preserve">This measure builds on the 2024–‍25 Budget measure titled </w:t>
      </w:r>
      <w:r w:rsidRPr="005B2D2F">
        <w:rPr>
          <w:i/>
        </w:rPr>
        <w:t>Women</w:t>
      </w:r>
      <w:r w:rsidR="00B31B37">
        <w:rPr>
          <w:i/>
        </w:rPr>
        <w:t>’</w:t>
      </w:r>
      <w:r w:rsidRPr="005B2D2F">
        <w:rPr>
          <w:i/>
        </w:rPr>
        <w:t>s Health,</w:t>
      </w:r>
      <w:r>
        <w:t xml:space="preserve"> and the 2022–‍23 March Budget measure titled </w:t>
      </w:r>
      <w:r w:rsidRPr="005B2D2F">
        <w:rPr>
          <w:i/>
        </w:rPr>
        <w:t>Women</w:t>
      </w:r>
      <w:r w:rsidR="00B31B37">
        <w:rPr>
          <w:i/>
        </w:rPr>
        <w:t>’</w:t>
      </w:r>
      <w:r w:rsidRPr="005B2D2F">
        <w:rPr>
          <w:i/>
        </w:rPr>
        <w:t>s Health Package</w:t>
      </w:r>
      <w:r>
        <w:t>.</w:t>
      </w:r>
    </w:p>
    <w:p w14:paraId="64EC3880" w14:textId="77777777" w:rsidR="00B628FF" w:rsidRDefault="005B2D2F">
      <w:pPr>
        <w:pStyle w:val="MeasureTitle"/>
      </w:pPr>
      <w:r>
        <w:t>Supporting Australian Communities Affected by the Hamas‑Israel Conflict</w:t>
      </w:r>
    </w:p>
    <w:p w14:paraId="55406F79" w14:textId="77777777" w:rsidR="00B628FF" w:rsidRDefault="005B2D2F">
      <w:pPr>
        <w:pStyle w:val="MeasureTableHeading"/>
      </w:pPr>
      <w:r>
        <w:t>Payments ($m)</w:t>
      </w:r>
    </w:p>
    <w:tbl>
      <w:tblPr>
        <w:tblOverlap w:val="never"/>
        <w:tblW w:w="7721" w:type="dxa"/>
        <w:tblBorders>
          <w:top w:val="single" w:sz="4" w:space="0" w:color="000000"/>
          <w:bottom w:val="single" w:sz="4" w:space="0" w:color="000000"/>
        </w:tblBorders>
        <w:tblLayout w:type="fixed"/>
        <w:tblLook w:val="04A0" w:firstRow="1" w:lastRow="0" w:firstColumn="1" w:lastColumn="0" w:noHBand="0" w:noVBand="1"/>
      </w:tblPr>
      <w:tblGrid>
        <w:gridCol w:w="2501"/>
        <w:gridCol w:w="1044"/>
        <w:gridCol w:w="1044"/>
        <w:gridCol w:w="1044"/>
        <w:gridCol w:w="1044"/>
        <w:gridCol w:w="1044"/>
      </w:tblGrid>
      <w:tr w:rsidR="00B628FF" w14:paraId="0AD16003" w14:textId="77777777">
        <w:trPr>
          <w:cantSplit/>
        </w:trPr>
        <w:tc>
          <w:tcPr>
            <w:tcW w:w="2500" w:type="dxa"/>
            <w:tcBorders>
              <w:top w:val="single" w:sz="4" w:space="0" w:color="000000"/>
              <w:bottom w:val="single" w:sz="4" w:space="0" w:color="000000"/>
            </w:tcBorders>
          </w:tcPr>
          <w:p w14:paraId="24016128" w14:textId="77777777" w:rsidR="00B628FF" w:rsidRDefault="00B628FF">
            <w:pPr>
              <w:pStyle w:val="MeasureTableYearHeadings"/>
              <w:keepNext/>
            </w:pPr>
          </w:p>
        </w:tc>
        <w:tc>
          <w:tcPr>
            <w:tcW w:w="1043" w:type="dxa"/>
            <w:tcBorders>
              <w:top w:val="single" w:sz="4" w:space="0" w:color="000000"/>
              <w:bottom w:val="single" w:sz="4" w:space="0" w:color="000000"/>
            </w:tcBorders>
          </w:tcPr>
          <w:p w14:paraId="63F8FA18" w14:textId="068A876F" w:rsidR="00B628FF" w:rsidRDefault="005B2D2F">
            <w:pPr>
              <w:pStyle w:val="MeasureTableYearHeadings"/>
              <w:keepNext/>
            </w:pPr>
            <w:r>
              <w:t>2024</w:t>
            </w:r>
            <w:r w:rsidR="00B31B37">
              <w:noBreakHyphen/>
            </w:r>
            <w:r>
              <w:t>25</w:t>
            </w:r>
          </w:p>
        </w:tc>
        <w:tc>
          <w:tcPr>
            <w:tcW w:w="1043" w:type="dxa"/>
            <w:tcBorders>
              <w:top w:val="single" w:sz="4" w:space="0" w:color="000000"/>
              <w:bottom w:val="single" w:sz="4" w:space="0" w:color="000000"/>
            </w:tcBorders>
          </w:tcPr>
          <w:p w14:paraId="619F5E42" w14:textId="70ACAC78" w:rsidR="00B628FF" w:rsidRDefault="005B2D2F">
            <w:pPr>
              <w:pStyle w:val="MeasureTableYearHeadings"/>
              <w:keepNext/>
            </w:pPr>
            <w:r>
              <w:t>2025</w:t>
            </w:r>
            <w:r w:rsidR="00B31B37">
              <w:noBreakHyphen/>
            </w:r>
            <w:r>
              <w:t>26</w:t>
            </w:r>
          </w:p>
        </w:tc>
        <w:tc>
          <w:tcPr>
            <w:tcW w:w="1043" w:type="dxa"/>
            <w:tcBorders>
              <w:top w:val="single" w:sz="4" w:space="0" w:color="000000"/>
              <w:bottom w:val="single" w:sz="4" w:space="0" w:color="000000"/>
            </w:tcBorders>
          </w:tcPr>
          <w:p w14:paraId="39EFE743" w14:textId="54CAA407" w:rsidR="00B628FF" w:rsidRDefault="005B2D2F">
            <w:pPr>
              <w:pStyle w:val="MeasureTableYearHeadings"/>
              <w:keepNext/>
            </w:pPr>
            <w:r>
              <w:t>2026</w:t>
            </w:r>
            <w:r w:rsidR="00B31B37">
              <w:noBreakHyphen/>
            </w:r>
            <w:r>
              <w:t>27</w:t>
            </w:r>
          </w:p>
        </w:tc>
        <w:tc>
          <w:tcPr>
            <w:tcW w:w="1043" w:type="dxa"/>
            <w:tcBorders>
              <w:top w:val="single" w:sz="4" w:space="0" w:color="000000"/>
              <w:bottom w:val="single" w:sz="4" w:space="0" w:color="000000"/>
            </w:tcBorders>
          </w:tcPr>
          <w:p w14:paraId="4387D4A6" w14:textId="0C29D45E" w:rsidR="00B628FF" w:rsidRDefault="005B2D2F">
            <w:pPr>
              <w:pStyle w:val="MeasureTableYearHeadings"/>
              <w:keepNext/>
            </w:pPr>
            <w:r>
              <w:t>2027</w:t>
            </w:r>
            <w:r w:rsidR="00B31B37">
              <w:noBreakHyphen/>
            </w:r>
            <w:r>
              <w:t>28</w:t>
            </w:r>
          </w:p>
        </w:tc>
        <w:tc>
          <w:tcPr>
            <w:tcW w:w="1043" w:type="dxa"/>
            <w:tcBorders>
              <w:top w:val="single" w:sz="4" w:space="0" w:color="000000"/>
              <w:bottom w:val="single" w:sz="4" w:space="0" w:color="000000"/>
            </w:tcBorders>
          </w:tcPr>
          <w:p w14:paraId="4CF5BFF1" w14:textId="09E2EFDA" w:rsidR="00B628FF" w:rsidRDefault="005B2D2F">
            <w:pPr>
              <w:pStyle w:val="MeasureTableYearHeadings"/>
              <w:keepNext/>
            </w:pPr>
            <w:r>
              <w:t>2028</w:t>
            </w:r>
            <w:r w:rsidR="00B31B37">
              <w:noBreakHyphen/>
            </w:r>
            <w:r>
              <w:t>29</w:t>
            </w:r>
          </w:p>
        </w:tc>
      </w:tr>
      <w:tr w:rsidR="00B628FF" w14:paraId="0B992B3B" w14:textId="77777777">
        <w:trPr>
          <w:cantSplit/>
        </w:trPr>
        <w:tc>
          <w:tcPr>
            <w:tcW w:w="2500" w:type="dxa"/>
            <w:tcBorders>
              <w:top w:val="single" w:sz="4" w:space="0" w:color="000000"/>
              <w:bottom w:val="single" w:sz="4" w:space="0" w:color="000000"/>
            </w:tcBorders>
          </w:tcPr>
          <w:p w14:paraId="1D5D164E" w14:textId="77777777" w:rsidR="00B628FF" w:rsidRDefault="005B2D2F">
            <w:pPr>
              <w:pStyle w:val="MeasureTableHeadingleftalignedwith2ptsspacing"/>
              <w:keepNext/>
            </w:pPr>
            <w:r>
              <w:t>Department of Health and Aged Care</w:t>
            </w:r>
          </w:p>
        </w:tc>
        <w:tc>
          <w:tcPr>
            <w:tcW w:w="1043" w:type="dxa"/>
            <w:tcBorders>
              <w:top w:val="single" w:sz="4" w:space="0" w:color="000000"/>
              <w:bottom w:val="single" w:sz="4" w:space="0" w:color="000000"/>
            </w:tcBorders>
          </w:tcPr>
          <w:p w14:paraId="172D5F31" w14:textId="52D50093"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42A99EC3" w14:textId="77777777" w:rsidR="00B628FF" w:rsidRDefault="005B2D2F">
            <w:pPr>
              <w:pStyle w:val="MeasureTableDataRightAlignedwith2ptsspacing"/>
              <w:keepNext/>
            </w:pPr>
            <w:r>
              <w:t>1.5</w:t>
            </w:r>
          </w:p>
        </w:tc>
        <w:tc>
          <w:tcPr>
            <w:tcW w:w="1043" w:type="dxa"/>
            <w:tcBorders>
              <w:top w:val="single" w:sz="4" w:space="0" w:color="000000"/>
              <w:bottom w:val="single" w:sz="4" w:space="0" w:color="000000"/>
            </w:tcBorders>
          </w:tcPr>
          <w:p w14:paraId="003C6F04" w14:textId="6D0628F8"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297BAD91" w14:textId="6C74D925"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08BE679A" w14:textId="048B8ADD" w:rsidR="00B628FF" w:rsidRDefault="00B31B37">
            <w:pPr>
              <w:pStyle w:val="MeasureTableDataRightAlignedwith2ptsspacing"/>
              <w:keepNext/>
            </w:pPr>
            <w:r>
              <w:noBreakHyphen/>
            </w:r>
          </w:p>
        </w:tc>
      </w:tr>
    </w:tbl>
    <w:p w14:paraId="0E1C3753" w14:textId="77777777" w:rsidR="00B628FF" w:rsidRDefault="00B628FF">
      <w:pPr>
        <w:keepNext/>
        <w:spacing w:line="226" w:lineRule="exact"/>
        <w:rPr>
          <w:sz w:val="16"/>
        </w:rPr>
      </w:pPr>
    </w:p>
    <w:p w14:paraId="6B832A2A" w14:textId="77777777" w:rsidR="00B628FF" w:rsidRDefault="005B2D2F">
      <w:pPr>
        <w:pStyle w:val="Normal2"/>
      </w:pPr>
      <w:r w:rsidRPr="5FA307DC">
        <w:rPr>
          <w:lang w:val="en-US"/>
        </w:rPr>
        <w:t>The Government will provide $1.6 million over two years from 2024–‍25 to provide mental health supports and services for Australians impacted by the conflict in the Middle East.</w:t>
      </w:r>
    </w:p>
    <w:p w14:paraId="21F5843F" w14:textId="77777777" w:rsidR="00B628FF" w:rsidRDefault="005B2D2F">
      <w:pPr>
        <w:pStyle w:val="Normal2"/>
      </w:pPr>
      <w:r w:rsidRPr="5FA307DC">
        <w:rPr>
          <w:lang w:val="en-US"/>
        </w:rPr>
        <w:t>The cost of this measure will be partially met from within the existing resourcing of the Department of Health and Aged Care.</w:t>
      </w:r>
    </w:p>
    <w:p w14:paraId="62DF2972" w14:textId="77777777" w:rsidR="00B628FF" w:rsidRDefault="005B2D2F">
      <w:pPr>
        <w:pStyle w:val="Normal2"/>
      </w:pPr>
      <w:r>
        <w:t xml:space="preserve">This measure extends the 2023–‍24 MYEFO measure titled </w:t>
      </w:r>
      <w:r w:rsidRPr="005B2D2F">
        <w:rPr>
          <w:i/>
        </w:rPr>
        <w:t>Supporting Australian Communities Affected by the Hamas‑Israel Conflict.</w:t>
      </w:r>
    </w:p>
    <w:p w14:paraId="2645DBF9" w14:textId="77777777" w:rsidR="00B628FF" w:rsidRDefault="00B628FF">
      <w:pPr>
        <w:sectPr w:rsidR="00B628FF" w:rsidSect="00A06F82">
          <w:headerReference w:type="even" r:id="rId81"/>
          <w:headerReference w:type="default" r:id="rId82"/>
          <w:footerReference w:type="even" r:id="rId83"/>
          <w:footerReference w:type="default" r:id="rId84"/>
          <w:headerReference w:type="first" r:id="rId85"/>
          <w:footerReference w:type="first" r:id="rId86"/>
          <w:pgSz w:w="11906" w:h="16838"/>
          <w:pgMar w:top="2835" w:right="2098" w:bottom="2466" w:left="2098" w:header="1814" w:footer="1814" w:gutter="0"/>
          <w:cols w:space="720"/>
          <w:docGrid w:linePitch="272"/>
        </w:sectPr>
      </w:pPr>
    </w:p>
    <w:p w14:paraId="6114A5F6" w14:textId="77777777" w:rsidR="00B628FF" w:rsidRDefault="005B2D2F">
      <w:pPr>
        <w:pStyle w:val="PortfolioName"/>
      </w:pPr>
      <w:r>
        <w:t>Home Affairs</w:t>
      </w:r>
    </w:p>
    <w:p w14:paraId="702FCBA5" w14:textId="77777777" w:rsidR="00B628FF" w:rsidRDefault="005B2D2F">
      <w:pPr>
        <w:pStyle w:val="MeasureTitle"/>
      </w:pPr>
      <w:r>
        <w:t>Disaster Support</w:t>
      </w:r>
    </w:p>
    <w:p w14:paraId="74A46DC0" w14:textId="77777777" w:rsidR="00B628FF" w:rsidRDefault="005B2D2F">
      <w:pPr>
        <w:pStyle w:val="MeasureTableHeading"/>
      </w:pPr>
      <w:r>
        <w:t>Payments ($m)</w:t>
      </w:r>
    </w:p>
    <w:tbl>
      <w:tblPr>
        <w:tblOverlap w:val="never"/>
        <w:tblW w:w="7721" w:type="dxa"/>
        <w:tblBorders>
          <w:top w:val="single" w:sz="4" w:space="0" w:color="000000"/>
          <w:bottom w:val="single" w:sz="4" w:space="0" w:color="000000"/>
        </w:tblBorders>
        <w:tblLayout w:type="fixed"/>
        <w:tblLook w:val="04A0" w:firstRow="1" w:lastRow="0" w:firstColumn="1" w:lastColumn="0" w:noHBand="0" w:noVBand="1"/>
      </w:tblPr>
      <w:tblGrid>
        <w:gridCol w:w="2501"/>
        <w:gridCol w:w="1044"/>
        <w:gridCol w:w="1044"/>
        <w:gridCol w:w="1044"/>
        <w:gridCol w:w="1044"/>
        <w:gridCol w:w="1044"/>
      </w:tblGrid>
      <w:tr w:rsidR="00B628FF" w14:paraId="65157FAB" w14:textId="77777777">
        <w:trPr>
          <w:cantSplit/>
        </w:trPr>
        <w:tc>
          <w:tcPr>
            <w:tcW w:w="2500" w:type="dxa"/>
            <w:tcBorders>
              <w:top w:val="single" w:sz="4" w:space="0" w:color="000000"/>
              <w:bottom w:val="single" w:sz="4" w:space="0" w:color="000000"/>
            </w:tcBorders>
          </w:tcPr>
          <w:p w14:paraId="631365D8" w14:textId="77777777" w:rsidR="00B628FF" w:rsidRDefault="00B628FF">
            <w:pPr>
              <w:pStyle w:val="MeasureTableYearHeadings"/>
              <w:keepNext/>
            </w:pPr>
          </w:p>
        </w:tc>
        <w:tc>
          <w:tcPr>
            <w:tcW w:w="1043" w:type="dxa"/>
            <w:tcBorders>
              <w:top w:val="single" w:sz="4" w:space="0" w:color="000000"/>
              <w:bottom w:val="single" w:sz="4" w:space="0" w:color="000000"/>
            </w:tcBorders>
          </w:tcPr>
          <w:p w14:paraId="7A36FC7C" w14:textId="51F90C06" w:rsidR="00B628FF" w:rsidRDefault="005B2D2F">
            <w:pPr>
              <w:pStyle w:val="MeasureTableYearHeadings"/>
              <w:keepNext/>
            </w:pPr>
            <w:r>
              <w:t>2024</w:t>
            </w:r>
            <w:r w:rsidR="00B31B37">
              <w:noBreakHyphen/>
            </w:r>
            <w:r>
              <w:t>25</w:t>
            </w:r>
          </w:p>
        </w:tc>
        <w:tc>
          <w:tcPr>
            <w:tcW w:w="1043" w:type="dxa"/>
            <w:tcBorders>
              <w:top w:val="single" w:sz="4" w:space="0" w:color="000000"/>
              <w:bottom w:val="single" w:sz="4" w:space="0" w:color="000000"/>
            </w:tcBorders>
          </w:tcPr>
          <w:p w14:paraId="2A812C44" w14:textId="2803FCB7" w:rsidR="00B628FF" w:rsidRDefault="005B2D2F">
            <w:pPr>
              <w:pStyle w:val="MeasureTableYearHeadings"/>
              <w:keepNext/>
            </w:pPr>
            <w:r>
              <w:t>2025</w:t>
            </w:r>
            <w:r w:rsidR="00B31B37">
              <w:noBreakHyphen/>
            </w:r>
            <w:r>
              <w:t>26</w:t>
            </w:r>
          </w:p>
        </w:tc>
        <w:tc>
          <w:tcPr>
            <w:tcW w:w="1043" w:type="dxa"/>
            <w:tcBorders>
              <w:top w:val="single" w:sz="4" w:space="0" w:color="000000"/>
              <w:bottom w:val="single" w:sz="4" w:space="0" w:color="000000"/>
            </w:tcBorders>
          </w:tcPr>
          <w:p w14:paraId="388BF310" w14:textId="4F8590EA" w:rsidR="00B628FF" w:rsidRDefault="005B2D2F">
            <w:pPr>
              <w:pStyle w:val="MeasureTableYearHeadings"/>
              <w:keepNext/>
            </w:pPr>
            <w:r>
              <w:t>2026</w:t>
            </w:r>
            <w:r w:rsidR="00B31B37">
              <w:noBreakHyphen/>
            </w:r>
            <w:r>
              <w:t>27</w:t>
            </w:r>
          </w:p>
        </w:tc>
        <w:tc>
          <w:tcPr>
            <w:tcW w:w="1043" w:type="dxa"/>
            <w:tcBorders>
              <w:top w:val="single" w:sz="4" w:space="0" w:color="000000"/>
              <w:bottom w:val="single" w:sz="4" w:space="0" w:color="000000"/>
            </w:tcBorders>
          </w:tcPr>
          <w:p w14:paraId="6BF875CA" w14:textId="13F82313" w:rsidR="00B628FF" w:rsidRDefault="005B2D2F">
            <w:pPr>
              <w:pStyle w:val="MeasureTableYearHeadings"/>
              <w:keepNext/>
            </w:pPr>
            <w:r>
              <w:t>2027</w:t>
            </w:r>
            <w:r w:rsidR="00B31B37">
              <w:noBreakHyphen/>
            </w:r>
            <w:r>
              <w:t>28</w:t>
            </w:r>
          </w:p>
        </w:tc>
        <w:tc>
          <w:tcPr>
            <w:tcW w:w="1043" w:type="dxa"/>
            <w:tcBorders>
              <w:top w:val="single" w:sz="4" w:space="0" w:color="000000"/>
              <w:bottom w:val="single" w:sz="4" w:space="0" w:color="000000"/>
            </w:tcBorders>
          </w:tcPr>
          <w:p w14:paraId="35CBC370" w14:textId="3DF1125B" w:rsidR="00B628FF" w:rsidRDefault="005B2D2F">
            <w:pPr>
              <w:pStyle w:val="MeasureTableYearHeadings"/>
              <w:keepNext/>
            </w:pPr>
            <w:r>
              <w:t>2028</w:t>
            </w:r>
            <w:r w:rsidR="00B31B37">
              <w:noBreakHyphen/>
            </w:r>
            <w:r>
              <w:t>29</w:t>
            </w:r>
          </w:p>
        </w:tc>
      </w:tr>
      <w:tr w:rsidR="00B628FF" w14:paraId="32B9322D" w14:textId="77777777">
        <w:trPr>
          <w:cantSplit/>
        </w:trPr>
        <w:tc>
          <w:tcPr>
            <w:tcW w:w="2500" w:type="dxa"/>
            <w:tcBorders>
              <w:top w:val="single" w:sz="4" w:space="0" w:color="000000"/>
              <w:bottom w:val="single" w:sz="4" w:space="0" w:color="000000"/>
            </w:tcBorders>
          </w:tcPr>
          <w:p w14:paraId="04CFB71D" w14:textId="77777777" w:rsidR="00B628FF" w:rsidRDefault="005B2D2F">
            <w:pPr>
              <w:pStyle w:val="MeasureTableHeadingleftalignedwith2ptsspacing"/>
              <w:keepNext/>
            </w:pPr>
            <w:r>
              <w:t>Department of Education</w:t>
            </w:r>
          </w:p>
        </w:tc>
        <w:tc>
          <w:tcPr>
            <w:tcW w:w="1043" w:type="dxa"/>
            <w:tcBorders>
              <w:top w:val="single" w:sz="4" w:space="0" w:color="000000"/>
              <w:bottom w:val="single" w:sz="4" w:space="0" w:color="000000"/>
            </w:tcBorders>
          </w:tcPr>
          <w:p w14:paraId="2FB08DE8" w14:textId="77777777" w:rsidR="00B628FF" w:rsidRDefault="005B2D2F">
            <w:pPr>
              <w:pStyle w:val="MeasureTableDataRightAlignedwith2ptsspacing"/>
              <w:keepNext/>
            </w:pPr>
            <w:r>
              <w:t>2.0</w:t>
            </w:r>
          </w:p>
        </w:tc>
        <w:tc>
          <w:tcPr>
            <w:tcW w:w="1043" w:type="dxa"/>
            <w:tcBorders>
              <w:top w:val="single" w:sz="4" w:space="0" w:color="000000"/>
              <w:bottom w:val="single" w:sz="4" w:space="0" w:color="000000"/>
            </w:tcBorders>
          </w:tcPr>
          <w:p w14:paraId="2340C3DE" w14:textId="77777777" w:rsidR="00B628FF" w:rsidRDefault="005B2D2F">
            <w:pPr>
              <w:pStyle w:val="MeasureTableDataRightAlignedwith2ptsspacing"/>
              <w:keepNext/>
            </w:pPr>
            <w:r>
              <w:t>0.5</w:t>
            </w:r>
          </w:p>
        </w:tc>
        <w:tc>
          <w:tcPr>
            <w:tcW w:w="1043" w:type="dxa"/>
            <w:tcBorders>
              <w:top w:val="single" w:sz="4" w:space="0" w:color="000000"/>
              <w:bottom w:val="single" w:sz="4" w:space="0" w:color="000000"/>
            </w:tcBorders>
          </w:tcPr>
          <w:p w14:paraId="06A6D32D" w14:textId="6B7FC5F8"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49000950" w14:textId="20E9570E"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21722319" w14:textId="28D5DE7E" w:rsidR="00B628FF" w:rsidRDefault="00B31B37">
            <w:pPr>
              <w:pStyle w:val="MeasureTableDataRightAlignedwith2ptsspacing"/>
              <w:keepNext/>
            </w:pPr>
            <w:r>
              <w:noBreakHyphen/>
            </w:r>
          </w:p>
        </w:tc>
      </w:tr>
      <w:tr w:rsidR="00B628FF" w14:paraId="6A0B3913" w14:textId="77777777">
        <w:trPr>
          <w:cantSplit/>
        </w:trPr>
        <w:tc>
          <w:tcPr>
            <w:tcW w:w="2500" w:type="dxa"/>
            <w:tcBorders>
              <w:top w:val="single" w:sz="4" w:space="0" w:color="000000"/>
              <w:bottom w:val="single" w:sz="4" w:space="0" w:color="000000"/>
            </w:tcBorders>
          </w:tcPr>
          <w:p w14:paraId="05C6B5C1" w14:textId="77777777" w:rsidR="00B628FF" w:rsidRDefault="005B2D2F">
            <w:pPr>
              <w:pStyle w:val="MeasureTableHeadingleftalignedwith2ptsspacing"/>
              <w:keepNext/>
            </w:pPr>
            <w:r>
              <w:t>Department of the Treasury</w:t>
            </w:r>
          </w:p>
        </w:tc>
        <w:tc>
          <w:tcPr>
            <w:tcW w:w="1043" w:type="dxa"/>
            <w:tcBorders>
              <w:top w:val="single" w:sz="4" w:space="0" w:color="000000"/>
              <w:bottom w:val="single" w:sz="4" w:space="0" w:color="000000"/>
            </w:tcBorders>
          </w:tcPr>
          <w:p w14:paraId="33375294" w14:textId="40198E69"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6C67CAB5" w14:textId="77777777" w:rsidR="00B628FF" w:rsidRDefault="005B2D2F">
            <w:pPr>
              <w:pStyle w:val="MeasureTableDataRightAlignedwith2ptsspacing"/>
              <w:keepNext/>
            </w:pPr>
            <w:r>
              <w:t>17.7</w:t>
            </w:r>
          </w:p>
        </w:tc>
        <w:tc>
          <w:tcPr>
            <w:tcW w:w="1043" w:type="dxa"/>
            <w:tcBorders>
              <w:top w:val="single" w:sz="4" w:space="0" w:color="000000"/>
              <w:bottom w:val="single" w:sz="4" w:space="0" w:color="000000"/>
            </w:tcBorders>
          </w:tcPr>
          <w:p w14:paraId="64D884E0" w14:textId="53C1F4F0"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616E80C8" w14:textId="3C30B439"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674F58B6" w14:textId="210E9DF9" w:rsidR="00B628FF" w:rsidRDefault="00B31B37">
            <w:pPr>
              <w:pStyle w:val="MeasureTableDataRightAlignedwith2ptsspacing"/>
              <w:keepNext/>
            </w:pPr>
            <w:r>
              <w:noBreakHyphen/>
            </w:r>
          </w:p>
        </w:tc>
      </w:tr>
      <w:tr w:rsidR="00B628FF" w14:paraId="3814B968" w14:textId="77777777">
        <w:trPr>
          <w:cantSplit/>
        </w:trPr>
        <w:tc>
          <w:tcPr>
            <w:tcW w:w="2500" w:type="dxa"/>
            <w:tcBorders>
              <w:top w:val="single" w:sz="4" w:space="0" w:color="000000"/>
              <w:bottom w:val="single" w:sz="4" w:space="0" w:color="000000"/>
            </w:tcBorders>
          </w:tcPr>
          <w:p w14:paraId="4B996A83" w14:textId="77777777" w:rsidR="00B628FF" w:rsidRDefault="005B2D2F">
            <w:pPr>
              <w:pStyle w:val="MeasureTableHeadingleftalignedwith2ptsspacing"/>
              <w:keepNext/>
            </w:pPr>
            <w:r>
              <w:t>National Emergency Management Agency</w:t>
            </w:r>
          </w:p>
        </w:tc>
        <w:tc>
          <w:tcPr>
            <w:tcW w:w="1043" w:type="dxa"/>
            <w:tcBorders>
              <w:top w:val="single" w:sz="4" w:space="0" w:color="000000"/>
              <w:bottom w:val="single" w:sz="4" w:space="0" w:color="000000"/>
            </w:tcBorders>
          </w:tcPr>
          <w:p w14:paraId="579810E9" w14:textId="4EF5A788"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7FCD9501" w14:textId="77777777" w:rsidR="00B628FF" w:rsidRDefault="005B2D2F">
            <w:pPr>
              <w:pStyle w:val="MeasureTableDataRightAlignedwith2ptsspacing"/>
              <w:keepNext/>
            </w:pPr>
            <w:r>
              <w:t>7.2</w:t>
            </w:r>
          </w:p>
        </w:tc>
        <w:tc>
          <w:tcPr>
            <w:tcW w:w="1043" w:type="dxa"/>
            <w:tcBorders>
              <w:top w:val="single" w:sz="4" w:space="0" w:color="000000"/>
              <w:bottom w:val="single" w:sz="4" w:space="0" w:color="000000"/>
            </w:tcBorders>
          </w:tcPr>
          <w:p w14:paraId="0CDA49D1" w14:textId="5B015A71"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2D4E938B" w14:textId="7DC18580"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3A7F1350" w14:textId="1370127C" w:rsidR="00B628FF" w:rsidRDefault="00B31B37">
            <w:pPr>
              <w:pStyle w:val="MeasureTableDataRightAlignedwith2ptsspacing"/>
              <w:keepNext/>
            </w:pPr>
            <w:r>
              <w:noBreakHyphen/>
            </w:r>
          </w:p>
        </w:tc>
      </w:tr>
      <w:tr w:rsidR="00B628FF" w14:paraId="351182F8" w14:textId="77777777">
        <w:trPr>
          <w:cantSplit/>
        </w:trPr>
        <w:tc>
          <w:tcPr>
            <w:tcW w:w="2500" w:type="dxa"/>
            <w:tcBorders>
              <w:top w:val="single" w:sz="4" w:space="0" w:color="000000"/>
              <w:bottom w:val="single" w:sz="4" w:space="0" w:color="000000"/>
            </w:tcBorders>
          </w:tcPr>
          <w:p w14:paraId="0E19A05A" w14:textId="77777777" w:rsidR="00B628FF" w:rsidRDefault="005B2D2F">
            <w:pPr>
              <w:pStyle w:val="MeasureTableHeadingleftalignedwith2ptsspacing"/>
              <w:keepNext/>
            </w:pPr>
            <w:r>
              <w:t>Department of Health and Aged Care</w:t>
            </w:r>
          </w:p>
        </w:tc>
        <w:tc>
          <w:tcPr>
            <w:tcW w:w="1043" w:type="dxa"/>
            <w:tcBorders>
              <w:top w:val="single" w:sz="4" w:space="0" w:color="000000"/>
              <w:bottom w:val="single" w:sz="4" w:space="0" w:color="000000"/>
            </w:tcBorders>
          </w:tcPr>
          <w:p w14:paraId="082960CF" w14:textId="07DDD736"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36739CF2" w14:textId="77777777" w:rsidR="00B628FF" w:rsidRDefault="005B2D2F">
            <w:pPr>
              <w:pStyle w:val="MeasureTableDataRightAlignedwith2ptsspacing"/>
              <w:keepNext/>
            </w:pPr>
            <w:r>
              <w:t>1.4</w:t>
            </w:r>
          </w:p>
        </w:tc>
        <w:tc>
          <w:tcPr>
            <w:tcW w:w="1043" w:type="dxa"/>
            <w:tcBorders>
              <w:top w:val="single" w:sz="4" w:space="0" w:color="000000"/>
              <w:bottom w:val="single" w:sz="4" w:space="0" w:color="000000"/>
            </w:tcBorders>
          </w:tcPr>
          <w:p w14:paraId="0C58CF27" w14:textId="63D46D78"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460FB979" w14:textId="150E6905"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644B3A89" w14:textId="744EFF78" w:rsidR="00B628FF" w:rsidRDefault="00B31B37">
            <w:pPr>
              <w:pStyle w:val="MeasureTableDataRightAlignedwith2ptsspacing"/>
              <w:keepNext/>
            </w:pPr>
            <w:r>
              <w:noBreakHyphen/>
            </w:r>
          </w:p>
        </w:tc>
      </w:tr>
      <w:tr w:rsidR="00B628FF" w14:paraId="0D274562" w14:textId="77777777">
        <w:trPr>
          <w:cantSplit/>
        </w:trPr>
        <w:tc>
          <w:tcPr>
            <w:tcW w:w="2500" w:type="dxa"/>
            <w:tcBorders>
              <w:top w:val="single" w:sz="4" w:space="0" w:color="000000"/>
              <w:bottom w:val="single" w:sz="4" w:space="0" w:color="000000"/>
            </w:tcBorders>
          </w:tcPr>
          <w:p w14:paraId="7BDA3ED4" w14:textId="77777777" w:rsidR="00B628FF" w:rsidRDefault="005B2D2F">
            <w:pPr>
              <w:pStyle w:val="Totalrowleftaligned"/>
              <w:keepNext/>
            </w:pPr>
            <w:r>
              <w:t>Total – Payments</w:t>
            </w:r>
          </w:p>
        </w:tc>
        <w:tc>
          <w:tcPr>
            <w:tcW w:w="1043" w:type="dxa"/>
            <w:tcBorders>
              <w:top w:val="single" w:sz="4" w:space="0" w:color="000000"/>
              <w:bottom w:val="single" w:sz="4" w:space="0" w:color="000000"/>
            </w:tcBorders>
          </w:tcPr>
          <w:p w14:paraId="7EA949F1" w14:textId="77777777" w:rsidR="00B628FF" w:rsidRDefault="005B2D2F">
            <w:pPr>
              <w:pStyle w:val="Totaldatarowrightaligned"/>
              <w:keepNext/>
            </w:pPr>
            <w:r>
              <w:t>2.0</w:t>
            </w:r>
          </w:p>
        </w:tc>
        <w:tc>
          <w:tcPr>
            <w:tcW w:w="1043" w:type="dxa"/>
            <w:tcBorders>
              <w:top w:val="single" w:sz="4" w:space="0" w:color="000000"/>
              <w:bottom w:val="single" w:sz="4" w:space="0" w:color="000000"/>
            </w:tcBorders>
          </w:tcPr>
          <w:p w14:paraId="3F86975D" w14:textId="77777777" w:rsidR="00B628FF" w:rsidRDefault="005B2D2F">
            <w:pPr>
              <w:pStyle w:val="Totaldatarowrightaligned"/>
              <w:keepNext/>
            </w:pPr>
            <w:r>
              <w:t>26.8</w:t>
            </w:r>
          </w:p>
        </w:tc>
        <w:tc>
          <w:tcPr>
            <w:tcW w:w="1043" w:type="dxa"/>
            <w:tcBorders>
              <w:top w:val="single" w:sz="4" w:space="0" w:color="000000"/>
              <w:bottom w:val="single" w:sz="4" w:space="0" w:color="000000"/>
            </w:tcBorders>
          </w:tcPr>
          <w:p w14:paraId="2969AB85" w14:textId="75425B0E" w:rsidR="00B628FF" w:rsidRDefault="00B31B37">
            <w:pPr>
              <w:pStyle w:val="Totaldatarowrightaligned"/>
              <w:keepNext/>
            </w:pPr>
            <w:r>
              <w:noBreakHyphen/>
            </w:r>
          </w:p>
        </w:tc>
        <w:tc>
          <w:tcPr>
            <w:tcW w:w="1043" w:type="dxa"/>
            <w:tcBorders>
              <w:top w:val="single" w:sz="4" w:space="0" w:color="000000"/>
              <w:bottom w:val="single" w:sz="4" w:space="0" w:color="000000"/>
            </w:tcBorders>
          </w:tcPr>
          <w:p w14:paraId="55E5D3E6" w14:textId="208F90D6" w:rsidR="00B628FF" w:rsidRDefault="00B31B37">
            <w:pPr>
              <w:pStyle w:val="Totaldatarowrightaligned"/>
              <w:keepNext/>
            </w:pPr>
            <w:r>
              <w:noBreakHyphen/>
            </w:r>
          </w:p>
        </w:tc>
        <w:tc>
          <w:tcPr>
            <w:tcW w:w="1043" w:type="dxa"/>
            <w:tcBorders>
              <w:top w:val="single" w:sz="4" w:space="0" w:color="000000"/>
              <w:bottom w:val="single" w:sz="4" w:space="0" w:color="000000"/>
            </w:tcBorders>
          </w:tcPr>
          <w:p w14:paraId="6CFEFC70" w14:textId="204258A0" w:rsidR="00B628FF" w:rsidRDefault="00B31B37">
            <w:pPr>
              <w:pStyle w:val="Totaldatarowrightaligned"/>
              <w:keepNext/>
            </w:pPr>
            <w:r>
              <w:noBreakHyphen/>
            </w:r>
          </w:p>
        </w:tc>
      </w:tr>
    </w:tbl>
    <w:p w14:paraId="369D7B45" w14:textId="77777777" w:rsidR="00B628FF" w:rsidRDefault="00B628FF">
      <w:pPr>
        <w:keepNext/>
        <w:spacing w:line="226" w:lineRule="exact"/>
        <w:rPr>
          <w:sz w:val="16"/>
        </w:rPr>
      </w:pPr>
    </w:p>
    <w:p w14:paraId="528EE885" w14:textId="43061A5A" w:rsidR="00B628FF" w:rsidRDefault="005B2D2F">
      <w:pPr>
        <w:pStyle w:val="Normal2"/>
      </w:pPr>
      <w:r>
        <w:t>The Government will provide $28.8 million over two years from 2024–‍25 to improve Australia</w:t>
      </w:r>
      <w:r w:rsidR="00B31B37">
        <w:t>’</w:t>
      </w:r>
      <w:r>
        <w:t>s resilience to natural hazards and preparedness to respond to disasters. Funding</w:t>
      </w:r>
      <w:r w:rsidR="00BA1520">
        <w:t> </w:t>
      </w:r>
      <w:r>
        <w:t>includes:</w:t>
      </w:r>
    </w:p>
    <w:p w14:paraId="4F7B2A14" w14:textId="77777777" w:rsidR="00B628FF" w:rsidRDefault="005B2D2F">
      <w:pPr>
        <w:pStyle w:val="Bullet"/>
      </w:pPr>
      <w:r>
        <w:t>$17.7 million in 2025–‍26 for the Bushfire Community Recovery and Resilience Program to support bushfire resilience activities in rural and regional Australia</w:t>
      </w:r>
    </w:p>
    <w:p w14:paraId="430A3375" w14:textId="65BD670F" w:rsidR="00B628FF" w:rsidRDefault="005B2D2F">
      <w:pPr>
        <w:pStyle w:val="Bullet"/>
      </w:pPr>
      <w:r>
        <w:t>$5.4 million in 2025–‍26 to support the National Emergency Management Agency</w:t>
      </w:r>
      <w:r w:rsidR="00B31B37">
        <w:t>’</w:t>
      </w:r>
      <w:r>
        <w:t>s continued engagement with the states and territories on a national high‑speed and high‑capacity mobile broadband emergency response capability</w:t>
      </w:r>
    </w:p>
    <w:p w14:paraId="7964E272" w14:textId="77777777" w:rsidR="00B628FF" w:rsidRDefault="005B2D2F">
      <w:pPr>
        <w:pStyle w:val="Bullet"/>
      </w:pPr>
      <w:r>
        <w:t>$3.2 million in 2025–‍26 to extend targeted mental health support for emergency service workers provided through Fortem Australia and the Black Dog Institute</w:t>
      </w:r>
    </w:p>
    <w:p w14:paraId="2E50328A" w14:textId="350D5757" w:rsidR="00B628FF" w:rsidRDefault="005B2D2F">
      <w:pPr>
        <w:pStyle w:val="Bullet"/>
      </w:pPr>
      <w:r>
        <w:t xml:space="preserve">$2.5 million over two years from 2024–‍25 for a one‑off Business Continuity Payment of $10,000 to Child Care Subsidy (CCS) approved services closed or partially closed for eight days or more due to impacts of Ex‑Tropical Cyclone Alfred, subject to conditions, </w:t>
      </w:r>
      <w:r w:rsidR="00A25F9C">
        <w:t>including</w:t>
      </w:r>
      <w:r>
        <w:t xml:space="preserve"> providers agreeing to temporarily not charge families CCS gap fees during the closure period.</w:t>
      </w:r>
    </w:p>
    <w:p w14:paraId="55AFAD2D" w14:textId="77777777" w:rsidR="00B628FF" w:rsidRDefault="005B2D2F">
      <w:pPr>
        <w:pStyle w:val="Normal2"/>
      </w:pPr>
      <w:r w:rsidRPr="5FA307DC">
        <w:rPr>
          <w:lang w:val="en-US"/>
        </w:rPr>
        <w:t>The support outlined in this measure is in addition to assistance provided under the Disaster Recovery Funding Arrangements through which the Australian Government provides funding to states and territories to share the financial burden of responding to significant natural disasters, and the provision of urgent financial assistance to disaster‑affected individuals.</w:t>
      </w:r>
    </w:p>
    <w:p w14:paraId="4F937768" w14:textId="0FF921E1" w:rsidR="00B628FF" w:rsidRDefault="005B2D2F">
      <w:pPr>
        <w:pStyle w:val="Normal2"/>
      </w:pPr>
      <w:r w:rsidRPr="5FA307DC">
        <w:rPr>
          <w:lang w:val="en-US"/>
        </w:rPr>
        <w:t>In addition to the funding announced by the Government to date, the 2025–‍26 Budget includes a provision of $1.2 billion over the forward estimates to accommodate additional expenditure on disaster response payments including following Ex‑Tropical</w:t>
      </w:r>
      <w:r w:rsidR="00BA1520" w:rsidRPr="5FA307DC">
        <w:rPr>
          <w:lang w:val="en-US"/>
        </w:rPr>
        <w:t> </w:t>
      </w:r>
      <w:r w:rsidRPr="5FA307DC">
        <w:rPr>
          <w:lang w:val="en-US"/>
        </w:rPr>
        <w:t>Cyclone Alfred in March 2025.</w:t>
      </w:r>
    </w:p>
    <w:p w14:paraId="6758A560" w14:textId="77777777" w:rsidR="00B628FF" w:rsidRDefault="005B2D2F">
      <w:pPr>
        <w:pStyle w:val="Normal2"/>
      </w:pPr>
      <w:r>
        <w:t>The Treasury manages Commonwealth payments to the states and territories.</w:t>
      </w:r>
    </w:p>
    <w:p w14:paraId="4ECD307C" w14:textId="77777777" w:rsidR="00B628FF" w:rsidRDefault="005B2D2F">
      <w:pPr>
        <w:pStyle w:val="Normal2"/>
      </w:pPr>
      <w:r>
        <w:t>This measure builds on the 2024–‍25 MYEFO measure titled</w:t>
      </w:r>
      <w:r w:rsidRPr="005B2D2F">
        <w:rPr>
          <w:i/>
        </w:rPr>
        <w:t xml:space="preserve"> Disaster Support</w:t>
      </w:r>
      <w:r>
        <w:t>.</w:t>
      </w:r>
    </w:p>
    <w:p w14:paraId="30C9F25E" w14:textId="77777777" w:rsidR="00B628FF" w:rsidRDefault="005B2D2F">
      <w:pPr>
        <w:pStyle w:val="MeasureTitle"/>
      </w:pPr>
      <w:r>
        <w:t>Supporting Border Security</w:t>
      </w:r>
    </w:p>
    <w:p w14:paraId="4E63DA83" w14:textId="77777777" w:rsidR="00B628FF" w:rsidRDefault="005B2D2F">
      <w:pPr>
        <w:pStyle w:val="MeasureTableHeading"/>
      </w:pPr>
      <w:r>
        <w:t>Payments ($m)</w:t>
      </w:r>
    </w:p>
    <w:tbl>
      <w:tblPr>
        <w:tblOverlap w:val="never"/>
        <w:tblW w:w="7721" w:type="dxa"/>
        <w:tblBorders>
          <w:top w:val="single" w:sz="4" w:space="0" w:color="000000"/>
          <w:bottom w:val="single" w:sz="4" w:space="0" w:color="000000"/>
        </w:tblBorders>
        <w:tblLayout w:type="fixed"/>
        <w:tblLook w:val="04A0" w:firstRow="1" w:lastRow="0" w:firstColumn="1" w:lastColumn="0" w:noHBand="0" w:noVBand="1"/>
      </w:tblPr>
      <w:tblGrid>
        <w:gridCol w:w="2501"/>
        <w:gridCol w:w="1044"/>
        <w:gridCol w:w="1044"/>
        <w:gridCol w:w="1044"/>
        <w:gridCol w:w="1044"/>
        <w:gridCol w:w="1044"/>
      </w:tblGrid>
      <w:tr w:rsidR="00B628FF" w14:paraId="05E39047" w14:textId="77777777">
        <w:trPr>
          <w:cantSplit/>
        </w:trPr>
        <w:tc>
          <w:tcPr>
            <w:tcW w:w="2500" w:type="dxa"/>
            <w:tcBorders>
              <w:top w:val="single" w:sz="4" w:space="0" w:color="000000"/>
              <w:bottom w:val="single" w:sz="4" w:space="0" w:color="000000"/>
            </w:tcBorders>
          </w:tcPr>
          <w:p w14:paraId="67C2AFAD" w14:textId="77777777" w:rsidR="00B628FF" w:rsidRDefault="00B628FF">
            <w:pPr>
              <w:pStyle w:val="MeasureTableYearHeadings"/>
              <w:keepNext/>
            </w:pPr>
          </w:p>
        </w:tc>
        <w:tc>
          <w:tcPr>
            <w:tcW w:w="1043" w:type="dxa"/>
            <w:tcBorders>
              <w:top w:val="single" w:sz="4" w:space="0" w:color="000000"/>
              <w:bottom w:val="single" w:sz="4" w:space="0" w:color="000000"/>
            </w:tcBorders>
          </w:tcPr>
          <w:p w14:paraId="32DA62C1" w14:textId="647B0558" w:rsidR="00B628FF" w:rsidRDefault="005B2D2F">
            <w:pPr>
              <w:pStyle w:val="MeasureTableYearHeadings"/>
              <w:keepNext/>
            </w:pPr>
            <w:r>
              <w:t>2024</w:t>
            </w:r>
            <w:r w:rsidR="00B31B37">
              <w:noBreakHyphen/>
            </w:r>
            <w:r>
              <w:t>25</w:t>
            </w:r>
          </w:p>
        </w:tc>
        <w:tc>
          <w:tcPr>
            <w:tcW w:w="1043" w:type="dxa"/>
            <w:tcBorders>
              <w:top w:val="single" w:sz="4" w:space="0" w:color="000000"/>
              <w:bottom w:val="single" w:sz="4" w:space="0" w:color="000000"/>
            </w:tcBorders>
          </w:tcPr>
          <w:p w14:paraId="7F0B56F5" w14:textId="439824DD" w:rsidR="00B628FF" w:rsidRDefault="005B2D2F">
            <w:pPr>
              <w:pStyle w:val="MeasureTableYearHeadings"/>
              <w:keepNext/>
            </w:pPr>
            <w:r>
              <w:t>2025</w:t>
            </w:r>
            <w:r w:rsidR="00B31B37">
              <w:noBreakHyphen/>
            </w:r>
            <w:r>
              <w:t>26</w:t>
            </w:r>
          </w:p>
        </w:tc>
        <w:tc>
          <w:tcPr>
            <w:tcW w:w="1043" w:type="dxa"/>
            <w:tcBorders>
              <w:top w:val="single" w:sz="4" w:space="0" w:color="000000"/>
              <w:bottom w:val="single" w:sz="4" w:space="0" w:color="000000"/>
            </w:tcBorders>
          </w:tcPr>
          <w:p w14:paraId="7113F4D4" w14:textId="0CA5EFEF" w:rsidR="00B628FF" w:rsidRDefault="005B2D2F">
            <w:pPr>
              <w:pStyle w:val="MeasureTableYearHeadings"/>
              <w:keepNext/>
            </w:pPr>
            <w:r>
              <w:t>2026</w:t>
            </w:r>
            <w:r w:rsidR="00B31B37">
              <w:noBreakHyphen/>
            </w:r>
            <w:r>
              <w:t>27</w:t>
            </w:r>
          </w:p>
        </w:tc>
        <w:tc>
          <w:tcPr>
            <w:tcW w:w="1043" w:type="dxa"/>
            <w:tcBorders>
              <w:top w:val="single" w:sz="4" w:space="0" w:color="000000"/>
              <w:bottom w:val="single" w:sz="4" w:space="0" w:color="000000"/>
            </w:tcBorders>
          </w:tcPr>
          <w:p w14:paraId="25A464B9" w14:textId="6ED2A4BD" w:rsidR="00B628FF" w:rsidRDefault="005B2D2F">
            <w:pPr>
              <w:pStyle w:val="MeasureTableYearHeadings"/>
              <w:keepNext/>
            </w:pPr>
            <w:r>
              <w:t>2027</w:t>
            </w:r>
            <w:r w:rsidR="00B31B37">
              <w:noBreakHyphen/>
            </w:r>
            <w:r>
              <w:t>28</w:t>
            </w:r>
          </w:p>
        </w:tc>
        <w:tc>
          <w:tcPr>
            <w:tcW w:w="1043" w:type="dxa"/>
            <w:tcBorders>
              <w:top w:val="single" w:sz="4" w:space="0" w:color="000000"/>
              <w:bottom w:val="single" w:sz="4" w:space="0" w:color="000000"/>
            </w:tcBorders>
          </w:tcPr>
          <w:p w14:paraId="2EB8E2DA" w14:textId="7C15F200" w:rsidR="00B628FF" w:rsidRDefault="005B2D2F">
            <w:pPr>
              <w:pStyle w:val="MeasureTableYearHeadings"/>
              <w:keepNext/>
            </w:pPr>
            <w:r>
              <w:t>2028</w:t>
            </w:r>
            <w:r w:rsidR="00B31B37">
              <w:noBreakHyphen/>
            </w:r>
            <w:r>
              <w:t>29</w:t>
            </w:r>
          </w:p>
        </w:tc>
      </w:tr>
      <w:tr w:rsidR="00B628FF" w14:paraId="496C3E7F" w14:textId="77777777">
        <w:trPr>
          <w:cantSplit/>
        </w:trPr>
        <w:tc>
          <w:tcPr>
            <w:tcW w:w="2500" w:type="dxa"/>
            <w:tcBorders>
              <w:top w:val="single" w:sz="4" w:space="0" w:color="000000"/>
              <w:bottom w:val="single" w:sz="4" w:space="0" w:color="000000"/>
            </w:tcBorders>
          </w:tcPr>
          <w:p w14:paraId="0622A76C" w14:textId="77777777" w:rsidR="00B628FF" w:rsidRDefault="005B2D2F">
            <w:pPr>
              <w:pStyle w:val="MeasureTableHeadingleftalignedwith2ptsspacing"/>
              <w:keepNext/>
            </w:pPr>
            <w:r>
              <w:t>Office of the Director of Public Prosecutions</w:t>
            </w:r>
          </w:p>
        </w:tc>
        <w:tc>
          <w:tcPr>
            <w:tcW w:w="1043" w:type="dxa"/>
            <w:tcBorders>
              <w:top w:val="single" w:sz="4" w:space="0" w:color="000000"/>
              <w:bottom w:val="single" w:sz="4" w:space="0" w:color="000000"/>
            </w:tcBorders>
          </w:tcPr>
          <w:p w14:paraId="7A7D937A" w14:textId="099ED6A4"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3E8FA6D5" w14:textId="77777777" w:rsidR="00B628FF" w:rsidRDefault="005B2D2F">
            <w:pPr>
              <w:pStyle w:val="MeasureTableDataRightAlignedwith2ptsspacing"/>
              <w:keepNext/>
            </w:pPr>
            <w:r>
              <w:t>4.1</w:t>
            </w:r>
          </w:p>
        </w:tc>
        <w:tc>
          <w:tcPr>
            <w:tcW w:w="1043" w:type="dxa"/>
            <w:tcBorders>
              <w:top w:val="single" w:sz="4" w:space="0" w:color="000000"/>
              <w:bottom w:val="single" w:sz="4" w:space="0" w:color="000000"/>
            </w:tcBorders>
          </w:tcPr>
          <w:p w14:paraId="2800086E" w14:textId="7D252CC1"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24502FA4" w14:textId="374F9C78"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33406B97" w14:textId="2190A601" w:rsidR="00B628FF" w:rsidRDefault="00B31B37">
            <w:pPr>
              <w:pStyle w:val="MeasureTableDataRightAlignedwith2ptsspacing"/>
              <w:keepNext/>
            </w:pPr>
            <w:r>
              <w:noBreakHyphen/>
            </w:r>
          </w:p>
        </w:tc>
      </w:tr>
      <w:tr w:rsidR="00B628FF" w14:paraId="6BEF8A21" w14:textId="77777777">
        <w:trPr>
          <w:cantSplit/>
        </w:trPr>
        <w:tc>
          <w:tcPr>
            <w:tcW w:w="2500" w:type="dxa"/>
            <w:tcBorders>
              <w:top w:val="single" w:sz="4" w:space="0" w:color="000000"/>
              <w:bottom w:val="single" w:sz="4" w:space="0" w:color="000000"/>
            </w:tcBorders>
          </w:tcPr>
          <w:p w14:paraId="58A66248" w14:textId="77777777" w:rsidR="00B628FF" w:rsidRDefault="005B2D2F">
            <w:pPr>
              <w:pStyle w:val="MeasureTableHeadingleftalignedwith2ptsspacing"/>
              <w:keepNext/>
            </w:pPr>
            <w:r>
              <w:t>Australian Fisheries Management Authority</w:t>
            </w:r>
          </w:p>
        </w:tc>
        <w:tc>
          <w:tcPr>
            <w:tcW w:w="1043" w:type="dxa"/>
            <w:tcBorders>
              <w:top w:val="single" w:sz="4" w:space="0" w:color="000000"/>
              <w:bottom w:val="single" w:sz="4" w:space="0" w:color="000000"/>
            </w:tcBorders>
          </w:tcPr>
          <w:p w14:paraId="02153D53" w14:textId="5B1C1C00"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03DE527A" w14:textId="77777777" w:rsidR="00B628FF" w:rsidRDefault="005B2D2F">
            <w:pPr>
              <w:pStyle w:val="MeasureTableDataRightAlignedwith2ptsspacing"/>
              <w:keepNext/>
            </w:pPr>
            <w:r>
              <w:t>2.0</w:t>
            </w:r>
          </w:p>
        </w:tc>
        <w:tc>
          <w:tcPr>
            <w:tcW w:w="1043" w:type="dxa"/>
            <w:tcBorders>
              <w:top w:val="single" w:sz="4" w:space="0" w:color="000000"/>
              <w:bottom w:val="single" w:sz="4" w:space="0" w:color="000000"/>
            </w:tcBorders>
          </w:tcPr>
          <w:p w14:paraId="030EC414" w14:textId="099183D1"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6884EEBF" w14:textId="32BA76FA"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4EC80EE0" w14:textId="79A15448" w:rsidR="00B628FF" w:rsidRDefault="00B31B37">
            <w:pPr>
              <w:pStyle w:val="MeasureTableDataRightAlignedwith2ptsspacing"/>
              <w:keepNext/>
            </w:pPr>
            <w:r>
              <w:noBreakHyphen/>
            </w:r>
          </w:p>
        </w:tc>
      </w:tr>
      <w:tr w:rsidR="00B628FF" w14:paraId="34A564AD" w14:textId="77777777">
        <w:trPr>
          <w:cantSplit/>
        </w:trPr>
        <w:tc>
          <w:tcPr>
            <w:tcW w:w="2500" w:type="dxa"/>
            <w:tcBorders>
              <w:top w:val="single" w:sz="4" w:space="0" w:color="000000"/>
              <w:bottom w:val="single" w:sz="4" w:space="0" w:color="000000"/>
            </w:tcBorders>
          </w:tcPr>
          <w:p w14:paraId="5F92FD43" w14:textId="77777777" w:rsidR="00B628FF" w:rsidRDefault="005B2D2F">
            <w:pPr>
              <w:pStyle w:val="MeasureTableHeadingleftalignedwith2ptsspacing"/>
              <w:keepNext/>
            </w:pPr>
            <w:r>
              <w:t>Department of Home Affairs</w:t>
            </w:r>
          </w:p>
        </w:tc>
        <w:tc>
          <w:tcPr>
            <w:tcW w:w="1043" w:type="dxa"/>
            <w:tcBorders>
              <w:top w:val="single" w:sz="4" w:space="0" w:color="000000"/>
              <w:bottom w:val="single" w:sz="4" w:space="0" w:color="000000"/>
            </w:tcBorders>
          </w:tcPr>
          <w:p w14:paraId="250AD520" w14:textId="410B1583" w:rsidR="00B628FF" w:rsidRDefault="00B31B37">
            <w:pPr>
              <w:pStyle w:val="MeasureTableDataRightAlignedwith2ptsspacing"/>
              <w:keepNext/>
            </w:pPr>
            <w:r>
              <w:noBreakHyphen/>
            </w:r>
            <w:r w:rsidR="005B2D2F">
              <w:t>10.0</w:t>
            </w:r>
          </w:p>
        </w:tc>
        <w:tc>
          <w:tcPr>
            <w:tcW w:w="1043" w:type="dxa"/>
            <w:tcBorders>
              <w:top w:val="single" w:sz="4" w:space="0" w:color="000000"/>
              <w:bottom w:val="single" w:sz="4" w:space="0" w:color="000000"/>
            </w:tcBorders>
          </w:tcPr>
          <w:p w14:paraId="2B9EE1AD" w14:textId="77777777" w:rsidR="00B628FF" w:rsidRDefault="005B2D2F">
            <w:pPr>
              <w:pStyle w:val="MeasureTableDataRightAlignedwith2ptsspacing"/>
              <w:keepNext/>
            </w:pPr>
            <w:r>
              <w:t>68.3</w:t>
            </w:r>
          </w:p>
        </w:tc>
        <w:tc>
          <w:tcPr>
            <w:tcW w:w="1043" w:type="dxa"/>
            <w:tcBorders>
              <w:top w:val="single" w:sz="4" w:space="0" w:color="000000"/>
              <w:bottom w:val="single" w:sz="4" w:space="0" w:color="000000"/>
            </w:tcBorders>
          </w:tcPr>
          <w:p w14:paraId="09447468" w14:textId="32C8207D"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223262FE" w14:textId="229A1F01"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020C805F" w14:textId="6ED034CC" w:rsidR="00B628FF" w:rsidRDefault="00B31B37">
            <w:pPr>
              <w:pStyle w:val="MeasureTableDataRightAlignedwith2ptsspacing"/>
              <w:keepNext/>
            </w:pPr>
            <w:r>
              <w:noBreakHyphen/>
            </w:r>
          </w:p>
        </w:tc>
      </w:tr>
      <w:tr w:rsidR="00B628FF" w14:paraId="48F4AD0C" w14:textId="77777777">
        <w:trPr>
          <w:cantSplit/>
        </w:trPr>
        <w:tc>
          <w:tcPr>
            <w:tcW w:w="2500" w:type="dxa"/>
            <w:tcBorders>
              <w:top w:val="single" w:sz="4" w:space="0" w:color="000000"/>
              <w:bottom w:val="single" w:sz="4" w:space="0" w:color="000000"/>
            </w:tcBorders>
          </w:tcPr>
          <w:p w14:paraId="4814021D" w14:textId="77777777" w:rsidR="00B628FF" w:rsidRDefault="005B2D2F">
            <w:pPr>
              <w:pStyle w:val="Totalrowleftaligned"/>
              <w:keepNext/>
            </w:pPr>
            <w:r>
              <w:t>Total – Payments</w:t>
            </w:r>
          </w:p>
        </w:tc>
        <w:tc>
          <w:tcPr>
            <w:tcW w:w="1043" w:type="dxa"/>
            <w:tcBorders>
              <w:top w:val="single" w:sz="4" w:space="0" w:color="000000"/>
              <w:bottom w:val="single" w:sz="4" w:space="0" w:color="000000"/>
            </w:tcBorders>
          </w:tcPr>
          <w:p w14:paraId="42A1E508" w14:textId="7322A781" w:rsidR="00B628FF" w:rsidRDefault="00B31B37">
            <w:pPr>
              <w:pStyle w:val="Totaldatarowrightaligned"/>
              <w:keepNext/>
            </w:pPr>
            <w:r>
              <w:noBreakHyphen/>
            </w:r>
            <w:r w:rsidR="005B2D2F">
              <w:t>10.0</w:t>
            </w:r>
          </w:p>
        </w:tc>
        <w:tc>
          <w:tcPr>
            <w:tcW w:w="1043" w:type="dxa"/>
            <w:tcBorders>
              <w:top w:val="single" w:sz="4" w:space="0" w:color="000000"/>
              <w:bottom w:val="single" w:sz="4" w:space="0" w:color="000000"/>
            </w:tcBorders>
          </w:tcPr>
          <w:p w14:paraId="57DC3D38" w14:textId="77777777" w:rsidR="00B628FF" w:rsidRDefault="005B2D2F">
            <w:pPr>
              <w:pStyle w:val="Totaldatarowrightaligned"/>
              <w:keepNext/>
            </w:pPr>
            <w:r>
              <w:t>74.4</w:t>
            </w:r>
          </w:p>
        </w:tc>
        <w:tc>
          <w:tcPr>
            <w:tcW w:w="1043" w:type="dxa"/>
            <w:tcBorders>
              <w:top w:val="single" w:sz="4" w:space="0" w:color="000000"/>
              <w:bottom w:val="single" w:sz="4" w:space="0" w:color="000000"/>
            </w:tcBorders>
          </w:tcPr>
          <w:p w14:paraId="37257AF7" w14:textId="52773157" w:rsidR="00B628FF" w:rsidRDefault="00B31B37">
            <w:pPr>
              <w:pStyle w:val="Totaldatarowrightaligned"/>
              <w:keepNext/>
            </w:pPr>
            <w:r>
              <w:noBreakHyphen/>
            </w:r>
          </w:p>
        </w:tc>
        <w:tc>
          <w:tcPr>
            <w:tcW w:w="1043" w:type="dxa"/>
            <w:tcBorders>
              <w:top w:val="single" w:sz="4" w:space="0" w:color="000000"/>
              <w:bottom w:val="single" w:sz="4" w:space="0" w:color="000000"/>
            </w:tcBorders>
          </w:tcPr>
          <w:p w14:paraId="33EB259B" w14:textId="18F6F738" w:rsidR="00B628FF" w:rsidRDefault="00B31B37">
            <w:pPr>
              <w:pStyle w:val="Totaldatarowrightaligned"/>
              <w:keepNext/>
            </w:pPr>
            <w:r>
              <w:noBreakHyphen/>
            </w:r>
          </w:p>
        </w:tc>
        <w:tc>
          <w:tcPr>
            <w:tcW w:w="1043" w:type="dxa"/>
            <w:tcBorders>
              <w:top w:val="single" w:sz="4" w:space="0" w:color="000000"/>
              <w:bottom w:val="single" w:sz="4" w:space="0" w:color="000000"/>
            </w:tcBorders>
          </w:tcPr>
          <w:p w14:paraId="5F0E76E9" w14:textId="4B0F6DA0" w:rsidR="00B628FF" w:rsidRDefault="00B31B37">
            <w:pPr>
              <w:pStyle w:val="Totaldatarowrightaligned"/>
              <w:keepNext/>
            </w:pPr>
            <w:r>
              <w:noBreakHyphen/>
            </w:r>
          </w:p>
        </w:tc>
      </w:tr>
      <w:tr w:rsidR="00B628FF" w14:paraId="2F996620" w14:textId="77777777">
        <w:trPr>
          <w:cantSplit/>
        </w:trPr>
        <w:tc>
          <w:tcPr>
            <w:tcW w:w="2500" w:type="dxa"/>
          </w:tcPr>
          <w:p w14:paraId="6D9F8E7B" w14:textId="77777777" w:rsidR="00B628FF" w:rsidRDefault="005B2D2F">
            <w:pPr>
              <w:pStyle w:val="AgencyName"/>
              <w:keepNext/>
            </w:pPr>
            <w:r>
              <w:t>Related receipts ($m)</w:t>
            </w:r>
          </w:p>
        </w:tc>
        <w:tc>
          <w:tcPr>
            <w:tcW w:w="1043" w:type="dxa"/>
          </w:tcPr>
          <w:p w14:paraId="1D29FED2" w14:textId="77777777" w:rsidR="00B628FF" w:rsidRDefault="00B628FF">
            <w:pPr>
              <w:pStyle w:val="AgencyName"/>
              <w:keepNext/>
            </w:pPr>
          </w:p>
        </w:tc>
        <w:tc>
          <w:tcPr>
            <w:tcW w:w="1043" w:type="dxa"/>
          </w:tcPr>
          <w:p w14:paraId="6F2174C2" w14:textId="77777777" w:rsidR="00B628FF" w:rsidRDefault="00B628FF">
            <w:pPr>
              <w:pStyle w:val="AgencyName"/>
              <w:keepNext/>
            </w:pPr>
          </w:p>
        </w:tc>
        <w:tc>
          <w:tcPr>
            <w:tcW w:w="1043" w:type="dxa"/>
          </w:tcPr>
          <w:p w14:paraId="718938B3" w14:textId="77777777" w:rsidR="00B628FF" w:rsidRDefault="00B628FF">
            <w:pPr>
              <w:pStyle w:val="AgencyName"/>
              <w:keepNext/>
            </w:pPr>
          </w:p>
        </w:tc>
        <w:tc>
          <w:tcPr>
            <w:tcW w:w="1043" w:type="dxa"/>
          </w:tcPr>
          <w:p w14:paraId="38511F8B" w14:textId="77777777" w:rsidR="00B628FF" w:rsidRDefault="00B628FF">
            <w:pPr>
              <w:pStyle w:val="AgencyName"/>
              <w:keepNext/>
            </w:pPr>
          </w:p>
        </w:tc>
        <w:tc>
          <w:tcPr>
            <w:tcW w:w="1043" w:type="dxa"/>
          </w:tcPr>
          <w:p w14:paraId="1B33DC5C" w14:textId="77777777" w:rsidR="00B628FF" w:rsidRDefault="00B628FF">
            <w:pPr>
              <w:pStyle w:val="AgencyName"/>
              <w:keepNext/>
            </w:pPr>
          </w:p>
        </w:tc>
      </w:tr>
      <w:tr w:rsidR="00B628FF" w14:paraId="08A0C41F" w14:textId="77777777">
        <w:tc>
          <w:tcPr>
            <w:tcW w:w="2500" w:type="dxa"/>
          </w:tcPr>
          <w:p w14:paraId="2AEFB603" w14:textId="77777777" w:rsidR="00B628FF" w:rsidRDefault="005B2D2F">
            <w:pPr>
              <w:pStyle w:val="AgencyNamewith2ptsspacing"/>
              <w:keepNext/>
            </w:pPr>
            <w:r>
              <w:t>Department of Home Affairs</w:t>
            </w:r>
          </w:p>
        </w:tc>
        <w:tc>
          <w:tcPr>
            <w:tcW w:w="1043" w:type="dxa"/>
          </w:tcPr>
          <w:p w14:paraId="49266981" w14:textId="12E4C3A4" w:rsidR="00B628FF" w:rsidRDefault="00B31B37">
            <w:pPr>
              <w:pStyle w:val="Measuretabledatarightaligneditalics"/>
              <w:keepNext/>
            </w:pPr>
            <w:r>
              <w:noBreakHyphen/>
            </w:r>
          </w:p>
        </w:tc>
        <w:tc>
          <w:tcPr>
            <w:tcW w:w="1043" w:type="dxa"/>
          </w:tcPr>
          <w:p w14:paraId="61AA6097" w14:textId="377E27D6" w:rsidR="00B628FF" w:rsidRDefault="00B31B37">
            <w:pPr>
              <w:pStyle w:val="Measuretabledatarightaligneditalics"/>
              <w:keepNext/>
            </w:pPr>
            <w:r>
              <w:noBreakHyphen/>
            </w:r>
            <w:r w:rsidR="005B2D2F">
              <w:t>18.9</w:t>
            </w:r>
          </w:p>
        </w:tc>
        <w:tc>
          <w:tcPr>
            <w:tcW w:w="1043" w:type="dxa"/>
          </w:tcPr>
          <w:p w14:paraId="60485BD1" w14:textId="70C13FBC" w:rsidR="00B628FF" w:rsidRDefault="00B31B37">
            <w:pPr>
              <w:pStyle w:val="Measuretabledatarightaligneditalics"/>
              <w:keepNext/>
            </w:pPr>
            <w:r>
              <w:noBreakHyphen/>
            </w:r>
          </w:p>
        </w:tc>
        <w:tc>
          <w:tcPr>
            <w:tcW w:w="1043" w:type="dxa"/>
          </w:tcPr>
          <w:p w14:paraId="52F74E65" w14:textId="453A2887" w:rsidR="00B628FF" w:rsidRDefault="00B31B37">
            <w:pPr>
              <w:pStyle w:val="Measuretabledatarightaligneditalics"/>
              <w:keepNext/>
            </w:pPr>
            <w:r>
              <w:noBreakHyphen/>
            </w:r>
          </w:p>
        </w:tc>
        <w:tc>
          <w:tcPr>
            <w:tcW w:w="1043" w:type="dxa"/>
          </w:tcPr>
          <w:p w14:paraId="748760FD" w14:textId="03D1DF74" w:rsidR="00B628FF" w:rsidRDefault="00B31B37">
            <w:pPr>
              <w:pStyle w:val="Measuretabledatarightaligneditalics"/>
              <w:keepNext/>
            </w:pPr>
            <w:r>
              <w:noBreakHyphen/>
            </w:r>
          </w:p>
        </w:tc>
      </w:tr>
    </w:tbl>
    <w:p w14:paraId="1A9096A1" w14:textId="77777777" w:rsidR="00B628FF" w:rsidRDefault="00B628FF">
      <w:pPr>
        <w:keepNext/>
        <w:spacing w:line="226" w:lineRule="exact"/>
        <w:rPr>
          <w:sz w:val="16"/>
        </w:rPr>
      </w:pPr>
    </w:p>
    <w:p w14:paraId="37EF6F43" w14:textId="3D7817A4" w:rsidR="00B628FF" w:rsidRDefault="005B2D2F">
      <w:pPr>
        <w:pStyle w:val="Normal2"/>
      </w:pPr>
      <w:r>
        <w:t>The Government will provide $84.5 million over four years from 2025–‍26 to support Australia</w:t>
      </w:r>
      <w:r w:rsidR="00B31B37">
        <w:t>’</w:t>
      </w:r>
      <w:r>
        <w:t>s border security. Funding includes:</w:t>
      </w:r>
    </w:p>
    <w:p w14:paraId="778C2FD5" w14:textId="1A9E88C1" w:rsidR="00B628FF" w:rsidRDefault="005B2D2F">
      <w:pPr>
        <w:pStyle w:val="Bullet"/>
      </w:pPr>
      <w:r>
        <w:t>$74.9 million in 2025–‍26 to address border and biosecurity threats from illegal fishing activities in Australia</w:t>
      </w:r>
      <w:r w:rsidR="00B31B37">
        <w:t>’</w:t>
      </w:r>
      <w:r>
        <w:t>s northern waters, including increasing the presence of the Australian Border Force and Australian Fisheries Management Authority in the region, and supporting prosecutions by the Office of the Director of Public Prosecutions</w:t>
      </w:r>
    </w:p>
    <w:p w14:paraId="5813FE0E" w14:textId="1091B3F6" w:rsidR="00B628FF" w:rsidRDefault="005B2D2F">
      <w:pPr>
        <w:pStyle w:val="Bullet"/>
      </w:pPr>
      <w:r>
        <w:t>$9.6 million over four years from 2025–‍26 to undertake an approach to market to renew Australia</w:t>
      </w:r>
      <w:r w:rsidR="00B31B37">
        <w:t>’</w:t>
      </w:r>
      <w:r>
        <w:t>s primary sea cargo screening technology to detect and prevent the importation of illicit goods and sustain existing screening technology.</w:t>
      </w:r>
    </w:p>
    <w:p w14:paraId="12064CB6" w14:textId="77777777" w:rsidR="00B628FF" w:rsidRDefault="005B2D2F">
      <w:pPr>
        <w:pStyle w:val="Normal2"/>
      </w:pPr>
      <w:r w:rsidRPr="5FA307DC">
        <w:rPr>
          <w:lang w:val="en-US"/>
        </w:rPr>
        <w:t>The Government will delay the implementation of a single issuing body for aviation and maritime security identification cards by one year until 1 July 2026 to adjust the implementation approach in consultation with industry to minimise service delivery risk. This will result in a reduction in expenditure of $0.5 million and a reduction in revenue of $18.9 million in 2025–‍26.</w:t>
      </w:r>
    </w:p>
    <w:p w14:paraId="16B98BA1" w14:textId="77777777" w:rsidR="00B628FF" w:rsidRDefault="005B2D2F" w:rsidP="5FA307DC">
      <w:pPr>
        <w:pStyle w:val="Normal2"/>
        <w:rPr>
          <w:lang w:val="en-US"/>
        </w:rPr>
      </w:pPr>
      <w:r w:rsidRPr="5FA307DC">
        <w:rPr>
          <w:lang w:val="en-US"/>
        </w:rPr>
        <w:t>The cost of this measure will be partially met from within the existing resourcing and uncommitted funding of the Department of Home Affairs.</w:t>
      </w:r>
    </w:p>
    <w:p w14:paraId="672E6B17" w14:textId="614436F3" w:rsidR="00F0641C" w:rsidRDefault="005B2D2F">
      <w:pPr>
        <w:pStyle w:val="Normal2"/>
        <w:rPr>
          <w:i/>
        </w:rPr>
      </w:pPr>
      <w:r>
        <w:t>This measure contributes to the Government</w:t>
      </w:r>
      <w:r w:rsidR="00B31B37">
        <w:t>’</w:t>
      </w:r>
      <w:r>
        <w:t>s strong commitment to protecting Australia</w:t>
      </w:r>
      <w:r w:rsidR="00B31B37">
        <w:t>’</w:t>
      </w:r>
      <w:r>
        <w:t xml:space="preserve">s borders and builds on the 2024–‍25 Budget measure titled </w:t>
      </w:r>
      <w:r w:rsidRPr="005B2D2F">
        <w:rPr>
          <w:i/>
        </w:rPr>
        <w:t xml:space="preserve">Civil Maritime Critical Security Capabilities, </w:t>
      </w:r>
      <w:r>
        <w:t xml:space="preserve">and the 2024–‍25 MYEFO measure titled </w:t>
      </w:r>
      <w:r w:rsidRPr="005B2D2F">
        <w:rPr>
          <w:i/>
        </w:rPr>
        <w:t>Civil Maritime Security Capabilities.</w:t>
      </w:r>
    </w:p>
    <w:p w14:paraId="01A2B7DA" w14:textId="77777777" w:rsidR="00F0641C" w:rsidRDefault="00F0641C">
      <w:pPr>
        <w:autoSpaceDE/>
        <w:autoSpaceDN/>
        <w:adjustRightInd/>
        <w:rPr>
          <w:rFonts w:ascii="Book Antiqua" w:hAnsi="Book Antiqua" w:cs="Times New Roman"/>
          <w:i/>
          <w:sz w:val="19"/>
          <w:lang w:val="en-AU"/>
        </w:rPr>
      </w:pPr>
      <w:r>
        <w:rPr>
          <w:i/>
        </w:rPr>
        <w:br w:type="page"/>
      </w:r>
    </w:p>
    <w:p w14:paraId="7ACF35C2" w14:textId="77777777" w:rsidR="00B628FF" w:rsidRDefault="005B2D2F">
      <w:pPr>
        <w:pStyle w:val="MeasureTitle"/>
      </w:pPr>
      <w:r>
        <w:t>Supporting Community Safety</w:t>
      </w:r>
    </w:p>
    <w:p w14:paraId="7A4E3C99" w14:textId="77777777" w:rsidR="00B628FF" w:rsidRDefault="005B2D2F">
      <w:pPr>
        <w:pStyle w:val="MeasureTableHeading"/>
      </w:pPr>
      <w:r>
        <w:t>Payments ($m)</w:t>
      </w:r>
    </w:p>
    <w:tbl>
      <w:tblPr>
        <w:tblOverlap w:val="never"/>
        <w:tblW w:w="7721" w:type="dxa"/>
        <w:tblBorders>
          <w:top w:val="single" w:sz="4" w:space="0" w:color="000000"/>
          <w:bottom w:val="single" w:sz="4" w:space="0" w:color="000000"/>
        </w:tblBorders>
        <w:tblLayout w:type="fixed"/>
        <w:tblLook w:val="04A0" w:firstRow="1" w:lastRow="0" w:firstColumn="1" w:lastColumn="0" w:noHBand="0" w:noVBand="1"/>
      </w:tblPr>
      <w:tblGrid>
        <w:gridCol w:w="2501"/>
        <w:gridCol w:w="1044"/>
        <w:gridCol w:w="1044"/>
        <w:gridCol w:w="1044"/>
        <w:gridCol w:w="1044"/>
        <w:gridCol w:w="1044"/>
      </w:tblGrid>
      <w:tr w:rsidR="00B628FF" w14:paraId="3B412BB9" w14:textId="77777777">
        <w:trPr>
          <w:cantSplit/>
        </w:trPr>
        <w:tc>
          <w:tcPr>
            <w:tcW w:w="2500" w:type="dxa"/>
            <w:tcBorders>
              <w:top w:val="single" w:sz="4" w:space="0" w:color="000000"/>
              <w:bottom w:val="single" w:sz="4" w:space="0" w:color="000000"/>
            </w:tcBorders>
          </w:tcPr>
          <w:p w14:paraId="2677B3CB" w14:textId="77777777" w:rsidR="00B628FF" w:rsidRDefault="00B628FF">
            <w:pPr>
              <w:pStyle w:val="MeasureTableYearHeadings"/>
              <w:keepNext/>
            </w:pPr>
          </w:p>
        </w:tc>
        <w:tc>
          <w:tcPr>
            <w:tcW w:w="1043" w:type="dxa"/>
            <w:tcBorders>
              <w:top w:val="single" w:sz="4" w:space="0" w:color="000000"/>
              <w:bottom w:val="single" w:sz="4" w:space="0" w:color="000000"/>
            </w:tcBorders>
          </w:tcPr>
          <w:p w14:paraId="5939301C" w14:textId="4144786C" w:rsidR="00B628FF" w:rsidRDefault="005B2D2F">
            <w:pPr>
              <w:pStyle w:val="MeasureTableYearHeadings"/>
              <w:keepNext/>
            </w:pPr>
            <w:r>
              <w:t>2024</w:t>
            </w:r>
            <w:r w:rsidR="00B31B37">
              <w:noBreakHyphen/>
            </w:r>
            <w:r>
              <w:t>25</w:t>
            </w:r>
          </w:p>
        </w:tc>
        <w:tc>
          <w:tcPr>
            <w:tcW w:w="1043" w:type="dxa"/>
            <w:tcBorders>
              <w:top w:val="single" w:sz="4" w:space="0" w:color="000000"/>
              <w:bottom w:val="single" w:sz="4" w:space="0" w:color="000000"/>
            </w:tcBorders>
          </w:tcPr>
          <w:p w14:paraId="01F79950" w14:textId="149766BF" w:rsidR="00B628FF" w:rsidRDefault="005B2D2F">
            <w:pPr>
              <w:pStyle w:val="MeasureTableYearHeadings"/>
              <w:keepNext/>
            </w:pPr>
            <w:r>
              <w:t>2025</w:t>
            </w:r>
            <w:r w:rsidR="00B31B37">
              <w:noBreakHyphen/>
            </w:r>
            <w:r>
              <w:t>26</w:t>
            </w:r>
          </w:p>
        </w:tc>
        <w:tc>
          <w:tcPr>
            <w:tcW w:w="1043" w:type="dxa"/>
            <w:tcBorders>
              <w:top w:val="single" w:sz="4" w:space="0" w:color="000000"/>
              <w:bottom w:val="single" w:sz="4" w:space="0" w:color="000000"/>
            </w:tcBorders>
          </w:tcPr>
          <w:p w14:paraId="12C13E33" w14:textId="25D797FA" w:rsidR="00B628FF" w:rsidRDefault="005B2D2F">
            <w:pPr>
              <w:pStyle w:val="MeasureTableYearHeadings"/>
              <w:keepNext/>
            </w:pPr>
            <w:r>
              <w:t>2026</w:t>
            </w:r>
            <w:r w:rsidR="00B31B37">
              <w:noBreakHyphen/>
            </w:r>
            <w:r>
              <w:t>27</w:t>
            </w:r>
          </w:p>
        </w:tc>
        <w:tc>
          <w:tcPr>
            <w:tcW w:w="1043" w:type="dxa"/>
            <w:tcBorders>
              <w:top w:val="single" w:sz="4" w:space="0" w:color="000000"/>
              <w:bottom w:val="single" w:sz="4" w:space="0" w:color="000000"/>
            </w:tcBorders>
          </w:tcPr>
          <w:p w14:paraId="1A7BDD7C" w14:textId="7C085B57" w:rsidR="00B628FF" w:rsidRDefault="005B2D2F">
            <w:pPr>
              <w:pStyle w:val="MeasureTableYearHeadings"/>
              <w:keepNext/>
            </w:pPr>
            <w:r>
              <w:t>2027</w:t>
            </w:r>
            <w:r w:rsidR="00B31B37">
              <w:noBreakHyphen/>
            </w:r>
            <w:r>
              <w:t>28</w:t>
            </w:r>
          </w:p>
        </w:tc>
        <w:tc>
          <w:tcPr>
            <w:tcW w:w="1043" w:type="dxa"/>
            <w:tcBorders>
              <w:top w:val="single" w:sz="4" w:space="0" w:color="000000"/>
              <w:bottom w:val="single" w:sz="4" w:space="0" w:color="000000"/>
            </w:tcBorders>
          </w:tcPr>
          <w:p w14:paraId="1CEC95F2" w14:textId="4592B97A" w:rsidR="00B628FF" w:rsidRDefault="005B2D2F">
            <w:pPr>
              <w:pStyle w:val="MeasureTableYearHeadings"/>
              <w:keepNext/>
            </w:pPr>
            <w:r>
              <w:t>2028</w:t>
            </w:r>
            <w:r w:rsidR="00B31B37">
              <w:noBreakHyphen/>
            </w:r>
            <w:r>
              <w:t>29</w:t>
            </w:r>
          </w:p>
        </w:tc>
      </w:tr>
      <w:tr w:rsidR="00B628FF" w14:paraId="16E3999C" w14:textId="77777777">
        <w:trPr>
          <w:cantSplit/>
        </w:trPr>
        <w:tc>
          <w:tcPr>
            <w:tcW w:w="2500" w:type="dxa"/>
            <w:tcBorders>
              <w:top w:val="single" w:sz="4" w:space="0" w:color="000000"/>
              <w:bottom w:val="single" w:sz="4" w:space="0" w:color="000000"/>
            </w:tcBorders>
          </w:tcPr>
          <w:p w14:paraId="4E3724A2" w14:textId="77777777" w:rsidR="00B628FF" w:rsidRDefault="005B2D2F">
            <w:pPr>
              <w:pStyle w:val="MeasureTableHeadingleftalignedwith2ptsspacing"/>
              <w:keepNext/>
            </w:pPr>
            <w:r>
              <w:t>Department of Home Affairs</w:t>
            </w:r>
          </w:p>
        </w:tc>
        <w:tc>
          <w:tcPr>
            <w:tcW w:w="1043" w:type="dxa"/>
            <w:tcBorders>
              <w:top w:val="single" w:sz="4" w:space="0" w:color="000000"/>
              <w:bottom w:val="single" w:sz="4" w:space="0" w:color="000000"/>
            </w:tcBorders>
          </w:tcPr>
          <w:p w14:paraId="34853F2E" w14:textId="77777777" w:rsidR="00B628FF" w:rsidRDefault="005B2D2F">
            <w:pPr>
              <w:pStyle w:val="MeasureTableDataRightAlignedwith2ptsspacing"/>
              <w:keepNext/>
            </w:pPr>
            <w:r>
              <w:t>nfp</w:t>
            </w:r>
          </w:p>
        </w:tc>
        <w:tc>
          <w:tcPr>
            <w:tcW w:w="1043" w:type="dxa"/>
            <w:tcBorders>
              <w:top w:val="single" w:sz="4" w:space="0" w:color="000000"/>
              <w:bottom w:val="single" w:sz="4" w:space="0" w:color="000000"/>
            </w:tcBorders>
          </w:tcPr>
          <w:p w14:paraId="76D5A9DD" w14:textId="77777777" w:rsidR="00B628FF" w:rsidRDefault="005B2D2F">
            <w:pPr>
              <w:pStyle w:val="MeasureTableDataRightAlignedwith2ptsspacing"/>
              <w:keepNext/>
            </w:pPr>
            <w:r>
              <w:t>nfp</w:t>
            </w:r>
          </w:p>
        </w:tc>
        <w:tc>
          <w:tcPr>
            <w:tcW w:w="1043" w:type="dxa"/>
            <w:tcBorders>
              <w:top w:val="single" w:sz="4" w:space="0" w:color="000000"/>
              <w:bottom w:val="single" w:sz="4" w:space="0" w:color="000000"/>
            </w:tcBorders>
          </w:tcPr>
          <w:p w14:paraId="7DE28189" w14:textId="77777777" w:rsidR="00B628FF" w:rsidRDefault="005B2D2F">
            <w:pPr>
              <w:pStyle w:val="MeasureTableDataRightAlignedwith2ptsspacing"/>
              <w:keepNext/>
            </w:pPr>
            <w:r>
              <w:t>nfp</w:t>
            </w:r>
          </w:p>
        </w:tc>
        <w:tc>
          <w:tcPr>
            <w:tcW w:w="1043" w:type="dxa"/>
            <w:tcBorders>
              <w:top w:val="single" w:sz="4" w:space="0" w:color="000000"/>
              <w:bottom w:val="single" w:sz="4" w:space="0" w:color="000000"/>
            </w:tcBorders>
          </w:tcPr>
          <w:p w14:paraId="75906784" w14:textId="77777777" w:rsidR="00B628FF" w:rsidRDefault="005B2D2F">
            <w:pPr>
              <w:pStyle w:val="MeasureTableDataRightAlignedwith2ptsspacing"/>
              <w:keepNext/>
            </w:pPr>
            <w:r>
              <w:t>nfp</w:t>
            </w:r>
          </w:p>
        </w:tc>
        <w:tc>
          <w:tcPr>
            <w:tcW w:w="1043" w:type="dxa"/>
            <w:tcBorders>
              <w:top w:val="single" w:sz="4" w:space="0" w:color="000000"/>
              <w:bottom w:val="single" w:sz="4" w:space="0" w:color="000000"/>
            </w:tcBorders>
          </w:tcPr>
          <w:p w14:paraId="3FE031CF" w14:textId="77777777" w:rsidR="00B628FF" w:rsidRDefault="005B2D2F">
            <w:pPr>
              <w:pStyle w:val="MeasureTableDataRightAlignedwith2ptsspacing"/>
              <w:keepNext/>
            </w:pPr>
            <w:r>
              <w:t>nfp</w:t>
            </w:r>
          </w:p>
        </w:tc>
      </w:tr>
    </w:tbl>
    <w:p w14:paraId="3488AD1F" w14:textId="77777777" w:rsidR="00B628FF" w:rsidRDefault="00B628FF">
      <w:pPr>
        <w:keepNext/>
        <w:spacing w:line="226" w:lineRule="exact"/>
        <w:rPr>
          <w:sz w:val="16"/>
        </w:rPr>
      </w:pPr>
    </w:p>
    <w:p w14:paraId="7A66419E" w14:textId="77777777" w:rsidR="00B628FF" w:rsidRDefault="005B2D2F">
      <w:pPr>
        <w:pStyle w:val="Normal2"/>
      </w:pPr>
      <w:r w:rsidRPr="5FA307DC">
        <w:rPr>
          <w:lang w:val="en-US"/>
        </w:rPr>
        <w:t xml:space="preserve">The Government will provide funding to support resettlement in Nauru of non‑citizens released from immigration detention in Australia who do not have the right to remain in Australia, as part of the continuing response to the High Court decision in </w:t>
      </w:r>
      <w:r w:rsidRPr="5FA307DC">
        <w:rPr>
          <w:i/>
          <w:iCs/>
          <w:lang w:val="en-US"/>
        </w:rPr>
        <w:t>NZYQ v. Minister for Immigration, Citizenship and Multicultural Affairs &amp; Anor.</w:t>
      </w:r>
    </w:p>
    <w:p w14:paraId="3FF055EA" w14:textId="77777777" w:rsidR="00B628FF" w:rsidRDefault="005B2D2F">
      <w:pPr>
        <w:pStyle w:val="Normal2"/>
      </w:pPr>
      <w:r w:rsidRPr="5FA307DC">
        <w:rPr>
          <w:lang w:val="en-US"/>
        </w:rPr>
        <w:t>The cost of this measure will be partially met from within the existing resourcing of the Department of Home Affairs.</w:t>
      </w:r>
    </w:p>
    <w:p w14:paraId="021CD43E" w14:textId="77777777" w:rsidR="00B628FF" w:rsidRDefault="005B2D2F">
      <w:pPr>
        <w:pStyle w:val="Normal2"/>
      </w:pPr>
      <w:r w:rsidRPr="5FA307DC">
        <w:rPr>
          <w:lang w:val="en-US"/>
        </w:rPr>
        <w:t>The financial implications of this measure are not for publication (nfp) while implementation arrangements are finalised with the Government of Nauru.</w:t>
      </w:r>
    </w:p>
    <w:p w14:paraId="27070705" w14:textId="77777777" w:rsidR="00B628FF" w:rsidRDefault="005B2D2F">
      <w:pPr>
        <w:pStyle w:val="MeasureTitle"/>
      </w:pPr>
      <w:r>
        <w:t>Supporting Social Cohesion</w:t>
      </w:r>
    </w:p>
    <w:p w14:paraId="53A52302" w14:textId="77777777" w:rsidR="00B628FF" w:rsidRDefault="005B2D2F">
      <w:pPr>
        <w:pStyle w:val="MeasureTableHeading"/>
      </w:pPr>
      <w:r>
        <w:t>Payments ($m)</w:t>
      </w:r>
    </w:p>
    <w:tbl>
      <w:tblPr>
        <w:tblOverlap w:val="never"/>
        <w:tblW w:w="7721" w:type="dxa"/>
        <w:tblBorders>
          <w:top w:val="single" w:sz="4" w:space="0" w:color="000000"/>
          <w:bottom w:val="single" w:sz="4" w:space="0" w:color="000000"/>
        </w:tblBorders>
        <w:tblLayout w:type="fixed"/>
        <w:tblLook w:val="04A0" w:firstRow="1" w:lastRow="0" w:firstColumn="1" w:lastColumn="0" w:noHBand="0" w:noVBand="1"/>
      </w:tblPr>
      <w:tblGrid>
        <w:gridCol w:w="2501"/>
        <w:gridCol w:w="1044"/>
        <w:gridCol w:w="1044"/>
        <w:gridCol w:w="1044"/>
        <w:gridCol w:w="1044"/>
        <w:gridCol w:w="1044"/>
      </w:tblGrid>
      <w:tr w:rsidR="00B628FF" w14:paraId="4999215B" w14:textId="77777777">
        <w:trPr>
          <w:cantSplit/>
        </w:trPr>
        <w:tc>
          <w:tcPr>
            <w:tcW w:w="2500" w:type="dxa"/>
            <w:tcBorders>
              <w:top w:val="single" w:sz="4" w:space="0" w:color="000000"/>
              <w:bottom w:val="single" w:sz="4" w:space="0" w:color="000000"/>
            </w:tcBorders>
          </w:tcPr>
          <w:p w14:paraId="013CEC8E" w14:textId="77777777" w:rsidR="00B628FF" w:rsidRDefault="00B628FF">
            <w:pPr>
              <w:pStyle w:val="MeasureTableYearHeadings"/>
              <w:keepNext/>
            </w:pPr>
          </w:p>
        </w:tc>
        <w:tc>
          <w:tcPr>
            <w:tcW w:w="1043" w:type="dxa"/>
            <w:tcBorders>
              <w:top w:val="single" w:sz="4" w:space="0" w:color="000000"/>
              <w:bottom w:val="single" w:sz="4" w:space="0" w:color="000000"/>
            </w:tcBorders>
          </w:tcPr>
          <w:p w14:paraId="194BBB7C" w14:textId="1027DB32" w:rsidR="00B628FF" w:rsidRDefault="005B2D2F">
            <w:pPr>
              <w:pStyle w:val="MeasureTableYearHeadings"/>
              <w:keepNext/>
            </w:pPr>
            <w:r>
              <w:t>2024</w:t>
            </w:r>
            <w:r w:rsidR="00B31B37">
              <w:noBreakHyphen/>
            </w:r>
            <w:r>
              <w:t>25</w:t>
            </w:r>
          </w:p>
        </w:tc>
        <w:tc>
          <w:tcPr>
            <w:tcW w:w="1043" w:type="dxa"/>
            <w:tcBorders>
              <w:top w:val="single" w:sz="4" w:space="0" w:color="000000"/>
              <w:bottom w:val="single" w:sz="4" w:space="0" w:color="000000"/>
            </w:tcBorders>
          </w:tcPr>
          <w:p w14:paraId="09644ADC" w14:textId="740E2A7A" w:rsidR="00B628FF" w:rsidRDefault="005B2D2F">
            <w:pPr>
              <w:pStyle w:val="MeasureTableYearHeadings"/>
              <w:keepNext/>
            </w:pPr>
            <w:r>
              <w:t>2025</w:t>
            </w:r>
            <w:r w:rsidR="00B31B37">
              <w:noBreakHyphen/>
            </w:r>
            <w:r>
              <w:t>26</w:t>
            </w:r>
          </w:p>
        </w:tc>
        <w:tc>
          <w:tcPr>
            <w:tcW w:w="1043" w:type="dxa"/>
            <w:tcBorders>
              <w:top w:val="single" w:sz="4" w:space="0" w:color="000000"/>
              <w:bottom w:val="single" w:sz="4" w:space="0" w:color="000000"/>
            </w:tcBorders>
          </w:tcPr>
          <w:p w14:paraId="67988B7C" w14:textId="02E1F8C8" w:rsidR="00B628FF" w:rsidRDefault="005B2D2F">
            <w:pPr>
              <w:pStyle w:val="MeasureTableYearHeadings"/>
              <w:keepNext/>
            </w:pPr>
            <w:r>
              <w:t>2026</w:t>
            </w:r>
            <w:r w:rsidR="00B31B37">
              <w:noBreakHyphen/>
            </w:r>
            <w:r>
              <w:t>27</w:t>
            </w:r>
          </w:p>
        </w:tc>
        <w:tc>
          <w:tcPr>
            <w:tcW w:w="1043" w:type="dxa"/>
            <w:tcBorders>
              <w:top w:val="single" w:sz="4" w:space="0" w:color="000000"/>
              <w:bottom w:val="single" w:sz="4" w:space="0" w:color="000000"/>
            </w:tcBorders>
          </w:tcPr>
          <w:p w14:paraId="622C0706" w14:textId="6C7ED677" w:rsidR="00B628FF" w:rsidRDefault="005B2D2F">
            <w:pPr>
              <w:pStyle w:val="MeasureTableYearHeadings"/>
              <w:keepNext/>
            </w:pPr>
            <w:r>
              <w:t>2027</w:t>
            </w:r>
            <w:r w:rsidR="00B31B37">
              <w:noBreakHyphen/>
            </w:r>
            <w:r>
              <w:t>28</w:t>
            </w:r>
          </w:p>
        </w:tc>
        <w:tc>
          <w:tcPr>
            <w:tcW w:w="1043" w:type="dxa"/>
            <w:tcBorders>
              <w:top w:val="single" w:sz="4" w:space="0" w:color="000000"/>
              <w:bottom w:val="single" w:sz="4" w:space="0" w:color="000000"/>
            </w:tcBorders>
          </w:tcPr>
          <w:p w14:paraId="4E1653C9" w14:textId="05E1E251" w:rsidR="00B628FF" w:rsidRDefault="005B2D2F">
            <w:pPr>
              <w:pStyle w:val="MeasureTableYearHeadings"/>
              <w:keepNext/>
            </w:pPr>
            <w:r>
              <w:t>2028</w:t>
            </w:r>
            <w:r w:rsidR="00B31B37">
              <w:noBreakHyphen/>
            </w:r>
            <w:r>
              <w:t>29</w:t>
            </w:r>
          </w:p>
        </w:tc>
      </w:tr>
      <w:tr w:rsidR="00B628FF" w14:paraId="2B8E30EB" w14:textId="77777777">
        <w:trPr>
          <w:cantSplit/>
        </w:trPr>
        <w:tc>
          <w:tcPr>
            <w:tcW w:w="2500" w:type="dxa"/>
            <w:tcBorders>
              <w:top w:val="single" w:sz="4" w:space="0" w:color="000000"/>
              <w:bottom w:val="single" w:sz="4" w:space="0" w:color="000000"/>
            </w:tcBorders>
          </w:tcPr>
          <w:p w14:paraId="12A18A03" w14:textId="505BCBFE" w:rsidR="00B628FF" w:rsidRDefault="005B2D2F">
            <w:pPr>
              <w:pStyle w:val="MeasureTableHeadingleftalignedwith2ptsspacing"/>
              <w:keepNext/>
            </w:pPr>
            <w:r>
              <w:t>Attorney‑General</w:t>
            </w:r>
            <w:r w:rsidR="00B31B37">
              <w:t>’</w:t>
            </w:r>
            <w:r>
              <w:t>s Department</w:t>
            </w:r>
          </w:p>
        </w:tc>
        <w:tc>
          <w:tcPr>
            <w:tcW w:w="1043" w:type="dxa"/>
            <w:tcBorders>
              <w:top w:val="single" w:sz="4" w:space="0" w:color="000000"/>
              <w:bottom w:val="single" w:sz="4" w:space="0" w:color="000000"/>
            </w:tcBorders>
          </w:tcPr>
          <w:p w14:paraId="5A38426C" w14:textId="77777777" w:rsidR="00B628FF" w:rsidRDefault="005B2D2F">
            <w:pPr>
              <w:pStyle w:val="MeasureTableDataRightAlignedwith2ptsspacing"/>
              <w:keepNext/>
            </w:pPr>
            <w:r>
              <w:t>11.0</w:t>
            </w:r>
          </w:p>
        </w:tc>
        <w:tc>
          <w:tcPr>
            <w:tcW w:w="1043" w:type="dxa"/>
            <w:tcBorders>
              <w:top w:val="single" w:sz="4" w:space="0" w:color="000000"/>
              <w:bottom w:val="single" w:sz="4" w:space="0" w:color="000000"/>
            </w:tcBorders>
          </w:tcPr>
          <w:p w14:paraId="3B58FEF4" w14:textId="77777777" w:rsidR="00B628FF" w:rsidRDefault="005B2D2F">
            <w:pPr>
              <w:pStyle w:val="MeasureTableDataRightAlignedwith2ptsspacing"/>
              <w:keepNext/>
            </w:pPr>
            <w:r>
              <w:t>21.5</w:t>
            </w:r>
          </w:p>
        </w:tc>
        <w:tc>
          <w:tcPr>
            <w:tcW w:w="1043" w:type="dxa"/>
            <w:tcBorders>
              <w:top w:val="single" w:sz="4" w:space="0" w:color="000000"/>
              <w:bottom w:val="single" w:sz="4" w:space="0" w:color="000000"/>
            </w:tcBorders>
          </w:tcPr>
          <w:p w14:paraId="6039A8AF" w14:textId="243EB34E"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1F093DCF" w14:textId="629C2B5F"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4094E7D2" w14:textId="4BD072F9" w:rsidR="00B628FF" w:rsidRDefault="00B31B37">
            <w:pPr>
              <w:pStyle w:val="MeasureTableDataRightAlignedwith2ptsspacing"/>
              <w:keepNext/>
            </w:pPr>
            <w:r>
              <w:noBreakHyphen/>
            </w:r>
          </w:p>
        </w:tc>
      </w:tr>
      <w:tr w:rsidR="00B628FF" w14:paraId="60002597" w14:textId="77777777">
        <w:trPr>
          <w:cantSplit/>
        </w:trPr>
        <w:tc>
          <w:tcPr>
            <w:tcW w:w="2500" w:type="dxa"/>
            <w:tcBorders>
              <w:top w:val="single" w:sz="4" w:space="0" w:color="000000"/>
              <w:bottom w:val="single" w:sz="4" w:space="0" w:color="000000"/>
            </w:tcBorders>
          </w:tcPr>
          <w:p w14:paraId="08F761BE" w14:textId="77777777" w:rsidR="00B628FF" w:rsidRDefault="005B2D2F">
            <w:pPr>
              <w:pStyle w:val="MeasureTableHeadingleftalignedwith2ptsspacing"/>
              <w:keepNext/>
            </w:pPr>
            <w:r>
              <w:t>Department of Home Affairs</w:t>
            </w:r>
          </w:p>
        </w:tc>
        <w:tc>
          <w:tcPr>
            <w:tcW w:w="1043" w:type="dxa"/>
            <w:tcBorders>
              <w:top w:val="single" w:sz="4" w:space="0" w:color="000000"/>
              <w:bottom w:val="single" w:sz="4" w:space="0" w:color="000000"/>
            </w:tcBorders>
          </w:tcPr>
          <w:p w14:paraId="156D7C9C" w14:textId="77777777" w:rsidR="00B628FF" w:rsidRDefault="005B2D2F">
            <w:pPr>
              <w:pStyle w:val="MeasureTableDataRightAlignedwith2ptsspacing"/>
              <w:keepNext/>
            </w:pPr>
            <w:r>
              <w:t>5.6</w:t>
            </w:r>
          </w:p>
        </w:tc>
        <w:tc>
          <w:tcPr>
            <w:tcW w:w="1043" w:type="dxa"/>
            <w:tcBorders>
              <w:top w:val="single" w:sz="4" w:space="0" w:color="000000"/>
              <w:bottom w:val="single" w:sz="4" w:space="0" w:color="000000"/>
            </w:tcBorders>
          </w:tcPr>
          <w:p w14:paraId="24522432" w14:textId="77777777" w:rsidR="00B628FF" w:rsidRDefault="005B2D2F">
            <w:pPr>
              <w:pStyle w:val="MeasureTableDataRightAlignedwith2ptsspacing"/>
              <w:keepNext/>
            </w:pPr>
            <w:r>
              <w:t>38.1</w:t>
            </w:r>
          </w:p>
        </w:tc>
        <w:tc>
          <w:tcPr>
            <w:tcW w:w="1043" w:type="dxa"/>
            <w:tcBorders>
              <w:top w:val="single" w:sz="4" w:space="0" w:color="000000"/>
              <w:bottom w:val="single" w:sz="4" w:space="0" w:color="000000"/>
            </w:tcBorders>
          </w:tcPr>
          <w:p w14:paraId="7E435C7D" w14:textId="77777777" w:rsidR="00B628FF" w:rsidRDefault="005B2D2F">
            <w:pPr>
              <w:pStyle w:val="MeasureTableDataRightAlignedwith2ptsspacing"/>
              <w:keepNext/>
            </w:pPr>
            <w:r>
              <w:t>26.4</w:t>
            </w:r>
          </w:p>
        </w:tc>
        <w:tc>
          <w:tcPr>
            <w:tcW w:w="1043" w:type="dxa"/>
            <w:tcBorders>
              <w:top w:val="single" w:sz="4" w:space="0" w:color="000000"/>
              <w:bottom w:val="single" w:sz="4" w:space="0" w:color="000000"/>
            </w:tcBorders>
          </w:tcPr>
          <w:p w14:paraId="79402ECD" w14:textId="77777777" w:rsidR="00B628FF" w:rsidRDefault="005B2D2F">
            <w:pPr>
              <w:pStyle w:val="MeasureTableDataRightAlignedwith2ptsspacing"/>
              <w:keepNext/>
            </w:pPr>
            <w:r>
              <w:t>15.4</w:t>
            </w:r>
          </w:p>
        </w:tc>
        <w:tc>
          <w:tcPr>
            <w:tcW w:w="1043" w:type="dxa"/>
            <w:tcBorders>
              <w:top w:val="single" w:sz="4" w:space="0" w:color="000000"/>
              <w:bottom w:val="single" w:sz="4" w:space="0" w:color="000000"/>
            </w:tcBorders>
          </w:tcPr>
          <w:p w14:paraId="2E50775E" w14:textId="77777777" w:rsidR="00B628FF" w:rsidRDefault="005B2D2F">
            <w:pPr>
              <w:pStyle w:val="MeasureTableDataRightAlignedwith2ptsspacing"/>
              <w:keepNext/>
            </w:pPr>
            <w:r>
              <w:t>6.3</w:t>
            </w:r>
          </w:p>
        </w:tc>
      </w:tr>
      <w:tr w:rsidR="00B628FF" w14:paraId="26EB13DF" w14:textId="77777777">
        <w:trPr>
          <w:cantSplit/>
        </w:trPr>
        <w:tc>
          <w:tcPr>
            <w:tcW w:w="2500" w:type="dxa"/>
            <w:tcBorders>
              <w:top w:val="single" w:sz="4" w:space="0" w:color="000000"/>
              <w:bottom w:val="single" w:sz="4" w:space="0" w:color="000000"/>
            </w:tcBorders>
          </w:tcPr>
          <w:p w14:paraId="00AF06E6" w14:textId="77777777" w:rsidR="00B628FF" w:rsidRDefault="005B2D2F">
            <w:pPr>
              <w:pStyle w:val="Totalrowleftaligned"/>
              <w:keepNext/>
            </w:pPr>
            <w:r>
              <w:t>Total – Payments</w:t>
            </w:r>
          </w:p>
        </w:tc>
        <w:tc>
          <w:tcPr>
            <w:tcW w:w="1043" w:type="dxa"/>
            <w:tcBorders>
              <w:top w:val="single" w:sz="4" w:space="0" w:color="000000"/>
              <w:bottom w:val="single" w:sz="4" w:space="0" w:color="000000"/>
            </w:tcBorders>
          </w:tcPr>
          <w:p w14:paraId="55A84E64" w14:textId="77777777" w:rsidR="00B628FF" w:rsidRDefault="005B2D2F">
            <w:pPr>
              <w:pStyle w:val="Totaldatarowrightaligned"/>
              <w:keepNext/>
            </w:pPr>
            <w:r>
              <w:t>16.6</w:t>
            </w:r>
          </w:p>
        </w:tc>
        <w:tc>
          <w:tcPr>
            <w:tcW w:w="1043" w:type="dxa"/>
            <w:tcBorders>
              <w:top w:val="single" w:sz="4" w:space="0" w:color="000000"/>
              <w:bottom w:val="single" w:sz="4" w:space="0" w:color="000000"/>
            </w:tcBorders>
          </w:tcPr>
          <w:p w14:paraId="34D42BF2" w14:textId="77777777" w:rsidR="00B628FF" w:rsidRDefault="005B2D2F">
            <w:pPr>
              <w:pStyle w:val="Totaldatarowrightaligned"/>
              <w:keepNext/>
            </w:pPr>
            <w:r>
              <w:t>59.6</w:t>
            </w:r>
          </w:p>
        </w:tc>
        <w:tc>
          <w:tcPr>
            <w:tcW w:w="1043" w:type="dxa"/>
            <w:tcBorders>
              <w:top w:val="single" w:sz="4" w:space="0" w:color="000000"/>
              <w:bottom w:val="single" w:sz="4" w:space="0" w:color="000000"/>
            </w:tcBorders>
          </w:tcPr>
          <w:p w14:paraId="4AA6AB25" w14:textId="77777777" w:rsidR="00B628FF" w:rsidRDefault="005B2D2F">
            <w:pPr>
              <w:pStyle w:val="Totaldatarowrightaligned"/>
              <w:keepNext/>
            </w:pPr>
            <w:r>
              <w:t>26.4</w:t>
            </w:r>
          </w:p>
        </w:tc>
        <w:tc>
          <w:tcPr>
            <w:tcW w:w="1043" w:type="dxa"/>
            <w:tcBorders>
              <w:top w:val="single" w:sz="4" w:space="0" w:color="000000"/>
              <w:bottom w:val="single" w:sz="4" w:space="0" w:color="000000"/>
            </w:tcBorders>
          </w:tcPr>
          <w:p w14:paraId="7700882C" w14:textId="77777777" w:rsidR="00B628FF" w:rsidRDefault="005B2D2F">
            <w:pPr>
              <w:pStyle w:val="Totaldatarowrightaligned"/>
              <w:keepNext/>
            </w:pPr>
            <w:r>
              <w:t>15.4</w:t>
            </w:r>
          </w:p>
        </w:tc>
        <w:tc>
          <w:tcPr>
            <w:tcW w:w="1043" w:type="dxa"/>
            <w:tcBorders>
              <w:top w:val="single" w:sz="4" w:space="0" w:color="000000"/>
              <w:bottom w:val="single" w:sz="4" w:space="0" w:color="000000"/>
            </w:tcBorders>
          </w:tcPr>
          <w:p w14:paraId="6A75091A" w14:textId="77777777" w:rsidR="00B628FF" w:rsidRDefault="005B2D2F">
            <w:pPr>
              <w:pStyle w:val="Totaldatarowrightaligned"/>
              <w:keepNext/>
            </w:pPr>
            <w:r>
              <w:t>6.3</w:t>
            </w:r>
          </w:p>
        </w:tc>
      </w:tr>
    </w:tbl>
    <w:p w14:paraId="23661B4B" w14:textId="77777777" w:rsidR="00B628FF" w:rsidRDefault="00B628FF">
      <w:pPr>
        <w:keepNext/>
        <w:spacing w:line="226" w:lineRule="exact"/>
        <w:rPr>
          <w:sz w:val="16"/>
        </w:rPr>
      </w:pPr>
    </w:p>
    <w:p w14:paraId="1F31D873" w14:textId="77777777" w:rsidR="00B628FF" w:rsidRDefault="005B2D2F">
      <w:pPr>
        <w:pStyle w:val="Normal2"/>
      </w:pPr>
      <w:r>
        <w:t>The Government will provide $178.4 million over five years from 2024–‍25 (and $1.2 million per year ongoing) to support social cohesion in Australia. Funding includes:</w:t>
      </w:r>
    </w:p>
    <w:p w14:paraId="56498333" w14:textId="77777777" w:rsidR="00B628FF" w:rsidRDefault="005B2D2F">
      <w:pPr>
        <w:pStyle w:val="Bullet"/>
      </w:pPr>
      <w:r>
        <w:t xml:space="preserve">$44.8 million over five years from 2024–‍25 for projects under the </w:t>
      </w:r>
      <w:r w:rsidRPr="005B2D2F">
        <w:rPr>
          <w:i/>
        </w:rPr>
        <w:t>Critical Support for Multicultural Communities Grant Program</w:t>
      </w:r>
      <w:r>
        <w:t>, including:</w:t>
      </w:r>
    </w:p>
    <w:p w14:paraId="5D3B2A0C" w14:textId="77777777" w:rsidR="00B628FF" w:rsidRDefault="005B2D2F">
      <w:pPr>
        <w:pStyle w:val="Dash"/>
      </w:pPr>
      <w:r>
        <w:t>$15.0 million over three years from 2025–‍26 to the Aspire Performance Centre for a centralised sports and education hub</w:t>
      </w:r>
    </w:p>
    <w:p w14:paraId="41C8E520" w14:textId="77777777" w:rsidR="00B628FF" w:rsidRDefault="005B2D2F">
      <w:pPr>
        <w:pStyle w:val="Dash"/>
      </w:pPr>
      <w:r>
        <w:t>$10.0 million in 2025–‍26 to support independent multicultural media outlets to fast track their transition to sustainable news media.</w:t>
      </w:r>
    </w:p>
    <w:p w14:paraId="530AE380" w14:textId="77777777" w:rsidR="00B628FF" w:rsidRDefault="005B2D2F">
      <w:pPr>
        <w:pStyle w:val="Bullet"/>
      </w:pPr>
      <w:r>
        <w:t>$31.4 million over four years from 2024–‍25 for the restoration of the Adass Israel Synagogue and community centre in Ripponlea, Victoria, the restoration of Torah Scrolls and security upgrades following the December 2024 firebombing</w:t>
      </w:r>
    </w:p>
    <w:p w14:paraId="63C68E66" w14:textId="77777777" w:rsidR="00B628FF" w:rsidRDefault="005B2D2F">
      <w:pPr>
        <w:pStyle w:val="Bullet"/>
      </w:pPr>
      <w:r>
        <w:t>$20.0 million over four years from 2025–‍26 to support projects that meet African‑Australian community needs and build the capacity of organisations that support and advocate for that community</w:t>
      </w:r>
    </w:p>
    <w:p w14:paraId="5351C448" w14:textId="77777777" w:rsidR="00B628FF" w:rsidRDefault="005B2D2F">
      <w:pPr>
        <w:pStyle w:val="Bullet"/>
      </w:pPr>
      <w:r>
        <w:t xml:space="preserve">$7.7 million in 2025–‍26 to extend the </w:t>
      </w:r>
      <w:r w:rsidRPr="0046005E">
        <w:rPr>
          <w:i/>
        </w:rPr>
        <w:t>Economic Pathways to Refugee Integration</w:t>
      </w:r>
      <w:r>
        <w:t xml:space="preserve"> program to boost refugee employment</w:t>
      </w:r>
    </w:p>
    <w:p w14:paraId="02E3E736" w14:textId="7FB41BBA" w:rsidR="00B628FF" w:rsidRDefault="005B2D2F">
      <w:pPr>
        <w:pStyle w:val="Bullet"/>
      </w:pPr>
      <w:r>
        <w:t>$4.0 million in 2024–‍25 for the Project Rozana Foundation to address critical gaps in rehabilitation services and foster capacity‑building in the health sector in the Occupied</w:t>
      </w:r>
      <w:r w:rsidR="00262BE4">
        <w:t> </w:t>
      </w:r>
      <w:r>
        <w:t>Palestinian Territories</w:t>
      </w:r>
    </w:p>
    <w:p w14:paraId="7C29A90D" w14:textId="77777777" w:rsidR="00B628FF" w:rsidRDefault="005B2D2F">
      <w:pPr>
        <w:pStyle w:val="Bullet"/>
      </w:pPr>
      <w:r>
        <w:t>$3.5 million over three years from 2026–‍27 (and $1.2 million per year ongoing) to embed the Community Refugee Integration and Settlement program following conclusion of a pilot providing post‑arrival supports to refugees</w:t>
      </w:r>
    </w:p>
    <w:p w14:paraId="65475EE5" w14:textId="77777777" w:rsidR="00B628FF" w:rsidRDefault="005B2D2F">
      <w:pPr>
        <w:pStyle w:val="Bullet"/>
      </w:pPr>
      <w:r>
        <w:t>$2.5 million over three years from 2024–‍25 to support community organisations to deliver multicultural amenities, celebrations and achieve social and intercultural connections</w:t>
      </w:r>
    </w:p>
    <w:p w14:paraId="7E105BD1" w14:textId="77777777" w:rsidR="00B628FF" w:rsidRDefault="005B2D2F">
      <w:pPr>
        <w:pStyle w:val="Bullet"/>
      </w:pPr>
      <w:r>
        <w:t>$2.2 million in 2025–‍26 for redevelopment of the Museum of Chinese Australian History in Melbourne and Golden Dragon Museum in Bendigo</w:t>
      </w:r>
    </w:p>
    <w:p w14:paraId="549F5EF4" w14:textId="77777777" w:rsidR="00B628FF" w:rsidRDefault="005B2D2F">
      <w:pPr>
        <w:pStyle w:val="Bullet"/>
      </w:pPr>
      <w:r>
        <w:t>$2.0 million in 2025–‍26 for upgrades to the education centre of the Holocaust Institute of Western Australia in Yokine, Western Australia.</w:t>
      </w:r>
    </w:p>
    <w:p w14:paraId="010AA491" w14:textId="46BF9AA3" w:rsidR="00B628FF" w:rsidRDefault="005B2D2F">
      <w:pPr>
        <w:pStyle w:val="Normal2"/>
      </w:pPr>
      <w:r>
        <w:t xml:space="preserve">The measure also includes $60.4 million over four years from 2024–‍25 to support security uplifts </w:t>
      </w:r>
      <w:r w:rsidR="00F943E3">
        <w:t xml:space="preserve">to </w:t>
      </w:r>
      <w:r w:rsidR="006B710E">
        <w:t>further enhance security at Jewish community sites, including synagogues and schools</w:t>
      </w:r>
      <w:r w:rsidR="00377691">
        <w:t>,</w:t>
      </w:r>
      <w:r w:rsidR="006B710E">
        <w:t xml:space="preserve"> and to support the Muslim community to uplift the security of places of significance.</w:t>
      </w:r>
    </w:p>
    <w:p w14:paraId="698727D8" w14:textId="77777777" w:rsidR="00B628FF" w:rsidRDefault="005B2D2F">
      <w:pPr>
        <w:pStyle w:val="Normal2"/>
      </w:pPr>
      <w:r w:rsidRPr="5FA307DC">
        <w:rPr>
          <w:lang w:val="en-US"/>
        </w:rPr>
        <w:t>The Government has already provided partial funding for this measure. The cost of this measure will be partially met from within the existing resourcing of the Department of Home Affairs.</w:t>
      </w:r>
    </w:p>
    <w:p w14:paraId="01107329" w14:textId="77777777" w:rsidR="00B628FF" w:rsidRDefault="005B2D2F">
      <w:pPr>
        <w:pStyle w:val="Normal2"/>
      </w:pPr>
      <w:r>
        <w:t xml:space="preserve">This measure will also redirect funding between grants streams within the 2024–‍25 MYEFO measure </w:t>
      </w:r>
      <w:r w:rsidRPr="005B2D2F">
        <w:rPr>
          <w:i/>
        </w:rPr>
        <w:t>Government Response to the Multicultural Framework Review</w:t>
      </w:r>
      <w:r>
        <w:t>.</w:t>
      </w:r>
    </w:p>
    <w:p w14:paraId="6F1E940E" w14:textId="77777777" w:rsidR="00B628FF" w:rsidRDefault="005B2D2F">
      <w:pPr>
        <w:pStyle w:val="Normal2"/>
      </w:pPr>
      <w:r>
        <w:t xml:space="preserve">This measure builds on the 2024–‍25 Budget measure titled </w:t>
      </w:r>
      <w:r w:rsidRPr="005B2D2F">
        <w:rPr>
          <w:i/>
        </w:rPr>
        <w:t xml:space="preserve">Reforms to Migrant and Refugee Settlement Services </w:t>
      </w:r>
      <w:r>
        <w:t xml:space="preserve">and the 2024–‍25 MYEFO measure titled </w:t>
      </w:r>
      <w:r w:rsidRPr="005B2D2F">
        <w:rPr>
          <w:i/>
        </w:rPr>
        <w:t xml:space="preserve">Government Response to the Multicultural Framework Review. </w:t>
      </w:r>
    </w:p>
    <w:p w14:paraId="0322C4B8" w14:textId="77777777" w:rsidR="00B628FF" w:rsidRDefault="00B628FF">
      <w:pPr>
        <w:sectPr w:rsidR="00B628FF" w:rsidSect="00A06F82">
          <w:headerReference w:type="even" r:id="rId87"/>
          <w:headerReference w:type="default" r:id="rId88"/>
          <w:footerReference w:type="even" r:id="rId89"/>
          <w:footerReference w:type="default" r:id="rId90"/>
          <w:headerReference w:type="first" r:id="rId91"/>
          <w:footerReference w:type="first" r:id="rId92"/>
          <w:pgSz w:w="11906" w:h="16838"/>
          <w:pgMar w:top="2835" w:right="2098" w:bottom="2466" w:left="2098" w:header="1814" w:footer="1814" w:gutter="0"/>
          <w:cols w:space="720"/>
          <w:docGrid w:linePitch="272"/>
        </w:sectPr>
      </w:pPr>
    </w:p>
    <w:p w14:paraId="67E16796" w14:textId="77777777" w:rsidR="00B628FF" w:rsidRDefault="005B2D2F">
      <w:pPr>
        <w:pStyle w:val="PortfolioName"/>
      </w:pPr>
      <w:r>
        <w:t>Industry, Science and Resources</w:t>
      </w:r>
    </w:p>
    <w:p w14:paraId="4D4FCDCB" w14:textId="5E37A3F4" w:rsidR="00B628FF" w:rsidRDefault="005B2D2F">
      <w:pPr>
        <w:pStyle w:val="MeasureTitle"/>
      </w:pPr>
      <w:r>
        <w:t>Building Australia</w:t>
      </w:r>
      <w:r w:rsidR="00B31B37">
        <w:t>’</w:t>
      </w:r>
      <w:r>
        <w:t>s Future – Support for Australian Made Metals</w:t>
      </w:r>
    </w:p>
    <w:p w14:paraId="0996CF99" w14:textId="77777777" w:rsidR="00B628FF" w:rsidRDefault="005B2D2F">
      <w:pPr>
        <w:pStyle w:val="MeasureTableHeading"/>
      </w:pPr>
      <w:r>
        <w:t>Payments ($m)</w:t>
      </w:r>
    </w:p>
    <w:tbl>
      <w:tblPr>
        <w:tblOverlap w:val="never"/>
        <w:tblW w:w="7721" w:type="dxa"/>
        <w:tblBorders>
          <w:top w:val="single" w:sz="4" w:space="0" w:color="000000"/>
          <w:bottom w:val="single" w:sz="4" w:space="0" w:color="000000"/>
        </w:tblBorders>
        <w:tblLayout w:type="fixed"/>
        <w:tblLook w:val="04A0" w:firstRow="1" w:lastRow="0" w:firstColumn="1" w:lastColumn="0" w:noHBand="0" w:noVBand="1"/>
      </w:tblPr>
      <w:tblGrid>
        <w:gridCol w:w="2501"/>
        <w:gridCol w:w="1044"/>
        <w:gridCol w:w="1044"/>
        <w:gridCol w:w="1044"/>
        <w:gridCol w:w="1044"/>
        <w:gridCol w:w="1044"/>
      </w:tblGrid>
      <w:tr w:rsidR="00B628FF" w14:paraId="08046F42" w14:textId="77777777">
        <w:trPr>
          <w:cantSplit/>
        </w:trPr>
        <w:tc>
          <w:tcPr>
            <w:tcW w:w="2500" w:type="dxa"/>
            <w:tcBorders>
              <w:top w:val="single" w:sz="4" w:space="0" w:color="000000"/>
              <w:bottom w:val="single" w:sz="4" w:space="0" w:color="000000"/>
            </w:tcBorders>
          </w:tcPr>
          <w:p w14:paraId="79A6D4CE" w14:textId="77777777" w:rsidR="00B628FF" w:rsidRDefault="00B628FF">
            <w:pPr>
              <w:pStyle w:val="MeasureTableYearHeadings"/>
              <w:keepNext/>
            </w:pPr>
          </w:p>
        </w:tc>
        <w:tc>
          <w:tcPr>
            <w:tcW w:w="1043" w:type="dxa"/>
            <w:tcBorders>
              <w:top w:val="single" w:sz="4" w:space="0" w:color="000000"/>
              <w:bottom w:val="single" w:sz="4" w:space="0" w:color="000000"/>
            </w:tcBorders>
          </w:tcPr>
          <w:p w14:paraId="103ED3D5" w14:textId="665B650C" w:rsidR="00B628FF" w:rsidRDefault="005B2D2F">
            <w:pPr>
              <w:pStyle w:val="MeasureTableYearHeadings"/>
              <w:keepNext/>
            </w:pPr>
            <w:r>
              <w:t>2024</w:t>
            </w:r>
            <w:r w:rsidR="00B31B37">
              <w:noBreakHyphen/>
            </w:r>
            <w:r>
              <w:t>25</w:t>
            </w:r>
          </w:p>
        </w:tc>
        <w:tc>
          <w:tcPr>
            <w:tcW w:w="1043" w:type="dxa"/>
            <w:tcBorders>
              <w:top w:val="single" w:sz="4" w:space="0" w:color="000000"/>
              <w:bottom w:val="single" w:sz="4" w:space="0" w:color="000000"/>
            </w:tcBorders>
          </w:tcPr>
          <w:p w14:paraId="5551428F" w14:textId="52C1FEA2" w:rsidR="00B628FF" w:rsidRDefault="005B2D2F">
            <w:pPr>
              <w:pStyle w:val="MeasureTableYearHeadings"/>
              <w:keepNext/>
            </w:pPr>
            <w:r>
              <w:t>2025</w:t>
            </w:r>
            <w:r w:rsidR="00B31B37">
              <w:noBreakHyphen/>
            </w:r>
            <w:r>
              <w:t>26</w:t>
            </w:r>
          </w:p>
        </w:tc>
        <w:tc>
          <w:tcPr>
            <w:tcW w:w="1043" w:type="dxa"/>
            <w:tcBorders>
              <w:top w:val="single" w:sz="4" w:space="0" w:color="000000"/>
              <w:bottom w:val="single" w:sz="4" w:space="0" w:color="000000"/>
            </w:tcBorders>
          </w:tcPr>
          <w:p w14:paraId="297339EC" w14:textId="2F2646E1" w:rsidR="00B628FF" w:rsidRDefault="005B2D2F">
            <w:pPr>
              <w:pStyle w:val="MeasureTableYearHeadings"/>
              <w:keepNext/>
            </w:pPr>
            <w:r>
              <w:t>2026</w:t>
            </w:r>
            <w:r w:rsidR="00B31B37">
              <w:noBreakHyphen/>
            </w:r>
            <w:r>
              <w:t>27</w:t>
            </w:r>
          </w:p>
        </w:tc>
        <w:tc>
          <w:tcPr>
            <w:tcW w:w="1043" w:type="dxa"/>
            <w:tcBorders>
              <w:top w:val="single" w:sz="4" w:space="0" w:color="000000"/>
              <w:bottom w:val="single" w:sz="4" w:space="0" w:color="000000"/>
            </w:tcBorders>
          </w:tcPr>
          <w:p w14:paraId="4481E1A2" w14:textId="63D33382" w:rsidR="00B628FF" w:rsidRDefault="005B2D2F">
            <w:pPr>
              <w:pStyle w:val="MeasureTableYearHeadings"/>
              <w:keepNext/>
            </w:pPr>
            <w:r>
              <w:t>2027</w:t>
            </w:r>
            <w:r w:rsidR="00B31B37">
              <w:noBreakHyphen/>
            </w:r>
            <w:r>
              <w:t>28</w:t>
            </w:r>
          </w:p>
        </w:tc>
        <w:tc>
          <w:tcPr>
            <w:tcW w:w="1043" w:type="dxa"/>
            <w:tcBorders>
              <w:top w:val="single" w:sz="4" w:space="0" w:color="000000"/>
              <w:bottom w:val="single" w:sz="4" w:space="0" w:color="000000"/>
            </w:tcBorders>
          </w:tcPr>
          <w:p w14:paraId="45B9E7F5" w14:textId="1DDD7EBA" w:rsidR="00B628FF" w:rsidRDefault="005B2D2F">
            <w:pPr>
              <w:pStyle w:val="MeasureTableYearHeadings"/>
              <w:keepNext/>
            </w:pPr>
            <w:r>
              <w:t>2028</w:t>
            </w:r>
            <w:r w:rsidR="00B31B37">
              <w:noBreakHyphen/>
            </w:r>
            <w:r>
              <w:t>29</w:t>
            </w:r>
          </w:p>
        </w:tc>
      </w:tr>
      <w:tr w:rsidR="00B628FF" w14:paraId="263C830C" w14:textId="77777777">
        <w:trPr>
          <w:cantSplit/>
        </w:trPr>
        <w:tc>
          <w:tcPr>
            <w:tcW w:w="2500" w:type="dxa"/>
            <w:tcBorders>
              <w:top w:val="single" w:sz="4" w:space="0" w:color="000000"/>
              <w:bottom w:val="single" w:sz="4" w:space="0" w:color="000000"/>
            </w:tcBorders>
          </w:tcPr>
          <w:p w14:paraId="2D2CF4DE" w14:textId="77777777" w:rsidR="00B628FF" w:rsidRDefault="005B2D2F">
            <w:pPr>
              <w:pStyle w:val="MeasureTableHeadingleftalignedwith2ptsspacing"/>
              <w:keepNext/>
            </w:pPr>
            <w:r>
              <w:t>Department of the Treasury</w:t>
            </w:r>
          </w:p>
        </w:tc>
        <w:tc>
          <w:tcPr>
            <w:tcW w:w="1043" w:type="dxa"/>
            <w:tcBorders>
              <w:top w:val="single" w:sz="4" w:space="0" w:color="000000"/>
              <w:bottom w:val="single" w:sz="4" w:space="0" w:color="000000"/>
            </w:tcBorders>
          </w:tcPr>
          <w:p w14:paraId="30BAC3D6" w14:textId="77777777" w:rsidR="00B628FF" w:rsidRDefault="005B2D2F">
            <w:pPr>
              <w:pStyle w:val="MeasureTableDataRightAlignedwith2ptsspacing"/>
              <w:keepNext/>
            </w:pPr>
            <w:r>
              <w:t>178.0</w:t>
            </w:r>
          </w:p>
        </w:tc>
        <w:tc>
          <w:tcPr>
            <w:tcW w:w="1043" w:type="dxa"/>
            <w:tcBorders>
              <w:top w:val="single" w:sz="4" w:space="0" w:color="000000"/>
              <w:bottom w:val="single" w:sz="4" w:space="0" w:color="000000"/>
            </w:tcBorders>
          </w:tcPr>
          <w:p w14:paraId="07F7C4C2" w14:textId="77777777" w:rsidR="00B628FF" w:rsidRDefault="005B2D2F">
            <w:pPr>
              <w:pStyle w:val="MeasureTableDataRightAlignedwith2ptsspacing"/>
              <w:keepNext/>
            </w:pPr>
            <w:r>
              <w:t>32.0</w:t>
            </w:r>
          </w:p>
        </w:tc>
        <w:tc>
          <w:tcPr>
            <w:tcW w:w="1043" w:type="dxa"/>
            <w:tcBorders>
              <w:top w:val="single" w:sz="4" w:space="0" w:color="000000"/>
              <w:bottom w:val="single" w:sz="4" w:space="0" w:color="000000"/>
            </w:tcBorders>
          </w:tcPr>
          <w:p w14:paraId="4743FC0D" w14:textId="7DDBC15E"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162953B2" w14:textId="05BBA6C7"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4A7C8664" w14:textId="2ABFDAF3" w:rsidR="00B628FF" w:rsidRDefault="00B31B37">
            <w:pPr>
              <w:pStyle w:val="MeasureTableDataRightAlignedwith2ptsspacing"/>
              <w:keepNext/>
            </w:pPr>
            <w:r>
              <w:noBreakHyphen/>
            </w:r>
          </w:p>
        </w:tc>
      </w:tr>
      <w:tr w:rsidR="00B628FF" w14:paraId="4989B6B2" w14:textId="77777777">
        <w:trPr>
          <w:cantSplit/>
        </w:trPr>
        <w:tc>
          <w:tcPr>
            <w:tcW w:w="2500" w:type="dxa"/>
            <w:tcBorders>
              <w:top w:val="single" w:sz="4" w:space="0" w:color="000000"/>
              <w:bottom w:val="single" w:sz="4" w:space="0" w:color="000000"/>
            </w:tcBorders>
          </w:tcPr>
          <w:p w14:paraId="7A7C193B" w14:textId="77777777" w:rsidR="00B628FF" w:rsidRDefault="005B2D2F">
            <w:pPr>
              <w:pStyle w:val="MeasureTableHeadingleftalignedwith2ptsspacing"/>
              <w:keepNext/>
            </w:pPr>
            <w:r>
              <w:t>Department of Finance</w:t>
            </w:r>
          </w:p>
        </w:tc>
        <w:tc>
          <w:tcPr>
            <w:tcW w:w="1043" w:type="dxa"/>
            <w:tcBorders>
              <w:top w:val="single" w:sz="4" w:space="0" w:color="000000"/>
              <w:bottom w:val="single" w:sz="4" w:space="0" w:color="000000"/>
            </w:tcBorders>
          </w:tcPr>
          <w:p w14:paraId="05E0DD48" w14:textId="25B1B970"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1E95B58D" w14:textId="77777777" w:rsidR="00B628FF" w:rsidRDefault="005B2D2F">
            <w:pPr>
              <w:pStyle w:val="MeasureTableDataRightAlignedwith2ptsspacing"/>
              <w:keepNext/>
            </w:pPr>
            <w:r>
              <w:t>0.7</w:t>
            </w:r>
          </w:p>
        </w:tc>
        <w:tc>
          <w:tcPr>
            <w:tcW w:w="1043" w:type="dxa"/>
            <w:tcBorders>
              <w:top w:val="single" w:sz="4" w:space="0" w:color="000000"/>
              <w:bottom w:val="single" w:sz="4" w:space="0" w:color="000000"/>
            </w:tcBorders>
          </w:tcPr>
          <w:p w14:paraId="7062A402" w14:textId="2A61A928"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133ACD00" w14:textId="30B062A3"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51D73E9C" w14:textId="11792212" w:rsidR="00B628FF" w:rsidRDefault="00B31B37">
            <w:pPr>
              <w:pStyle w:val="MeasureTableDataRightAlignedwith2ptsspacing"/>
              <w:keepNext/>
            </w:pPr>
            <w:r>
              <w:noBreakHyphen/>
            </w:r>
          </w:p>
        </w:tc>
      </w:tr>
      <w:tr w:rsidR="00B628FF" w14:paraId="381FE83A" w14:textId="77777777">
        <w:trPr>
          <w:cantSplit/>
        </w:trPr>
        <w:tc>
          <w:tcPr>
            <w:tcW w:w="2500" w:type="dxa"/>
            <w:tcBorders>
              <w:top w:val="single" w:sz="4" w:space="0" w:color="000000"/>
              <w:bottom w:val="single" w:sz="4" w:space="0" w:color="000000"/>
            </w:tcBorders>
          </w:tcPr>
          <w:p w14:paraId="4332A434" w14:textId="77777777" w:rsidR="00B628FF" w:rsidRDefault="005B2D2F">
            <w:pPr>
              <w:pStyle w:val="MeasureTableHeadingleftalignedwith2ptsspacing"/>
              <w:keepNext/>
            </w:pPr>
            <w:r>
              <w:t>Department of Industry, Science and Resources</w:t>
            </w:r>
          </w:p>
        </w:tc>
        <w:tc>
          <w:tcPr>
            <w:tcW w:w="1043" w:type="dxa"/>
            <w:tcBorders>
              <w:top w:val="single" w:sz="4" w:space="0" w:color="000000"/>
              <w:bottom w:val="single" w:sz="4" w:space="0" w:color="000000"/>
            </w:tcBorders>
          </w:tcPr>
          <w:p w14:paraId="08D23B0E" w14:textId="77777777" w:rsidR="00B628FF" w:rsidRDefault="005B2D2F">
            <w:pPr>
              <w:pStyle w:val="MeasureTableDataRightAlignedwith2ptsspacing"/>
              <w:keepNext/>
            </w:pPr>
            <w:r>
              <w:t>nfp</w:t>
            </w:r>
          </w:p>
        </w:tc>
        <w:tc>
          <w:tcPr>
            <w:tcW w:w="1043" w:type="dxa"/>
            <w:tcBorders>
              <w:top w:val="single" w:sz="4" w:space="0" w:color="000000"/>
              <w:bottom w:val="single" w:sz="4" w:space="0" w:color="000000"/>
            </w:tcBorders>
          </w:tcPr>
          <w:p w14:paraId="04304B9A" w14:textId="77777777" w:rsidR="00B628FF" w:rsidRDefault="005B2D2F">
            <w:pPr>
              <w:pStyle w:val="MeasureTableDataRightAlignedwith2ptsspacing"/>
              <w:keepNext/>
            </w:pPr>
            <w:r>
              <w:t>nfp</w:t>
            </w:r>
          </w:p>
        </w:tc>
        <w:tc>
          <w:tcPr>
            <w:tcW w:w="1043" w:type="dxa"/>
            <w:tcBorders>
              <w:top w:val="single" w:sz="4" w:space="0" w:color="000000"/>
              <w:bottom w:val="single" w:sz="4" w:space="0" w:color="000000"/>
            </w:tcBorders>
          </w:tcPr>
          <w:p w14:paraId="4BD0F94F" w14:textId="77777777" w:rsidR="00B628FF" w:rsidRDefault="005B2D2F">
            <w:pPr>
              <w:pStyle w:val="MeasureTableDataRightAlignedwith2ptsspacing"/>
              <w:keepNext/>
            </w:pPr>
            <w:r>
              <w:t>nfp</w:t>
            </w:r>
          </w:p>
        </w:tc>
        <w:tc>
          <w:tcPr>
            <w:tcW w:w="1043" w:type="dxa"/>
            <w:tcBorders>
              <w:top w:val="single" w:sz="4" w:space="0" w:color="000000"/>
              <w:bottom w:val="single" w:sz="4" w:space="0" w:color="000000"/>
            </w:tcBorders>
          </w:tcPr>
          <w:p w14:paraId="2AF9258A" w14:textId="77777777" w:rsidR="00B628FF" w:rsidRDefault="005B2D2F">
            <w:pPr>
              <w:pStyle w:val="MeasureTableDataRightAlignedwith2ptsspacing"/>
              <w:keepNext/>
            </w:pPr>
            <w:r>
              <w:t>nfp</w:t>
            </w:r>
          </w:p>
        </w:tc>
        <w:tc>
          <w:tcPr>
            <w:tcW w:w="1043" w:type="dxa"/>
            <w:tcBorders>
              <w:top w:val="single" w:sz="4" w:space="0" w:color="000000"/>
              <w:bottom w:val="single" w:sz="4" w:space="0" w:color="000000"/>
            </w:tcBorders>
          </w:tcPr>
          <w:p w14:paraId="3321F0CE" w14:textId="77777777" w:rsidR="00B628FF" w:rsidRDefault="005B2D2F">
            <w:pPr>
              <w:pStyle w:val="MeasureTableDataRightAlignedwith2ptsspacing"/>
              <w:keepNext/>
            </w:pPr>
            <w:r>
              <w:t>nfp</w:t>
            </w:r>
          </w:p>
        </w:tc>
      </w:tr>
      <w:tr w:rsidR="00B628FF" w14:paraId="167D9910" w14:textId="77777777">
        <w:trPr>
          <w:cantSplit/>
        </w:trPr>
        <w:tc>
          <w:tcPr>
            <w:tcW w:w="2500" w:type="dxa"/>
            <w:tcBorders>
              <w:top w:val="single" w:sz="4" w:space="0" w:color="000000"/>
              <w:bottom w:val="single" w:sz="4" w:space="0" w:color="000000"/>
            </w:tcBorders>
          </w:tcPr>
          <w:p w14:paraId="3B1CC74C" w14:textId="77777777" w:rsidR="00B628FF" w:rsidRDefault="005B2D2F">
            <w:pPr>
              <w:pStyle w:val="Totalrowleftaligned"/>
              <w:keepNext/>
            </w:pPr>
            <w:r>
              <w:t>Total – Payments</w:t>
            </w:r>
          </w:p>
        </w:tc>
        <w:tc>
          <w:tcPr>
            <w:tcW w:w="1043" w:type="dxa"/>
            <w:tcBorders>
              <w:top w:val="single" w:sz="4" w:space="0" w:color="000000"/>
              <w:bottom w:val="single" w:sz="4" w:space="0" w:color="000000"/>
            </w:tcBorders>
          </w:tcPr>
          <w:p w14:paraId="5A167A5C" w14:textId="77777777" w:rsidR="00B628FF" w:rsidRDefault="005B2D2F">
            <w:pPr>
              <w:pStyle w:val="Totaldatarowrightaligned"/>
              <w:keepNext/>
            </w:pPr>
            <w:r>
              <w:t>178.0</w:t>
            </w:r>
          </w:p>
        </w:tc>
        <w:tc>
          <w:tcPr>
            <w:tcW w:w="1043" w:type="dxa"/>
            <w:tcBorders>
              <w:top w:val="single" w:sz="4" w:space="0" w:color="000000"/>
              <w:bottom w:val="single" w:sz="4" w:space="0" w:color="000000"/>
            </w:tcBorders>
          </w:tcPr>
          <w:p w14:paraId="2B610DC4" w14:textId="77777777" w:rsidR="00B628FF" w:rsidRDefault="005B2D2F">
            <w:pPr>
              <w:pStyle w:val="Totaldatarowrightaligned"/>
              <w:keepNext/>
            </w:pPr>
            <w:r>
              <w:t>32.7</w:t>
            </w:r>
          </w:p>
        </w:tc>
        <w:tc>
          <w:tcPr>
            <w:tcW w:w="1043" w:type="dxa"/>
            <w:tcBorders>
              <w:top w:val="single" w:sz="4" w:space="0" w:color="000000"/>
              <w:bottom w:val="single" w:sz="4" w:space="0" w:color="000000"/>
            </w:tcBorders>
          </w:tcPr>
          <w:p w14:paraId="4559D2B9" w14:textId="3E861989" w:rsidR="00B628FF" w:rsidRDefault="00B31B37">
            <w:pPr>
              <w:pStyle w:val="Totaldatarowrightaligned"/>
              <w:keepNext/>
            </w:pPr>
            <w:r>
              <w:noBreakHyphen/>
            </w:r>
          </w:p>
        </w:tc>
        <w:tc>
          <w:tcPr>
            <w:tcW w:w="1043" w:type="dxa"/>
            <w:tcBorders>
              <w:top w:val="single" w:sz="4" w:space="0" w:color="000000"/>
              <w:bottom w:val="single" w:sz="4" w:space="0" w:color="000000"/>
            </w:tcBorders>
          </w:tcPr>
          <w:p w14:paraId="21F5D7BA" w14:textId="2B9C76FF" w:rsidR="00B628FF" w:rsidRDefault="00B31B37">
            <w:pPr>
              <w:pStyle w:val="Totaldatarowrightaligned"/>
              <w:keepNext/>
            </w:pPr>
            <w:r>
              <w:noBreakHyphen/>
            </w:r>
          </w:p>
        </w:tc>
        <w:tc>
          <w:tcPr>
            <w:tcW w:w="1043" w:type="dxa"/>
            <w:tcBorders>
              <w:top w:val="single" w:sz="4" w:space="0" w:color="000000"/>
              <w:bottom w:val="single" w:sz="4" w:space="0" w:color="000000"/>
            </w:tcBorders>
          </w:tcPr>
          <w:p w14:paraId="6F61D036" w14:textId="5BA0D463" w:rsidR="00B628FF" w:rsidRDefault="00B31B37">
            <w:pPr>
              <w:pStyle w:val="Totaldatarowrightaligned"/>
              <w:keepNext/>
            </w:pPr>
            <w:r>
              <w:noBreakHyphen/>
            </w:r>
          </w:p>
        </w:tc>
      </w:tr>
    </w:tbl>
    <w:p w14:paraId="6B65AE96" w14:textId="77777777" w:rsidR="00B628FF" w:rsidRDefault="00B628FF">
      <w:pPr>
        <w:keepNext/>
        <w:spacing w:line="226" w:lineRule="exact"/>
        <w:rPr>
          <w:sz w:val="16"/>
        </w:rPr>
      </w:pPr>
    </w:p>
    <w:p w14:paraId="36E79E0A" w14:textId="7F8952AD" w:rsidR="00B628FF" w:rsidRDefault="005B2D2F">
      <w:pPr>
        <w:pStyle w:val="Normal2"/>
      </w:pPr>
      <w:r w:rsidRPr="53C5BB3A">
        <w:rPr>
          <w:lang w:val="en-US"/>
        </w:rPr>
        <w:t>The Government will provide $3.2 billion over 19 years from 2024–‍25 to invest in the future of Australia</w:t>
      </w:r>
      <w:r w:rsidR="00B31B37">
        <w:rPr>
          <w:lang w:val="en-US"/>
        </w:rPr>
        <w:t>’</w:t>
      </w:r>
      <w:r w:rsidRPr="53C5BB3A">
        <w:rPr>
          <w:lang w:val="en-US"/>
        </w:rPr>
        <w:t>s metals industry. Funding includes:</w:t>
      </w:r>
    </w:p>
    <w:p w14:paraId="6EA6AEAF" w14:textId="77777777" w:rsidR="00B628FF" w:rsidRDefault="005B2D2F">
      <w:pPr>
        <w:pStyle w:val="Bullet"/>
      </w:pPr>
      <w:r>
        <w:t xml:space="preserve">$2.0 billion over 19 years from 2024–‍25 for Green Aluminium Production Credits to provide </w:t>
      </w:r>
      <w:proofErr w:type="gramStart"/>
      <w:r>
        <w:t>production based</w:t>
      </w:r>
      <w:proofErr w:type="gramEnd"/>
      <w:r>
        <w:t xml:space="preserve"> grants to support Australian aluminium smelters switching to renewable electricity before 2036. This would be provided to eligible Australian Aluminium production facilities over a period of 10 years</w:t>
      </w:r>
    </w:p>
    <w:p w14:paraId="0B88739A" w14:textId="5BDC7F58" w:rsidR="00B628FF" w:rsidRDefault="005B2D2F">
      <w:pPr>
        <w:pStyle w:val="Bullet"/>
      </w:pPr>
      <w:r>
        <w:t xml:space="preserve">$1.0 billion over seven years from 2024–‍25 for the Green Iron Investment Fund to fund green iron projects through capital grants to support producers to establish or transition into low emissions facilities in Australia, including up to $500 million earmarked to transform the Whyalla </w:t>
      </w:r>
      <w:r w:rsidR="009A1FB4">
        <w:t>S</w:t>
      </w:r>
      <w:r>
        <w:t>teelworks. The funding profile for this measure is not for publication (nfp) due to commercial sensitivities</w:t>
      </w:r>
    </w:p>
    <w:p w14:paraId="0CC79086" w14:textId="77777777" w:rsidR="00B628FF" w:rsidRDefault="005B2D2F">
      <w:pPr>
        <w:pStyle w:val="Bullet"/>
      </w:pPr>
      <w:r>
        <w:t>$219.3 million over two years from 2024–‍25 to provide immediate on the ground support and to stabilise the Whyalla Steelworks during administration. Funding includes:</w:t>
      </w:r>
    </w:p>
    <w:p w14:paraId="5F001349" w14:textId="6F15DDFD" w:rsidR="00B628FF" w:rsidRDefault="005B2D2F">
      <w:pPr>
        <w:pStyle w:val="Dash"/>
      </w:pPr>
      <w:r>
        <w:t>$192.0 million over two years from 2024–‍25 as the Commonwealth</w:t>
      </w:r>
      <w:r w:rsidR="00B31B37">
        <w:t>’</w:t>
      </w:r>
      <w:r>
        <w:t>s co‑contribution to South Australia for the administration costs of the Whyalla Steelworks</w:t>
      </w:r>
    </w:p>
    <w:p w14:paraId="20F0B09D" w14:textId="47DF710B" w:rsidR="00B628FF" w:rsidRDefault="005B2D2F">
      <w:pPr>
        <w:pStyle w:val="Dash"/>
      </w:pPr>
      <w:r>
        <w:t>$18.0 million over two years from 2024–‍25 as the Commonwealth</w:t>
      </w:r>
      <w:r w:rsidR="00B31B37">
        <w:t>’</w:t>
      </w:r>
      <w:r>
        <w:t>s support for creditor assistance payments for eligible businesses</w:t>
      </w:r>
    </w:p>
    <w:p w14:paraId="4CB42963" w14:textId="499DDE61" w:rsidR="00B628FF" w:rsidRDefault="005B2D2F">
      <w:pPr>
        <w:pStyle w:val="Dash"/>
      </w:pPr>
      <w:r>
        <w:t xml:space="preserve">$9.3 million over two years from 2024–‍25 to support a </w:t>
      </w:r>
      <w:r w:rsidR="009A1FB4">
        <w:t>j</w:t>
      </w:r>
      <w:r>
        <w:t xml:space="preserve">oint </w:t>
      </w:r>
      <w:r w:rsidR="009A1FB4">
        <w:t>t</w:t>
      </w:r>
      <w:r>
        <w:t>askforce with the South</w:t>
      </w:r>
      <w:r w:rsidR="00EF2ECF">
        <w:t> </w:t>
      </w:r>
      <w:r>
        <w:t>Australian Government through the provision of independent insolvency, legal, commercial and probity advice and to facilitate negotiations.</w:t>
      </w:r>
    </w:p>
    <w:p w14:paraId="36A49734" w14:textId="77777777" w:rsidR="00B628FF" w:rsidRDefault="005B2D2F">
      <w:pPr>
        <w:pStyle w:val="Normal2"/>
      </w:pPr>
      <w:r>
        <w:t>The Government has already provided partial funding for this measure.</w:t>
      </w:r>
    </w:p>
    <w:p w14:paraId="6349705E" w14:textId="77777777" w:rsidR="00B628FF" w:rsidRDefault="005B2D2F">
      <w:pPr>
        <w:pStyle w:val="Normal2"/>
      </w:pPr>
      <w:r>
        <w:t>The Treasury manages Commonwealth payments to the states and territories.</w:t>
      </w:r>
    </w:p>
    <w:p w14:paraId="1368B51F" w14:textId="77777777" w:rsidR="00B628FF" w:rsidRDefault="005B2D2F">
      <w:pPr>
        <w:pStyle w:val="MeasureTitle"/>
      </w:pPr>
      <w:r>
        <w:t>Investing in the Future of Science</w:t>
      </w:r>
    </w:p>
    <w:p w14:paraId="32F91A1D" w14:textId="77777777" w:rsidR="00B628FF" w:rsidRDefault="005B2D2F">
      <w:pPr>
        <w:pStyle w:val="MeasureTableHeading"/>
      </w:pPr>
      <w:r>
        <w:t>Payments ($m)</w:t>
      </w:r>
    </w:p>
    <w:tbl>
      <w:tblPr>
        <w:tblOverlap w:val="never"/>
        <w:tblW w:w="7721" w:type="dxa"/>
        <w:tblBorders>
          <w:top w:val="single" w:sz="4" w:space="0" w:color="000000"/>
          <w:bottom w:val="single" w:sz="4" w:space="0" w:color="000000"/>
        </w:tblBorders>
        <w:tblLayout w:type="fixed"/>
        <w:tblLook w:val="04A0" w:firstRow="1" w:lastRow="0" w:firstColumn="1" w:lastColumn="0" w:noHBand="0" w:noVBand="1"/>
      </w:tblPr>
      <w:tblGrid>
        <w:gridCol w:w="2501"/>
        <w:gridCol w:w="1044"/>
        <w:gridCol w:w="1044"/>
        <w:gridCol w:w="1044"/>
        <w:gridCol w:w="1044"/>
        <w:gridCol w:w="1044"/>
      </w:tblGrid>
      <w:tr w:rsidR="00B628FF" w14:paraId="021EFD88" w14:textId="77777777">
        <w:trPr>
          <w:cantSplit/>
        </w:trPr>
        <w:tc>
          <w:tcPr>
            <w:tcW w:w="2500" w:type="dxa"/>
            <w:tcBorders>
              <w:top w:val="single" w:sz="4" w:space="0" w:color="000000"/>
              <w:bottom w:val="single" w:sz="4" w:space="0" w:color="000000"/>
            </w:tcBorders>
          </w:tcPr>
          <w:p w14:paraId="196B98B0" w14:textId="77777777" w:rsidR="00B628FF" w:rsidRDefault="00B628FF">
            <w:pPr>
              <w:pStyle w:val="MeasureTableYearHeadings"/>
              <w:keepNext/>
            </w:pPr>
          </w:p>
        </w:tc>
        <w:tc>
          <w:tcPr>
            <w:tcW w:w="1043" w:type="dxa"/>
            <w:tcBorders>
              <w:top w:val="single" w:sz="4" w:space="0" w:color="000000"/>
              <w:bottom w:val="single" w:sz="4" w:space="0" w:color="000000"/>
            </w:tcBorders>
          </w:tcPr>
          <w:p w14:paraId="4FCD5CB9" w14:textId="6DAD8D16" w:rsidR="00B628FF" w:rsidRDefault="005B2D2F">
            <w:pPr>
              <w:pStyle w:val="MeasureTableYearHeadings"/>
              <w:keepNext/>
            </w:pPr>
            <w:r>
              <w:t>2024</w:t>
            </w:r>
            <w:r w:rsidR="00B31B37">
              <w:noBreakHyphen/>
            </w:r>
            <w:r>
              <w:t>25</w:t>
            </w:r>
          </w:p>
        </w:tc>
        <w:tc>
          <w:tcPr>
            <w:tcW w:w="1043" w:type="dxa"/>
            <w:tcBorders>
              <w:top w:val="single" w:sz="4" w:space="0" w:color="000000"/>
              <w:bottom w:val="single" w:sz="4" w:space="0" w:color="000000"/>
            </w:tcBorders>
          </w:tcPr>
          <w:p w14:paraId="146AF54F" w14:textId="4B3A7135" w:rsidR="00B628FF" w:rsidRDefault="005B2D2F">
            <w:pPr>
              <w:pStyle w:val="MeasureTableYearHeadings"/>
              <w:keepNext/>
            </w:pPr>
            <w:r>
              <w:t>2025</w:t>
            </w:r>
            <w:r w:rsidR="00B31B37">
              <w:noBreakHyphen/>
            </w:r>
            <w:r>
              <w:t>26</w:t>
            </w:r>
          </w:p>
        </w:tc>
        <w:tc>
          <w:tcPr>
            <w:tcW w:w="1043" w:type="dxa"/>
            <w:tcBorders>
              <w:top w:val="single" w:sz="4" w:space="0" w:color="000000"/>
              <w:bottom w:val="single" w:sz="4" w:space="0" w:color="000000"/>
            </w:tcBorders>
          </w:tcPr>
          <w:p w14:paraId="665191D7" w14:textId="0B5DD5EC" w:rsidR="00B628FF" w:rsidRDefault="005B2D2F">
            <w:pPr>
              <w:pStyle w:val="MeasureTableYearHeadings"/>
              <w:keepNext/>
            </w:pPr>
            <w:r>
              <w:t>2026</w:t>
            </w:r>
            <w:r w:rsidR="00B31B37">
              <w:noBreakHyphen/>
            </w:r>
            <w:r>
              <w:t>27</w:t>
            </w:r>
          </w:p>
        </w:tc>
        <w:tc>
          <w:tcPr>
            <w:tcW w:w="1043" w:type="dxa"/>
            <w:tcBorders>
              <w:top w:val="single" w:sz="4" w:space="0" w:color="000000"/>
              <w:bottom w:val="single" w:sz="4" w:space="0" w:color="000000"/>
            </w:tcBorders>
          </w:tcPr>
          <w:p w14:paraId="6254E382" w14:textId="3D31E574" w:rsidR="00B628FF" w:rsidRDefault="005B2D2F">
            <w:pPr>
              <w:pStyle w:val="MeasureTableYearHeadings"/>
              <w:keepNext/>
            </w:pPr>
            <w:r>
              <w:t>2027</w:t>
            </w:r>
            <w:r w:rsidR="00B31B37">
              <w:noBreakHyphen/>
            </w:r>
            <w:r>
              <w:t>28</w:t>
            </w:r>
          </w:p>
        </w:tc>
        <w:tc>
          <w:tcPr>
            <w:tcW w:w="1043" w:type="dxa"/>
            <w:tcBorders>
              <w:top w:val="single" w:sz="4" w:space="0" w:color="000000"/>
              <w:bottom w:val="single" w:sz="4" w:space="0" w:color="000000"/>
            </w:tcBorders>
          </w:tcPr>
          <w:p w14:paraId="6DA8DC79" w14:textId="2C452C5A" w:rsidR="00B628FF" w:rsidRDefault="005B2D2F">
            <w:pPr>
              <w:pStyle w:val="MeasureTableYearHeadings"/>
              <w:keepNext/>
            </w:pPr>
            <w:r>
              <w:t>2028</w:t>
            </w:r>
            <w:r w:rsidR="00B31B37">
              <w:noBreakHyphen/>
            </w:r>
            <w:r>
              <w:t>29</w:t>
            </w:r>
          </w:p>
        </w:tc>
      </w:tr>
      <w:tr w:rsidR="00B628FF" w14:paraId="1E5AE6A6" w14:textId="77777777">
        <w:trPr>
          <w:cantSplit/>
        </w:trPr>
        <w:tc>
          <w:tcPr>
            <w:tcW w:w="2500" w:type="dxa"/>
            <w:tcBorders>
              <w:top w:val="single" w:sz="4" w:space="0" w:color="000000"/>
              <w:bottom w:val="single" w:sz="4" w:space="0" w:color="000000"/>
            </w:tcBorders>
          </w:tcPr>
          <w:p w14:paraId="79F0E959" w14:textId="77777777" w:rsidR="00B628FF" w:rsidRDefault="005B2D2F">
            <w:pPr>
              <w:pStyle w:val="MeasureTableHeadingleftalignedwith2ptsspacing"/>
              <w:keepNext/>
            </w:pPr>
            <w:r>
              <w:t>Department of Industry, Science and Resources</w:t>
            </w:r>
          </w:p>
        </w:tc>
        <w:tc>
          <w:tcPr>
            <w:tcW w:w="1043" w:type="dxa"/>
            <w:tcBorders>
              <w:top w:val="single" w:sz="4" w:space="0" w:color="000000"/>
              <w:bottom w:val="single" w:sz="4" w:space="0" w:color="000000"/>
            </w:tcBorders>
          </w:tcPr>
          <w:p w14:paraId="2A34FC36" w14:textId="032B4FFD"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4DBC7E5B" w14:textId="77777777" w:rsidR="00B628FF" w:rsidRDefault="005B2D2F">
            <w:pPr>
              <w:pStyle w:val="MeasureTableDataRightAlignedwith2ptsspacing"/>
              <w:keepNext/>
            </w:pPr>
            <w:r>
              <w:t>81.9</w:t>
            </w:r>
          </w:p>
        </w:tc>
        <w:tc>
          <w:tcPr>
            <w:tcW w:w="1043" w:type="dxa"/>
            <w:tcBorders>
              <w:top w:val="single" w:sz="4" w:space="0" w:color="000000"/>
              <w:bottom w:val="single" w:sz="4" w:space="0" w:color="000000"/>
            </w:tcBorders>
          </w:tcPr>
          <w:p w14:paraId="5348419F" w14:textId="697C5C7A"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160A656E" w14:textId="60E96869"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27E1D952" w14:textId="35E82543" w:rsidR="00B628FF" w:rsidRDefault="00B31B37">
            <w:pPr>
              <w:pStyle w:val="MeasureTableDataRightAlignedwith2ptsspacing"/>
              <w:keepNext/>
            </w:pPr>
            <w:r>
              <w:noBreakHyphen/>
            </w:r>
          </w:p>
        </w:tc>
      </w:tr>
      <w:tr w:rsidR="00B628FF" w14:paraId="24EE2412" w14:textId="77777777">
        <w:trPr>
          <w:cantSplit/>
        </w:trPr>
        <w:tc>
          <w:tcPr>
            <w:tcW w:w="2500" w:type="dxa"/>
            <w:tcBorders>
              <w:top w:val="single" w:sz="4" w:space="0" w:color="000000"/>
              <w:bottom w:val="single" w:sz="4" w:space="0" w:color="000000"/>
            </w:tcBorders>
          </w:tcPr>
          <w:p w14:paraId="204F2933" w14:textId="77777777" w:rsidR="00B628FF" w:rsidRDefault="005B2D2F">
            <w:pPr>
              <w:pStyle w:val="MeasureTableHeadingleftalignedwith2ptsspacing"/>
              <w:keepNext/>
            </w:pPr>
            <w:r>
              <w:t>Commonwealth Scientific and Industrial Research Organisation</w:t>
            </w:r>
          </w:p>
        </w:tc>
        <w:tc>
          <w:tcPr>
            <w:tcW w:w="1043" w:type="dxa"/>
            <w:tcBorders>
              <w:top w:val="single" w:sz="4" w:space="0" w:color="000000"/>
              <w:bottom w:val="single" w:sz="4" w:space="0" w:color="000000"/>
            </w:tcBorders>
          </w:tcPr>
          <w:p w14:paraId="17EC5A87" w14:textId="77777777" w:rsidR="00B628FF" w:rsidRDefault="005B2D2F">
            <w:pPr>
              <w:pStyle w:val="MeasureTableDataRightAlignedwith2ptsspacing"/>
              <w:keepNext/>
            </w:pPr>
            <w:r>
              <w:t>nfp</w:t>
            </w:r>
          </w:p>
        </w:tc>
        <w:tc>
          <w:tcPr>
            <w:tcW w:w="1043" w:type="dxa"/>
            <w:tcBorders>
              <w:top w:val="single" w:sz="4" w:space="0" w:color="000000"/>
              <w:bottom w:val="single" w:sz="4" w:space="0" w:color="000000"/>
            </w:tcBorders>
          </w:tcPr>
          <w:p w14:paraId="6159AE14" w14:textId="77777777" w:rsidR="00B628FF" w:rsidRDefault="005B2D2F">
            <w:pPr>
              <w:pStyle w:val="MeasureTableDataRightAlignedwith2ptsspacing"/>
              <w:keepNext/>
            </w:pPr>
            <w:r>
              <w:t>nfp</w:t>
            </w:r>
          </w:p>
        </w:tc>
        <w:tc>
          <w:tcPr>
            <w:tcW w:w="1043" w:type="dxa"/>
            <w:tcBorders>
              <w:top w:val="single" w:sz="4" w:space="0" w:color="000000"/>
              <w:bottom w:val="single" w:sz="4" w:space="0" w:color="000000"/>
            </w:tcBorders>
          </w:tcPr>
          <w:p w14:paraId="48782894" w14:textId="77777777" w:rsidR="00B628FF" w:rsidRDefault="005B2D2F">
            <w:pPr>
              <w:pStyle w:val="MeasureTableDataRightAlignedwith2ptsspacing"/>
              <w:keepNext/>
            </w:pPr>
            <w:r>
              <w:t>nfp</w:t>
            </w:r>
          </w:p>
        </w:tc>
        <w:tc>
          <w:tcPr>
            <w:tcW w:w="1043" w:type="dxa"/>
            <w:tcBorders>
              <w:top w:val="single" w:sz="4" w:space="0" w:color="000000"/>
              <w:bottom w:val="single" w:sz="4" w:space="0" w:color="000000"/>
            </w:tcBorders>
          </w:tcPr>
          <w:p w14:paraId="44B9A482" w14:textId="77777777" w:rsidR="00B628FF" w:rsidRDefault="005B2D2F">
            <w:pPr>
              <w:pStyle w:val="MeasureTableDataRightAlignedwith2ptsspacing"/>
              <w:keepNext/>
            </w:pPr>
            <w:r>
              <w:t>nfp</w:t>
            </w:r>
          </w:p>
        </w:tc>
        <w:tc>
          <w:tcPr>
            <w:tcW w:w="1043" w:type="dxa"/>
            <w:tcBorders>
              <w:top w:val="single" w:sz="4" w:space="0" w:color="000000"/>
              <w:bottom w:val="single" w:sz="4" w:space="0" w:color="000000"/>
            </w:tcBorders>
          </w:tcPr>
          <w:p w14:paraId="20E8FAE7" w14:textId="77777777" w:rsidR="00B628FF" w:rsidRDefault="005B2D2F">
            <w:pPr>
              <w:pStyle w:val="MeasureTableDataRightAlignedwith2ptsspacing"/>
              <w:keepNext/>
            </w:pPr>
            <w:r>
              <w:t>nfp</w:t>
            </w:r>
          </w:p>
        </w:tc>
      </w:tr>
      <w:tr w:rsidR="00B628FF" w14:paraId="617253FF" w14:textId="77777777">
        <w:trPr>
          <w:cantSplit/>
        </w:trPr>
        <w:tc>
          <w:tcPr>
            <w:tcW w:w="2500" w:type="dxa"/>
            <w:tcBorders>
              <w:top w:val="single" w:sz="4" w:space="0" w:color="000000"/>
              <w:bottom w:val="single" w:sz="4" w:space="0" w:color="000000"/>
            </w:tcBorders>
          </w:tcPr>
          <w:p w14:paraId="5EEA8A33" w14:textId="77777777" w:rsidR="00B628FF" w:rsidRDefault="005B2D2F">
            <w:pPr>
              <w:pStyle w:val="Totalrowleftaligned"/>
              <w:keepNext/>
            </w:pPr>
            <w:r>
              <w:t>Total – Payments</w:t>
            </w:r>
          </w:p>
        </w:tc>
        <w:tc>
          <w:tcPr>
            <w:tcW w:w="1043" w:type="dxa"/>
            <w:tcBorders>
              <w:top w:val="single" w:sz="4" w:space="0" w:color="000000"/>
              <w:bottom w:val="single" w:sz="4" w:space="0" w:color="000000"/>
            </w:tcBorders>
          </w:tcPr>
          <w:p w14:paraId="66C4A130" w14:textId="258E4887" w:rsidR="00B628FF" w:rsidRDefault="00B31B37">
            <w:pPr>
              <w:pStyle w:val="Totaldatarowrightaligned"/>
              <w:keepNext/>
            </w:pPr>
            <w:r>
              <w:noBreakHyphen/>
            </w:r>
          </w:p>
        </w:tc>
        <w:tc>
          <w:tcPr>
            <w:tcW w:w="1043" w:type="dxa"/>
            <w:tcBorders>
              <w:top w:val="single" w:sz="4" w:space="0" w:color="000000"/>
              <w:bottom w:val="single" w:sz="4" w:space="0" w:color="000000"/>
            </w:tcBorders>
          </w:tcPr>
          <w:p w14:paraId="2068A666" w14:textId="77777777" w:rsidR="00B628FF" w:rsidRDefault="005B2D2F">
            <w:pPr>
              <w:pStyle w:val="Totaldatarowrightaligned"/>
              <w:keepNext/>
            </w:pPr>
            <w:r>
              <w:t>81.9</w:t>
            </w:r>
          </w:p>
        </w:tc>
        <w:tc>
          <w:tcPr>
            <w:tcW w:w="1043" w:type="dxa"/>
            <w:tcBorders>
              <w:top w:val="single" w:sz="4" w:space="0" w:color="000000"/>
              <w:bottom w:val="single" w:sz="4" w:space="0" w:color="000000"/>
            </w:tcBorders>
          </w:tcPr>
          <w:p w14:paraId="69C46979" w14:textId="1DEFC873" w:rsidR="00B628FF" w:rsidRDefault="00B31B37">
            <w:pPr>
              <w:pStyle w:val="Totaldatarowrightaligned"/>
              <w:keepNext/>
            </w:pPr>
            <w:r>
              <w:noBreakHyphen/>
            </w:r>
          </w:p>
        </w:tc>
        <w:tc>
          <w:tcPr>
            <w:tcW w:w="1043" w:type="dxa"/>
            <w:tcBorders>
              <w:top w:val="single" w:sz="4" w:space="0" w:color="000000"/>
              <w:bottom w:val="single" w:sz="4" w:space="0" w:color="000000"/>
            </w:tcBorders>
          </w:tcPr>
          <w:p w14:paraId="2F0F3FAB" w14:textId="29534825" w:rsidR="00B628FF" w:rsidRDefault="00B31B37">
            <w:pPr>
              <w:pStyle w:val="Totaldatarowrightaligned"/>
              <w:keepNext/>
            </w:pPr>
            <w:r>
              <w:noBreakHyphen/>
            </w:r>
          </w:p>
        </w:tc>
        <w:tc>
          <w:tcPr>
            <w:tcW w:w="1043" w:type="dxa"/>
            <w:tcBorders>
              <w:top w:val="single" w:sz="4" w:space="0" w:color="000000"/>
              <w:bottom w:val="single" w:sz="4" w:space="0" w:color="000000"/>
            </w:tcBorders>
          </w:tcPr>
          <w:p w14:paraId="770A4E7F" w14:textId="502DAD66" w:rsidR="00B628FF" w:rsidRDefault="00B31B37">
            <w:pPr>
              <w:pStyle w:val="Totaldatarowrightaligned"/>
              <w:keepNext/>
            </w:pPr>
            <w:r>
              <w:noBreakHyphen/>
            </w:r>
          </w:p>
        </w:tc>
      </w:tr>
    </w:tbl>
    <w:p w14:paraId="7A0D5332" w14:textId="77777777" w:rsidR="00B628FF" w:rsidRDefault="00B628FF">
      <w:pPr>
        <w:keepNext/>
        <w:spacing w:line="226" w:lineRule="exact"/>
        <w:rPr>
          <w:sz w:val="16"/>
        </w:rPr>
      </w:pPr>
    </w:p>
    <w:p w14:paraId="6C3DA524" w14:textId="4841F545" w:rsidR="00B628FF" w:rsidRDefault="005B2D2F">
      <w:pPr>
        <w:pStyle w:val="Normal2"/>
      </w:pPr>
      <w:r w:rsidRPr="5FA307DC">
        <w:rPr>
          <w:lang w:val="en-US"/>
        </w:rPr>
        <w:t>The Government will provide funding to boost Australia</w:t>
      </w:r>
      <w:r w:rsidR="00B31B37">
        <w:rPr>
          <w:lang w:val="en-US"/>
        </w:rPr>
        <w:t>’</w:t>
      </w:r>
      <w:r w:rsidRPr="5FA307DC">
        <w:rPr>
          <w:lang w:val="en-US"/>
        </w:rPr>
        <w:t>s capability and capacity in science, including:</w:t>
      </w:r>
    </w:p>
    <w:p w14:paraId="13F53936" w14:textId="77777777" w:rsidR="00B628FF" w:rsidRDefault="005B2D2F">
      <w:pPr>
        <w:pStyle w:val="Bullet"/>
      </w:pPr>
      <w:r>
        <w:t>$55.0 million over four years from 2025–‍26 to maintain the research capability of the Commonwealth Scientific and Industrial Research Organisation (CSIRO) and to conduct research, including through partnership with other research institutions, into gene technologies to address the impact of invasive species on threatened wildlife in Australia</w:t>
      </w:r>
    </w:p>
    <w:p w14:paraId="41A08C15" w14:textId="1D383984" w:rsidR="00B628FF" w:rsidRDefault="005B2D2F">
      <w:pPr>
        <w:pStyle w:val="Bullet"/>
      </w:pPr>
      <w:r>
        <w:t>$47.9 million in 2025–‍26 as Australia</w:t>
      </w:r>
      <w:r w:rsidR="00B31B37">
        <w:t>’</w:t>
      </w:r>
      <w:r>
        <w:t>s contribution to address funding shortfalls for the Square Kilometre Array (SKA) project</w:t>
      </w:r>
    </w:p>
    <w:p w14:paraId="472AD5B3" w14:textId="77777777" w:rsidR="00B628FF" w:rsidRDefault="005B2D2F">
      <w:pPr>
        <w:pStyle w:val="Bullet"/>
      </w:pPr>
      <w:r>
        <w:t>$34.0 million in 2025–‍26 for the National Measurement Institute to address critical remediation works and sustain operations</w:t>
      </w:r>
    </w:p>
    <w:p w14:paraId="51550639" w14:textId="433D53EF" w:rsidR="00B628FF" w:rsidRDefault="005B2D2F">
      <w:pPr>
        <w:pStyle w:val="Bullet"/>
      </w:pPr>
      <w:r>
        <w:t>Funding to upgrade the Australian Centre for Disease Preparedness to continue its biosecurity functions consistent with safety standards. The financial implications of this measure are not for publication (nfp) due to commercial sensitivities, as disclosure would impair the Commonwealth</w:t>
      </w:r>
      <w:r w:rsidR="00B31B37">
        <w:t>’</w:t>
      </w:r>
      <w:r>
        <w:t>s position in negotiating contracts for these services.</w:t>
      </w:r>
    </w:p>
    <w:p w14:paraId="45DC9C83" w14:textId="5D018032" w:rsidR="00B628FF" w:rsidRDefault="005B2D2F">
      <w:pPr>
        <w:pStyle w:val="Normal2"/>
      </w:pPr>
      <w:r w:rsidRPr="5FA307DC">
        <w:rPr>
          <w:lang w:val="en-US"/>
        </w:rPr>
        <w:t xml:space="preserve">Funding for the </w:t>
      </w:r>
      <w:r w:rsidR="00C443D0" w:rsidRPr="5FA307DC">
        <w:rPr>
          <w:lang w:val="en-US"/>
        </w:rPr>
        <w:t>SKA</w:t>
      </w:r>
      <w:r w:rsidRPr="5FA307DC">
        <w:rPr>
          <w:lang w:val="en-US"/>
        </w:rPr>
        <w:t xml:space="preserve"> project will be held in the Contingency Reserve until SKA project member contribution details are finalised.</w:t>
      </w:r>
    </w:p>
    <w:p w14:paraId="3B6D2555" w14:textId="1881896C" w:rsidR="002A5593" w:rsidRDefault="005B2D2F">
      <w:pPr>
        <w:pStyle w:val="Normal2"/>
      </w:pPr>
      <w:r>
        <w:t xml:space="preserve">This measure builds on the 2024–‍25 Budget measure titled </w:t>
      </w:r>
      <w:r w:rsidRPr="005B2D2F">
        <w:rPr>
          <w:i/>
        </w:rPr>
        <w:t>Future Made in Australia –Investing in Innovation, Science and Digital Capabilities</w:t>
      </w:r>
      <w:r>
        <w:t>.</w:t>
      </w:r>
    </w:p>
    <w:p w14:paraId="3C81B739" w14:textId="77777777" w:rsidR="002A5593" w:rsidRDefault="002A5593">
      <w:pPr>
        <w:autoSpaceDE/>
        <w:autoSpaceDN/>
        <w:adjustRightInd/>
        <w:rPr>
          <w:rFonts w:ascii="Book Antiqua" w:hAnsi="Book Antiqua" w:cs="Times New Roman"/>
          <w:sz w:val="19"/>
          <w:lang w:val="en-AU"/>
        </w:rPr>
      </w:pPr>
      <w:r>
        <w:br w:type="page"/>
      </w:r>
    </w:p>
    <w:p w14:paraId="653DFC41" w14:textId="77777777" w:rsidR="00B628FF" w:rsidRDefault="005B2D2F">
      <w:pPr>
        <w:pStyle w:val="MeasureTitle"/>
      </w:pPr>
      <w:r>
        <w:t>Northern Endeavour Decommissioning</w:t>
      </w:r>
    </w:p>
    <w:p w14:paraId="1603234E" w14:textId="77777777" w:rsidR="00B628FF" w:rsidRDefault="005B2D2F">
      <w:pPr>
        <w:pStyle w:val="MeasureTableHeading"/>
      </w:pPr>
      <w:r>
        <w:t>Payments ($m)</w:t>
      </w:r>
    </w:p>
    <w:tbl>
      <w:tblPr>
        <w:tblOverlap w:val="never"/>
        <w:tblW w:w="7721" w:type="dxa"/>
        <w:tblBorders>
          <w:top w:val="single" w:sz="4" w:space="0" w:color="000000"/>
          <w:bottom w:val="single" w:sz="4" w:space="0" w:color="000000"/>
        </w:tblBorders>
        <w:tblLayout w:type="fixed"/>
        <w:tblLook w:val="04A0" w:firstRow="1" w:lastRow="0" w:firstColumn="1" w:lastColumn="0" w:noHBand="0" w:noVBand="1"/>
      </w:tblPr>
      <w:tblGrid>
        <w:gridCol w:w="2501"/>
        <w:gridCol w:w="1044"/>
        <w:gridCol w:w="1044"/>
        <w:gridCol w:w="1044"/>
        <w:gridCol w:w="1044"/>
        <w:gridCol w:w="1044"/>
      </w:tblGrid>
      <w:tr w:rsidR="00B628FF" w14:paraId="58038813" w14:textId="77777777">
        <w:trPr>
          <w:cantSplit/>
        </w:trPr>
        <w:tc>
          <w:tcPr>
            <w:tcW w:w="2500" w:type="dxa"/>
            <w:tcBorders>
              <w:top w:val="single" w:sz="4" w:space="0" w:color="000000"/>
              <w:bottom w:val="single" w:sz="4" w:space="0" w:color="000000"/>
            </w:tcBorders>
          </w:tcPr>
          <w:p w14:paraId="116E2B13" w14:textId="77777777" w:rsidR="00B628FF" w:rsidRDefault="00B628FF">
            <w:pPr>
              <w:pStyle w:val="MeasureTableYearHeadings"/>
              <w:keepNext/>
            </w:pPr>
          </w:p>
        </w:tc>
        <w:tc>
          <w:tcPr>
            <w:tcW w:w="1043" w:type="dxa"/>
            <w:tcBorders>
              <w:top w:val="single" w:sz="4" w:space="0" w:color="000000"/>
              <w:bottom w:val="single" w:sz="4" w:space="0" w:color="000000"/>
            </w:tcBorders>
          </w:tcPr>
          <w:p w14:paraId="4A77332C" w14:textId="6353B77B" w:rsidR="00B628FF" w:rsidRDefault="005B2D2F">
            <w:pPr>
              <w:pStyle w:val="MeasureTableYearHeadings"/>
              <w:keepNext/>
            </w:pPr>
            <w:r>
              <w:t>2024</w:t>
            </w:r>
            <w:r w:rsidR="00B31B37">
              <w:noBreakHyphen/>
            </w:r>
            <w:r>
              <w:t>25</w:t>
            </w:r>
          </w:p>
        </w:tc>
        <w:tc>
          <w:tcPr>
            <w:tcW w:w="1043" w:type="dxa"/>
            <w:tcBorders>
              <w:top w:val="single" w:sz="4" w:space="0" w:color="000000"/>
              <w:bottom w:val="single" w:sz="4" w:space="0" w:color="000000"/>
            </w:tcBorders>
          </w:tcPr>
          <w:p w14:paraId="59F2EC75" w14:textId="6E70F86F" w:rsidR="00B628FF" w:rsidRDefault="005B2D2F">
            <w:pPr>
              <w:pStyle w:val="MeasureTableYearHeadings"/>
              <w:keepNext/>
            </w:pPr>
            <w:r>
              <w:t>2025</w:t>
            </w:r>
            <w:r w:rsidR="00B31B37">
              <w:noBreakHyphen/>
            </w:r>
            <w:r>
              <w:t>26</w:t>
            </w:r>
          </w:p>
        </w:tc>
        <w:tc>
          <w:tcPr>
            <w:tcW w:w="1043" w:type="dxa"/>
            <w:tcBorders>
              <w:top w:val="single" w:sz="4" w:space="0" w:color="000000"/>
              <w:bottom w:val="single" w:sz="4" w:space="0" w:color="000000"/>
            </w:tcBorders>
          </w:tcPr>
          <w:p w14:paraId="57663DA9" w14:textId="0031A500" w:rsidR="00B628FF" w:rsidRDefault="005B2D2F">
            <w:pPr>
              <w:pStyle w:val="MeasureTableYearHeadings"/>
              <w:keepNext/>
            </w:pPr>
            <w:r>
              <w:t>2026</w:t>
            </w:r>
            <w:r w:rsidR="00B31B37">
              <w:noBreakHyphen/>
            </w:r>
            <w:r>
              <w:t>27</w:t>
            </w:r>
          </w:p>
        </w:tc>
        <w:tc>
          <w:tcPr>
            <w:tcW w:w="1043" w:type="dxa"/>
            <w:tcBorders>
              <w:top w:val="single" w:sz="4" w:space="0" w:color="000000"/>
              <w:bottom w:val="single" w:sz="4" w:space="0" w:color="000000"/>
            </w:tcBorders>
          </w:tcPr>
          <w:p w14:paraId="08587196" w14:textId="3BFC9844" w:rsidR="00B628FF" w:rsidRDefault="005B2D2F">
            <w:pPr>
              <w:pStyle w:val="MeasureTableYearHeadings"/>
              <w:keepNext/>
            </w:pPr>
            <w:r>
              <w:t>2027</w:t>
            </w:r>
            <w:r w:rsidR="00B31B37">
              <w:noBreakHyphen/>
            </w:r>
            <w:r>
              <w:t>28</w:t>
            </w:r>
          </w:p>
        </w:tc>
        <w:tc>
          <w:tcPr>
            <w:tcW w:w="1043" w:type="dxa"/>
            <w:tcBorders>
              <w:top w:val="single" w:sz="4" w:space="0" w:color="000000"/>
              <w:bottom w:val="single" w:sz="4" w:space="0" w:color="000000"/>
            </w:tcBorders>
          </w:tcPr>
          <w:p w14:paraId="440A3E44" w14:textId="5D58EF34" w:rsidR="00B628FF" w:rsidRDefault="005B2D2F">
            <w:pPr>
              <w:pStyle w:val="MeasureTableYearHeadings"/>
              <w:keepNext/>
            </w:pPr>
            <w:r>
              <w:t>2028</w:t>
            </w:r>
            <w:r w:rsidR="00B31B37">
              <w:noBreakHyphen/>
            </w:r>
            <w:r>
              <w:t>29</w:t>
            </w:r>
          </w:p>
        </w:tc>
      </w:tr>
      <w:tr w:rsidR="00B628FF" w14:paraId="15B6E9B4" w14:textId="77777777">
        <w:trPr>
          <w:cantSplit/>
        </w:trPr>
        <w:tc>
          <w:tcPr>
            <w:tcW w:w="2500" w:type="dxa"/>
            <w:tcBorders>
              <w:top w:val="single" w:sz="4" w:space="0" w:color="000000"/>
              <w:bottom w:val="single" w:sz="4" w:space="0" w:color="000000"/>
            </w:tcBorders>
          </w:tcPr>
          <w:p w14:paraId="1A8824C9" w14:textId="77777777" w:rsidR="00B628FF" w:rsidRDefault="005B2D2F">
            <w:pPr>
              <w:pStyle w:val="MeasureTableHeadingleftalignedwith2ptsspacing"/>
              <w:keepNext/>
            </w:pPr>
            <w:r>
              <w:t>Department of Industry, Science and Resources</w:t>
            </w:r>
          </w:p>
        </w:tc>
        <w:tc>
          <w:tcPr>
            <w:tcW w:w="1043" w:type="dxa"/>
            <w:tcBorders>
              <w:top w:val="single" w:sz="4" w:space="0" w:color="000000"/>
              <w:bottom w:val="single" w:sz="4" w:space="0" w:color="000000"/>
            </w:tcBorders>
          </w:tcPr>
          <w:p w14:paraId="73F7EB5D" w14:textId="4954EF6E"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090D3F68" w14:textId="77777777" w:rsidR="00B628FF" w:rsidRDefault="005B2D2F">
            <w:pPr>
              <w:pStyle w:val="MeasureTableDataRightAlignedwith2ptsspacing"/>
              <w:keepNext/>
            </w:pPr>
            <w:r>
              <w:t>nfp</w:t>
            </w:r>
          </w:p>
        </w:tc>
        <w:tc>
          <w:tcPr>
            <w:tcW w:w="1043" w:type="dxa"/>
            <w:tcBorders>
              <w:top w:val="single" w:sz="4" w:space="0" w:color="000000"/>
              <w:bottom w:val="single" w:sz="4" w:space="0" w:color="000000"/>
            </w:tcBorders>
          </w:tcPr>
          <w:p w14:paraId="5C462C8E" w14:textId="77777777" w:rsidR="00B628FF" w:rsidRDefault="005B2D2F">
            <w:pPr>
              <w:pStyle w:val="MeasureTableDataRightAlignedwith2ptsspacing"/>
              <w:keepNext/>
            </w:pPr>
            <w:r>
              <w:t>nfp</w:t>
            </w:r>
          </w:p>
        </w:tc>
        <w:tc>
          <w:tcPr>
            <w:tcW w:w="1043" w:type="dxa"/>
            <w:tcBorders>
              <w:top w:val="single" w:sz="4" w:space="0" w:color="000000"/>
              <w:bottom w:val="single" w:sz="4" w:space="0" w:color="000000"/>
            </w:tcBorders>
          </w:tcPr>
          <w:p w14:paraId="0B283122" w14:textId="6740E167"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1FF1AE42" w14:textId="021237AF" w:rsidR="00B628FF" w:rsidRDefault="00B31B37">
            <w:pPr>
              <w:pStyle w:val="MeasureTableDataRightAlignedwith2ptsspacing"/>
              <w:keepNext/>
            </w:pPr>
            <w:r>
              <w:noBreakHyphen/>
            </w:r>
          </w:p>
        </w:tc>
      </w:tr>
    </w:tbl>
    <w:p w14:paraId="25305C0F" w14:textId="77777777" w:rsidR="00B628FF" w:rsidRDefault="00B628FF">
      <w:pPr>
        <w:keepNext/>
        <w:spacing w:line="226" w:lineRule="exact"/>
        <w:rPr>
          <w:sz w:val="16"/>
        </w:rPr>
      </w:pPr>
    </w:p>
    <w:p w14:paraId="4B4871BB" w14:textId="77777777" w:rsidR="00B628FF" w:rsidRDefault="005B2D2F">
      <w:pPr>
        <w:pStyle w:val="Normal2"/>
      </w:pPr>
      <w:r>
        <w:t>The Government will provide funding over two years from 2025–‍26 to continue activities related to the decommissioning of the Northern Endeavour floating oil production storage and offtake facility. Costs will be fully recovered by the Laminaria and Corallina Decommissioning Cost Recovery Levy.</w:t>
      </w:r>
    </w:p>
    <w:p w14:paraId="353FFB4F" w14:textId="33189CF5" w:rsidR="00B628FF" w:rsidRDefault="005B2D2F">
      <w:pPr>
        <w:pStyle w:val="Normal2"/>
      </w:pPr>
      <w:r w:rsidRPr="5FA307DC">
        <w:rPr>
          <w:lang w:val="en-US"/>
        </w:rPr>
        <w:t>The financial implications of this measure are not for publication (nfp) because they would impair the Commonwealth</w:t>
      </w:r>
      <w:r w:rsidR="00B31B37">
        <w:rPr>
          <w:lang w:val="en-US"/>
        </w:rPr>
        <w:t>’</w:t>
      </w:r>
      <w:r w:rsidRPr="5FA307DC">
        <w:rPr>
          <w:lang w:val="en-US"/>
        </w:rPr>
        <w:t>s position in negotiating contracts for these services. The Government has already provided funding for this measure.</w:t>
      </w:r>
    </w:p>
    <w:p w14:paraId="7298E082" w14:textId="77777777" w:rsidR="00B628FF" w:rsidRDefault="005B2D2F">
      <w:pPr>
        <w:pStyle w:val="Normal2"/>
      </w:pPr>
      <w:r>
        <w:t xml:space="preserve">This measure builds on the 2024–‍25 MYEFO measure titled </w:t>
      </w:r>
      <w:r w:rsidRPr="005B2D2F">
        <w:rPr>
          <w:i/>
        </w:rPr>
        <w:t>Supporting Safety and Remediation in the Resources Sector.</w:t>
      </w:r>
    </w:p>
    <w:p w14:paraId="6DE9E11F" w14:textId="77777777" w:rsidR="00B628FF" w:rsidRDefault="00B628FF">
      <w:pPr>
        <w:sectPr w:rsidR="00B628FF" w:rsidSect="00A06F82">
          <w:headerReference w:type="even" r:id="rId93"/>
          <w:headerReference w:type="default" r:id="rId94"/>
          <w:footerReference w:type="even" r:id="rId95"/>
          <w:footerReference w:type="default" r:id="rId96"/>
          <w:headerReference w:type="first" r:id="rId97"/>
          <w:footerReference w:type="first" r:id="rId98"/>
          <w:pgSz w:w="11906" w:h="16838"/>
          <w:pgMar w:top="2835" w:right="2098" w:bottom="2466" w:left="2098" w:header="1814" w:footer="1814" w:gutter="0"/>
          <w:cols w:space="720"/>
          <w:docGrid w:linePitch="272"/>
        </w:sectPr>
      </w:pPr>
    </w:p>
    <w:p w14:paraId="406E52E1" w14:textId="77777777" w:rsidR="00B628FF" w:rsidRDefault="005B2D2F">
      <w:pPr>
        <w:pStyle w:val="PortfolioName"/>
      </w:pPr>
      <w:r w:rsidRPr="5FA307DC">
        <w:rPr>
          <w:lang w:val="en-US"/>
        </w:rPr>
        <w:t>Infrastructure, Transport, Regional Development, Communications and the Arts</w:t>
      </w:r>
    </w:p>
    <w:p w14:paraId="636E5BE0" w14:textId="77777777" w:rsidR="00B628FF" w:rsidRDefault="005B2D2F">
      <w:pPr>
        <w:pStyle w:val="MeasureTitle"/>
      </w:pPr>
      <w:r>
        <w:t>Building a Better Future Through Considered Infrastructure Investment</w:t>
      </w:r>
    </w:p>
    <w:p w14:paraId="1BC78DEC" w14:textId="77777777" w:rsidR="00B628FF" w:rsidRDefault="005B2D2F">
      <w:pPr>
        <w:pStyle w:val="MeasureTableHeading"/>
      </w:pPr>
      <w:r>
        <w:t>Payments ($m)</w:t>
      </w:r>
    </w:p>
    <w:tbl>
      <w:tblPr>
        <w:tblOverlap w:val="never"/>
        <w:tblW w:w="7721" w:type="dxa"/>
        <w:tblBorders>
          <w:top w:val="single" w:sz="4" w:space="0" w:color="000000"/>
          <w:bottom w:val="single" w:sz="4" w:space="0" w:color="000000"/>
        </w:tblBorders>
        <w:tblLayout w:type="fixed"/>
        <w:tblLook w:val="04A0" w:firstRow="1" w:lastRow="0" w:firstColumn="1" w:lastColumn="0" w:noHBand="0" w:noVBand="1"/>
      </w:tblPr>
      <w:tblGrid>
        <w:gridCol w:w="2501"/>
        <w:gridCol w:w="1044"/>
        <w:gridCol w:w="1044"/>
        <w:gridCol w:w="1044"/>
        <w:gridCol w:w="1044"/>
        <w:gridCol w:w="1044"/>
      </w:tblGrid>
      <w:tr w:rsidR="00B628FF" w14:paraId="29318DF0" w14:textId="77777777">
        <w:trPr>
          <w:cantSplit/>
        </w:trPr>
        <w:tc>
          <w:tcPr>
            <w:tcW w:w="2500" w:type="dxa"/>
            <w:tcBorders>
              <w:top w:val="single" w:sz="4" w:space="0" w:color="000000"/>
              <w:bottom w:val="single" w:sz="4" w:space="0" w:color="000000"/>
            </w:tcBorders>
          </w:tcPr>
          <w:p w14:paraId="519C5FA4" w14:textId="77777777" w:rsidR="00B628FF" w:rsidRDefault="00B628FF">
            <w:pPr>
              <w:pStyle w:val="MeasureTableYearHeadings"/>
              <w:keepNext/>
            </w:pPr>
          </w:p>
        </w:tc>
        <w:tc>
          <w:tcPr>
            <w:tcW w:w="1043" w:type="dxa"/>
            <w:tcBorders>
              <w:top w:val="single" w:sz="4" w:space="0" w:color="000000"/>
              <w:bottom w:val="single" w:sz="4" w:space="0" w:color="000000"/>
            </w:tcBorders>
          </w:tcPr>
          <w:p w14:paraId="770DE64C" w14:textId="58356FD5" w:rsidR="00B628FF" w:rsidRDefault="005B2D2F">
            <w:pPr>
              <w:pStyle w:val="MeasureTableYearHeadings"/>
              <w:keepNext/>
            </w:pPr>
            <w:r>
              <w:t>2024</w:t>
            </w:r>
            <w:r w:rsidR="00B31B37">
              <w:noBreakHyphen/>
            </w:r>
            <w:r>
              <w:t>25</w:t>
            </w:r>
          </w:p>
        </w:tc>
        <w:tc>
          <w:tcPr>
            <w:tcW w:w="1043" w:type="dxa"/>
            <w:tcBorders>
              <w:top w:val="single" w:sz="4" w:space="0" w:color="000000"/>
              <w:bottom w:val="single" w:sz="4" w:space="0" w:color="000000"/>
            </w:tcBorders>
          </w:tcPr>
          <w:p w14:paraId="6B48FC00" w14:textId="259D8C98" w:rsidR="00B628FF" w:rsidRDefault="005B2D2F">
            <w:pPr>
              <w:pStyle w:val="MeasureTableYearHeadings"/>
              <w:keepNext/>
            </w:pPr>
            <w:r>
              <w:t>2025</w:t>
            </w:r>
            <w:r w:rsidR="00B31B37">
              <w:noBreakHyphen/>
            </w:r>
            <w:r>
              <w:t>26</w:t>
            </w:r>
          </w:p>
        </w:tc>
        <w:tc>
          <w:tcPr>
            <w:tcW w:w="1043" w:type="dxa"/>
            <w:tcBorders>
              <w:top w:val="single" w:sz="4" w:space="0" w:color="000000"/>
              <w:bottom w:val="single" w:sz="4" w:space="0" w:color="000000"/>
            </w:tcBorders>
          </w:tcPr>
          <w:p w14:paraId="69F878B8" w14:textId="0CD8E6EE" w:rsidR="00B628FF" w:rsidRDefault="005B2D2F">
            <w:pPr>
              <w:pStyle w:val="MeasureTableYearHeadings"/>
              <w:keepNext/>
            </w:pPr>
            <w:r>
              <w:t>2026</w:t>
            </w:r>
            <w:r w:rsidR="00B31B37">
              <w:noBreakHyphen/>
            </w:r>
            <w:r>
              <w:t>27</w:t>
            </w:r>
          </w:p>
        </w:tc>
        <w:tc>
          <w:tcPr>
            <w:tcW w:w="1043" w:type="dxa"/>
            <w:tcBorders>
              <w:top w:val="single" w:sz="4" w:space="0" w:color="000000"/>
              <w:bottom w:val="single" w:sz="4" w:space="0" w:color="000000"/>
            </w:tcBorders>
          </w:tcPr>
          <w:p w14:paraId="7C3C1A42" w14:textId="798060D1" w:rsidR="00B628FF" w:rsidRDefault="005B2D2F">
            <w:pPr>
              <w:pStyle w:val="MeasureTableYearHeadings"/>
              <w:keepNext/>
            </w:pPr>
            <w:r>
              <w:t>2027</w:t>
            </w:r>
            <w:r w:rsidR="00B31B37">
              <w:noBreakHyphen/>
            </w:r>
            <w:r>
              <w:t>28</w:t>
            </w:r>
          </w:p>
        </w:tc>
        <w:tc>
          <w:tcPr>
            <w:tcW w:w="1043" w:type="dxa"/>
            <w:tcBorders>
              <w:top w:val="single" w:sz="4" w:space="0" w:color="000000"/>
              <w:bottom w:val="single" w:sz="4" w:space="0" w:color="000000"/>
            </w:tcBorders>
          </w:tcPr>
          <w:p w14:paraId="28C85A01" w14:textId="596AC019" w:rsidR="00B628FF" w:rsidRDefault="005B2D2F">
            <w:pPr>
              <w:pStyle w:val="MeasureTableYearHeadings"/>
              <w:keepNext/>
            </w:pPr>
            <w:r>
              <w:t>2028</w:t>
            </w:r>
            <w:r w:rsidR="00B31B37">
              <w:noBreakHyphen/>
            </w:r>
            <w:r>
              <w:t>29</w:t>
            </w:r>
          </w:p>
        </w:tc>
      </w:tr>
      <w:tr w:rsidR="00B628FF" w14:paraId="1C02A022" w14:textId="77777777">
        <w:trPr>
          <w:cantSplit/>
        </w:trPr>
        <w:tc>
          <w:tcPr>
            <w:tcW w:w="2500" w:type="dxa"/>
            <w:tcBorders>
              <w:top w:val="single" w:sz="4" w:space="0" w:color="000000"/>
              <w:bottom w:val="single" w:sz="4" w:space="0" w:color="000000"/>
            </w:tcBorders>
          </w:tcPr>
          <w:p w14:paraId="6D1F0527" w14:textId="77777777" w:rsidR="00B628FF" w:rsidRDefault="005B2D2F">
            <w:pPr>
              <w:pStyle w:val="MeasureTableHeadingleftalignedwith2ptsspacing"/>
              <w:keepNext/>
            </w:pPr>
            <w:r>
              <w:t>Department of the Treasury</w:t>
            </w:r>
          </w:p>
        </w:tc>
        <w:tc>
          <w:tcPr>
            <w:tcW w:w="1043" w:type="dxa"/>
            <w:tcBorders>
              <w:top w:val="single" w:sz="4" w:space="0" w:color="000000"/>
              <w:bottom w:val="single" w:sz="4" w:space="0" w:color="000000"/>
            </w:tcBorders>
          </w:tcPr>
          <w:p w14:paraId="5A15A89F" w14:textId="77777777" w:rsidR="00B628FF" w:rsidRDefault="005B2D2F">
            <w:pPr>
              <w:pStyle w:val="MeasureTableDataRightAlignedwith2ptsspacing"/>
              <w:keepNext/>
            </w:pPr>
            <w:r>
              <w:t>12.7</w:t>
            </w:r>
          </w:p>
        </w:tc>
        <w:tc>
          <w:tcPr>
            <w:tcW w:w="1043" w:type="dxa"/>
            <w:tcBorders>
              <w:top w:val="single" w:sz="4" w:space="0" w:color="000000"/>
              <w:bottom w:val="single" w:sz="4" w:space="0" w:color="000000"/>
            </w:tcBorders>
          </w:tcPr>
          <w:p w14:paraId="0BF2B48E" w14:textId="77777777" w:rsidR="00B628FF" w:rsidRDefault="005B2D2F">
            <w:pPr>
              <w:pStyle w:val="MeasureTableDataRightAlignedwith2ptsspacing"/>
              <w:keepNext/>
            </w:pPr>
            <w:r>
              <w:t>117.6</w:t>
            </w:r>
          </w:p>
        </w:tc>
        <w:tc>
          <w:tcPr>
            <w:tcW w:w="1043" w:type="dxa"/>
            <w:tcBorders>
              <w:top w:val="single" w:sz="4" w:space="0" w:color="000000"/>
              <w:bottom w:val="single" w:sz="4" w:space="0" w:color="000000"/>
            </w:tcBorders>
          </w:tcPr>
          <w:p w14:paraId="7905686D" w14:textId="77777777" w:rsidR="00B628FF" w:rsidRDefault="005B2D2F">
            <w:pPr>
              <w:pStyle w:val="MeasureTableDataRightAlignedwith2ptsspacing"/>
              <w:keepNext/>
            </w:pPr>
            <w:r>
              <w:t>195.1</w:t>
            </w:r>
          </w:p>
        </w:tc>
        <w:tc>
          <w:tcPr>
            <w:tcW w:w="1043" w:type="dxa"/>
            <w:tcBorders>
              <w:top w:val="single" w:sz="4" w:space="0" w:color="000000"/>
              <w:bottom w:val="single" w:sz="4" w:space="0" w:color="000000"/>
            </w:tcBorders>
          </w:tcPr>
          <w:p w14:paraId="5F840A51" w14:textId="77777777" w:rsidR="00B628FF" w:rsidRDefault="005B2D2F">
            <w:pPr>
              <w:pStyle w:val="MeasureTableDataRightAlignedwith2ptsspacing"/>
              <w:keepNext/>
            </w:pPr>
            <w:r>
              <w:t>690.5</w:t>
            </w:r>
          </w:p>
        </w:tc>
        <w:tc>
          <w:tcPr>
            <w:tcW w:w="1043" w:type="dxa"/>
            <w:tcBorders>
              <w:top w:val="single" w:sz="4" w:space="0" w:color="000000"/>
              <w:bottom w:val="single" w:sz="4" w:space="0" w:color="000000"/>
            </w:tcBorders>
          </w:tcPr>
          <w:p w14:paraId="678CB4D8" w14:textId="77777777" w:rsidR="00B628FF" w:rsidRDefault="005B2D2F">
            <w:pPr>
              <w:pStyle w:val="MeasureTableDataRightAlignedwith2ptsspacing"/>
              <w:keepNext/>
            </w:pPr>
            <w:r>
              <w:t>825.0</w:t>
            </w:r>
          </w:p>
        </w:tc>
      </w:tr>
      <w:tr w:rsidR="00B628FF" w14:paraId="3705B3E9" w14:textId="77777777">
        <w:trPr>
          <w:cantSplit/>
        </w:trPr>
        <w:tc>
          <w:tcPr>
            <w:tcW w:w="2500" w:type="dxa"/>
            <w:tcBorders>
              <w:top w:val="single" w:sz="4" w:space="0" w:color="000000"/>
              <w:bottom w:val="single" w:sz="4" w:space="0" w:color="000000"/>
            </w:tcBorders>
          </w:tcPr>
          <w:p w14:paraId="2BC5EDC7" w14:textId="77777777" w:rsidR="00B628FF" w:rsidRDefault="005B2D2F">
            <w:pPr>
              <w:pStyle w:val="MeasureTableHeadingleftalignedwith2ptsspacing"/>
              <w:keepNext/>
            </w:pPr>
            <w:r>
              <w:t>Department of Infrastructure, Transport, Regional Development, Communications and the Arts</w:t>
            </w:r>
          </w:p>
        </w:tc>
        <w:tc>
          <w:tcPr>
            <w:tcW w:w="1043" w:type="dxa"/>
            <w:tcBorders>
              <w:top w:val="single" w:sz="4" w:space="0" w:color="000000"/>
              <w:bottom w:val="single" w:sz="4" w:space="0" w:color="000000"/>
            </w:tcBorders>
          </w:tcPr>
          <w:p w14:paraId="633FB253" w14:textId="2DC7EB58"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1DA8FB7D" w14:textId="2E963415"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76C49C02" w14:textId="11D69E64"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6FA2025E" w14:textId="6A5023FC"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3541C3EA" w14:textId="40979FBD" w:rsidR="00B628FF" w:rsidRDefault="00B31B37">
            <w:pPr>
              <w:pStyle w:val="MeasureTableDataRightAlignedwith2ptsspacing"/>
              <w:keepNext/>
            </w:pPr>
            <w:r>
              <w:noBreakHyphen/>
            </w:r>
          </w:p>
        </w:tc>
      </w:tr>
      <w:tr w:rsidR="00B628FF" w14:paraId="2B8512A9" w14:textId="77777777">
        <w:trPr>
          <w:cantSplit/>
        </w:trPr>
        <w:tc>
          <w:tcPr>
            <w:tcW w:w="2500" w:type="dxa"/>
            <w:tcBorders>
              <w:top w:val="single" w:sz="4" w:space="0" w:color="000000"/>
              <w:bottom w:val="single" w:sz="4" w:space="0" w:color="000000"/>
            </w:tcBorders>
          </w:tcPr>
          <w:p w14:paraId="70D3CB8E" w14:textId="77777777" w:rsidR="00B628FF" w:rsidRDefault="005B2D2F">
            <w:pPr>
              <w:pStyle w:val="Totalrowleftaligned"/>
              <w:keepNext/>
            </w:pPr>
            <w:r>
              <w:t>Total – Payments</w:t>
            </w:r>
          </w:p>
        </w:tc>
        <w:tc>
          <w:tcPr>
            <w:tcW w:w="1043" w:type="dxa"/>
            <w:tcBorders>
              <w:top w:val="single" w:sz="4" w:space="0" w:color="000000"/>
              <w:bottom w:val="single" w:sz="4" w:space="0" w:color="000000"/>
            </w:tcBorders>
          </w:tcPr>
          <w:p w14:paraId="08350598" w14:textId="77777777" w:rsidR="00B628FF" w:rsidRDefault="005B2D2F">
            <w:pPr>
              <w:pStyle w:val="Totaldatarowrightaligned"/>
              <w:keepNext/>
            </w:pPr>
            <w:r>
              <w:t>12.7</w:t>
            </w:r>
          </w:p>
        </w:tc>
        <w:tc>
          <w:tcPr>
            <w:tcW w:w="1043" w:type="dxa"/>
            <w:tcBorders>
              <w:top w:val="single" w:sz="4" w:space="0" w:color="000000"/>
              <w:bottom w:val="single" w:sz="4" w:space="0" w:color="000000"/>
            </w:tcBorders>
          </w:tcPr>
          <w:p w14:paraId="75244732" w14:textId="77777777" w:rsidR="00B628FF" w:rsidRDefault="005B2D2F">
            <w:pPr>
              <w:pStyle w:val="Totaldatarowrightaligned"/>
              <w:keepNext/>
            </w:pPr>
            <w:r>
              <w:t>117.6</w:t>
            </w:r>
          </w:p>
        </w:tc>
        <w:tc>
          <w:tcPr>
            <w:tcW w:w="1043" w:type="dxa"/>
            <w:tcBorders>
              <w:top w:val="single" w:sz="4" w:space="0" w:color="000000"/>
              <w:bottom w:val="single" w:sz="4" w:space="0" w:color="000000"/>
            </w:tcBorders>
          </w:tcPr>
          <w:p w14:paraId="0BCC4519" w14:textId="77777777" w:rsidR="00B628FF" w:rsidRDefault="005B2D2F">
            <w:pPr>
              <w:pStyle w:val="Totaldatarowrightaligned"/>
              <w:keepNext/>
            </w:pPr>
            <w:r>
              <w:t>195.1</w:t>
            </w:r>
          </w:p>
        </w:tc>
        <w:tc>
          <w:tcPr>
            <w:tcW w:w="1043" w:type="dxa"/>
            <w:tcBorders>
              <w:top w:val="single" w:sz="4" w:space="0" w:color="000000"/>
              <w:bottom w:val="single" w:sz="4" w:space="0" w:color="000000"/>
            </w:tcBorders>
          </w:tcPr>
          <w:p w14:paraId="36839458" w14:textId="77777777" w:rsidR="00B628FF" w:rsidRDefault="005B2D2F">
            <w:pPr>
              <w:pStyle w:val="Totaldatarowrightaligned"/>
              <w:keepNext/>
            </w:pPr>
            <w:r>
              <w:t>690.5</w:t>
            </w:r>
          </w:p>
        </w:tc>
        <w:tc>
          <w:tcPr>
            <w:tcW w:w="1043" w:type="dxa"/>
            <w:tcBorders>
              <w:top w:val="single" w:sz="4" w:space="0" w:color="000000"/>
              <w:bottom w:val="single" w:sz="4" w:space="0" w:color="000000"/>
            </w:tcBorders>
          </w:tcPr>
          <w:p w14:paraId="70DEB9A6" w14:textId="77777777" w:rsidR="00B628FF" w:rsidRDefault="005B2D2F">
            <w:pPr>
              <w:pStyle w:val="Totaldatarowrightaligned"/>
              <w:keepNext/>
            </w:pPr>
            <w:r>
              <w:t>825.0</w:t>
            </w:r>
          </w:p>
        </w:tc>
      </w:tr>
    </w:tbl>
    <w:p w14:paraId="2B29B2E4" w14:textId="77777777" w:rsidR="00B628FF" w:rsidRDefault="00B628FF">
      <w:pPr>
        <w:keepNext/>
        <w:spacing w:line="226" w:lineRule="exact"/>
        <w:rPr>
          <w:sz w:val="16"/>
        </w:rPr>
      </w:pPr>
    </w:p>
    <w:p w14:paraId="79C091F7" w14:textId="77777777" w:rsidR="00B628FF" w:rsidRDefault="005B2D2F">
      <w:pPr>
        <w:pStyle w:val="Normal2"/>
      </w:pPr>
      <w:r w:rsidRPr="53C5BB3A">
        <w:rPr>
          <w:lang w:val="en-US"/>
        </w:rPr>
        <w:t>The Government will provide $17.1 billion over ten years from 2024–‍25 for road and rail infrastructure priorities to support productivity and jobs. Funding includes:</w:t>
      </w:r>
    </w:p>
    <w:p w14:paraId="6BACB953" w14:textId="77777777" w:rsidR="00B628FF" w:rsidRDefault="005B2D2F">
      <w:pPr>
        <w:pStyle w:val="Bullet"/>
      </w:pPr>
      <w:r>
        <w:t xml:space="preserve">$15.6 billion over ten years from 2024–‍25 for new </w:t>
      </w:r>
      <w:r w:rsidRPr="005B2D2F">
        <w:rPr>
          <w:i/>
        </w:rPr>
        <w:t>Infrastructure Investment Program</w:t>
      </w:r>
      <w:r>
        <w:t xml:space="preserve"> projects across Australia, including:</w:t>
      </w:r>
    </w:p>
    <w:p w14:paraId="5C4E8416" w14:textId="77777777" w:rsidR="00B628FF" w:rsidRDefault="005B2D2F">
      <w:pPr>
        <w:pStyle w:val="Dash"/>
      </w:pPr>
      <w:r>
        <w:t>$7.2 billion for safety upgrades on the Bruce Highway in Queensland</w:t>
      </w:r>
    </w:p>
    <w:p w14:paraId="4B2E1F3A" w14:textId="77777777" w:rsidR="00B628FF" w:rsidRDefault="005B2D2F">
      <w:pPr>
        <w:pStyle w:val="Dash"/>
      </w:pPr>
      <w:r>
        <w:t>$2.0 billion to upgrade Sunshine Station and $1.0 billion for the Road Blitz in Victoria</w:t>
      </w:r>
    </w:p>
    <w:p w14:paraId="4370C8BD" w14:textId="77777777" w:rsidR="00B628FF" w:rsidRDefault="005B2D2F">
      <w:pPr>
        <w:pStyle w:val="Dash"/>
      </w:pPr>
      <w:r>
        <w:t xml:space="preserve">$2.8 billion for projects in New South Wales, including $115.0 million to upgrade Terrigal Drive and the following projects in Western Sydney: $1.0 billion to preserve the corridor for the </w:t>
      </w:r>
      <w:proofErr w:type="gramStart"/>
      <w:r>
        <w:t>South West</w:t>
      </w:r>
      <w:proofErr w:type="gramEnd"/>
      <w:r>
        <w:t xml:space="preserve"> Sydney Rail Extension, $580.0 million for upgrades to Townson Road, Burdekin Road and Garfield Road West to support housing growth and flood resilience and $500.0 million to upgrade Fifteenth Avenue</w:t>
      </w:r>
    </w:p>
    <w:p w14:paraId="58D1DE3D" w14:textId="77777777" w:rsidR="00B628FF" w:rsidRDefault="005B2D2F">
      <w:pPr>
        <w:pStyle w:val="Dash"/>
      </w:pPr>
      <w:r>
        <w:t>$350.0 million to upgrade the Kwinana Freeway in Western Australia</w:t>
      </w:r>
    </w:p>
    <w:p w14:paraId="0647B35D" w14:textId="77777777" w:rsidR="00B628FF" w:rsidRDefault="005B2D2F">
      <w:pPr>
        <w:pStyle w:val="Dash"/>
      </w:pPr>
      <w:r>
        <w:t>$200.0 million for upgrades to the Arthur Highway and $80.0 million for the Southern Outlet Transit Lane Extension in Tasmania</w:t>
      </w:r>
    </w:p>
    <w:p w14:paraId="07B8AB2A" w14:textId="77777777" w:rsidR="00B628FF" w:rsidRDefault="005B2D2F">
      <w:pPr>
        <w:pStyle w:val="Dash"/>
      </w:pPr>
      <w:r>
        <w:t>$200.0 million for the duplication of the Stuart Highway (Darwin to Katherine) in the Northern Territory</w:t>
      </w:r>
    </w:p>
    <w:p w14:paraId="528B1C75" w14:textId="579C7E2E" w:rsidR="00B628FF" w:rsidRDefault="005B2D2F">
      <w:pPr>
        <w:pStyle w:val="Dash"/>
      </w:pPr>
      <w:r>
        <w:t>$125.0 million for the Curtis Road Level Crossing Removal in South</w:t>
      </w:r>
      <w:r w:rsidR="00914E8F">
        <w:t> </w:t>
      </w:r>
      <w:r>
        <w:t>Australia</w:t>
      </w:r>
    </w:p>
    <w:p w14:paraId="3DCFA92B" w14:textId="77777777" w:rsidR="00B628FF" w:rsidRDefault="005B2D2F">
      <w:pPr>
        <w:pStyle w:val="Dash"/>
      </w:pPr>
      <w:r>
        <w:t>$20.0 million for Monaro Highway Upgrade Stage 2 planning works in the Australian Capital Territory.</w:t>
      </w:r>
    </w:p>
    <w:p w14:paraId="6299A957" w14:textId="77777777" w:rsidR="00B628FF" w:rsidRDefault="005B2D2F">
      <w:pPr>
        <w:pStyle w:val="Bullet"/>
      </w:pPr>
      <w:r>
        <w:t xml:space="preserve">$1.5 billion over eight years from 2024–‍25 for existing </w:t>
      </w:r>
      <w:r w:rsidRPr="005B2D2F">
        <w:rPr>
          <w:i/>
        </w:rPr>
        <w:t>Infrastructure Investment Program</w:t>
      </w:r>
      <w:r>
        <w:t xml:space="preserve"> projects or corridors, including:</w:t>
      </w:r>
    </w:p>
    <w:p w14:paraId="3C025CD3" w14:textId="77777777" w:rsidR="00B628FF" w:rsidRDefault="005B2D2F">
      <w:pPr>
        <w:pStyle w:val="Dash"/>
      </w:pPr>
      <w:r>
        <w:t>$1.1 billion for the Western Freeway in Victoria</w:t>
      </w:r>
    </w:p>
    <w:p w14:paraId="41AFEBE9" w14:textId="77777777" w:rsidR="00B628FF" w:rsidRDefault="005B2D2F">
      <w:pPr>
        <w:pStyle w:val="Dash"/>
      </w:pPr>
      <w:r>
        <w:t>$200.0 million for the Rockhampton Ring Road in Queensland</w:t>
      </w:r>
    </w:p>
    <w:p w14:paraId="14FA1AA5" w14:textId="29A18C32" w:rsidR="00B628FF" w:rsidRDefault="005B2D2F">
      <w:pPr>
        <w:pStyle w:val="Dash"/>
      </w:pPr>
      <w:r>
        <w:t>$50.0 million for Homebush Bay Drive in New South</w:t>
      </w:r>
      <w:r w:rsidR="00914E8F">
        <w:t> </w:t>
      </w:r>
      <w:r>
        <w:t>Wales</w:t>
      </w:r>
    </w:p>
    <w:p w14:paraId="59DCECFA" w14:textId="358C19B4" w:rsidR="00B628FF" w:rsidRDefault="005B2D2F">
      <w:pPr>
        <w:pStyle w:val="Dash"/>
      </w:pPr>
      <w:r>
        <w:t>$30.0 million for the Monaro Highway Upgrade in the Australian Capital</w:t>
      </w:r>
      <w:r w:rsidR="00914E8F">
        <w:t> </w:t>
      </w:r>
      <w:r>
        <w:t>Territory.</w:t>
      </w:r>
    </w:p>
    <w:p w14:paraId="0B7C2623" w14:textId="5AC2E96D" w:rsidR="00B628FF" w:rsidRDefault="005B2D2F">
      <w:pPr>
        <w:pStyle w:val="Normal2"/>
      </w:pPr>
      <w:r>
        <w:t>The Government will also provide $12.0 million over two years from 2025–‍26 for the Port</w:t>
      </w:r>
      <w:r w:rsidR="00914E8F">
        <w:t> </w:t>
      </w:r>
      <w:r>
        <w:t>Augusta Wharf Refurbishment.</w:t>
      </w:r>
    </w:p>
    <w:p w14:paraId="34CFD519" w14:textId="77777777" w:rsidR="00B628FF" w:rsidRDefault="005B2D2F">
      <w:pPr>
        <w:pStyle w:val="Normal2"/>
      </w:pPr>
      <w:r>
        <w:t xml:space="preserve">The Government has already provided partial funding for this measure. The cost of this measure will be partially met from existing funding for the </w:t>
      </w:r>
      <w:r w:rsidRPr="005B2D2F">
        <w:rPr>
          <w:i/>
        </w:rPr>
        <w:t>Infrastructure Investment Program</w:t>
      </w:r>
      <w:r>
        <w:t>.</w:t>
      </w:r>
    </w:p>
    <w:p w14:paraId="242EE565" w14:textId="77777777" w:rsidR="00B628FF" w:rsidRDefault="005B2D2F">
      <w:pPr>
        <w:pStyle w:val="Normal2"/>
      </w:pPr>
      <w:r>
        <w:t>The Treasury manages Commonwealth payments to the states and territories.</w:t>
      </w:r>
    </w:p>
    <w:p w14:paraId="362307D8" w14:textId="039A2CD4" w:rsidR="00B628FF" w:rsidRDefault="005B2D2F">
      <w:pPr>
        <w:pStyle w:val="Normal2"/>
      </w:pPr>
      <w:r>
        <w:t xml:space="preserve">This measure builds on the 2024–‍25 MYEFO measure titled </w:t>
      </w:r>
      <w:r w:rsidRPr="005B2D2F">
        <w:rPr>
          <w:i/>
        </w:rPr>
        <w:t>Building Australia</w:t>
      </w:r>
      <w:r w:rsidR="00B31B37">
        <w:rPr>
          <w:i/>
        </w:rPr>
        <w:t>’</w:t>
      </w:r>
      <w:r w:rsidRPr="005B2D2F">
        <w:rPr>
          <w:i/>
        </w:rPr>
        <w:t>s Future – Building a Better Future Through Considered Infrastructure Investment</w:t>
      </w:r>
      <w:r>
        <w:t>.</w:t>
      </w:r>
    </w:p>
    <w:p w14:paraId="78F0AD20" w14:textId="0DBCC1AA" w:rsidR="00B628FF" w:rsidRDefault="005B2D2F">
      <w:pPr>
        <w:pStyle w:val="MeasureTitle"/>
      </w:pPr>
      <w:r w:rsidRPr="5FA307DC">
        <w:rPr>
          <w:lang w:val="en-US"/>
        </w:rPr>
        <w:t>Building Australia</w:t>
      </w:r>
      <w:r w:rsidR="00B31B37">
        <w:rPr>
          <w:lang w:val="en-US"/>
        </w:rPr>
        <w:t>’</w:t>
      </w:r>
      <w:r w:rsidRPr="5FA307DC">
        <w:rPr>
          <w:lang w:val="en-US"/>
        </w:rPr>
        <w:t>s Future – Completing the NBN Fibre Upgrades</w:t>
      </w:r>
    </w:p>
    <w:p w14:paraId="442EA5A7" w14:textId="77777777" w:rsidR="00B628FF" w:rsidRDefault="005B2D2F">
      <w:pPr>
        <w:pStyle w:val="MeasureTableHeading"/>
      </w:pPr>
      <w:r>
        <w:t>Payments ($m)</w:t>
      </w:r>
    </w:p>
    <w:tbl>
      <w:tblPr>
        <w:tblOverlap w:val="never"/>
        <w:tblW w:w="7721" w:type="dxa"/>
        <w:tblBorders>
          <w:top w:val="single" w:sz="4" w:space="0" w:color="000000"/>
          <w:bottom w:val="single" w:sz="4" w:space="0" w:color="000000"/>
        </w:tblBorders>
        <w:tblLayout w:type="fixed"/>
        <w:tblLook w:val="04A0" w:firstRow="1" w:lastRow="0" w:firstColumn="1" w:lastColumn="0" w:noHBand="0" w:noVBand="1"/>
      </w:tblPr>
      <w:tblGrid>
        <w:gridCol w:w="2501"/>
        <w:gridCol w:w="1044"/>
        <w:gridCol w:w="1044"/>
        <w:gridCol w:w="1044"/>
        <w:gridCol w:w="1044"/>
        <w:gridCol w:w="1044"/>
      </w:tblGrid>
      <w:tr w:rsidR="00B628FF" w14:paraId="64770D42" w14:textId="77777777">
        <w:trPr>
          <w:cantSplit/>
        </w:trPr>
        <w:tc>
          <w:tcPr>
            <w:tcW w:w="2500" w:type="dxa"/>
            <w:tcBorders>
              <w:top w:val="single" w:sz="4" w:space="0" w:color="000000"/>
              <w:bottom w:val="single" w:sz="4" w:space="0" w:color="000000"/>
            </w:tcBorders>
          </w:tcPr>
          <w:p w14:paraId="4C95C96A" w14:textId="77777777" w:rsidR="00B628FF" w:rsidRDefault="00B628FF">
            <w:pPr>
              <w:pStyle w:val="MeasureTableYearHeadings"/>
              <w:keepNext/>
            </w:pPr>
          </w:p>
        </w:tc>
        <w:tc>
          <w:tcPr>
            <w:tcW w:w="1043" w:type="dxa"/>
            <w:tcBorders>
              <w:top w:val="single" w:sz="4" w:space="0" w:color="000000"/>
              <w:bottom w:val="single" w:sz="4" w:space="0" w:color="000000"/>
            </w:tcBorders>
          </w:tcPr>
          <w:p w14:paraId="295CC7DE" w14:textId="5EA70C30" w:rsidR="00B628FF" w:rsidRDefault="005B2D2F">
            <w:pPr>
              <w:pStyle w:val="MeasureTableYearHeadings"/>
              <w:keepNext/>
            </w:pPr>
            <w:r>
              <w:t>2024</w:t>
            </w:r>
            <w:r w:rsidR="00B31B37">
              <w:noBreakHyphen/>
            </w:r>
            <w:r>
              <w:t>25</w:t>
            </w:r>
          </w:p>
        </w:tc>
        <w:tc>
          <w:tcPr>
            <w:tcW w:w="1043" w:type="dxa"/>
            <w:tcBorders>
              <w:top w:val="single" w:sz="4" w:space="0" w:color="000000"/>
              <w:bottom w:val="single" w:sz="4" w:space="0" w:color="000000"/>
            </w:tcBorders>
          </w:tcPr>
          <w:p w14:paraId="676C59C0" w14:textId="0519D40E" w:rsidR="00B628FF" w:rsidRDefault="005B2D2F">
            <w:pPr>
              <w:pStyle w:val="MeasureTableYearHeadings"/>
              <w:keepNext/>
            </w:pPr>
            <w:r>
              <w:t>2025</w:t>
            </w:r>
            <w:r w:rsidR="00B31B37">
              <w:noBreakHyphen/>
            </w:r>
            <w:r>
              <w:t>26</w:t>
            </w:r>
          </w:p>
        </w:tc>
        <w:tc>
          <w:tcPr>
            <w:tcW w:w="1043" w:type="dxa"/>
            <w:tcBorders>
              <w:top w:val="single" w:sz="4" w:space="0" w:color="000000"/>
              <w:bottom w:val="single" w:sz="4" w:space="0" w:color="000000"/>
            </w:tcBorders>
          </w:tcPr>
          <w:p w14:paraId="42BC0D3E" w14:textId="5EB8CB73" w:rsidR="00B628FF" w:rsidRDefault="005B2D2F">
            <w:pPr>
              <w:pStyle w:val="MeasureTableYearHeadings"/>
              <w:keepNext/>
            </w:pPr>
            <w:r>
              <w:t>2026</w:t>
            </w:r>
            <w:r w:rsidR="00B31B37">
              <w:noBreakHyphen/>
            </w:r>
            <w:r>
              <w:t>27</w:t>
            </w:r>
          </w:p>
        </w:tc>
        <w:tc>
          <w:tcPr>
            <w:tcW w:w="1043" w:type="dxa"/>
            <w:tcBorders>
              <w:top w:val="single" w:sz="4" w:space="0" w:color="000000"/>
              <w:bottom w:val="single" w:sz="4" w:space="0" w:color="000000"/>
            </w:tcBorders>
          </w:tcPr>
          <w:p w14:paraId="4354CBFB" w14:textId="32DDCCC1" w:rsidR="00B628FF" w:rsidRDefault="005B2D2F">
            <w:pPr>
              <w:pStyle w:val="MeasureTableYearHeadings"/>
              <w:keepNext/>
            </w:pPr>
            <w:r>
              <w:t>2027</w:t>
            </w:r>
            <w:r w:rsidR="00B31B37">
              <w:noBreakHyphen/>
            </w:r>
            <w:r>
              <w:t>28</w:t>
            </w:r>
          </w:p>
        </w:tc>
        <w:tc>
          <w:tcPr>
            <w:tcW w:w="1043" w:type="dxa"/>
            <w:tcBorders>
              <w:top w:val="single" w:sz="4" w:space="0" w:color="000000"/>
              <w:bottom w:val="single" w:sz="4" w:space="0" w:color="000000"/>
            </w:tcBorders>
          </w:tcPr>
          <w:p w14:paraId="27222876" w14:textId="0FA52798" w:rsidR="00B628FF" w:rsidRDefault="005B2D2F">
            <w:pPr>
              <w:pStyle w:val="MeasureTableYearHeadings"/>
              <w:keepNext/>
            </w:pPr>
            <w:r>
              <w:t>2028</w:t>
            </w:r>
            <w:r w:rsidR="00B31B37">
              <w:noBreakHyphen/>
            </w:r>
            <w:r>
              <w:t>29</w:t>
            </w:r>
          </w:p>
        </w:tc>
      </w:tr>
      <w:tr w:rsidR="00B628FF" w14:paraId="1ED1BEAF" w14:textId="77777777">
        <w:trPr>
          <w:cantSplit/>
        </w:trPr>
        <w:tc>
          <w:tcPr>
            <w:tcW w:w="2500" w:type="dxa"/>
            <w:tcBorders>
              <w:top w:val="single" w:sz="4" w:space="0" w:color="000000"/>
              <w:bottom w:val="single" w:sz="4" w:space="0" w:color="000000"/>
            </w:tcBorders>
          </w:tcPr>
          <w:p w14:paraId="46448760" w14:textId="77777777" w:rsidR="00B628FF" w:rsidRDefault="005B2D2F">
            <w:pPr>
              <w:pStyle w:val="MeasureTableHeadingleftalignedwith2ptsspacing"/>
              <w:keepNext/>
            </w:pPr>
            <w:r>
              <w:t>Department of Infrastructure, Transport, Regional Development, Communications and the Arts</w:t>
            </w:r>
          </w:p>
        </w:tc>
        <w:tc>
          <w:tcPr>
            <w:tcW w:w="1043" w:type="dxa"/>
            <w:tcBorders>
              <w:top w:val="single" w:sz="4" w:space="0" w:color="000000"/>
              <w:bottom w:val="single" w:sz="4" w:space="0" w:color="000000"/>
            </w:tcBorders>
          </w:tcPr>
          <w:p w14:paraId="4E0A4504" w14:textId="09D44F65"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7B068DCE" w14:textId="7E889650"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457B127E" w14:textId="43080DA0"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1D8152F4" w14:textId="3414D9CF"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055812B1" w14:textId="2C80973F" w:rsidR="00B628FF" w:rsidRDefault="00B31B37">
            <w:pPr>
              <w:pStyle w:val="MeasureTableDataRightAlignedwith2ptsspacing"/>
              <w:keepNext/>
            </w:pPr>
            <w:r>
              <w:noBreakHyphen/>
            </w:r>
          </w:p>
        </w:tc>
      </w:tr>
    </w:tbl>
    <w:p w14:paraId="6F8D03C2" w14:textId="77777777" w:rsidR="00B628FF" w:rsidRDefault="00B628FF">
      <w:pPr>
        <w:keepNext/>
        <w:spacing w:line="226" w:lineRule="exact"/>
        <w:rPr>
          <w:sz w:val="16"/>
        </w:rPr>
      </w:pPr>
    </w:p>
    <w:p w14:paraId="0FD60E8F" w14:textId="77777777" w:rsidR="00B628FF" w:rsidRDefault="005B2D2F">
      <w:pPr>
        <w:pStyle w:val="Normal2"/>
      </w:pPr>
      <w:r w:rsidRPr="53C5BB3A">
        <w:rPr>
          <w:lang w:val="en-US"/>
        </w:rPr>
        <w:t>The Government will provide an equity investment of up to $3.0 billion over seven years from 2024–‍25 to NBN Co to upgrade the remaining 622,000 National Broadband Network (NBN) premises on the national fibre‑to‑the‑node (FTTN) network with NBN Co also contributing more than $800 million to the project.</w:t>
      </w:r>
    </w:p>
    <w:p w14:paraId="21F938C7" w14:textId="480D320B" w:rsidR="00B628FF" w:rsidRDefault="005B2D2F">
      <w:pPr>
        <w:pStyle w:val="Normal2"/>
      </w:pPr>
      <w:r w:rsidRPr="5FA307DC">
        <w:rPr>
          <w:lang w:val="en-US"/>
        </w:rPr>
        <w:t>The additional investment will support more than 94</w:t>
      </w:r>
      <w:r w:rsidR="00914E8F" w:rsidRPr="5FA307DC">
        <w:rPr>
          <w:lang w:val="en-US"/>
        </w:rPr>
        <w:t> </w:t>
      </w:r>
      <w:r w:rsidRPr="5FA307DC">
        <w:rPr>
          <w:lang w:val="en-US"/>
        </w:rPr>
        <w:t>per cent of Australia</w:t>
      </w:r>
      <w:r w:rsidR="00B31B37">
        <w:rPr>
          <w:lang w:val="en-US"/>
        </w:rPr>
        <w:t>’</w:t>
      </w:r>
      <w:r w:rsidRPr="5FA307DC">
        <w:rPr>
          <w:lang w:val="en-US"/>
        </w:rPr>
        <w:t>s fixed line footprint to have access to gigabit speeds by 2030.</w:t>
      </w:r>
    </w:p>
    <w:p w14:paraId="7103DFF0" w14:textId="77777777" w:rsidR="00B628FF" w:rsidRDefault="005B2D2F">
      <w:pPr>
        <w:pStyle w:val="Normal2"/>
      </w:pPr>
      <w:r>
        <w:t>The Government has already provided funding for this measure.</w:t>
      </w:r>
    </w:p>
    <w:p w14:paraId="3CB2FC7D" w14:textId="77777777" w:rsidR="00B628FF" w:rsidRDefault="005B2D2F">
      <w:pPr>
        <w:pStyle w:val="Normal2"/>
      </w:pPr>
      <w:r>
        <w:t>Partial funding for this measure will be held in the Contingency Reserve until final project details are settled.</w:t>
      </w:r>
    </w:p>
    <w:p w14:paraId="398D1C74" w14:textId="77777777" w:rsidR="00B628FF" w:rsidRDefault="005B2D2F">
      <w:pPr>
        <w:pStyle w:val="Normal2"/>
      </w:pPr>
      <w:r>
        <w:t xml:space="preserve">This measure builds on the 2022–‍23 October Budget measure titled </w:t>
      </w:r>
      <w:r w:rsidRPr="005B2D2F">
        <w:rPr>
          <w:i/>
        </w:rPr>
        <w:t>Improving the NBN</w:t>
      </w:r>
      <w:r>
        <w:t>.</w:t>
      </w:r>
    </w:p>
    <w:p w14:paraId="75896E32" w14:textId="77777777" w:rsidR="00B628FF" w:rsidRDefault="005B2D2F">
      <w:pPr>
        <w:pStyle w:val="MeasureTitle"/>
      </w:pPr>
      <w:r>
        <w:t>Continued Funding for the Regional Australia Institute</w:t>
      </w:r>
    </w:p>
    <w:p w14:paraId="34556F1F" w14:textId="77777777" w:rsidR="00B628FF" w:rsidRDefault="005B2D2F">
      <w:pPr>
        <w:pStyle w:val="MeasureTableHeading"/>
      </w:pPr>
      <w:r>
        <w:t>Payments ($m)</w:t>
      </w:r>
    </w:p>
    <w:tbl>
      <w:tblPr>
        <w:tblOverlap w:val="never"/>
        <w:tblW w:w="7721" w:type="dxa"/>
        <w:tblBorders>
          <w:top w:val="single" w:sz="4" w:space="0" w:color="000000"/>
          <w:bottom w:val="single" w:sz="4" w:space="0" w:color="000000"/>
        </w:tblBorders>
        <w:tblLayout w:type="fixed"/>
        <w:tblLook w:val="04A0" w:firstRow="1" w:lastRow="0" w:firstColumn="1" w:lastColumn="0" w:noHBand="0" w:noVBand="1"/>
      </w:tblPr>
      <w:tblGrid>
        <w:gridCol w:w="2501"/>
        <w:gridCol w:w="1044"/>
        <w:gridCol w:w="1044"/>
        <w:gridCol w:w="1044"/>
        <w:gridCol w:w="1044"/>
        <w:gridCol w:w="1044"/>
      </w:tblGrid>
      <w:tr w:rsidR="00B628FF" w14:paraId="1236E64F" w14:textId="77777777">
        <w:trPr>
          <w:cantSplit/>
        </w:trPr>
        <w:tc>
          <w:tcPr>
            <w:tcW w:w="2500" w:type="dxa"/>
            <w:tcBorders>
              <w:top w:val="single" w:sz="4" w:space="0" w:color="000000"/>
              <w:bottom w:val="single" w:sz="4" w:space="0" w:color="000000"/>
            </w:tcBorders>
          </w:tcPr>
          <w:p w14:paraId="4C94D4F3" w14:textId="77777777" w:rsidR="00B628FF" w:rsidRDefault="00B628FF">
            <w:pPr>
              <w:pStyle w:val="MeasureTableYearHeadings"/>
              <w:keepNext/>
            </w:pPr>
          </w:p>
        </w:tc>
        <w:tc>
          <w:tcPr>
            <w:tcW w:w="1043" w:type="dxa"/>
            <w:tcBorders>
              <w:top w:val="single" w:sz="4" w:space="0" w:color="000000"/>
              <w:bottom w:val="single" w:sz="4" w:space="0" w:color="000000"/>
            </w:tcBorders>
          </w:tcPr>
          <w:p w14:paraId="04BA3C35" w14:textId="4861DCC1" w:rsidR="00B628FF" w:rsidRDefault="005B2D2F">
            <w:pPr>
              <w:pStyle w:val="MeasureTableYearHeadings"/>
              <w:keepNext/>
            </w:pPr>
            <w:r>
              <w:t>2024</w:t>
            </w:r>
            <w:r w:rsidR="00B31B37">
              <w:noBreakHyphen/>
            </w:r>
            <w:r>
              <w:t>25</w:t>
            </w:r>
          </w:p>
        </w:tc>
        <w:tc>
          <w:tcPr>
            <w:tcW w:w="1043" w:type="dxa"/>
            <w:tcBorders>
              <w:top w:val="single" w:sz="4" w:space="0" w:color="000000"/>
              <w:bottom w:val="single" w:sz="4" w:space="0" w:color="000000"/>
            </w:tcBorders>
          </w:tcPr>
          <w:p w14:paraId="77A46D21" w14:textId="64EC0EAA" w:rsidR="00B628FF" w:rsidRDefault="005B2D2F">
            <w:pPr>
              <w:pStyle w:val="MeasureTableYearHeadings"/>
              <w:keepNext/>
            </w:pPr>
            <w:r>
              <w:t>2025</w:t>
            </w:r>
            <w:r w:rsidR="00B31B37">
              <w:noBreakHyphen/>
            </w:r>
            <w:r>
              <w:t>26</w:t>
            </w:r>
          </w:p>
        </w:tc>
        <w:tc>
          <w:tcPr>
            <w:tcW w:w="1043" w:type="dxa"/>
            <w:tcBorders>
              <w:top w:val="single" w:sz="4" w:space="0" w:color="000000"/>
              <w:bottom w:val="single" w:sz="4" w:space="0" w:color="000000"/>
            </w:tcBorders>
          </w:tcPr>
          <w:p w14:paraId="79FB8DCF" w14:textId="20A9C641" w:rsidR="00B628FF" w:rsidRDefault="005B2D2F">
            <w:pPr>
              <w:pStyle w:val="MeasureTableYearHeadings"/>
              <w:keepNext/>
            </w:pPr>
            <w:r>
              <w:t>2026</w:t>
            </w:r>
            <w:r w:rsidR="00B31B37">
              <w:noBreakHyphen/>
            </w:r>
            <w:r>
              <w:t>27</w:t>
            </w:r>
          </w:p>
        </w:tc>
        <w:tc>
          <w:tcPr>
            <w:tcW w:w="1043" w:type="dxa"/>
            <w:tcBorders>
              <w:top w:val="single" w:sz="4" w:space="0" w:color="000000"/>
              <w:bottom w:val="single" w:sz="4" w:space="0" w:color="000000"/>
            </w:tcBorders>
          </w:tcPr>
          <w:p w14:paraId="427C4419" w14:textId="7DD982A0" w:rsidR="00B628FF" w:rsidRDefault="005B2D2F">
            <w:pPr>
              <w:pStyle w:val="MeasureTableYearHeadings"/>
              <w:keepNext/>
            </w:pPr>
            <w:r>
              <w:t>2027</w:t>
            </w:r>
            <w:r w:rsidR="00B31B37">
              <w:noBreakHyphen/>
            </w:r>
            <w:r>
              <w:t>28</w:t>
            </w:r>
          </w:p>
        </w:tc>
        <w:tc>
          <w:tcPr>
            <w:tcW w:w="1043" w:type="dxa"/>
            <w:tcBorders>
              <w:top w:val="single" w:sz="4" w:space="0" w:color="000000"/>
              <w:bottom w:val="single" w:sz="4" w:space="0" w:color="000000"/>
            </w:tcBorders>
          </w:tcPr>
          <w:p w14:paraId="344D3D56" w14:textId="5953B604" w:rsidR="00B628FF" w:rsidRDefault="005B2D2F">
            <w:pPr>
              <w:pStyle w:val="MeasureTableYearHeadings"/>
              <w:keepNext/>
            </w:pPr>
            <w:r>
              <w:t>2028</w:t>
            </w:r>
            <w:r w:rsidR="00B31B37">
              <w:noBreakHyphen/>
            </w:r>
            <w:r>
              <w:t>29</w:t>
            </w:r>
          </w:p>
        </w:tc>
      </w:tr>
      <w:tr w:rsidR="00B628FF" w14:paraId="12236EC6" w14:textId="77777777">
        <w:trPr>
          <w:cantSplit/>
        </w:trPr>
        <w:tc>
          <w:tcPr>
            <w:tcW w:w="2500" w:type="dxa"/>
            <w:tcBorders>
              <w:top w:val="single" w:sz="4" w:space="0" w:color="000000"/>
              <w:bottom w:val="single" w:sz="4" w:space="0" w:color="000000"/>
            </w:tcBorders>
          </w:tcPr>
          <w:p w14:paraId="5F2E24E9" w14:textId="77777777" w:rsidR="00B628FF" w:rsidRDefault="005B2D2F">
            <w:pPr>
              <w:pStyle w:val="MeasureTableHeadingleftalignedwith2ptsspacing"/>
              <w:keepNext/>
            </w:pPr>
            <w:r>
              <w:t>Department of Infrastructure, Transport, Regional Development, Communications and the Arts</w:t>
            </w:r>
          </w:p>
        </w:tc>
        <w:tc>
          <w:tcPr>
            <w:tcW w:w="1043" w:type="dxa"/>
            <w:tcBorders>
              <w:top w:val="single" w:sz="4" w:space="0" w:color="000000"/>
              <w:bottom w:val="single" w:sz="4" w:space="0" w:color="000000"/>
            </w:tcBorders>
          </w:tcPr>
          <w:p w14:paraId="084AF20A" w14:textId="2C212E02"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3E34129E" w14:textId="77777777" w:rsidR="00B628FF" w:rsidRDefault="005B2D2F">
            <w:pPr>
              <w:pStyle w:val="MeasureTableDataRightAlignedwith2ptsspacing"/>
              <w:keepNext/>
            </w:pPr>
            <w:r>
              <w:t>2.0</w:t>
            </w:r>
          </w:p>
        </w:tc>
        <w:tc>
          <w:tcPr>
            <w:tcW w:w="1043" w:type="dxa"/>
            <w:tcBorders>
              <w:top w:val="single" w:sz="4" w:space="0" w:color="000000"/>
              <w:bottom w:val="single" w:sz="4" w:space="0" w:color="000000"/>
            </w:tcBorders>
          </w:tcPr>
          <w:p w14:paraId="6EBB1EF2" w14:textId="58BBC1EB"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1B9F2B2B" w14:textId="659CA36D"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4447D0D6" w14:textId="55774C2A" w:rsidR="00B628FF" w:rsidRDefault="00B31B37">
            <w:pPr>
              <w:pStyle w:val="MeasureTableDataRightAlignedwith2ptsspacing"/>
              <w:keepNext/>
            </w:pPr>
            <w:r>
              <w:noBreakHyphen/>
            </w:r>
          </w:p>
        </w:tc>
      </w:tr>
    </w:tbl>
    <w:p w14:paraId="745D4AEA" w14:textId="77777777" w:rsidR="00B628FF" w:rsidRDefault="00B628FF">
      <w:pPr>
        <w:keepNext/>
        <w:spacing w:line="226" w:lineRule="exact"/>
        <w:rPr>
          <w:sz w:val="16"/>
        </w:rPr>
      </w:pPr>
    </w:p>
    <w:p w14:paraId="3A0FDA8F" w14:textId="77777777" w:rsidR="00B628FF" w:rsidRDefault="005B2D2F">
      <w:pPr>
        <w:pStyle w:val="Normal2"/>
      </w:pPr>
      <w:r w:rsidRPr="5FA307DC">
        <w:rPr>
          <w:lang w:val="en-US"/>
        </w:rPr>
        <w:t>The Government will provide $2.0 million in 2025–‍26 for the Regional Australia Institute to continue research, policy and educational activities.</w:t>
      </w:r>
    </w:p>
    <w:p w14:paraId="0D407AFE" w14:textId="1D9FDF6C" w:rsidR="00B628FF" w:rsidRDefault="005B2D2F">
      <w:pPr>
        <w:pStyle w:val="Normal2"/>
      </w:pPr>
      <w:r>
        <w:t>This measure builds on the 2022–‍23 </w:t>
      </w:r>
      <w:r w:rsidR="00C443D0">
        <w:t xml:space="preserve">October </w:t>
      </w:r>
      <w:r>
        <w:t xml:space="preserve">Budget measure titled </w:t>
      </w:r>
      <w:r w:rsidRPr="005B2D2F">
        <w:rPr>
          <w:i/>
        </w:rPr>
        <w:t>Responsible Investment to Grow Our Regions</w:t>
      </w:r>
      <w:r>
        <w:t>.</w:t>
      </w:r>
    </w:p>
    <w:p w14:paraId="7DBB09FB" w14:textId="77777777" w:rsidR="00B628FF" w:rsidRDefault="005B2D2F">
      <w:pPr>
        <w:pStyle w:val="MeasureTitle"/>
      </w:pPr>
      <w:r>
        <w:t>Extend the School Student Broadband Initiative until 2028</w:t>
      </w:r>
    </w:p>
    <w:p w14:paraId="0B7AECBB" w14:textId="77777777" w:rsidR="00B628FF" w:rsidRDefault="005B2D2F">
      <w:pPr>
        <w:pStyle w:val="MeasureTableHeading"/>
      </w:pPr>
      <w:r>
        <w:t>Payments ($m)</w:t>
      </w:r>
    </w:p>
    <w:tbl>
      <w:tblPr>
        <w:tblOverlap w:val="never"/>
        <w:tblW w:w="7721" w:type="dxa"/>
        <w:tblBorders>
          <w:top w:val="single" w:sz="4" w:space="0" w:color="000000"/>
          <w:bottom w:val="single" w:sz="4" w:space="0" w:color="000000"/>
        </w:tblBorders>
        <w:tblLayout w:type="fixed"/>
        <w:tblLook w:val="04A0" w:firstRow="1" w:lastRow="0" w:firstColumn="1" w:lastColumn="0" w:noHBand="0" w:noVBand="1"/>
      </w:tblPr>
      <w:tblGrid>
        <w:gridCol w:w="2501"/>
        <w:gridCol w:w="1044"/>
        <w:gridCol w:w="1044"/>
        <w:gridCol w:w="1044"/>
        <w:gridCol w:w="1044"/>
        <w:gridCol w:w="1044"/>
      </w:tblGrid>
      <w:tr w:rsidR="00B628FF" w14:paraId="36A11049" w14:textId="77777777">
        <w:trPr>
          <w:cantSplit/>
        </w:trPr>
        <w:tc>
          <w:tcPr>
            <w:tcW w:w="2500" w:type="dxa"/>
            <w:tcBorders>
              <w:top w:val="single" w:sz="4" w:space="0" w:color="000000"/>
              <w:bottom w:val="single" w:sz="4" w:space="0" w:color="000000"/>
            </w:tcBorders>
          </w:tcPr>
          <w:p w14:paraId="05D86FDE" w14:textId="77777777" w:rsidR="00B628FF" w:rsidRDefault="00B628FF">
            <w:pPr>
              <w:pStyle w:val="MeasureTableYearHeadings"/>
              <w:keepNext/>
            </w:pPr>
          </w:p>
        </w:tc>
        <w:tc>
          <w:tcPr>
            <w:tcW w:w="1043" w:type="dxa"/>
            <w:tcBorders>
              <w:top w:val="single" w:sz="4" w:space="0" w:color="000000"/>
              <w:bottom w:val="single" w:sz="4" w:space="0" w:color="000000"/>
            </w:tcBorders>
          </w:tcPr>
          <w:p w14:paraId="5B485863" w14:textId="2D9107FE" w:rsidR="00B628FF" w:rsidRDefault="005B2D2F">
            <w:pPr>
              <w:pStyle w:val="MeasureTableYearHeadings"/>
              <w:keepNext/>
            </w:pPr>
            <w:r>
              <w:t>2024</w:t>
            </w:r>
            <w:r w:rsidR="00B31B37">
              <w:noBreakHyphen/>
            </w:r>
            <w:r>
              <w:t>25</w:t>
            </w:r>
          </w:p>
        </w:tc>
        <w:tc>
          <w:tcPr>
            <w:tcW w:w="1043" w:type="dxa"/>
            <w:tcBorders>
              <w:top w:val="single" w:sz="4" w:space="0" w:color="000000"/>
              <w:bottom w:val="single" w:sz="4" w:space="0" w:color="000000"/>
            </w:tcBorders>
          </w:tcPr>
          <w:p w14:paraId="0173A569" w14:textId="1B28044C" w:rsidR="00B628FF" w:rsidRDefault="005B2D2F">
            <w:pPr>
              <w:pStyle w:val="MeasureTableYearHeadings"/>
              <w:keepNext/>
            </w:pPr>
            <w:r>
              <w:t>2025</w:t>
            </w:r>
            <w:r w:rsidR="00B31B37">
              <w:noBreakHyphen/>
            </w:r>
            <w:r>
              <w:t>26</w:t>
            </w:r>
          </w:p>
        </w:tc>
        <w:tc>
          <w:tcPr>
            <w:tcW w:w="1043" w:type="dxa"/>
            <w:tcBorders>
              <w:top w:val="single" w:sz="4" w:space="0" w:color="000000"/>
              <w:bottom w:val="single" w:sz="4" w:space="0" w:color="000000"/>
            </w:tcBorders>
          </w:tcPr>
          <w:p w14:paraId="4C9D5FA5" w14:textId="645C65D4" w:rsidR="00B628FF" w:rsidRDefault="005B2D2F">
            <w:pPr>
              <w:pStyle w:val="MeasureTableYearHeadings"/>
              <w:keepNext/>
            </w:pPr>
            <w:r>
              <w:t>2026</w:t>
            </w:r>
            <w:r w:rsidR="00B31B37">
              <w:noBreakHyphen/>
            </w:r>
            <w:r>
              <w:t>27</w:t>
            </w:r>
          </w:p>
        </w:tc>
        <w:tc>
          <w:tcPr>
            <w:tcW w:w="1043" w:type="dxa"/>
            <w:tcBorders>
              <w:top w:val="single" w:sz="4" w:space="0" w:color="000000"/>
              <w:bottom w:val="single" w:sz="4" w:space="0" w:color="000000"/>
            </w:tcBorders>
          </w:tcPr>
          <w:p w14:paraId="4C6B271E" w14:textId="7A7CF900" w:rsidR="00B628FF" w:rsidRDefault="005B2D2F">
            <w:pPr>
              <w:pStyle w:val="MeasureTableYearHeadings"/>
              <w:keepNext/>
            </w:pPr>
            <w:r>
              <w:t>2027</w:t>
            </w:r>
            <w:r w:rsidR="00B31B37">
              <w:noBreakHyphen/>
            </w:r>
            <w:r>
              <w:t>28</w:t>
            </w:r>
          </w:p>
        </w:tc>
        <w:tc>
          <w:tcPr>
            <w:tcW w:w="1043" w:type="dxa"/>
            <w:tcBorders>
              <w:top w:val="single" w:sz="4" w:space="0" w:color="000000"/>
              <w:bottom w:val="single" w:sz="4" w:space="0" w:color="000000"/>
            </w:tcBorders>
          </w:tcPr>
          <w:p w14:paraId="45C87799" w14:textId="1218B0C8" w:rsidR="00B628FF" w:rsidRDefault="005B2D2F">
            <w:pPr>
              <w:pStyle w:val="MeasureTableYearHeadings"/>
              <w:keepNext/>
            </w:pPr>
            <w:r>
              <w:t>2028</w:t>
            </w:r>
            <w:r w:rsidR="00B31B37">
              <w:noBreakHyphen/>
            </w:r>
            <w:r>
              <w:t>29</w:t>
            </w:r>
          </w:p>
        </w:tc>
      </w:tr>
      <w:tr w:rsidR="00B628FF" w14:paraId="453B8AE9" w14:textId="77777777">
        <w:trPr>
          <w:cantSplit/>
        </w:trPr>
        <w:tc>
          <w:tcPr>
            <w:tcW w:w="2500" w:type="dxa"/>
            <w:tcBorders>
              <w:top w:val="single" w:sz="4" w:space="0" w:color="000000"/>
              <w:bottom w:val="single" w:sz="4" w:space="0" w:color="000000"/>
            </w:tcBorders>
          </w:tcPr>
          <w:p w14:paraId="5BFA82FB" w14:textId="77777777" w:rsidR="00B628FF" w:rsidRDefault="005B2D2F">
            <w:pPr>
              <w:pStyle w:val="MeasureTableHeadingleftalignedwith2ptsspacing"/>
              <w:keepNext/>
            </w:pPr>
            <w:r>
              <w:t>Department of Infrastructure, Transport, Regional Development, Communications and the Arts</w:t>
            </w:r>
          </w:p>
        </w:tc>
        <w:tc>
          <w:tcPr>
            <w:tcW w:w="1043" w:type="dxa"/>
            <w:tcBorders>
              <w:top w:val="single" w:sz="4" w:space="0" w:color="000000"/>
              <w:bottom w:val="single" w:sz="4" w:space="0" w:color="000000"/>
            </w:tcBorders>
          </w:tcPr>
          <w:p w14:paraId="347FB572" w14:textId="0ED13180"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22609D39" w14:textId="54E9CF5C"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6F7C6022" w14:textId="24C69E35"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1180DCAF" w14:textId="6BBA1E80"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179EE172" w14:textId="1B5E95DD" w:rsidR="00B628FF" w:rsidRDefault="00B31B37">
            <w:pPr>
              <w:pStyle w:val="MeasureTableDataRightAlignedwith2ptsspacing"/>
              <w:keepNext/>
            </w:pPr>
            <w:r>
              <w:noBreakHyphen/>
            </w:r>
          </w:p>
        </w:tc>
      </w:tr>
    </w:tbl>
    <w:p w14:paraId="58F3B790" w14:textId="77777777" w:rsidR="00B628FF" w:rsidRDefault="005B2D2F" w:rsidP="00CB189A">
      <w:pPr>
        <w:pStyle w:val="Normal2"/>
        <w:spacing w:before="240"/>
      </w:pPr>
      <w:r>
        <w:t>The Government will provide $5.3 million over four years from 2024–‍25 to continue the delivery of free broadband for up to 30,000 unconnected families with school aged students under the School Student Broadband Initiative to 30 June 2028. More than a third of the families connected under the scheme to date have been in rural and regional Australia.</w:t>
      </w:r>
    </w:p>
    <w:p w14:paraId="18D5F6A4" w14:textId="3C3F08CE" w:rsidR="00B628FF" w:rsidRDefault="005B2D2F">
      <w:pPr>
        <w:pStyle w:val="Normal2"/>
      </w:pPr>
      <w:r>
        <w:t xml:space="preserve">The cost of this measure will be met by reallocating funding from within the 2022–‍23 October Budget measure titled </w:t>
      </w:r>
      <w:r w:rsidRPr="005B2D2F">
        <w:rPr>
          <w:i/>
        </w:rPr>
        <w:t>Better Connectivity Plan for Regional and Rural</w:t>
      </w:r>
      <w:r w:rsidR="00EB0FE6">
        <w:rPr>
          <w:i/>
        </w:rPr>
        <w:t> </w:t>
      </w:r>
      <w:r w:rsidRPr="005B2D2F">
        <w:rPr>
          <w:i/>
        </w:rPr>
        <w:t>Australia</w:t>
      </w:r>
      <w:r>
        <w:t>.</w:t>
      </w:r>
    </w:p>
    <w:p w14:paraId="6363B78F" w14:textId="77777777" w:rsidR="00B628FF" w:rsidRDefault="005B2D2F">
      <w:pPr>
        <w:pStyle w:val="Normal2"/>
      </w:pPr>
      <w:r w:rsidRPr="5FA307DC">
        <w:rPr>
          <w:lang w:val="en-US"/>
        </w:rPr>
        <w:t xml:space="preserve">This measure extends the 2023–‍24 MYEFO measure titled </w:t>
      </w:r>
      <w:r w:rsidRPr="5FA307DC">
        <w:rPr>
          <w:i/>
          <w:iCs/>
          <w:lang w:val="en-US"/>
        </w:rPr>
        <w:t>Supporting Connectivity, Media and Communications.</w:t>
      </w:r>
    </w:p>
    <w:p w14:paraId="0385DBD1" w14:textId="77777777" w:rsidR="00B628FF" w:rsidRDefault="005B2D2F">
      <w:pPr>
        <w:pStyle w:val="MeasureTitle"/>
      </w:pPr>
      <w:r>
        <w:t>Hillcrest Tragedy Memorial</w:t>
      </w:r>
    </w:p>
    <w:p w14:paraId="414EA5DC" w14:textId="77777777" w:rsidR="00B628FF" w:rsidRDefault="005B2D2F">
      <w:pPr>
        <w:pStyle w:val="MeasureTableHeading"/>
      </w:pPr>
      <w:r>
        <w:t>Payments ($m)</w:t>
      </w:r>
    </w:p>
    <w:tbl>
      <w:tblPr>
        <w:tblOverlap w:val="never"/>
        <w:tblW w:w="7721" w:type="dxa"/>
        <w:tblBorders>
          <w:top w:val="single" w:sz="4" w:space="0" w:color="000000"/>
          <w:bottom w:val="single" w:sz="4" w:space="0" w:color="000000"/>
        </w:tblBorders>
        <w:tblLayout w:type="fixed"/>
        <w:tblLook w:val="04A0" w:firstRow="1" w:lastRow="0" w:firstColumn="1" w:lastColumn="0" w:noHBand="0" w:noVBand="1"/>
      </w:tblPr>
      <w:tblGrid>
        <w:gridCol w:w="2501"/>
        <w:gridCol w:w="1044"/>
        <w:gridCol w:w="1044"/>
        <w:gridCol w:w="1044"/>
        <w:gridCol w:w="1044"/>
        <w:gridCol w:w="1044"/>
      </w:tblGrid>
      <w:tr w:rsidR="00B628FF" w14:paraId="718E7509" w14:textId="77777777">
        <w:trPr>
          <w:cantSplit/>
        </w:trPr>
        <w:tc>
          <w:tcPr>
            <w:tcW w:w="2500" w:type="dxa"/>
            <w:tcBorders>
              <w:top w:val="single" w:sz="4" w:space="0" w:color="000000"/>
              <w:bottom w:val="single" w:sz="4" w:space="0" w:color="000000"/>
            </w:tcBorders>
          </w:tcPr>
          <w:p w14:paraId="013DC6F6" w14:textId="77777777" w:rsidR="00B628FF" w:rsidRDefault="00B628FF">
            <w:pPr>
              <w:pStyle w:val="MeasureTableYearHeadings"/>
              <w:keepNext/>
            </w:pPr>
          </w:p>
        </w:tc>
        <w:tc>
          <w:tcPr>
            <w:tcW w:w="1043" w:type="dxa"/>
            <w:tcBorders>
              <w:top w:val="single" w:sz="4" w:space="0" w:color="000000"/>
              <w:bottom w:val="single" w:sz="4" w:space="0" w:color="000000"/>
            </w:tcBorders>
          </w:tcPr>
          <w:p w14:paraId="3A067D45" w14:textId="48716276" w:rsidR="00B628FF" w:rsidRDefault="005B2D2F">
            <w:pPr>
              <w:pStyle w:val="MeasureTableYearHeadings"/>
              <w:keepNext/>
            </w:pPr>
            <w:r>
              <w:t>2024</w:t>
            </w:r>
            <w:r w:rsidR="00B31B37">
              <w:noBreakHyphen/>
            </w:r>
            <w:r>
              <w:t>25</w:t>
            </w:r>
          </w:p>
        </w:tc>
        <w:tc>
          <w:tcPr>
            <w:tcW w:w="1043" w:type="dxa"/>
            <w:tcBorders>
              <w:top w:val="single" w:sz="4" w:space="0" w:color="000000"/>
              <w:bottom w:val="single" w:sz="4" w:space="0" w:color="000000"/>
            </w:tcBorders>
          </w:tcPr>
          <w:p w14:paraId="260098DC" w14:textId="34338FE1" w:rsidR="00B628FF" w:rsidRDefault="005B2D2F">
            <w:pPr>
              <w:pStyle w:val="MeasureTableYearHeadings"/>
              <w:keepNext/>
            </w:pPr>
            <w:r>
              <w:t>2025</w:t>
            </w:r>
            <w:r w:rsidR="00B31B37">
              <w:noBreakHyphen/>
            </w:r>
            <w:r>
              <w:t>26</w:t>
            </w:r>
          </w:p>
        </w:tc>
        <w:tc>
          <w:tcPr>
            <w:tcW w:w="1043" w:type="dxa"/>
            <w:tcBorders>
              <w:top w:val="single" w:sz="4" w:space="0" w:color="000000"/>
              <w:bottom w:val="single" w:sz="4" w:space="0" w:color="000000"/>
            </w:tcBorders>
          </w:tcPr>
          <w:p w14:paraId="7FF4F839" w14:textId="23400C54" w:rsidR="00B628FF" w:rsidRDefault="005B2D2F">
            <w:pPr>
              <w:pStyle w:val="MeasureTableYearHeadings"/>
              <w:keepNext/>
            </w:pPr>
            <w:r>
              <w:t>2026</w:t>
            </w:r>
            <w:r w:rsidR="00B31B37">
              <w:noBreakHyphen/>
            </w:r>
            <w:r>
              <w:t>27</w:t>
            </w:r>
          </w:p>
        </w:tc>
        <w:tc>
          <w:tcPr>
            <w:tcW w:w="1043" w:type="dxa"/>
            <w:tcBorders>
              <w:top w:val="single" w:sz="4" w:space="0" w:color="000000"/>
              <w:bottom w:val="single" w:sz="4" w:space="0" w:color="000000"/>
            </w:tcBorders>
          </w:tcPr>
          <w:p w14:paraId="73E3ADC5" w14:textId="1ED3ADA5" w:rsidR="00B628FF" w:rsidRDefault="005B2D2F">
            <w:pPr>
              <w:pStyle w:val="MeasureTableYearHeadings"/>
              <w:keepNext/>
            </w:pPr>
            <w:r>
              <w:t>2027</w:t>
            </w:r>
            <w:r w:rsidR="00B31B37">
              <w:noBreakHyphen/>
            </w:r>
            <w:r>
              <w:t>28</w:t>
            </w:r>
          </w:p>
        </w:tc>
        <w:tc>
          <w:tcPr>
            <w:tcW w:w="1043" w:type="dxa"/>
            <w:tcBorders>
              <w:top w:val="single" w:sz="4" w:space="0" w:color="000000"/>
              <w:bottom w:val="single" w:sz="4" w:space="0" w:color="000000"/>
            </w:tcBorders>
          </w:tcPr>
          <w:p w14:paraId="008E6391" w14:textId="172DA1BF" w:rsidR="00B628FF" w:rsidRDefault="005B2D2F">
            <w:pPr>
              <w:pStyle w:val="MeasureTableYearHeadings"/>
              <w:keepNext/>
            </w:pPr>
            <w:r>
              <w:t>2028</w:t>
            </w:r>
            <w:r w:rsidR="00B31B37">
              <w:noBreakHyphen/>
            </w:r>
            <w:r>
              <w:t>29</w:t>
            </w:r>
          </w:p>
        </w:tc>
      </w:tr>
      <w:tr w:rsidR="00B628FF" w14:paraId="163A41F8" w14:textId="77777777">
        <w:trPr>
          <w:cantSplit/>
        </w:trPr>
        <w:tc>
          <w:tcPr>
            <w:tcW w:w="2500" w:type="dxa"/>
            <w:tcBorders>
              <w:top w:val="single" w:sz="4" w:space="0" w:color="000000"/>
              <w:bottom w:val="single" w:sz="4" w:space="0" w:color="000000"/>
            </w:tcBorders>
          </w:tcPr>
          <w:p w14:paraId="012CBF6E" w14:textId="77777777" w:rsidR="00B628FF" w:rsidRDefault="005B2D2F">
            <w:pPr>
              <w:pStyle w:val="MeasureTableHeadingleftalignedwith2ptsspacing"/>
              <w:keepNext/>
            </w:pPr>
            <w:r>
              <w:t>Department of the Treasury</w:t>
            </w:r>
          </w:p>
        </w:tc>
        <w:tc>
          <w:tcPr>
            <w:tcW w:w="1043" w:type="dxa"/>
            <w:tcBorders>
              <w:top w:val="single" w:sz="4" w:space="0" w:color="000000"/>
              <w:bottom w:val="single" w:sz="4" w:space="0" w:color="000000"/>
            </w:tcBorders>
          </w:tcPr>
          <w:p w14:paraId="2CB87FDB" w14:textId="216E3086"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3D0DC46F" w14:textId="77777777" w:rsidR="00B628FF" w:rsidRDefault="005B2D2F">
            <w:pPr>
              <w:pStyle w:val="MeasureTableDataRightAlignedwith2ptsspacing"/>
              <w:keepNext/>
            </w:pPr>
            <w:r>
              <w:t>0.9</w:t>
            </w:r>
          </w:p>
        </w:tc>
        <w:tc>
          <w:tcPr>
            <w:tcW w:w="1043" w:type="dxa"/>
            <w:tcBorders>
              <w:top w:val="single" w:sz="4" w:space="0" w:color="000000"/>
              <w:bottom w:val="single" w:sz="4" w:space="0" w:color="000000"/>
            </w:tcBorders>
          </w:tcPr>
          <w:p w14:paraId="5435AD6D" w14:textId="3D2921FF"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2A4B21B0" w14:textId="11BC9E1E"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1F5836C7" w14:textId="0ED1DD8C" w:rsidR="00B628FF" w:rsidRDefault="00B31B37">
            <w:pPr>
              <w:pStyle w:val="MeasureTableDataRightAlignedwith2ptsspacing"/>
              <w:keepNext/>
            </w:pPr>
            <w:r>
              <w:noBreakHyphen/>
            </w:r>
          </w:p>
        </w:tc>
      </w:tr>
      <w:tr w:rsidR="00B628FF" w14:paraId="36EEFF86" w14:textId="77777777">
        <w:trPr>
          <w:cantSplit/>
        </w:trPr>
        <w:tc>
          <w:tcPr>
            <w:tcW w:w="2500" w:type="dxa"/>
            <w:tcBorders>
              <w:top w:val="single" w:sz="4" w:space="0" w:color="000000"/>
              <w:bottom w:val="single" w:sz="4" w:space="0" w:color="000000"/>
            </w:tcBorders>
          </w:tcPr>
          <w:p w14:paraId="54017A1E" w14:textId="77777777" w:rsidR="00B628FF" w:rsidRDefault="005B2D2F">
            <w:pPr>
              <w:pStyle w:val="MeasureTableHeadingleftalignedwith2ptsspacing"/>
              <w:keepNext/>
            </w:pPr>
            <w:r>
              <w:t>Department of Infrastructure, Transport, Regional Development, Communications and the Arts</w:t>
            </w:r>
          </w:p>
        </w:tc>
        <w:tc>
          <w:tcPr>
            <w:tcW w:w="1043" w:type="dxa"/>
            <w:tcBorders>
              <w:top w:val="single" w:sz="4" w:space="0" w:color="000000"/>
              <w:bottom w:val="single" w:sz="4" w:space="0" w:color="000000"/>
            </w:tcBorders>
          </w:tcPr>
          <w:p w14:paraId="57B6C57C" w14:textId="6F218CFE"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19C3182A" w14:textId="0AA7D71B"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6C82CF3C" w14:textId="1D37F220"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715511AD" w14:textId="57698A45"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679414CE" w14:textId="676CD516" w:rsidR="00B628FF" w:rsidRDefault="00B31B37">
            <w:pPr>
              <w:pStyle w:val="MeasureTableDataRightAlignedwith2ptsspacing"/>
              <w:keepNext/>
            </w:pPr>
            <w:r>
              <w:noBreakHyphen/>
            </w:r>
          </w:p>
        </w:tc>
      </w:tr>
      <w:tr w:rsidR="00B628FF" w14:paraId="399E5F91" w14:textId="77777777">
        <w:trPr>
          <w:cantSplit/>
        </w:trPr>
        <w:tc>
          <w:tcPr>
            <w:tcW w:w="2500" w:type="dxa"/>
            <w:tcBorders>
              <w:top w:val="single" w:sz="4" w:space="0" w:color="000000"/>
              <w:bottom w:val="single" w:sz="4" w:space="0" w:color="000000"/>
            </w:tcBorders>
          </w:tcPr>
          <w:p w14:paraId="09CD859C" w14:textId="77777777" w:rsidR="00B628FF" w:rsidRDefault="005B2D2F">
            <w:pPr>
              <w:pStyle w:val="Totalrowleftaligned"/>
              <w:keepNext/>
            </w:pPr>
            <w:r>
              <w:t>Total – Payments</w:t>
            </w:r>
          </w:p>
        </w:tc>
        <w:tc>
          <w:tcPr>
            <w:tcW w:w="1043" w:type="dxa"/>
            <w:tcBorders>
              <w:top w:val="single" w:sz="4" w:space="0" w:color="000000"/>
              <w:bottom w:val="single" w:sz="4" w:space="0" w:color="000000"/>
            </w:tcBorders>
          </w:tcPr>
          <w:p w14:paraId="2C8B618D" w14:textId="53C86B2A" w:rsidR="00B628FF" w:rsidRDefault="00B31B37">
            <w:pPr>
              <w:pStyle w:val="Totaldatarowrightaligned"/>
              <w:keepNext/>
            </w:pPr>
            <w:r>
              <w:noBreakHyphen/>
            </w:r>
          </w:p>
        </w:tc>
        <w:tc>
          <w:tcPr>
            <w:tcW w:w="1043" w:type="dxa"/>
            <w:tcBorders>
              <w:top w:val="single" w:sz="4" w:space="0" w:color="000000"/>
              <w:bottom w:val="single" w:sz="4" w:space="0" w:color="000000"/>
            </w:tcBorders>
          </w:tcPr>
          <w:p w14:paraId="7A2A3AAE" w14:textId="77777777" w:rsidR="00B628FF" w:rsidRDefault="005B2D2F">
            <w:pPr>
              <w:pStyle w:val="Totaldatarowrightaligned"/>
              <w:keepNext/>
            </w:pPr>
            <w:r>
              <w:t>0.9</w:t>
            </w:r>
          </w:p>
        </w:tc>
        <w:tc>
          <w:tcPr>
            <w:tcW w:w="1043" w:type="dxa"/>
            <w:tcBorders>
              <w:top w:val="single" w:sz="4" w:space="0" w:color="000000"/>
              <w:bottom w:val="single" w:sz="4" w:space="0" w:color="000000"/>
            </w:tcBorders>
          </w:tcPr>
          <w:p w14:paraId="411A2AF5" w14:textId="5C6B09ED" w:rsidR="00B628FF" w:rsidRDefault="00B31B37">
            <w:pPr>
              <w:pStyle w:val="Totaldatarowrightaligned"/>
              <w:keepNext/>
            </w:pPr>
            <w:r>
              <w:noBreakHyphen/>
            </w:r>
          </w:p>
        </w:tc>
        <w:tc>
          <w:tcPr>
            <w:tcW w:w="1043" w:type="dxa"/>
            <w:tcBorders>
              <w:top w:val="single" w:sz="4" w:space="0" w:color="000000"/>
              <w:bottom w:val="single" w:sz="4" w:space="0" w:color="000000"/>
            </w:tcBorders>
          </w:tcPr>
          <w:p w14:paraId="23EEDBB0" w14:textId="77E34FFA" w:rsidR="00B628FF" w:rsidRDefault="00B31B37">
            <w:pPr>
              <w:pStyle w:val="Totaldatarowrightaligned"/>
              <w:keepNext/>
            </w:pPr>
            <w:r>
              <w:noBreakHyphen/>
            </w:r>
          </w:p>
        </w:tc>
        <w:tc>
          <w:tcPr>
            <w:tcW w:w="1043" w:type="dxa"/>
            <w:tcBorders>
              <w:top w:val="single" w:sz="4" w:space="0" w:color="000000"/>
              <w:bottom w:val="single" w:sz="4" w:space="0" w:color="000000"/>
            </w:tcBorders>
          </w:tcPr>
          <w:p w14:paraId="1D6EAAE2" w14:textId="59D9A7F7" w:rsidR="00B628FF" w:rsidRDefault="00B31B37">
            <w:pPr>
              <w:pStyle w:val="Totaldatarowrightaligned"/>
              <w:keepNext/>
            </w:pPr>
            <w:r>
              <w:noBreakHyphen/>
            </w:r>
          </w:p>
        </w:tc>
      </w:tr>
    </w:tbl>
    <w:p w14:paraId="22469E96" w14:textId="77777777" w:rsidR="00B628FF" w:rsidRDefault="005B2D2F" w:rsidP="00CB189A">
      <w:pPr>
        <w:pStyle w:val="Normal2"/>
        <w:spacing w:before="240"/>
      </w:pPr>
      <w:r>
        <w:t>The Government will provide $0.9 million in 2025–‍26 towards the Hillcrest Tragedy Memorial in Tasmania.</w:t>
      </w:r>
    </w:p>
    <w:p w14:paraId="0A3E9DF0" w14:textId="77777777" w:rsidR="00B628FF" w:rsidRDefault="005B2D2F">
      <w:pPr>
        <w:pStyle w:val="Normal2"/>
      </w:pPr>
      <w:r>
        <w:t>The Treasury manages Commonwealth payments to the states and territories.</w:t>
      </w:r>
    </w:p>
    <w:p w14:paraId="1F3DB191" w14:textId="77777777" w:rsidR="00B628FF" w:rsidRDefault="005B2D2F">
      <w:pPr>
        <w:pStyle w:val="MeasureTitle"/>
      </w:pPr>
      <w:r>
        <w:t>Revive – National Cultural Policy</w:t>
      </w:r>
    </w:p>
    <w:p w14:paraId="1CD1D60E" w14:textId="77777777" w:rsidR="00B628FF" w:rsidRDefault="005B2D2F">
      <w:pPr>
        <w:pStyle w:val="MeasureTableHeading"/>
      </w:pPr>
      <w:r>
        <w:t>Payments ($m)</w:t>
      </w:r>
    </w:p>
    <w:tbl>
      <w:tblPr>
        <w:tblOverlap w:val="never"/>
        <w:tblW w:w="7721" w:type="dxa"/>
        <w:tblBorders>
          <w:top w:val="single" w:sz="4" w:space="0" w:color="000000"/>
          <w:bottom w:val="single" w:sz="4" w:space="0" w:color="000000"/>
        </w:tblBorders>
        <w:tblLayout w:type="fixed"/>
        <w:tblLook w:val="04A0" w:firstRow="1" w:lastRow="0" w:firstColumn="1" w:lastColumn="0" w:noHBand="0" w:noVBand="1"/>
      </w:tblPr>
      <w:tblGrid>
        <w:gridCol w:w="2501"/>
        <w:gridCol w:w="1044"/>
        <w:gridCol w:w="1044"/>
        <w:gridCol w:w="1044"/>
        <w:gridCol w:w="1044"/>
        <w:gridCol w:w="1044"/>
      </w:tblGrid>
      <w:tr w:rsidR="00B628FF" w14:paraId="61F0C3A6" w14:textId="77777777">
        <w:trPr>
          <w:cantSplit/>
        </w:trPr>
        <w:tc>
          <w:tcPr>
            <w:tcW w:w="2500" w:type="dxa"/>
            <w:tcBorders>
              <w:top w:val="single" w:sz="4" w:space="0" w:color="000000"/>
              <w:bottom w:val="single" w:sz="4" w:space="0" w:color="000000"/>
            </w:tcBorders>
          </w:tcPr>
          <w:p w14:paraId="390D8A6A" w14:textId="77777777" w:rsidR="00B628FF" w:rsidRDefault="00B628FF">
            <w:pPr>
              <w:pStyle w:val="MeasureTableYearHeadings"/>
              <w:keepNext/>
            </w:pPr>
          </w:p>
        </w:tc>
        <w:tc>
          <w:tcPr>
            <w:tcW w:w="1043" w:type="dxa"/>
            <w:tcBorders>
              <w:top w:val="single" w:sz="4" w:space="0" w:color="000000"/>
              <w:bottom w:val="single" w:sz="4" w:space="0" w:color="000000"/>
            </w:tcBorders>
          </w:tcPr>
          <w:p w14:paraId="5783C83E" w14:textId="3A9B9F6C" w:rsidR="00B628FF" w:rsidRDefault="005B2D2F">
            <w:pPr>
              <w:pStyle w:val="MeasureTableYearHeadings"/>
              <w:keepNext/>
            </w:pPr>
            <w:r>
              <w:t>2024</w:t>
            </w:r>
            <w:r w:rsidR="00B31B37">
              <w:noBreakHyphen/>
            </w:r>
            <w:r>
              <w:t>25</w:t>
            </w:r>
          </w:p>
        </w:tc>
        <w:tc>
          <w:tcPr>
            <w:tcW w:w="1043" w:type="dxa"/>
            <w:tcBorders>
              <w:top w:val="single" w:sz="4" w:space="0" w:color="000000"/>
              <w:bottom w:val="single" w:sz="4" w:space="0" w:color="000000"/>
            </w:tcBorders>
          </w:tcPr>
          <w:p w14:paraId="75A5D427" w14:textId="4F5F113C" w:rsidR="00B628FF" w:rsidRDefault="005B2D2F">
            <w:pPr>
              <w:pStyle w:val="MeasureTableYearHeadings"/>
              <w:keepNext/>
            </w:pPr>
            <w:r>
              <w:t>2025</w:t>
            </w:r>
            <w:r w:rsidR="00B31B37">
              <w:noBreakHyphen/>
            </w:r>
            <w:r>
              <w:t>26</w:t>
            </w:r>
          </w:p>
        </w:tc>
        <w:tc>
          <w:tcPr>
            <w:tcW w:w="1043" w:type="dxa"/>
            <w:tcBorders>
              <w:top w:val="single" w:sz="4" w:space="0" w:color="000000"/>
              <w:bottom w:val="single" w:sz="4" w:space="0" w:color="000000"/>
            </w:tcBorders>
          </w:tcPr>
          <w:p w14:paraId="75C8D001" w14:textId="61B6A14C" w:rsidR="00B628FF" w:rsidRDefault="005B2D2F">
            <w:pPr>
              <w:pStyle w:val="MeasureTableYearHeadings"/>
              <w:keepNext/>
            </w:pPr>
            <w:r>
              <w:t>2026</w:t>
            </w:r>
            <w:r w:rsidR="00B31B37">
              <w:noBreakHyphen/>
            </w:r>
            <w:r>
              <w:t>27</w:t>
            </w:r>
          </w:p>
        </w:tc>
        <w:tc>
          <w:tcPr>
            <w:tcW w:w="1043" w:type="dxa"/>
            <w:tcBorders>
              <w:top w:val="single" w:sz="4" w:space="0" w:color="000000"/>
              <w:bottom w:val="single" w:sz="4" w:space="0" w:color="000000"/>
            </w:tcBorders>
          </w:tcPr>
          <w:p w14:paraId="33E0AFAC" w14:textId="3A69465C" w:rsidR="00B628FF" w:rsidRDefault="005B2D2F">
            <w:pPr>
              <w:pStyle w:val="MeasureTableYearHeadings"/>
              <w:keepNext/>
            </w:pPr>
            <w:r>
              <w:t>2027</w:t>
            </w:r>
            <w:r w:rsidR="00B31B37">
              <w:noBreakHyphen/>
            </w:r>
            <w:r>
              <w:t>28</w:t>
            </w:r>
          </w:p>
        </w:tc>
        <w:tc>
          <w:tcPr>
            <w:tcW w:w="1043" w:type="dxa"/>
            <w:tcBorders>
              <w:top w:val="single" w:sz="4" w:space="0" w:color="000000"/>
              <w:bottom w:val="single" w:sz="4" w:space="0" w:color="000000"/>
            </w:tcBorders>
          </w:tcPr>
          <w:p w14:paraId="4DC03652" w14:textId="38267F2F" w:rsidR="00B628FF" w:rsidRDefault="005B2D2F">
            <w:pPr>
              <w:pStyle w:val="MeasureTableYearHeadings"/>
              <w:keepNext/>
            </w:pPr>
            <w:r>
              <w:t>2028</w:t>
            </w:r>
            <w:r w:rsidR="00B31B37">
              <w:noBreakHyphen/>
            </w:r>
            <w:r>
              <w:t>29</w:t>
            </w:r>
          </w:p>
        </w:tc>
      </w:tr>
      <w:tr w:rsidR="00B628FF" w14:paraId="3297FB8A" w14:textId="77777777">
        <w:trPr>
          <w:cantSplit/>
        </w:trPr>
        <w:tc>
          <w:tcPr>
            <w:tcW w:w="2500" w:type="dxa"/>
            <w:tcBorders>
              <w:top w:val="single" w:sz="4" w:space="0" w:color="000000"/>
              <w:bottom w:val="single" w:sz="4" w:space="0" w:color="000000"/>
            </w:tcBorders>
          </w:tcPr>
          <w:p w14:paraId="6C8EABAA" w14:textId="77777777" w:rsidR="00B628FF" w:rsidRDefault="005B2D2F">
            <w:pPr>
              <w:pStyle w:val="MeasureTableHeadingleftalignedwith2ptsspacing"/>
              <w:keepNext/>
            </w:pPr>
            <w:r>
              <w:t>Department of Infrastructure, Transport, Regional Development, Communications and the Arts</w:t>
            </w:r>
          </w:p>
        </w:tc>
        <w:tc>
          <w:tcPr>
            <w:tcW w:w="1043" w:type="dxa"/>
            <w:tcBorders>
              <w:top w:val="single" w:sz="4" w:space="0" w:color="000000"/>
              <w:bottom w:val="single" w:sz="4" w:space="0" w:color="000000"/>
            </w:tcBorders>
          </w:tcPr>
          <w:p w14:paraId="385C9C55" w14:textId="27417910"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53E64138" w14:textId="77777777" w:rsidR="00B628FF" w:rsidRDefault="005B2D2F">
            <w:pPr>
              <w:pStyle w:val="MeasureTableDataRightAlignedwith2ptsspacing"/>
              <w:keepNext/>
            </w:pPr>
            <w:r>
              <w:t>8.6</w:t>
            </w:r>
          </w:p>
        </w:tc>
        <w:tc>
          <w:tcPr>
            <w:tcW w:w="1043" w:type="dxa"/>
            <w:tcBorders>
              <w:top w:val="single" w:sz="4" w:space="0" w:color="000000"/>
              <w:bottom w:val="single" w:sz="4" w:space="0" w:color="000000"/>
            </w:tcBorders>
          </w:tcPr>
          <w:p w14:paraId="4360E11A" w14:textId="1F90A154"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76A88187" w14:textId="66BA20DE"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397E0524" w14:textId="4A30985E" w:rsidR="00B628FF" w:rsidRDefault="00B31B37">
            <w:pPr>
              <w:pStyle w:val="MeasureTableDataRightAlignedwith2ptsspacing"/>
              <w:keepNext/>
            </w:pPr>
            <w:r>
              <w:noBreakHyphen/>
            </w:r>
          </w:p>
        </w:tc>
      </w:tr>
    </w:tbl>
    <w:p w14:paraId="1F7E0921" w14:textId="77777777" w:rsidR="00B628FF" w:rsidRDefault="005B2D2F" w:rsidP="00CB189A">
      <w:pPr>
        <w:pStyle w:val="Normal2"/>
        <w:spacing w:before="240"/>
      </w:pPr>
      <w:r w:rsidRPr="5FA307DC">
        <w:rPr>
          <w:lang w:val="en-US"/>
        </w:rPr>
        <w:t xml:space="preserve">The Government will provide $8.6 million in 2025–‍26 to extend the </w:t>
      </w:r>
      <w:r w:rsidRPr="5FA307DC">
        <w:rPr>
          <w:i/>
          <w:iCs/>
          <w:lang w:val="en-US"/>
        </w:rPr>
        <w:t>Revive Live</w:t>
      </w:r>
      <w:r w:rsidRPr="5FA307DC">
        <w:rPr>
          <w:lang w:val="en-US"/>
        </w:rPr>
        <w:t xml:space="preserve"> program to support Australian live music venues and festivals showcasing Australian bands and artists. This funding will have a strong focus on activities that improve accessibility and inclusion at live music performances.</w:t>
      </w:r>
    </w:p>
    <w:p w14:paraId="4130EC0A" w14:textId="77777777" w:rsidR="00B628FF" w:rsidRDefault="005B2D2F">
      <w:pPr>
        <w:pStyle w:val="Normal2"/>
      </w:pPr>
      <w:r>
        <w:t xml:space="preserve">This measure extends the 2024–‍25 Budget measure titled </w:t>
      </w:r>
      <w:r w:rsidRPr="005B2D2F">
        <w:rPr>
          <w:i/>
        </w:rPr>
        <w:t>Revive – National Cultural Policy.</w:t>
      </w:r>
    </w:p>
    <w:p w14:paraId="0CDC0631" w14:textId="77777777" w:rsidR="00B628FF" w:rsidRDefault="005B2D2F">
      <w:pPr>
        <w:pStyle w:val="MeasureTitle"/>
      </w:pPr>
      <w:r>
        <w:t>Supporting Connectivity</w:t>
      </w:r>
    </w:p>
    <w:p w14:paraId="6FE62F02" w14:textId="77777777" w:rsidR="00B628FF" w:rsidRDefault="005B2D2F">
      <w:pPr>
        <w:pStyle w:val="MeasureTableHeading"/>
      </w:pPr>
      <w:r>
        <w:t>Payments ($m)</w:t>
      </w:r>
    </w:p>
    <w:tbl>
      <w:tblPr>
        <w:tblOverlap w:val="never"/>
        <w:tblW w:w="7721" w:type="dxa"/>
        <w:tblBorders>
          <w:top w:val="single" w:sz="4" w:space="0" w:color="000000"/>
          <w:bottom w:val="single" w:sz="4" w:space="0" w:color="000000"/>
        </w:tblBorders>
        <w:tblLayout w:type="fixed"/>
        <w:tblLook w:val="04A0" w:firstRow="1" w:lastRow="0" w:firstColumn="1" w:lastColumn="0" w:noHBand="0" w:noVBand="1"/>
      </w:tblPr>
      <w:tblGrid>
        <w:gridCol w:w="2501"/>
        <w:gridCol w:w="1044"/>
        <w:gridCol w:w="1044"/>
        <w:gridCol w:w="1044"/>
        <w:gridCol w:w="1044"/>
        <w:gridCol w:w="1044"/>
      </w:tblGrid>
      <w:tr w:rsidR="00B628FF" w14:paraId="39A638E9" w14:textId="77777777">
        <w:trPr>
          <w:cantSplit/>
        </w:trPr>
        <w:tc>
          <w:tcPr>
            <w:tcW w:w="2500" w:type="dxa"/>
            <w:tcBorders>
              <w:top w:val="single" w:sz="4" w:space="0" w:color="000000"/>
              <w:bottom w:val="single" w:sz="4" w:space="0" w:color="000000"/>
            </w:tcBorders>
          </w:tcPr>
          <w:p w14:paraId="6CA65C2E" w14:textId="77777777" w:rsidR="00B628FF" w:rsidRDefault="00B628FF">
            <w:pPr>
              <w:pStyle w:val="MeasureTableYearHeadings"/>
              <w:keepNext/>
            </w:pPr>
          </w:p>
        </w:tc>
        <w:tc>
          <w:tcPr>
            <w:tcW w:w="1043" w:type="dxa"/>
            <w:tcBorders>
              <w:top w:val="single" w:sz="4" w:space="0" w:color="000000"/>
              <w:bottom w:val="single" w:sz="4" w:space="0" w:color="000000"/>
            </w:tcBorders>
          </w:tcPr>
          <w:p w14:paraId="452B45AD" w14:textId="7D16D818" w:rsidR="00B628FF" w:rsidRDefault="005B2D2F">
            <w:pPr>
              <w:pStyle w:val="MeasureTableYearHeadings"/>
              <w:keepNext/>
            </w:pPr>
            <w:r>
              <w:t>2024</w:t>
            </w:r>
            <w:r w:rsidR="00B31B37">
              <w:noBreakHyphen/>
            </w:r>
            <w:r>
              <w:t>25</w:t>
            </w:r>
          </w:p>
        </w:tc>
        <w:tc>
          <w:tcPr>
            <w:tcW w:w="1043" w:type="dxa"/>
            <w:tcBorders>
              <w:top w:val="single" w:sz="4" w:space="0" w:color="000000"/>
              <w:bottom w:val="single" w:sz="4" w:space="0" w:color="000000"/>
            </w:tcBorders>
          </w:tcPr>
          <w:p w14:paraId="281CC628" w14:textId="22EFC254" w:rsidR="00B628FF" w:rsidRDefault="005B2D2F">
            <w:pPr>
              <w:pStyle w:val="MeasureTableYearHeadings"/>
              <w:keepNext/>
            </w:pPr>
            <w:r>
              <w:t>2025</w:t>
            </w:r>
            <w:r w:rsidR="00B31B37">
              <w:noBreakHyphen/>
            </w:r>
            <w:r>
              <w:t>26</w:t>
            </w:r>
          </w:p>
        </w:tc>
        <w:tc>
          <w:tcPr>
            <w:tcW w:w="1043" w:type="dxa"/>
            <w:tcBorders>
              <w:top w:val="single" w:sz="4" w:space="0" w:color="000000"/>
              <w:bottom w:val="single" w:sz="4" w:space="0" w:color="000000"/>
            </w:tcBorders>
          </w:tcPr>
          <w:p w14:paraId="72EAAADE" w14:textId="65C55582" w:rsidR="00B628FF" w:rsidRDefault="005B2D2F">
            <w:pPr>
              <w:pStyle w:val="MeasureTableYearHeadings"/>
              <w:keepNext/>
            </w:pPr>
            <w:r>
              <w:t>2026</w:t>
            </w:r>
            <w:r w:rsidR="00B31B37">
              <w:noBreakHyphen/>
            </w:r>
            <w:r>
              <w:t>27</w:t>
            </w:r>
          </w:p>
        </w:tc>
        <w:tc>
          <w:tcPr>
            <w:tcW w:w="1043" w:type="dxa"/>
            <w:tcBorders>
              <w:top w:val="single" w:sz="4" w:space="0" w:color="000000"/>
              <w:bottom w:val="single" w:sz="4" w:space="0" w:color="000000"/>
            </w:tcBorders>
          </w:tcPr>
          <w:p w14:paraId="2FAA0BA6" w14:textId="484D571E" w:rsidR="00B628FF" w:rsidRDefault="005B2D2F">
            <w:pPr>
              <w:pStyle w:val="MeasureTableYearHeadings"/>
              <w:keepNext/>
            </w:pPr>
            <w:r>
              <w:t>2027</w:t>
            </w:r>
            <w:r w:rsidR="00B31B37">
              <w:noBreakHyphen/>
            </w:r>
            <w:r>
              <w:t>28</w:t>
            </w:r>
          </w:p>
        </w:tc>
        <w:tc>
          <w:tcPr>
            <w:tcW w:w="1043" w:type="dxa"/>
            <w:tcBorders>
              <w:top w:val="single" w:sz="4" w:space="0" w:color="000000"/>
              <w:bottom w:val="single" w:sz="4" w:space="0" w:color="000000"/>
            </w:tcBorders>
          </w:tcPr>
          <w:p w14:paraId="298DA2AB" w14:textId="4D3D8B84" w:rsidR="00B628FF" w:rsidRDefault="005B2D2F">
            <w:pPr>
              <w:pStyle w:val="MeasureTableYearHeadings"/>
              <w:keepNext/>
            </w:pPr>
            <w:r>
              <w:t>2028</w:t>
            </w:r>
            <w:r w:rsidR="00B31B37">
              <w:noBreakHyphen/>
            </w:r>
            <w:r>
              <w:t>29</w:t>
            </w:r>
          </w:p>
        </w:tc>
      </w:tr>
      <w:tr w:rsidR="00B628FF" w14:paraId="4CEFF520" w14:textId="77777777">
        <w:trPr>
          <w:cantSplit/>
        </w:trPr>
        <w:tc>
          <w:tcPr>
            <w:tcW w:w="2500" w:type="dxa"/>
            <w:tcBorders>
              <w:top w:val="single" w:sz="4" w:space="0" w:color="000000"/>
              <w:bottom w:val="single" w:sz="4" w:space="0" w:color="000000"/>
            </w:tcBorders>
          </w:tcPr>
          <w:p w14:paraId="38E224BA" w14:textId="77777777" w:rsidR="00B628FF" w:rsidRDefault="005B2D2F">
            <w:pPr>
              <w:pStyle w:val="MeasureTableHeadingleftalignedwith2ptsspacing"/>
              <w:keepNext/>
            </w:pPr>
            <w:r>
              <w:t>Australian Competition and Consumer Commission</w:t>
            </w:r>
          </w:p>
        </w:tc>
        <w:tc>
          <w:tcPr>
            <w:tcW w:w="1043" w:type="dxa"/>
            <w:tcBorders>
              <w:top w:val="single" w:sz="4" w:space="0" w:color="000000"/>
              <w:bottom w:val="single" w:sz="4" w:space="0" w:color="000000"/>
            </w:tcBorders>
          </w:tcPr>
          <w:p w14:paraId="56A7C47E" w14:textId="1B18B82D"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7D29F634" w14:textId="77777777" w:rsidR="00B628FF" w:rsidRDefault="005B2D2F">
            <w:pPr>
              <w:pStyle w:val="MeasureTableDataRightAlignedwith2ptsspacing"/>
              <w:keepNext/>
            </w:pPr>
            <w:r>
              <w:t>1.8</w:t>
            </w:r>
          </w:p>
        </w:tc>
        <w:tc>
          <w:tcPr>
            <w:tcW w:w="1043" w:type="dxa"/>
            <w:tcBorders>
              <w:top w:val="single" w:sz="4" w:space="0" w:color="000000"/>
              <w:bottom w:val="single" w:sz="4" w:space="0" w:color="000000"/>
            </w:tcBorders>
          </w:tcPr>
          <w:p w14:paraId="4DD72053" w14:textId="228DB1F7"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50FFFEAC" w14:textId="2A5AA9FF"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07D9E341" w14:textId="53AA0CE9" w:rsidR="00B628FF" w:rsidRDefault="00B31B37">
            <w:pPr>
              <w:pStyle w:val="MeasureTableDataRightAlignedwith2ptsspacing"/>
              <w:keepNext/>
            </w:pPr>
            <w:r>
              <w:noBreakHyphen/>
            </w:r>
          </w:p>
        </w:tc>
      </w:tr>
      <w:tr w:rsidR="00B628FF" w14:paraId="77FD7951" w14:textId="77777777">
        <w:trPr>
          <w:cantSplit/>
        </w:trPr>
        <w:tc>
          <w:tcPr>
            <w:tcW w:w="2500" w:type="dxa"/>
          </w:tcPr>
          <w:p w14:paraId="2C9BB587" w14:textId="77777777" w:rsidR="00B628FF" w:rsidRDefault="005B2D2F">
            <w:pPr>
              <w:pStyle w:val="AgencyName"/>
              <w:keepNext/>
            </w:pPr>
            <w:r>
              <w:t>Related receipts ($m)</w:t>
            </w:r>
          </w:p>
        </w:tc>
        <w:tc>
          <w:tcPr>
            <w:tcW w:w="1043" w:type="dxa"/>
          </w:tcPr>
          <w:p w14:paraId="6C8FBAE8" w14:textId="77777777" w:rsidR="00B628FF" w:rsidRDefault="00B628FF">
            <w:pPr>
              <w:pStyle w:val="AgencyName"/>
              <w:keepNext/>
            </w:pPr>
          </w:p>
        </w:tc>
        <w:tc>
          <w:tcPr>
            <w:tcW w:w="1043" w:type="dxa"/>
          </w:tcPr>
          <w:p w14:paraId="61023F54" w14:textId="77777777" w:rsidR="00B628FF" w:rsidRDefault="00B628FF">
            <w:pPr>
              <w:pStyle w:val="AgencyName"/>
              <w:keepNext/>
            </w:pPr>
          </w:p>
        </w:tc>
        <w:tc>
          <w:tcPr>
            <w:tcW w:w="1043" w:type="dxa"/>
          </w:tcPr>
          <w:p w14:paraId="2E446CD5" w14:textId="77777777" w:rsidR="00B628FF" w:rsidRDefault="00B628FF">
            <w:pPr>
              <w:pStyle w:val="AgencyName"/>
              <w:keepNext/>
            </w:pPr>
          </w:p>
        </w:tc>
        <w:tc>
          <w:tcPr>
            <w:tcW w:w="1043" w:type="dxa"/>
          </w:tcPr>
          <w:p w14:paraId="120FEFC3" w14:textId="77777777" w:rsidR="00B628FF" w:rsidRDefault="00B628FF">
            <w:pPr>
              <w:pStyle w:val="AgencyName"/>
              <w:keepNext/>
            </w:pPr>
          </w:p>
        </w:tc>
        <w:tc>
          <w:tcPr>
            <w:tcW w:w="1043" w:type="dxa"/>
          </w:tcPr>
          <w:p w14:paraId="086DD127" w14:textId="77777777" w:rsidR="00B628FF" w:rsidRDefault="00B628FF">
            <w:pPr>
              <w:pStyle w:val="AgencyName"/>
              <w:keepNext/>
            </w:pPr>
          </w:p>
        </w:tc>
      </w:tr>
      <w:tr w:rsidR="00B628FF" w14:paraId="03AFBF0D" w14:textId="77777777">
        <w:tc>
          <w:tcPr>
            <w:tcW w:w="2500" w:type="dxa"/>
          </w:tcPr>
          <w:p w14:paraId="52240273" w14:textId="77777777" w:rsidR="00B628FF" w:rsidRDefault="005B2D2F">
            <w:pPr>
              <w:pStyle w:val="AgencyNamewith2ptsspacing"/>
              <w:keepNext/>
            </w:pPr>
            <w:r>
              <w:t>Australian Communications and Media Authority</w:t>
            </w:r>
          </w:p>
        </w:tc>
        <w:tc>
          <w:tcPr>
            <w:tcW w:w="1043" w:type="dxa"/>
          </w:tcPr>
          <w:p w14:paraId="4A7ED084" w14:textId="448BE8B7" w:rsidR="00B628FF" w:rsidRDefault="00B31B37">
            <w:pPr>
              <w:pStyle w:val="Measuretabledatarightaligneditalics"/>
              <w:keepNext/>
            </w:pPr>
            <w:r>
              <w:noBreakHyphen/>
            </w:r>
          </w:p>
        </w:tc>
        <w:tc>
          <w:tcPr>
            <w:tcW w:w="1043" w:type="dxa"/>
          </w:tcPr>
          <w:p w14:paraId="7E123084" w14:textId="27A16D11" w:rsidR="00B628FF" w:rsidRDefault="00B31B37">
            <w:pPr>
              <w:pStyle w:val="Measuretabledatarightaligneditalics"/>
              <w:keepNext/>
            </w:pPr>
            <w:r>
              <w:noBreakHyphen/>
            </w:r>
          </w:p>
        </w:tc>
        <w:tc>
          <w:tcPr>
            <w:tcW w:w="1043" w:type="dxa"/>
          </w:tcPr>
          <w:p w14:paraId="1ADC2C9E" w14:textId="77777777" w:rsidR="00B628FF" w:rsidRDefault="005B2D2F">
            <w:pPr>
              <w:pStyle w:val="Measuretabledatarightaligneditalics"/>
              <w:keepNext/>
            </w:pPr>
            <w:r>
              <w:t>1.8</w:t>
            </w:r>
          </w:p>
        </w:tc>
        <w:tc>
          <w:tcPr>
            <w:tcW w:w="1043" w:type="dxa"/>
          </w:tcPr>
          <w:p w14:paraId="0BA87C33" w14:textId="532FBA18" w:rsidR="00B628FF" w:rsidRDefault="00B31B37">
            <w:pPr>
              <w:pStyle w:val="Measuretabledatarightaligneditalics"/>
              <w:keepNext/>
            </w:pPr>
            <w:r>
              <w:noBreakHyphen/>
            </w:r>
          </w:p>
        </w:tc>
        <w:tc>
          <w:tcPr>
            <w:tcW w:w="1043" w:type="dxa"/>
          </w:tcPr>
          <w:p w14:paraId="59B158FD" w14:textId="36C9917B" w:rsidR="00B628FF" w:rsidRDefault="00B31B37">
            <w:pPr>
              <w:pStyle w:val="Measuretabledatarightaligneditalics"/>
              <w:keepNext/>
            </w:pPr>
            <w:r>
              <w:noBreakHyphen/>
            </w:r>
          </w:p>
        </w:tc>
      </w:tr>
    </w:tbl>
    <w:p w14:paraId="084100BC" w14:textId="77777777" w:rsidR="00B628FF" w:rsidRDefault="00B628FF">
      <w:pPr>
        <w:keepNext/>
        <w:spacing w:line="226" w:lineRule="exact"/>
        <w:rPr>
          <w:sz w:val="16"/>
        </w:rPr>
      </w:pPr>
    </w:p>
    <w:p w14:paraId="40C5E9D0" w14:textId="77777777" w:rsidR="00B628FF" w:rsidRDefault="005B2D2F">
      <w:pPr>
        <w:pStyle w:val="Normal2"/>
      </w:pPr>
      <w:r w:rsidRPr="5FA307DC">
        <w:rPr>
          <w:lang w:val="en-US"/>
        </w:rPr>
        <w:t xml:space="preserve">The Government will provide $1.8 million in 2025–‍26 to continue the </w:t>
      </w:r>
      <w:r w:rsidRPr="5FA307DC">
        <w:rPr>
          <w:i/>
          <w:iCs/>
          <w:lang w:val="en-US"/>
        </w:rPr>
        <w:t>Measuring Broadband Australia</w:t>
      </w:r>
      <w:r w:rsidRPr="5FA307DC">
        <w:rPr>
          <w:lang w:val="en-US"/>
        </w:rPr>
        <w:t xml:space="preserve"> program to assist consumers to make informed choices about broadband services.</w:t>
      </w:r>
    </w:p>
    <w:p w14:paraId="03A7AF47" w14:textId="77777777" w:rsidR="00B628FF" w:rsidRDefault="005B2D2F">
      <w:pPr>
        <w:pStyle w:val="Normal2"/>
      </w:pPr>
      <w:r w:rsidRPr="5FA307DC">
        <w:rPr>
          <w:lang w:val="en-US"/>
        </w:rPr>
        <w:t>The costs of this measure will be recovered through the Annual Carrier Licence Charge.</w:t>
      </w:r>
    </w:p>
    <w:p w14:paraId="52FBDAAF" w14:textId="77777777" w:rsidR="00B628FF" w:rsidRDefault="005B2D2F">
      <w:pPr>
        <w:pStyle w:val="MeasureTitle"/>
      </w:pPr>
      <w:r>
        <w:t>Supporting Transport Priorities</w:t>
      </w:r>
    </w:p>
    <w:p w14:paraId="230145A4" w14:textId="77777777" w:rsidR="00B628FF" w:rsidRDefault="005B2D2F">
      <w:pPr>
        <w:pStyle w:val="MeasureTableHeading"/>
      </w:pPr>
      <w:r>
        <w:t>Payments ($m)</w:t>
      </w:r>
    </w:p>
    <w:tbl>
      <w:tblPr>
        <w:tblOverlap w:val="never"/>
        <w:tblW w:w="7721" w:type="dxa"/>
        <w:tblBorders>
          <w:top w:val="single" w:sz="4" w:space="0" w:color="000000"/>
          <w:bottom w:val="single" w:sz="4" w:space="0" w:color="000000"/>
        </w:tblBorders>
        <w:tblLayout w:type="fixed"/>
        <w:tblLook w:val="04A0" w:firstRow="1" w:lastRow="0" w:firstColumn="1" w:lastColumn="0" w:noHBand="0" w:noVBand="1"/>
      </w:tblPr>
      <w:tblGrid>
        <w:gridCol w:w="2501"/>
        <w:gridCol w:w="1044"/>
        <w:gridCol w:w="1044"/>
        <w:gridCol w:w="1044"/>
        <w:gridCol w:w="1044"/>
        <w:gridCol w:w="1044"/>
      </w:tblGrid>
      <w:tr w:rsidR="00B628FF" w14:paraId="2229CA1F" w14:textId="77777777">
        <w:trPr>
          <w:cantSplit/>
        </w:trPr>
        <w:tc>
          <w:tcPr>
            <w:tcW w:w="2500" w:type="dxa"/>
            <w:tcBorders>
              <w:top w:val="single" w:sz="4" w:space="0" w:color="000000"/>
              <w:bottom w:val="single" w:sz="4" w:space="0" w:color="000000"/>
            </w:tcBorders>
          </w:tcPr>
          <w:p w14:paraId="02D964CC" w14:textId="77777777" w:rsidR="00B628FF" w:rsidRDefault="00B628FF">
            <w:pPr>
              <w:pStyle w:val="MeasureTableYearHeadings"/>
              <w:keepNext/>
            </w:pPr>
          </w:p>
        </w:tc>
        <w:tc>
          <w:tcPr>
            <w:tcW w:w="1043" w:type="dxa"/>
            <w:tcBorders>
              <w:top w:val="single" w:sz="4" w:space="0" w:color="000000"/>
              <w:bottom w:val="single" w:sz="4" w:space="0" w:color="000000"/>
            </w:tcBorders>
          </w:tcPr>
          <w:p w14:paraId="68FC8CC5" w14:textId="1B5BBFED" w:rsidR="00B628FF" w:rsidRDefault="005B2D2F">
            <w:pPr>
              <w:pStyle w:val="MeasureTableYearHeadings"/>
              <w:keepNext/>
            </w:pPr>
            <w:r>
              <w:t>2024</w:t>
            </w:r>
            <w:r w:rsidR="00B31B37">
              <w:noBreakHyphen/>
            </w:r>
            <w:r>
              <w:t>25</w:t>
            </w:r>
          </w:p>
        </w:tc>
        <w:tc>
          <w:tcPr>
            <w:tcW w:w="1043" w:type="dxa"/>
            <w:tcBorders>
              <w:top w:val="single" w:sz="4" w:space="0" w:color="000000"/>
              <w:bottom w:val="single" w:sz="4" w:space="0" w:color="000000"/>
            </w:tcBorders>
          </w:tcPr>
          <w:p w14:paraId="3BB15748" w14:textId="5E2730B1" w:rsidR="00B628FF" w:rsidRDefault="005B2D2F">
            <w:pPr>
              <w:pStyle w:val="MeasureTableYearHeadings"/>
              <w:keepNext/>
            </w:pPr>
            <w:r>
              <w:t>2025</w:t>
            </w:r>
            <w:r w:rsidR="00B31B37">
              <w:noBreakHyphen/>
            </w:r>
            <w:r>
              <w:t>26</w:t>
            </w:r>
          </w:p>
        </w:tc>
        <w:tc>
          <w:tcPr>
            <w:tcW w:w="1043" w:type="dxa"/>
            <w:tcBorders>
              <w:top w:val="single" w:sz="4" w:space="0" w:color="000000"/>
              <w:bottom w:val="single" w:sz="4" w:space="0" w:color="000000"/>
            </w:tcBorders>
          </w:tcPr>
          <w:p w14:paraId="1D6E3D59" w14:textId="7C4201D5" w:rsidR="00B628FF" w:rsidRDefault="005B2D2F">
            <w:pPr>
              <w:pStyle w:val="MeasureTableYearHeadings"/>
              <w:keepNext/>
            </w:pPr>
            <w:r>
              <w:t>2026</w:t>
            </w:r>
            <w:r w:rsidR="00B31B37">
              <w:noBreakHyphen/>
            </w:r>
            <w:r>
              <w:t>27</w:t>
            </w:r>
          </w:p>
        </w:tc>
        <w:tc>
          <w:tcPr>
            <w:tcW w:w="1043" w:type="dxa"/>
            <w:tcBorders>
              <w:top w:val="single" w:sz="4" w:space="0" w:color="000000"/>
              <w:bottom w:val="single" w:sz="4" w:space="0" w:color="000000"/>
            </w:tcBorders>
          </w:tcPr>
          <w:p w14:paraId="29345128" w14:textId="2E5C5416" w:rsidR="00B628FF" w:rsidRDefault="005B2D2F">
            <w:pPr>
              <w:pStyle w:val="MeasureTableYearHeadings"/>
              <w:keepNext/>
            </w:pPr>
            <w:r>
              <w:t>2027</w:t>
            </w:r>
            <w:r w:rsidR="00B31B37">
              <w:noBreakHyphen/>
            </w:r>
            <w:r>
              <w:t>28</w:t>
            </w:r>
          </w:p>
        </w:tc>
        <w:tc>
          <w:tcPr>
            <w:tcW w:w="1043" w:type="dxa"/>
            <w:tcBorders>
              <w:top w:val="single" w:sz="4" w:space="0" w:color="000000"/>
              <w:bottom w:val="single" w:sz="4" w:space="0" w:color="000000"/>
            </w:tcBorders>
          </w:tcPr>
          <w:p w14:paraId="571A2C7E" w14:textId="0E2A6EAC" w:rsidR="00B628FF" w:rsidRDefault="005B2D2F">
            <w:pPr>
              <w:pStyle w:val="MeasureTableYearHeadings"/>
              <w:keepNext/>
            </w:pPr>
            <w:r>
              <w:t>2028</w:t>
            </w:r>
            <w:r w:rsidR="00B31B37">
              <w:noBreakHyphen/>
            </w:r>
            <w:r>
              <w:t>29</w:t>
            </w:r>
          </w:p>
        </w:tc>
      </w:tr>
      <w:tr w:rsidR="00B628FF" w14:paraId="43325C13" w14:textId="77777777">
        <w:trPr>
          <w:cantSplit/>
        </w:trPr>
        <w:tc>
          <w:tcPr>
            <w:tcW w:w="2500" w:type="dxa"/>
            <w:tcBorders>
              <w:top w:val="single" w:sz="4" w:space="0" w:color="000000"/>
              <w:bottom w:val="single" w:sz="4" w:space="0" w:color="000000"/>
            </w:tcBorders>
          </w:tcPr>
          <w:p w14:paraId="383BD3C4" w14:textId="77777777" w:rsidR="00B628FF" w:rsidRDefault="005B2D2F">
            <w:pPr>
              <w:pStyle w:val="MeasureTableHeadingleftalignedwith2ptsspacing"/>
              <w:keepNext/>
            </w:pPr>
            <w:r>
              <w:t>Department of Employment and Workplace Relations</w:t>
            </w:r>
          </w:p>
        </w:tc>
        <w:tc>
          <w:tcPr>
            <w:tcW w:w="1043" w:type="dxa"/>
            <w:tcBorders>
              <w:top w:val="single" w:sz="4" w:space="0" w:color="000000"/>
              <w:bottom w:val="single" w:sz="4" w:space="0" w:color="000000"/>
            </w:tcBorders>
          </w:tcPr>
          <w:p w14:paraId="6A37CB23" w14:textId="77777777" w:rsidR="00B628FF" w:rsidRDefault="005B2D2F">
            <w:pPr>
              <w:pStyle w:val="MeasureTableDataRightAlignedwith2ptsspacing"/>
              <w:keepNext/>
            </w:pPr>
            <w:r>
              <w:t>0.7</w:t>
            </w:r>
          </w:p>
        </w:tc>
        <w:tc>
          <w:tcPr>
            <w:tcW w:w="1043" w:type="dxa"/>
            <w:tcBorders>
              <w:top w:val="single" w:sz="4" w:space="0" w:color="000000"/>
              <w:bottom w:val="single" w:sz="4" w:space="0" w:color="000000"/>
            </w:tcBorders>
          </w:tcPr>
          <w:p w14:paraId="7978DBBF" w14:textId="77777777" w:rsidR="00B628FF" w:rsidRDefault="005B2D2F">
            <w:pPr>
              <w:pStyle w:val="MeasureTableDataRightAlignedwith2ptsspacing"/>
              <w:keepNext/>
            </w:pPr>
            <w:r>
              <w:t>1.8</w:t>
            </w:r>
          </w:p>
        </w:tc>
        <w:tc>
          <w:tcPr>
            <w:tcW w:w="1043" w:type="dxa"/>
            <w:tcBorders>
              <w:top w:val="single" w:sz="4" w:space="0" w:color="000000"/>
              <w:bottom w:val="single" w:sz="4" w:space="0" w:color="000000"/>
            </w:tcBorders>
          </w:tcPr>
          <w:p w14:paraId="2C932D04" w14:textId="32EFDECF"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2532CB65" w14:textId="3051707A"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28B1AC79" w14:textId="3040CC69" w:rsidR="00B628FF" w:rsidRDefault="00B31B37">
            <w:pPr>
              <w:pStyle w:val="MeasureTableDataRightAlignedwith2ptsspacing"/>
              <w:keepNext/>
            </w:pPr>
            <w:r>
              <w:noBreakHyphen/>
            </w:r>
          </w:p>
        </w:tc>
      </w:tr>
      <w:tr w:rsidR="00B628FF" w14:paraId="0C04DEF7" w14:textId="77777777">
        <w:trPr>
          <w:cantSplit/>
        </w:trPr>
        <w:tc>
          <w:tcPr>
            <w:tcW w:w="2500" w:type="dxa"/>
            <w:tcBorders>
              <w:top w:val="single" w:sz="4" w:space="0" w:color="000000"/>
              <w:bottom w:val="single" w:sz="4" w:space="0" w:color="000000"/>
            </w:tcBorders>
          </w:tcPr>
          <w:p w14:paraId="7E030EA1" w14:textId="77777777" w:rsidR="00B628FF" w:rsidRDefault="005B2D2F">
            <w:pPr>
              <w:pStyle w:val="MeasureTableHeadingleftalignedwith2ptsspacing"/>
              <w:keepNext/>
            </w:pPr>
            <w:r>
              <w:t>Australian Maritime Safety Authority</w:t>
            </w:r>
          </w:p>
        </w:tc>
        <w:tc>
          <w:tcPr>
            <w:tcW w:w="1043" w:type="dxa"/>
            <w:tcBorders>
              <w:top w:val="single" w:sz="4" w:space="0" w:color="000000"/>
              <w:bottom w:val="single" w:sz="4" w:space="0" w:color="000000"/>
            </w:tcBorders>
          </w:tcPr>
          <w:p w14:paraId="56552C80" w14:textId="1CC229AA"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1C9907A3" w14:textId="77777777" w:rsidR="00B628FF" w:rsidRDefault="005B2D2F">
            <w:pPr>
              <w:pStyle w:val="MeasureTableDataRightAlignedwith2ptsspacing"/>
              <w:keepNext/>
            </w:pPr>
            <w:r>
              <w:t>15.9</w:t>
            </w:r>
          </w:p>
        </w:tc>
        <w:tc>
          <w:tcPr>
            <w:tcW w:w="1043" w:type="dxa"/>
            <w:tcBorders>
              <w:top w:val="single" w:sz="4" w:space="0" w:color="000000"/>
              <w:bottom w:val="single" w:sz="4" w:space="0" w:color="000000"/>
            </w:tcBorders>
          </w:tcPr>
          <w:p w14:paraId="35C6C997" w14:textId="2AAC07AE"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26306360" w14:textId="787E14D5"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29611239" w14:textId="42C48588" w:rsidR="00B628FF" w:rsidRDefault="00B31B37">
            <w:pPr>
              <w:pStyle w:val="MeasureTableDataRightAlignedwith2ptsspacing"/>
              <w:keepNext/>
            </w:pPr>
            <w:r>
              <w:noBreakHyphen/>
            </w:r>
          </w:p>
        </w:tc>
      </w:tr>
      <w:tr w:rsidR="00B628FF" w14:paraId="7F7EDCEC" w14:textId="77777777">
        <w:trPr>
          <w:cantSplit/>
        </w:trPr>
        <w:tc>
          <w:tcPr>
            <w:tcW w:w="2500" w:type="dxa"/>
            <w:tcBorders>
              <w:top w:val="single" w:sz="4" w:space="0" w:color="000000"/>
              <w:bottom w:val="single" w:sz="4" w:space="0" w:color="000000"/>
            </w:tcBorders>
          </w:tcPr>
          <w:p w14:paraId="31EA5D6F" w14:textId="77777777" w:rsidR="00B628FF" w:rsidRDefault="005B2D2F">
            <w:pPr>
              <w:pStyle w:val="MeasureTableHeadingleftalignedwith2ptsspacing"/>
              <w:keepNext/>
            </w:pPr>
            <w:r>
              <w:t>Civil Aviation Safety Authority</w:t>
            </w:r>
          </w:p>
        </w:tc>
        <w:tc>
          <w:tcPr>
            <w:tcW w:w="1043" w:type="dxa"/>
            <w:tcBorders>
              <w:top w:val="single" w:sz="4" w:space="0" w:color="000000"/>
              <w:bottom w:val="single" w:sz="4" w:space="0" w:color="000000"/>
            </w:tcBorders>
          </w:tcPr>
          <w:p w14:paraId="070F2B8B" w14:textId="224E3FBA"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6C061A28" w14:textId="77777777" w:rsidR="00B628FF" w:rsidRDefault="005B2D2F">
            <w:pPr>
              <w:pStyle w:val="MeasureTableDataRightAlignedwith2ptsspacing"/>
              <w:keepNext/>
            </w:pPr>
            <w:r>
              <w:t>12.9</w:t>
            </w:r>
          </w:p>
        </w:tc>
        <w:tc>
          <w:tcPr>
            <w:tcW w:w="1043" w:type="dxa"/>
            <w:tcBorders>
              <w:top w:val="single" w:sz="4" w:space="0" w:color="000000"/>
              <w:bottom w:val="single" w:sz="4" w:space="0" w:color="000000"/>
            </w:tcBorders>
          </w:tcPr>
          <w:p w14:paraId="4126663E" w14:textId="334E5F02"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792D4025" w14:textId="651CB52B"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5802D3A9" w14:textId="72B50B43" w:rsidR="00B628FF" w:rsidRDefault="00B31B37">
            <w:pPr>
              <w:pStyle w:val="MeasureTableDataRightAlignedwith2ptsspacing"/>
              <w:keepNext/>
            </w:pPr>
            <w:r>
              <w:noBreakHyphen/>
            </w:r>
          </w:p>
        </w:tc>
      </w:tr>
      <w:tr w:rsidR="00B628FF" w14:paraId="40BCFB39" w14:textId="77777777">
        <w:trPr>
          <w:cantSplit/>
        </w:trPr>
        <w:tc>
          <w:tcPr>
            <w:tcW w:w="2500" w:type="dxa"/>
            <w:tcBorders>
              <w:top w:val="single" w:sz="4" w:space="0" w:color="000000"/>
              <w:bottom w:val="single" w:sz="4" w:space="0" w:color="000000"/>
            </w:tcBorders>
          </w:tcPr>
          <w:p w14:paraId="40EE4478" w14:textId="77777777" w:rsidR="00B628FF" w:rsidRDefault="005B2D2F">
            <w:pPr>
              <w:pStyle w:val="MeasureTableHeadingleftalignedwith2ptsspacing"/>
              <w:keepNext/>
            </w:pPr>
            <w:r>
              <w:t>Australian Transport Safety Bureau</w:t>
            </w:r>
          </w:p>
        </w:tc>
        <w:tc>
          <w:tcPr>
            <w:tcW w:w="1043" w:type="dxa"/>
            <w:tcBorders>
              <w:top w:val="single" w:sz="4" w:space="0" w:color="000000"/>
              <w:bottom w:val="single" w:sz="4" w:space="0" w:color="000000"/>
            </w:tcBorders>
          </w:tcPr>
          <w:p w14:paraId="0FC57774" w14:textId="4C9A074F"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25845809" w14:textId="77777777" w:rsidR="00B628FF" w:rsidRDefault="005B2D2F">
            <w:pPr>
              <w:pStyle w:val="MeasureTableDataRightAlignedwith2ptsspacing"/>
              <w:keepNext/>
            </w:pPr>
            <w:r>
              <w:t>3.9</w:t>
            </w:r>
          </w:p>
        </w:tc>
        <w:tc>
          <w:tcPr>
            <w:tcW w:w="1043" w:type="dxa"/>
            <w:tcBorders>
              <w:top w:val="single" w:sz="4" w:space="0" w:color="000000"/>
              <w:bottom w:val="single" w:sz="4" w:space="0" w:color="000000"/>
            </w:tcBorders>
          </w:tcPr>
          <w:p w14:paraId="61322244" w14:textId="32738D62"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5B59721A" w14:textId="282AA787"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117B42C3" w14:textId="7CC84BBB" w:rsidR="00B628FF" w:rsidRDefault="00B31B37">
            <w:pPr>
              <w:pStyle w:val="MeasureTableDataRightAlignedwith2ptsspacing"/>
              <w:keepNext/>
            </w:pPr>
            <w:r>
              <w:noBreakHyphen/>
            </w:r>
          </w:p>
        </w:tc>
      </w:tr>
      <w:tr w:rsidR="00B628FF" w14:paraId="64178698" w14:textId="77777777">
        <w:trPr>
          <w:cantSplit/>
        </w:trPr>
        <w:tc>
          <w:tcPr>
            <w:tcW w:w="2500" w:type="dxa"/>
            <w:tcBorders>
              <w:top w:val="single" w:sz="4" w:space="0" w:color="000000"/>
              <w:bottom w:val="single" w:sz="4" w:space="0" w:color="000000"/>
            </w:tcBorders>
          </w:tcPr>
          <w:p w14:paraId="2CFE7F04" w14:textId="77777777" w:rsidR="00B628FF" w:rsidRDefault="005B2D2F">
            <w:pPr>
              <w:pStyle w:val="MeasureTableHeadingleftalignedwith2ptsspacing"/>
              <w:keepNext/>
            </w:pPr>
            <w:r>
              <w:t>Department of Infrastructure, Transport, Regional Development, Communications and the Arts</w:t>
            </w:r>
          </w:p>
        </w:tc>
        <w:tc>
          <w:tcPr>
            <w:tcW w:w="1043" w:type="dxa"/>
            <w:tcBorders>
              <w:top w:val="single" w:sz="4" w:space="0" w:color="000000"/>
              <w:bottom w:val="single" w:sz="4" w:space="0" w:color="000000"/>
            </w:tcBorders>
          </w:tcPr>
          <w:p w14:paraId="3A5B96F8" w14:textId="5BE413E1"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66BB6BC1" w14:textId="77777777" w:rsidR="00B628FF" w:rsidRDefault="005B2D2F">
            <w:pPr>
              <w:pStyle w:val="MeasureTableDataRightAlignedwith2ptsspacing"/>
              <w:keepNext/>
            </w:pPr>
            <w:r>
              <w:t>3.7</w:t>
            </w:r>
          </w:p>
        </w:tc>
        <w:tc>
          <w:tcPr>
            <w:tcW w:w="1043" w:type="dxa"/>
            <w:tcBorders>
              <w:top w:val="single" w:sz="4" w:space="0" w:color="000000"/>
              <w:bottom w:val="single" w:sz="4" w:space="0" w:color="000000"/>
            </w:tcBorders>
          </w:tcPr>
          <w:p w14:paraId="3F21A5C7" w14:textId="77777777" w:rsidR="00B628FF" w:rsidRDefault="005B2D2F">
            <w:pPr>
              <w:pStyle w:val="MeasureTableDataRightAlignedwith2ptsspacing"/>
              <w:keepNext/>
            </w:pPr>
            <w:r>
              <w:t>3.5</w:t>
            </w:r>
          </w:p>
        </w:tc>
        <w:tc>
          <w:tcPr>
            <w:tcW w:w="1043" w:type="dxa"/>
            <w:tcBorders>
              <w:top w:val="single" w:sz="4" w:space="0" w:color="000000"/>
              <w:bottom w:val="single" w:sz="4" w:space="0" w:color="000000"/>
            </w:tcBorders>
          </w:tcPr>
          <w:p w14:paraId="08E194E5" w14:textId="77777777" w:rsidR="00B628FF" w:rsidRDefault="005B2D2F">
            <w:pPr>
              <w:pStyle w:val="MeasureTableDataRightAlignedwith2ptsspacing"/>
              <w:keepNext/>
            </w:pPr>
            <w:r>
              <w:t>3.5</w:t>
            </w:r>
          </w:p>
        </w:tc>
        <w:tc>
          <w:tcPr>
            <w:tcW w:w="1043" w:type="dxa"/>
            <w:tcBorders>
              <w:top w:val="single" w:sz="4" w:space="0" w:color="000000"/>
              <w:bottom w:val="single" w:sz="4" w:space="0" w:color="000000"/>
            </w:tcBorders>
          </w:tcPr>
          <w:p w14:paraId="5119C140" w14:textId="77777777" w:rsidR="00B628FF" w:rsidRDefault="005B2D2F">
            <w:pPr>
              <w:pStyle w:val="MeasureTableDataRightAlignedwith2ptsspacing"/>
              <w:keepNext/>
            </w:pPr>
            <w:r>
              <w:t>3.6</w:t>
            </w:r>
          </w:p>
        </w:tc>
      </w:tr>
      <w:tr w:rsidR="00B628FF" w14:paraId="43B9395A" w14:textId="77777777">
        <w:trPr>
          <w:cantSplit/>
        </w:trPr>
        <w:tc>
          <w:tcPr>
            <w:tcW w:w="2500" w:type="dxa"/>
            <w:tcBorders>
              <w:top w:val="single" w:sz="4" w:space="0" w:color="000000"/>
              <w:bottom w:val="single" w:sz="4" w:space="0" w:color="000000"/>
            </w:tcBorders>
          </w:tcPr>
          <w:p w14:paraId="759366F5" w14:textId="77777777" w:rsidR="00B628FF" w:rsidRDefault="005B2D2F">
            <w:pPr>
              <w:pStyle w:val="Totalrowleftaligned"/>
              <w:keepNext/>
            </w:pPr>
            <w:r>
              <w:t>Total – Payments</w:t>
            </w:r>
          </w:p>
        </w:tc>
        <w:tc>
          <w:tcPr>
            <w:tcW w:w="1043" w:type="dxa"/>
            <w:tcBorders>
              <w:top w:val="single" w:sz="4" w:space="0" w:color="000000"/>
              <w:bottom w:val="single" w:sz="4" w:space="0" w:color="000000"/>
            </w:tcBorders>
          </w:tcPr>
          <w:p w14:paraId="32E1BADE" w14:textId="77777777" w:rsidR="00B628FF" w:rsidRDefault="005B2D2F">
            <w:pPr>
              <w:pStyle w:val="Totaldatarowrightaligned"/>
              <w:keepNext/>
            </w:pPr>
            <w:r>
              <w:t>0.7</w:t>
            </w:r>
          </w:p>
        </w:tc>
        <w:tc>
          <w:tcPr>
            <w:tcW w:w="1043" w:type="dxa"/>
            <w:tcBorders>
              <w:top w:val="single" w:sz="4" w:space="0" w:color="000000"/>
              <w:bottom w:val="single" w:sz="4" w:space="0" w:color="000000"/>
            </w:tcBorders>
          </w:tcPr>
          <w:p w14:paraId="18CAA5DA" w14:textId="77777777" w:rsidR="00B628FF" w:rsidRDefault="005B2D2F">
            <w:pPr>
              <w:pStyle w:val="Totaldatarowrightaligned"/>
              <w:keepNext/>
            </w:pPr>
            <w:r>
              <w:t>38.3</w:t>
            </w:r>
          </w:p>
        </w:tc>
        <w:tc>
          <w:tcPr>
            <w:tcW w:w="1043" w:type="dxa"/>
            <w:tcBorders>
              <w:top w:val="single" w:sz="4" w:space="0" w:color="000000"/>
              <w:bottom w:val="single" w:sz="4" w:space="0" w:color="000000"/>
            </w:tcBorders>
          </w:tcPr>
          <w:p w14:paraId="31494F73" w14:textId="77777777" w:rsidR="00B628FF" w:rsidRDefault="005B2D2F">
            <w:pPr>
              <w:pStyle w:val="Totaldatarowrightaligned"/>
              <w:keepNext/>
            </w:pPr>
            <w:r>
              <w:t>3.5</w:t>
            </w:r>
          </w:p>
        </w:tc>
        <w:tc>
          <w:tcPr>
            <w:tcW w:w="1043" w:type="dxa"/>
            <w:tcBorders>
              <w:top w:val="single" w:sz="4" w:space="0" w:color="000000"/>
              <w:bottom w:val="single" w:sz="4" w:space="0" w:color="000000"/>
            </w:tcBorders>
          </w:tcPr>
          <w:p w14:paraId="6479AB8B" w14:textId="77777777" w:rsidR="00B628FF" w:rsidRDefault="005B2D2F">
            <w:pPr>
              <w:pStyle w:val="Totaldatarowrightaligned"/>
              <w:keepNext/>
            </w:pPr>
            <w:r>
              <w:t>3.5</w:t>
            </w:r>
          </w:p>
        </w:tc>
        <w:tc>
          <w:tcPr>
            <w:tcW w:w="1043" w:type="dxa"/>
            <w:tcBorders>
              <w:top w:val="single" w:sz="4" w:space="0" w:color="000000"/>
              <w:bottom w:val="single" w:sz="4" w:space="0" w:color="000000"/>
            </w:tcBorders>
          </w:tcPr>
          <w:p w14:paraId="2AB6D940" w14:textId="77777777" w:rsidR="00B628FF" w:rsidRDefault="005B2D2F">
            <w:pPr>
              <w:pStyle w:val="Totaldatarowrightaligned"/>
              <w:keepNext/>
            </w:pPr>
            <w:r>
              <w:t>3.6</w:t>
            </w:r>
          </w:p>
        </w:tc>
      </w:tr>
    </w:tbl>
    <w:p w14:paraId="33DA0804" w14:textId="77777777" w:rsidR="00B628FF" w:rsidRDefault="00B628FF">
      <w:pPr>
        <w:keepNext/>
        <w:spacing w:line="226" w:lineRule="exact"/>
        <w:rPr>
          <w:sz w:val="16"/>
        </w:rPr>
      </w:pPr>
    </w:p>
    <w:p w14:paraId="4E723E85" w14:textId="77777777" w:rsidR="00B628FF" w:rsidRDefault="005B2D2F">
      <w:pPr>
        <w:pStyle w:val="Normal2"/>
      </w:pPr>
      <w:r>
        <w:t>The Government will provide $49.6 million over five years from 2024–‍25 to support transport priorities. Funding includes:</w:t>
      </w:r>
    </w:p>
    <w:p w14:paraId="0FD54F95" w14:textId="77777777" w:rsidR="00B628FF" w:rsidRDefault="005B2D2F">
      <w:pPr>
        <w:pStyle w:val="Bullet"/>
      </w:pPr>
      <w:r>
        <w:t>$32.7 million in 2025–‍26 to support ongoing safety and regulatory services provided by the Australian Maritime Safety Authority, the Australian Transport Safety Bureau and the Civil Aviation Safety Authority</w:t>
      </w:r>
    </w:p>
    <w:p w14:paraId="055AC3C0" w14:textId="77777777" w:rsidR="00B628FF" w:rsidRDefault="005B2D2F">
      <w:pPr>
        <w:pStyle w:val="Bullet"/>
      </w:pPr>
      <w:r>
        <w:t>$16.9 million over five years from 2024–‍25 to establish a maritime internship program to support seafarer certification and expand activities under the Transport and Logistics Jobs and Skills Council to support the Strategic Fleet and skills development in the maritime sector.</w:t>
      </w:r>
    </w:p>
    <w:p w14:paraId="06144E35" w14:textId="77777777" w:rsidR="00B628FF" w:rsidRDefault="005B2D2F">
      <w:pPr>
        <w:pStyle w:val="Normal2"/>
      </w:pPr>
      <w:r>
        <w:t xml:space="preserve">This measure builds on the 2024–‍25 Budget measures titled </w:t>
      </w:r>
      <w:r w:rsidRPr="005B2D2F">
        <w:rPr>
          <w:i/>
        </w:rPr>
        <w:t>Supporting Transport Priorities</w:t>
      </w:r>
      <w:r>
        <w:t xml:space="preserve"> and </w:t>
      </w:r>
      <w:r w:rsidRPr="005B2D2F">
        <w:rPr>
          <w:i/>
        </w:rPr>
        <w:t>Delivering a Strategic Fleet.</w:t>
      </w:r>
    </w:p>
    <w:p w14:paraId="5408F63C" w14:textId="77777777" w:rsidR="00B628FF" w:rsidRDefault="00B628FF">
      <w:pPr>
        <w:sectPr w:rsidR="00B628FF" w:rsidSect="00A06F82">
          <w:headerReference w:type="even" r:id="rId99"/>
          <w:headerReference w:type="default" r:id="rId100"/>
          <w:footerReference w:type="even" r:id="rId101"/>
          <w:footerReference w:type="default" r:id="rId102"/>
          <w:headerReference w:type="first" r:id="rId103"/>
          <w:footerReference w:type="first" r:id="rId104"/>
          <w:pgSz w:w="11906" w:h="16838"/>
          <w:pgMar w:top="2835" w:right="2098" w:bottom="2466" w:left="2098" w:header="1814" w:footer="1814" w:gutter="0"/>
          <w:cols w:space="720"/>
          <w:docGrid w:linePitch="272"/>
        </w:sectPr>
      </w:pPr>
    </w:p>
    <w:p w14:paraId="76DB315D" w14:textId="77777777" w:rsidR="00B628FF" w:rsidRDefault="005B2D2F">
      <w:pPr>
        <w:pStyle w:val="PortfolioName"/>
      </w:pPr>
      <w:r>
        <w:t>Prime Minister and Cabinet</w:t>
      </w:r>
    </w:p>
    <w:p w14:paraId="5201A742" w14:textId="77777777" w:rsidR="00B628FF" w:rsidRDefault="005B2D2F">
      <w:pPr>
        <w:pStyle w:val="MeasureTitle"/>
      </w:pPr>
      <w:r>
        <w:t>Buy Australian Campaign</w:t>
      </w:r>
    </w:p>
    <w:p w14:paraId="247A6D2A" w14:textId="77777777" w:rsidR="00B628FF" w:rsidRDefault="005B2D2F">
      <w:pPr>
        <w:pStyle w:val="MeasureTableHeading"/>
      </w:pPr>
      <w:r>
        <w:t>Payments ($m)</w:t>
      </w:r>
    </w:p>
    <w:tbl>
      <w:tblPr>
        <w:tblOverlap w:val="never"/>
        <w:tblW w:w="7721" w:type="dxa"/>
        <w:tblBorders>
          <w:top w:val="single" w:sz="4" w:space="0" w:color="000000"/>
          <w:bottom w:val="single" w:sz="4" w:space="0" w:color="000000"/>
        </w:tblBorders>
        <w:tblLayout w:type="fixed"/>
        <w:tblLook w:val="04A0" w:firstRow="1" w:lastRow="0" w:firstColumn="1" w:lastColumn="0" w:noHBand="0" w:noVBand="1"/>
      </w:tblPr>
      <w:tblGrid>
        <w:gridCol w:w="2501"/>
        <w:gridCol w:w="1044"/>
        <w:gridCol w:w="1044"/>
        <w:gridCol w:w="1044"/>
        <w:gridCol w:w="1044"/>
        <w:gridCol w:w="1044"/>
      </w:tblGrid>
      <w:tr w:rsidR="00B628FF" w14:paraId="01607318" w14:textId="77777777">
        <w:trPr>
          <w:cantSplit/>
        </w:trPr>
        <w:tc>
          <w:tcPr>
            <w:tcW w:w="2500" w:type="dxa"/>
            <w:tcBorders>
              <w:top w:val="single" w:sz="4" w:space="0" w:color="000000"/>
              <w:bottom w:val="single" w:sz="4" w:space="0" w:color="000000"/>
            </w:tcBorders>
          </w:tcPr>
          <w:p w14:paraId="07BAA41A" w14:textId="77777777" w:rsidR="00B628FF" w:rsidRDefault="00B628FF">
            <w:pPr>
              <w:pStyle w:val="MeasureTableYearHeadings"/>
              <w:keepNext/>
            </w:pPr>
          </w:p>
        </w:tc>
        <w:tc>
          <w:tcPr>
            <w:tcW w:w="1043" w:type="dxa"/>
            <w:tcBorders>
              <w:top w:val="single" w:sz="4" w:space="0" w:color="000000"/>
              <w:bottom w:val="single" w:sz="4" w:space="0" w:color="000000"/>
            </w:tcBorders>
          </w:tcPr>
          <w:p w14:paraId="1E3623A2" w14:textId="1BB0204A" w:rsidR="00B628FF" w:rsidRDefault="005B2D2F">
            <w:pPr>
              <w:pStyle w:val="MeasureTableYearHeadings"/>
              <w:keepNext/>
            </w:pPr>
            <w:r>
              <w:t>2024</w:t>
            </w:r>
            <w:r w:rsidR="00B31B37">
              <w:noBreakHyphen/>
            </w:r>
            <w:r>
              <w:t>25</w:t>
            </w:r>
          </w:p>
        </w:tc>
        <w:tc>
          <w:tcPr>
            <w:tcW w:w="1043" w:type="dxa"/>
            <w:tcBorders>
              <w:top w:val="single" w:sz="4" w:space="0" w:color="000000"/>
              <w:bottom w:val="single" w:sz="4" w:space="0" w:color="000000"/>
            </w:tcBorders>
          </w:tcPr>
          <w:p w14:paraId="1E01BB72" w14:textId="24024ACA" w:rsidR="00B628FF" w:rsidRDefault="005B2D2F">
            <w:pPr>
              <w:pStyle w:val="MeasureTableYearHeadings"/>
              <w:keepNext/>
            </w:pPr>
            <w:r>
              <w:t>2025</w:t>
            </w:r>
            <w:r w:rsidR="00B31B37">
              <w:noBreakHyphen/>
            </w:r>
            <w:r>
              <w:t>26</w:t>
            </w:r>
          </w:p>
        </w:tc>
        <w:tc>
          <w:tcPr>
            <w:tcW w:w="1043" w:type="dxa"/>
            <w:tcBorders>
              <w:top w:val="single" w:sz="4" w:space="0" w:color="000000"/>
              <w:bottom w:val="single" w:sz="4" w:space="0" w:color="000000"/>
            </w:tcBorders>
          </w:tcPr>
          <w:p w14:paraId="4380C3BB" w14:textId="08300E47" w:rsidR="00B628FF" w:rsidRDefault="005B2D2F">
            <w:pPr>
              <w:pStyle w:val="MeasureTableYearHeadings"/>
              <w:keepNext/>
            </w:pPr>
            <w:r>
              <w:t>2026</w:t>
            </w:r>
            <w:r w:rsidR="00B31B37">
              <w:noBreakHyphen/>
            </w:r>
            <w:r>
              <w:t>27</w:t>
            </w:r>
          </w:p>
        </w:tc>
        <w:tc>
          <w:tcPr>
            <w:tcW w:w="1043" w:type="dxa"/>
            <w:tcBorders>
              <w:top w:val="single" w:sz="4" w:space="0" w:color="000000"/>
              <w:bottom w:val="single" w:sz="4" w:space="0" w:color="000000"/>
            </w:tcBorders>
          </w:tcPr>
          <w:p w14:paraId="3DE1A311" w14:textId="431CA6C8" w:rsidR="00B628FF" w:rsidRDefault="005B2D2F">
            <w:pPr>
              <w:pStyle w:val="MeasureTableYearHeadings"/>
              <w:keepNext/>
            </w:pPr>
            <w:r>
              <w:t>2027</w:t>
            </w:r>
            <w:r w:rsidR="00B31B37">
              <w:noBreakHyphen/>
            </w:r>
            <w:r>
              <w:t>28</w:t>
            </w:r>
          </w:p>
        </w:tc>
        <w:tc>
          <w:tcPr>
            <w:tcW w:w="1043" w:type="dxa"/>
            <w:tcBorders>
              <w:top w:val="single" w:sz="4" w:space="0" w:color="000000"/>
              <w:bottom w:val="single" w:sz="4" w:space="0" w:color="000000"/>
            </w:tcBorders>
          </w:tcPr>
          <w:p w14:paraId="14399D9E" w14:textId="07EC0E0B" w:rsidR="00B628FF" w:rsidRDefault="005B2D2F">
            <w:pPr>
              <w:pStyle w:val="MeasureTableYearHeadings"/>
              <w:keepNext/>
            </w:pPr>
            <w:r>
              <w:t>2028</w:t>
            </w:r>
            <w:r w:rsidR="00B31B37">
              <w:noBreakHyphen/>
            </w:r>
            <w:r>
              <w:t>29</w:t>
            </w:r>
          </w:p>
        </w:tc>
      </w:tr>
      <w:tr w:rsidR="00B628FF" w14:paraId="181AF15A" w14:textId="77777777">
        <w:trPr>
          <w:cantSplit/>
        </w:trPr>
        <w:tc>
          <w:tcPr>
            <w:tcW w:w="2500" w:type="dxa"/>
            <w:tcBorders>
              <w:top w:val="single" w:sz="4" w:space="0" w:color="000000"/>
              <w:bottom w:val="single" w:sz="4" w:space="0" w:color="000000"/>
            </w:tcBorders>
          </w:tcPr>
          <w:p w14:paraId="6C2C1823" w14:textId="77777777" w:rsidR="00B628FF" w:rsidRDefault="005B2D2F">
            <w:pPr>
              <w:pStyle w:val="MeasureTableHeadingleftalignedwith2ptsspacing"/>
              <w:keepNext/>
            </w:pPr>
            <w:r>
              <w:t>Department of the Prime Minister and Cabinet</w:t>
            </w:r>
          </w:p>
        </w:tc>
        <w:tc>
          <w:tcPr>
            <w:tcW w:w="1043" w:type="dxa"/>
            <w:tcBorders>
              <w:top w:val="single" w:sz="4" w:space="0" w:color="000000"/>
              <w:bottom w:val="single" w:sz="4" w:space="0" w:color="000000"/>
            </w:tcBorders>
          </w:tcPr>
          <w:p w14:paraId="72A6EE4C" w14:textId="02719889"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0910E175" w14:textId="77777777" w:rsidR="00B628FF" w:rsidRDefault="005B2D2F">
            <w:pPr>
              <w:pStyle w:val="MeasureTableDataRightAlignedwith2ptsspacing"/>
              <w:keepNext/>
            </w:pPr>
            <w:r>
              <w:t>20.0</w:t>
            </w:r>
          </w:p>
        </w:tc>
        <w:tc>
          <w:tcPr>
            <w:tcW w:w="1043" w:type="dxa"/>
            <w:tcBorders>
              <w:top w:val="single" w:sz="4" w:space="0" w:color="000000"/>
              <w:bottom w:val="single" w:sz="4" w:space="0" w:color="000000"/>
            </w:tcBorders>
          </w:tcPr>
          <w:p w14:paraId="67A6051E" w14:textId="16EE1712"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671F31E7" w14:textId="2B01F920"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32CA5B3D" w14:textId="0CAF7834" w:rsidR="00B628FF" w:rsidRDefault="00B31B37">
            <w:pPr>
              <w:pStyle w:val="MeasureTableDataRightAlignedwith2ptsspacing"/>
              <w:keepNext/>
            </w:pPr>
            <w:r>
              <w:noBreakHyphen/>
            </w:r>
          </w:p>
        </w:tc>
      </w:tr>
    </w:tbl>
    <w:p w14:paraId="7B2C2037" w14:textId="4450F1A2" w:rsidR="00B628FF" w:rsidRDefault="005B2D2F" w:rsidP="00AE7DBC">
      <w:pPr>
        <w:pStyle w:val="Normal2"/>
        <w:spacing w:before="240"/>
      </w:pPr>
      <w:r>
        <w:t>The Government will provide $20.0 million in 2025–‍26 to the Department of the Prime</w:t>
      </w:r>
      <w:r w:rsidR="00914E8F">
        <w:t> </w:t>
      </w:r>
      <w:r>
        <w:t>Minister and Cabinet for initiatives to encourage consumers to buy Australian‑made products.</w:t>
      </w:r>
    </w:p>
    <w:p w14:paraId="66DCE1C7" w14:textId="77777777" w:rsidR="00B628FF" w:rsidRDefault="005B2D2F">
      <w:pPr>
        <w:pStyle w:val="MeasureTitle"/>
      </w:pPr>
      <w:r w:rsidRPr="5FA307DC">
        <w:rPr>
          <w:lang w:val="en-US"/>
        </w:rPr>
        <w:t>National Australia Day Council – additional resourcing</w:t>
      </w:r>
    </w:p>
    <w:p w14:paraId="42CE7C9D" w14:textId="77777777" w:rsidR="00B628FF" w:rsidRDefault="005B2D2F">
      <w:pPr>
        <w:pStyle w:val="MeasureTableHeading"/>
      </w:pPr>
      <w:r>
        <w:t>Payments ($m)</w:t>
      </w:r>
    </w:p>
    <w:tbl>
      <w:tblPr>
        <w:tblOverlap w:val="never"/>
        <w:tblW w:w="7721" w:type="dxa"/>
        <w:tblBorders>
          <w:top w:val="single" w:sz="4" w:space="0" w:color="000000"/>
          <w:bottom w:val="single" w:sz="4" w:space="0" w:color="000000"/>
        </w:tblBorders>
        <w:tblLayout w:type="fixed"/>
        <w:tblLook w:val="04A0" w:firstRow="1" w:lastRow="0" w:firstColumn="1" w:lastColumn="0" w:noHBand="0" w:noVBand="1"/>
      </w:tblPr>
      <w:tblGrid>
        <w:gridCol w:w="2501"/>
        <w:gridCol w:w="1044"/>
        <w:gridCol w:w="1044"/>
        <w:gridCol w:w="1044"/>
        <w:gridCol w:w="1044"/>
        <w:gridCol w:w="1044"/>
      </w:tblGrid>
      <w:tr w:rsidR="00B628FF" w14:paraId="34825518" w14:textId="77777777">
        <w:trPr>
          <w:cantSplit/>
        </w:trPr>
        <w:tc>
          <w:tcPr>
            <w:tcW w:w="2500" w:type="dxa"/>
            <w:tcBorders>
              <w:top w:val="single" w:sz="4" w:space="0" w:color="000000"/>
              <w:bottom w:val="single" w:sz="4" w:space="0" w:color="000000"/>
            </w:tcBorders>
          </w:tcPr>
          <w:p w14:paraId="068F6D67" w14:textId="77777777" w:rsidR="00B628FF" w:rsidRDefault="00B628FF">
            <w:pPr>
              <w:pStyle w:val="MeasureTableYearHeadings"/>
              <w:keepNext/>
            </w:pPr>
          </w:p>
        </w:tc>
        <w:tc>
          <w:tcPr>
            <w:tcW w:w="1043" w:type="dxa"/>
            <w:tcBorders>
              <w:top w:val="single" w:sz="4" w:space="0" w:color="000000"/>
              <w:bottom w:val="single" w:sz="4" w:space="0" w:color="000000"/>
            </w:tcBorders>
          </w:tcPr>
          <w:p w14:paraId="4764BE24" w14:textId="0586E6DC" w:rsidR="00B628FF" w:rsidRDefault="005B2D2F">
            <w:pPr>
              <w:pStyle w:val="MeasureTableYearHeadings"/>
              <w:keepNext/>
            </w:pPr>
            <w:r>
              <w:t>2024</w:t>
            </w:r>
            <w:r w:rsidR="00B31B37">
              <w:noBreakHyphen/>
            </w:r>
            <w:r>
              <w:t>25</w:t>
            </w:r>
          </w:p>
        </w:tc>
        <w:tc>
          <w:tcPr>
            <w:tcW w:w="1043" w:type="dxa"/>
            <w:tcBorders>
              <w:top w:val="single" w:sz="4" w:space="0" w:color="000000"/>
              <w:bottom w:val="single" w:sz="4" w:space="0" w:color="000000"/>
            </w:tcBorders>
          </w:tcPr>
          <w:p w14:paraId="7EDF4DFB" w14:textId="49ED99D0" w:rsidR="00B628FF" w:rsidRDefault="005B2D2F">
            <w:pPr>
              <w:pStyle w:val="MeasureTableYearHeadings"/>
              <w:keepNext/>
            </w:pPr>
            <w:r>
              <w:t>2025</w:t>
            </w:r>
            <w:r w:rsidR="00B31B37">
              <w:noBreakHyphen/>
            </w:r>
            <w:r>
              <w:t>26</w:t>
            </w:r>
          </w:p>
        </w:tc>
        <w:tc>
          <w:tcPr>
            <w:tcW w:w="1043" w:type="dxa"/>
            <w:tcBorders>
              <w:top w:val="single" w:sz="4" w:space="0" w:color="000000"/>
              <w:bottom w:val="single" w:sz="4" w:space="0" w:color="000000"/>
            </w:tcBorders>
          </w:tcPr>
          <w:p w14:paraId="57BF8D65" w14:textId="21769AC7" w:rsidR="00B628FF" w:rsidRDefault="005B2D2F">
            <w:pPr>
              <w:pStyle w:val="MeasureTableYearHeadings"/>
              <w:keepNext/>
            </w:pPr>
            <w:r>
              <w:t>2026</w:t>
            </w:r>
            <w:r w:rsidR="00B31B37">
              <w:noBreakHyphen/>
            </w:r>
            <w:r>
              <w:t>27</w:t>
            </w:r>
          </w:p>
        </w:tc>
        <w:tc>
          <w:tcPr>
            <w:tcW w:w="1043" w:type="dxa"/>
            <w:tcBorders>
              <w:top w:val="single" w:sz="4" w:space="0" w:color="000000"/>
              <w:bottom w:val="single" w:sz="4" w:space="0" w:color="000000"/>
            </w:tcBorders>
          </w:tcPr>
          <w:p w14:paraId="6AA0353A" w14:textId="09BA9DBC" w:rsidR="00B628FF" w:rsidRDefault="005B2D2F">
            <w:pPr>
              <w:pStyle w:val="MeasureTableYearHeadings"/>
              <w:keepNext/>
            </w:pPr>
            <w:r>
              <w:t>2027</w:t>
            </w:r>
            <w:r w:rsidR="00B31B37">
              <w:noBreakHyphen/>
            </w:r>
            <w:r>
              <w:t>28</w:t>
            </w:r>
          </w:p>
        </w:tc>
        <w:tc>
          <w:tcPr>
            <w:tcW w:w="1043" w:type="dxa"/>
            <w:tcBorders>
              <w:top w:val="single" w:sz="4" w:space="0" w:color="000000"/>
              <w:bottom w:val="single" w:sz="4" w:space="0" w:color="000000"/>
            </w:tcBorders>
          </w:tcPr>
          <w:p w14:paraId="1F26F499" w14:textId="18B3ACC6" w:rsidR="00B628FF" w:rsidRDefault="005B2D2F">
            <w:pPr>
              <w:pStyle w:val="MeasureTableYearHeadings"/>
              <w:keepNext/>
            </w:pPr>
            <w:r>
              <w:t>2028</w:t>
            </w:r>
            <w:r w:rsidR="00B31B37">
              <w:noBreakHyphen/>
            </w:r>
            <w:r>
              <w:t>29</w:t>
            </w:r>
          </w:p>
        </w:tc>
      </w:tr>
      <w:tr w:rsidR="00B628FF" w14:paraId="098A062F" w14:textId="77777777">
        <w:trPr>
          <w:cantSplit/>
        </w:trPr>
        <w:tc>
          <w:tcPr>
            <w:tcW w:w="2500" w:type="dxa"/>
            <w:tcBorders>
              <w:top w:val="single" w:sz="4" w:space="0" w:color="000000"/>
              <w:bottom w:val="single" w:sz="4" w:space="0" w:color="000000"/>
            </w:tcBorders>
          </w:tcPr>
          <w:p w14:paraId="07074673" w14:textId="77777777" w:rsidR="00B628FF" w:rsidRDefault="005B2D2F">
            <w:pPr>
              <w:pStyle w:val="MeasureTableHeadingleftalignedwith2ptsspacing"/>
              <w:keepNext/>
            </w:pPr>
            <w:r>
              <w:t>Department of the Prime Minister and Cabinet</w:t>
            </w:r>
          </w:p>
        </w:tc>
        <w:tc>
          <w:tcPr>
            <w:tcW w:w="1043" w:type="dxa"/>
            <w:tcBorders>
              <w:top w:val="single" w:sz="4" w:space="0" w:color="000000"/>
              <w:bottom w:val="single" w:sz="4" w:space="0" w:color="000000"/>
            </w:tcBorders>
          </w:tcPr>
          <w:p w14:paraId="3D265D41" w14:textId="24BF9E67"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03D4584A" w14:textId="77777777" w:rsidR="00B628FF" w:rsidRDefault="005B2D2F">
            <w:pPr>
              <w:pStyle w:val="MeasureTableDataRightAlignedwith2ptsspacing"/>
              <w:keepNext/>
            </w:pPr>
            <w:r>
              <w:t>10.0</w:t>
            </w:r>
          </w:p>
        </w:tc>
        <w:tc>
          <w:tcPr>
            <w:tcW w:w="1043" w:type="dxa"/>
            <w:tcBorders>
              <w:top w:val="single" w:sz="4" w:space="0" w:color="000000"/>
              <w:bottom w:val="single" w:sz="4" w:space="0" w:color="000000"/>
            </w:tcBorders>
          </w:tcPr>
          <w:p w14:paraId="044BC1EA" w14:textId="55980A58"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695AD5DE" w14:textId="3DEF10E2"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5CCB97C3" w14:textId="7B5DE8A2" w:rsidR="00B628FF" w:rsidRDefault="00B31B37">
            <w:pPr>
              <w:pStyle w:val="MeasureTableDataRightAlignedwith2ptsspacing"/>
              <w:keepNext/>
            </w:pPr>
            <w:r>
              <w:noBreakHyphen/>
            </w:r>
          </w:p>
        </w:tc>
      </w:tr>
    </w:tbl>
    <w:p w14:paraId="3E5CE2BD" w14:textId="77777777" w:rsidR="00B628FF" w:rsidRDefault="005B2D2F" w:rsidP="00AE7DBC">
      <w:pPr>
        <w:pStyle w:val="Normal2"/>
        <w:spacing w:before="240"/>
      </w:pPr>
      <w:r>
        <w:t>The Government will provide $10.0 million in 2025–‍26 for the National Australia Day Council to continue to deliver community grants for Australia Day events.</w:t>
      </w:r>
    </w:p>
    <w:p w14:paraId="0C73424F" w14:textId="77777777" w:rsidR="00B628FF" w:rsidRDefault="005B2D2F">
      <w:pPr>
        <w:pStyle w:val="Normal2"/>
      </w:pPr>
      <w:r w:rsidRPr="5FA307DC">
        <w:rPr>
          <w:lang w:val="en-US"/>
        </w:rPr>
        <w:t xml:space="preserve">This measure builds on the 2024–‍25 Budget measure titled </w:t>
      </w:r>
      <w:r w:rsidRPr="5FA307DC">
        <w:rPr>
          <w:i/>
          <w:iCs/>
          <w:lang w:val="en-US"/>
        </w:rPr>
        <w:t>National Australia Day Council – additional resourcing</w:t>
      </w:r>
      <w:r w:rsidRPr="5FA307DC">
        <w:rPr>
          <w:lang w:val="en-US"/>
        </w:rPr>
        <w:t>.</w:t>
      </w:r>
    </w:p>
    <w:p w14:paraId="3CC3756A" w14:textId="77777777" w:rsidR="00B628FF" w:rsidRDefault="005B2D2F">
      <w:pPr>
        <w:pStyle w:val="MeasureTitle"/>
      </w:pPr>
      <w:r>
        <w:t>Northern Territory Remote Aboriginal Investment – future arrangements</w:t>
      </w:r>
    </w:p>
    <w:p w14:paraId="317C3D7F" w14:textId="77777777" w:rsidR="00B628FF" w:rsidRDefault="005B2D2F">
      <w:pPr>
        <w:pStyle w:val="MeasureTableHeading"/>
      </w:pPr>
      <w:r>
        <w:t>Payments ($m)</w:t>
      </w:r>
    </w:p>
    <w:tbl>
      <w:tblPr>
        <w:tblOverlap w:val="never"/>
        <w:tblW w:w="7721" w:type="dxa"/>
        <w:tblBorders>
          <w:top w:val="single" w:sz="4" w:space="0" w:color="000000"/>
          <w:bottom w:val="single" w:sz="4" w:space="0" w:color="000000"/>
        </w:tblBorders>
        <w:tblLayout w:type="fixed"/>
        <w:tblLook w:val="04A0" w:firstRow="1" w:lastRow="0" w:firstColumn="1" w:lastColumn="0" w:noHBand="0" w:noVBand="1"/>
      </w:tblPr>
      <w:tblGrid>
        <w:gridCol w:w="2501"/>
        <w:gridCol w:w="1044"/>
        <w:gridCol w:w="1044"/>
        <w:gridCol w:w="1044"/>
        <w:gridCol w:w="1044"/>
        <w:gridCol w:w="1044"/>
      </w:tblGrid>
      <w:tr w:rsidR="00B628FF" w14:paraId="43AF068E" w14:textId="77777777">
        <w:trPr>
          <w:cantSplit/>
        </w:trPr>
        <w:tc>
          <w:tcPr>
            <w:tcW w:w="2500" w:type="dxa"/>
            <w:tcBorders>
              <w:top w:val="single" w:sz="4" w:space="0" w:color="000000"/>
              <w:bottom w:val="single" w:sz="4" w:space="0" w:color="000000"/>
            </w:tcBorders>
          </w:tcPr>
          <w:p w14:paraId="065010C0" w14:textId="77777777" w:rsidR="00B628FF" w:rsidRDefault="00B628FF">
            <w:pPr>
              <w:pStyle w:val="MeasureTableYearHeadings"/>
              <w:keepNext/>
            </w:pPr>
          </w:p>
        </w:tc>
        <w:tc>
          <w:tcPr>
            <w:tcW w:w="1043" w:type="dxa"/>
            <w:tcBorders>
              <w:top w:val="single" w:sz="4" w:space="0" w:color="000000"/>
              <w:bottom w:val="single" w:sz="4" w:space="0" w:color="000000"/>
            </w:tcBorders>
          </w:tcPr>
          <w:p w14:paraId="489F4089" w14:textId="4594C6F5" w:rsidR="00B628FF" w:rsidRDefault="005B2D2F">
            <w:pPr>
              <w:pStyle w:val="MeasureTableYearHeadings"/>
              <w:keepNext/>
            </w:pPr>
            <w:r>
              <w:t>2024</w:t>
            </w:r>
            <w:r w:rsidR="00B31B37">
              <w:noBreakHyphen/>
            </w:r>
            <w:r>
              <w:t>25</w:t>
            </w:r>
          </w:p>
        </w:tc>
        <w:tc>
          <w:tcPr>
            <w:tcW w:w="1043" w:type="dxa"/>
            <w:tcBorders>
              <w:top w:val="single" w:sz="4" w:space="0" w:color="000000"/>
              <w:bottom w:val="single" w:sz="4" w:space="0" w:color="000000"/>
            </w:tcBorders>
          </w:tcPr>
          <w:p w14:paraId="207B96BF" w14:textId="0B71C04A" w:rsidR="00B628FF" w:rsidRDefault="005B2D2F">
            <w:pPr>
              <w:pStyle w:val="MeasureTableYearHeadings"/>
              <w:keepNext/>
            </w:pPr>
            <w:r>
              <w:t>2025</w:t>
            </w:r>
            <w:r w:rsidR="00B31B37">
              <w:noBreakHyphen/>
            </w:r>
            <w:r>
              <w:t>26</w:t>
            </w:r>
          </w:p>
        </w:tc>
        <w:tc>
          <w:tcPr>
            <w:tcW w:w="1043" w:type="dxa"/>
            <w:tcBorders>
              <w:top w:val="single" w:sz="4" w:space="0" w:color="000000"/>
              <w:bottom w:val="single" w:sz="4" w:space="0" w:color="000000"/>
            </w:tcBorders>
          </w:tcPr>
          <w:p w14:paraId="4052E219" w14:textId="30D947F5" w:rsidR="00B628FF" w:rsidRDefault="005B2D2F">
            <w:pPr>
              <w:pStyle w:val="MeasureTableYearHeadings"/>
              <w:keepNext/>
            </w:pPr>
            <w:r>
              <w:t>2026</w:t>
            </w:r>
            <w:r w:rsidR="00B31B37">
              <w:noBreakHyphen/>
            </w:r>
            <w:r>
              <w:t>27</w:t>
            </w:r>
          </w:p>
        </w:tc>
        <w:tc>
          <w:tcPr>
            <w:tcW w:w="1043" w:type="dxa"/>
            <w:tcBorders>
              <w:top w:val="single" w:sz="4" w:space="0" w:color="000000"/>
              <w:bottom w:val="single" w:sz="4" w:space="0" w:color="000000"/>
            </w:tcBorders>
          </w:tcPr>
          <w:p w14:paraId="46B8A236" w14:textId="14A37E5E" w:rsidR="00B628FF" w:rsidRDefault="005B2D2F">
            <w:pPr>
              <w:pStyle w:val="MeasureTableYearHeadings"/>
              <w:keepNext/>
            </w:pPr>
            <w:r>
              <w:t>2027</w:t>
            </w:r>
            <w:r w:rsidR="00B31B37">
              <w:noBreakHyphen/>
            </w:r>
            <w:r>
              <w:t>28</w:t>
            </w:r>
          </w:p>
        </w:tc>
        <w:tc>
          <w:tcPr>
            <w:tcW w:w="1043" w:type="dxa"/>
            <w:tcBorders>
              <w:top w:val="single" w:sz="4" w:space="0" w:color="000000"/>
              <w:bottom w:val="single" w:sz="4" w:space="0" w:color="000000"/>
            </w:tcBorders>
          </w:tcPr>
          <w:p w14:paraId="3433D63F" w14:textId="5A13A809" w:rsidR="00B628FF" w:rsidRDefault="005B2D2F">
            <w:pPr>
              <w:pStyle w:val="MeasureTableYearHeadings"/>
              <w:keepNext/>
            </w:pPr>
            <w:r>
              <w:t>2028</w:t>
            </w:r>
            <w:r w:rsidR="00B31B37">
              <w:noBreakHyphen/>
            </w:r>
            <w:r>
              <w:t>29</w:t>
            </w:r>
          </w:p>
        </w:tc>
      </w:tr>
      <w:tr w:rsidR="00B628FF" w14:paraId="6DC6678B" w14:textId="77777777">
        <w:trPr>
          <w:cantSplit/>
        </w:trPr>
        <w:tc>
          <w:tcPr>
            <w:tcW w:w="2500" w:type="dxa"/>
            <w:tcBorders>
              <w:top w:val="single" w:sz="4" w:space="0" w:color="000000"/>
              <w:bottom w:val="single" w:sz="4" w:space="0" w:color="000000"/>
            </w:tcBorders>
          </w:tcPr>
          <w:p w14:paraId="2C9B3CFE" w14:textId="77777777" w:rsidR="00B628FF" w:rsidRDefault="005B2D2F">
            <w:pPr>
              <w:pStyle w:val="MeasureTableHeadingleftalignedwith2ptsspacing"/>
              <w:keepNext/>
            </w:pPr>
            <w:r>
              <w:t>Department of Health and Aged Care</w:t>
            </w:r>
          </w:p>
        </w:tc>
        <w:tc>
          <w:tcPr>
            <w:tcW w:w="1043" w:type="dxa"/>
            <w:tcBorders>
              <w:top w:val="single" w:sz="4" w:space="0" w:color="000000"/>
              <w:bottom w:val="single" w:sz="4" w:space="0" w:color="000000"/>
            </w:tcBorders>
          </w:tcPr>
          <w:p w14:paraId="5A7FBA15" w14:textId="1FBB2D6A"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7112A15A" w14:textId="629F6BA9"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72C4DED9" w14:textId="1D49F7BE"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05A60D11" w14:textId="7927A9E0"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4E4FFDBF" w14:textId="62FDE333" w:rsidR="00B628FF" w:rsidRDefault="00B31B37">
            <w:pPr>
              <w:pStyle w:val="MeasureTableDataRightAlignedwith2ptsspacing"/>
              <w:keepNext/>
            </w:pPr>
            <w:r>
              <w:noBreakHyphen/>
            </w:r>
          </w:p>
        </w:tc>
      </w:tr>
      <w:tr w:rsidR="00B628FF" w14:paraId="1E32822F" w14:textId="77777777">
        <w:trPr>
          <w:cantSplit/>
        </w:trPr>
        <w:tc>
          <w:tcPr>
            <w:tcW w:w="2500" w:type="dxa"/>
            <w:tcBorders>
              <w:top w:val="single" w:sz="4" w:space="0" w:color="000000"/>
              <w:bottom w:val="single" w:sz="4" w:space="0" w:color="000000"/>
            </w:tcBorders>
          </w:tcPr>
          <w:p w14:paraId="6F7F338F" w14:textId="77777777" w:rsidR="00B628FF" w:rsidRDefault="005B2D2F">
            <w:pPr>
              <w:pStyle w:val="MeasureTableHeadingleftalignedwith2ptsspacing"/>
              <w:keepNext/>
            </w:pPr>
            <w:r>
              <w:t>Department of the Treasury</w:t>
            </w:r>
          </w:p>
        </w:tc>
        <w:tc>
          <w:tcPr>
            <w:tcW w:w="1043" w:type="dxa"/>
            <w:tcBorders>
              <w:top w:val="single" w:sz="4" w:space="0" w:color="000000"/>
              <w:bottom w:val="single" w:sz="4" w:space="0" w:color="000000"/>
            </w:tcBorders>
          </w:tcPr>
          <w:p w14:paraId="7DE9DCB9" w14:textId="08566477"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0FC59514" w14:textId="6FA73FF0"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29F4DB16" w14:textId="6283212E"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3185A506" w14:textId="2AB0B568"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6F189C56" w14:textId="3285D31B" w:rsidR="00B628FF" w:rsidRDefault="00B31B37">
            <w:pPr>
              <w:pStyle w:val="MeasureTableDataRightAlignedwith2ptsspacing"/>
              <w:keepNext/>
            </w:pPr>
            <w:r>
              <w:noBreakHyphen/>
            </w:r>
          </w:p>
        </w:tc>
      </w:tr>
      <w:tr w:rsidR="00B628FF" w14:paraId="79AD10AC" w14:textId="77777777">
        <w:trPr>
          <w:cantSplit/>
        </w:trPr>
        <w:tc>
          <w:tcPr>
            <w:tcW w:w="2500" w:type="dxa"/>
            <w:tcBorders>
              <w:top w:val="single" w:sz="4" w:space="0" w:color="000000"/>
              <w:bottom w:val="single" w:sz="4" w:space="0" w:color="000000"/>
            </w:tcBorders>
          </w:tcPr>
          <w:p w14:paraId="12B91121" w14:textId="77777777" w:rsidR="00B628FF" w:rsidRDefault="005B2D2F">
            <w:pPr>
              <w:pStyle w:val="MeasureTableHeadingleftalignedwith2ptsspacing"/>
              <w:keepNext/>
            </w:pPr>
            <w:r>
              <w:t>National Indigenous Australians Agency</w:t>
            </w:r>
          </w:p>
        </w:tc>
        <w:tc>
          <w:tcPr>
            <w:tcW w:w="1043" w:type="dxa"/>
            <w:tcBorders>
              <w:top w:val="single" w:sz="4" w:space="0" w:color="000000"/>
              <w:bottom w:val="single" w:sz="4" w:space="0" w:color="000000"/>
            </w:tcBorders>
          </w:tcPr>
          <w:p w14:paraId="60D2E079" w14:textId="57710A5B"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14FA78B9" w14:textId="743C7084"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67F600DC" w14:textId="462B6424"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638BE5D7" w14:textId="616044C2"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08FD54DB" w14:textId="7932C668" w:rsidR="00B628FF" w:rsidRDefault="00B31B37">
            <w:pPr>
              <w:pStyle w:val="MeasureTableDataRightAlignedwith2ptsspacing"/>
              <w:keepNext/>
            </w:pPr>
            <w:r>
              <w:noBreakHyphen/>
            </w:r>
          </w:p>
        </w:tc>
      </w:tr>
      <w:tr w:rsidR="00B628FF" w14:paraId="2297BFE0" w14:textId="77777777">
        <w:trPr>
          <w:cantSplit/>
        </w:trPr>
        <w:tc>
          <w:tcPr>
            <w:tcW w:w="2500" w:type="dxa"/>
            <w:tcBorders>
              <w:top w:val="single" w:sz="4" w:space="0" w:color="000000"/>
              <w:bottom w:val="single" w:sz="4" w:space="0" w:color="000000"/>
            </w:tcBorders>
          </w:tcPr>
          <w:p w14:paraId="7F65A2BF" w14:textId="77777777" w:rsidR="00B628FF" w:rsidRDefault="005B2D2F">
            <w:pPr>
              <w:pStyle w:val="Totalrowleftaligned"/>
              <w:keepNext/>
            </w:pPr>
            <w:r>
              <w:t>Total – Payments</w:t>
            </w:r>
          </w:p>
        </w:tc>
        <w:tc>
          <w:tcPr>
            <w:tcW w:w="1043" w:type="dxa"/>
            <w:tcBorders>
              <w:top w:val="single" w:sz="4" w:space="0" w:color="000000"/>
              <w:bottom w:val="single" w:sz="4" w:space="0" w:color="000000"/>
            </w:tcBorders>
          </w:tcPr>
          <w:p w14:paraId="79217AC9" w14:textId="12F1BE89" w:rsidR="00B628FF" w:rsidRDefault="00B31B37">
            <w:pPr>
              <w:pStyle w:val="Totaldatarowrightaligned"/>
              <w:keepNext/>
            </w:pPr>
            <w:r>
              <w:noBreakHyphen/>
            </w:r>
          </w:p>
        </w:tc>
        <w:tc>
          <w:tcPr>
            <w:tcW w:w="1043" w:type="dxa"/>
            <w:tcBorders>
              <w:top w:val="single" w:sz="4" w:space="0" w:color="000000"/>
              <w:bottom w:val="single" w:sz="4" w:space="0" w:color="000000"/>
            </w:tcBorders>
          </w:tcPr>
          <w:p w14:paraId="14706589" w14:textId="7F2D08FF" w:rsidR="00B628FF" w:rsidRDefault="00B31B37">
            <w:pPr>
              <w:pStyle w:val="Totaldatarowrightaligned"/>
              <w:keepNext/>
            </w:pPr>
            <w:r>
              <w:noBreakHyphen/>
            </w:r>
          </w:p>
        </w:tc>
        <w:tc>
          <w:tcPr>
            <w:tcW w:w="1043" w:type="dxa"/>
            <w:tcBorders>
              <w:top w:val="single" w:sz="4" w:space="0" w:color="000000"/>
              <w:bottom w:val="single" w:sz="4" w:space="0" w:color="000000"/>
            </w:tcBorders>
          </w:tcPr>
          <w:p w14:paraId="36F3FDA1" w14:textId="2714DB08" w:rsidR="00B628FF" w:rsidRDefault="00B31B37">
            <w:pPr>
              <w:pStyle w:val="Totaldatarowrightaligned"/>
              <w:keepNext/>
            </w:pPr>
            <w:r>
              <w:noBreakHyphen/>
            </w:r>
          </w:p>
        </w:tc>
        <w:tc>
          <w:tcPr>
            <w:tcW w:w="1043" w:type="dxa"/>
            <w:tcBorders>
              <w:top w:val="single" w:sz="4" w:space="0" w:color="000000"/>
              <w:bottom w:val="single" w:sz="4" w:space="0" w:color="000000"/>
            </w:tcBorders>
          </w:tcPr>
          <w:p w14:paraId="4955E08E" w14:textId="7B496C07" w:rsidR="00B628FF" w:rsidRDefault="00B31B37">
            <w:pPr>
              <w:pStyle w:val="Totaldatarowrightaligned"/>
              <w:keepNext/>
            </w:pPr>
            <w:r>
              <w:noBreakHyphen/>
            </w:r>
          </w:p>
        </w:tc>
        <w:tc>
          <w:tcPr>
            <w:tcW w:w="1043" w:type="dxa"/>
            <w:tcBorders>
              <w:top w:val="single" w:sz="4" w:space="0" w:color="000000"/>
              <w:bottom w:val="single" w:sz="4" w:space="0" w:color="000000"/>
            </w:tcBorders>
          </w:tcPr>
          <w:p w14:paraId="7E9483F8" w14:textId="179EF978" w:rsidR="00B628FF" w:rsidRDefault="00B31B37">
            <w:pPr>
              <w:pStyle w:val="Totaldatarowrightaligned"/>
              <w:keepNext/>
            </w:pPr>
            <w:r>
              <w:noBreakHyphen/>
            </w:r>
          </w:p>
        </w:tc>
      </w:tr>
    </w:tbl>
    <w:p w14:paraId="0D2A91A0" w14:textId="33E7B00C" w:rsidR="00B628FF" w:rsidRDefault="005B2D2F" w:rsidP="00AE7DBC">
      <w:pPr>
        <w:pStyle w:val="Normal2"/>
        <w:spacing w:before="240"/>
      </w:pPr>
      <w:r w:rsidRPr="5FA307DC">
        <w:rPr>
          <w:lang w:val="en-US"/>
        </w:rPr>
        <w:t>The Government will provide $842.6 million over six years from 2025–‍26 for a six‑year National Partnership on Northern Territory Remote Aboriginal Investment (Partnership) with the Northern Territory Government and Aboriginal Peak Organisations Northern Territory. The Partnership will support design and delivery of essential services for remote communities including policing, women</w:t>
      </w:r>
      <w:r w:rsidR="00B31B37">
        <w:rPr>
          <w:lang w:val="en-US"/>
        </w:rPr>
        <w:t>’</w:t>
      </w:r>
      <w:r w:rsidRPr="5FA307DC">
        <w:rPr>
          <w:lang w:val="en-US"/>
        </w:rPr>
        <w:t>s safety, health and education.</w:t>
      </w:r>
    </w:p>
    <w:p w14:paraId="35216E3C" w14:textId="77777777" w:rsidR="00B628FF" w:rsidRDefault="005B2D2F">
      <w:pPr>
        <w:pStyle w:val="Normal2"/>
      </w:pPr>
      <w:r>
        <w:t>The Government has already provided funding for this measure.</w:t>
      </w:r>
    </w:p>
    <w:p w14:paraId="5E8EB5BB" w14:textId="77777777" w:rsidR="00B628FF" w:rsidRDefault="005B2D2F">
      <w:pPr>
        <w:pStyle w:val="Normal2"/>
      </w:pPr>
      <w:r>
        <w:t>The Treasury manages Commonwealth payments to the states and territories.</w:t>
      </w:r>
    </w:p>
    <w:p w14:paraId="23DEC125" w14:textId="73A8CC2D" w:rsidR="00B628FF" w:rsidRDefault="005B2D2F">
      <w:pPr>
        <w:pStyle w:val="Normal2"/>
      </w:pPr>
      <w:r>
        <w:t xml:space="preserve">This measure builds on the 2024–‍25 Budget measure titled </w:t>
      </w:r>
      <w:r w:rsidRPr="005B2D2F">
        <w:rPr>
          <w:i/>
        </w:rPr>
        <w:t>Further Investment to Closing</w:t>
      </w:r>
      <w:r w:rsidR="00F6155C">
        <w:rPr>
          <w:i/>
        </w:rPr>
        <w:t> </w:t>
      </w:r>
      <w:r w:rsidRPr="005B2D2F">
        <w:rPr>
          <w:i/>
        </w:rPr>
        <w:t>the</w:t>
      </w:r>
      <w:r w:rsidR="00F6155C">
        <w:rPr>
          <w:i/>
        </w:rPr>
        <w:t> </w:t>
      </w:r>
      <w:r w:rsidRPr="005B2D2F">
        <w:rPr>
          <w:i/>
        </w:rPr>
        <w:t xml:space="preserve">Gap. </w:t>
      </w:r>
    </w:p>
    <w:p w14:paraId="33A465BC" w14:textId="77777777" w:rsidR="00B628FF" w:rsidRDefault="005B2D2F">
      <w:pPr>
        <w:pStyle w:val="MeasureTitle"/>
      </w:pPr>
      <w:r w:rsidRPr="5FA307DC">
        <w:rPr>
          <w:lang w:val="en-US"/>
        </w:rPr>
        <w:t>Prime Minister and Cabinet – additional resourcing</w:t>
      </w:r>
    </w:p>
    <w:p w14:paraId="44DFA71A" w14:textId="77777777" w:rsidR="00B628FF" w:rsidRDefault="005B2D2F">
      <w:pPr>
        <w:pStyle w:val="MeasureTableHeading"/>
      </w:pPr>
      <w:r>
        <w:t>Payments ($m)</w:t>
      </w:r>
    </w:p>
    <w:tbl>
      <w:tblPr>
        <w:tblOverlap w:val="never"/>
        <w:tblW w:w="7721" w:type="dxa"/>
        <w:tblBorders>
          <w:top w:val="single" w:sz="4" w:space="0" w:color="000000"/>
          <w:bottom w:val="single" w:sz="4" w:space="0" w:color="000000"/>
        </w:tblBorders>
        <w:tblLayout w:type="fixed"/>
        <w:tblLook w:val="04A0" w:firstRow="1" w:lastRow="0" w:firstColumn="1" w:lastColumn="0" w:noHBand="0" w:noVBand="1"/>
      </w:tblPr>
      <w:tblGrid>
        <w:gridCol w:w="2501"/>
        <w:gridCol w:w="1044"/>
        <w:gridCol w:w="1044"/>
        <w:gridCol w:w="1044"/>
        <w:gridCol w:w="1044"/>
        <w:gridCol w:w="1044"/>
      </w:tblGrid>
      <w:tr w:rsidR="00B628FF" w14:paraId="773372BB" w14:textId="77777777">
        <w:trPr>
          <w:cantSplit/>
        </w:trPr>
        <w:tc>
          <w:tcPr>
            <w:tcW w:w="2500" w:type="dxa"/>
            <w:tcBorders>
              <w:top w:val="single" w:sz="4" w:space="0" w:color="000000"/>
              <w:bottom w:val="single" w:sz="4" w:space="0" w:color="000000"/>
            </w:tcBorders>
          </w:tcPr>
          <w:p w14:paraId="531A6710" w14:textId="77777777" w:rsidR="00B628FF" w:rsidRDefault="00B628FF">
            <w:pPr>
              <w:pStyle w:val="MeasureTableYearHeadings"/>
              <w:keepNext/>
            </w:pPr>
          </w:p>
        </w:tc>
        <w:tc>
          <w:tcPr>
            <w:tcW w:w="1043" w:type="dxa"/>
            <w:tcBorders>
              <w:top w:val="single" w:sz="4" w:space="0" w:color="000000"/>
              <w:bottom w:val="single" w:sz="4" w:space="0" w:color="000000"/>
            </w:tcBorders>
          </w:tcPr>
          <w:p w14:paraId="36F0A9C1" w14:textId="33FAF688" w:rsidR="00B628FF" w:rsidRDefault="005B2D2F">
            <w:pPr>
              <w:pStyle w:val="MeasureTableYearHeadings"/>
              <w:keepNext/>
            </w:pPr>
            <w:r>
              <w:t>2024</w:t>
            </w:r>
            <w:r w:rsidR="00B31B37">
              <w:noBreakHyphen/>
            </w:r>
            <w:r>
              <w:t>25</w:t>
            </w:r>
          </w:p>
        </w:tc>
        <w:tc>
          <w:tcPr>
            <w:tcW w:w="1043" w:type="dxa"/>
            <w:tcBorders>
              <w:top w:val="single" w:sz="4" w:space="0" w:color="000000"/>
              <w:bottom w:val="single" w:sz="4" w:space="0" w:color="000000"/>
            </w:tcBorders>
          </w:tcPr>
          <w:p w14:paraId="49AD1BE4" w14:textId="043B1297" w:rsidR="00B628FF" w:rsidRDefault="005B2D2F">
            <w:pPr>
              <w:pStyle w:val="MeasureTableYearHeadings"/>
              <w:keepNext/>
            </w:pPr>
            <w:r>
              <w:t>2025</w:t>
            </w:r>
            <w:r w:rsidR="00B31B37">
              <w:noBreakHyphen/>
            </w:r>
            <w:r>
              <w:t>26</w:t>
            </w:r>
          </w:p>
        </w:tc>
        <w:tc>
          <w:tcPr>
            <w:tcW w:w="1043" w:type="dxa"/>
            <w:tcBorders>
              <w:top w:val="single" w:sz="4" w:space="0" w:color="000000"/>
              <w:bottom w:val="single" w:sz="4" w:space="0" w:color="000000"/>
            </w:tcBorders>
          </w:tcPr>
          <w:p w14:paraId="1113DE4F" w14:textId="1498F775" w:rsidR="00B628FF" w:rsidRDefault="005B2D2F">
            <w:pPr>
              <w:pStyle w:val="MeasureTableYearHeadings"/>
              <w:keepNext/>
            </w:pPr>
            <w:r>
              <w:t>2026</w:t>
            </w:r>
            <w:r w:rsidR="00B31B37">
              <w:noBreakHyphen/>
            </w:r>
            <w:r>
              <w:t>27</w:t>
            </w:r>
          </w:p>
        </w:tc>
        <w:tc>
          <w:tcPr>
            <w:tcW w:w="1043" w:type="dxa"/>
            <w:tcBorders>
              <w:top w:val="single" w:sz="4" w:space="0" w:color="000000"/>
              <w:bottom w:val="single" w:sz="4" w:space="0" w:color="000000"/>
            </w:tcBorders>
          </w:tcPr>
          <w:p w14:paraId="4244466E" w14:textId="545978E2" w:rsidR="00B628FF" w:rsidRDefault="005B2D2F">
            <w:pPr>
              <w:pStyle w:val="MeasureTableYearHeadings"/>
              <w:keepNext/>
            </w:pPr>
            <w:r>
              <w:t>2027</w:t>
            </w:r>
            <w:r w:rsidR="00B31B37">
              <w:noBreakHyphen/>
            </w:r>
            <w:r>
              <w:t>28</w:t>
            </w:r>
          </w:p>
        </w:tc>
        <w:tc>
          <w:tcPr>
            <w:tcW w:w="1043" w:type="dxa"/>
            <w:tcBorders>
              <w:top w:val="single" w:sz="4" w:space="0" w:color="000000"/>
              <w:bottom w:val="single" w:sz="4" w:space="0" w:color="000000"/>
            </w:tcBorders>
          </w:tcPr>
          <w:p w14:paraId="504EB99C" w14:textId="3A0B03A5" w:rsidR="00B628FF" w:rsidRDefault="005B2D2F">
            <w:pPr>
              <w:pStyle w:val="MeasureTableYearHeadings"/>
              <w:keepNext/>
            </w:pPr>
            <w:r>
              <w:t>2028</w:t>
            </w:r>
            <w:r w:rsidR="00B31B37">
              <w:noBreakHyphen/>
            </w:r>
            <w:r>
              <w:t>29</w:t>
            </w:r>
          </w:p>
        </w:tc>
      </w:tr>
      <w:tr w:rsidR="00B628FF" w14:paraId="0F6078A5" w14:textId="77777777">
        <w:trPr>
          <w:cantSplit/>
        </w:trPr>
        <w:tc>
          <w:tcPr>
            <w:tcW w:w="2500" w:type="dxa"/>
            <w:tcBorders>
              <w:top w:val="single" w:sz="4" w:space="0" w:color="000000"/>
              <w:bottom w:val="single" w:sz="4" w:space="0" w:color="000000"/>
            </w:tcBorders>
          </w:tcPr>
          <w:p w14:paraId="0BC560B4" w14:textId="77777777" w:rsidR="00B628FF" w:rsidRDefault="005B2D2F">
            <w:pPr>
              <w:pStyle w:val="MeasureTableHeadingleftalignedwith2ptsspacing"/>
              <w:keepNext/>
            </w:pPr>
            <w:r>
              <w:t>Office of National Intelligence</w:t>
            </w:r>
          </w:p>
        </w:tc>
        <w:tc>
          <w:tcPr>
            <w:tcW w:w="1043" w:type="dxa"/>
            <w:tcBorders>
              <w:top w:val="single" w:sz="4" w:space="0" w:color="000000"/>
              <w:bottom w:val="single" w:sz="4" w:space="0" w:color="000000"/>
            </w:tcBorders>
          </w:tcPr>
          <w:p w14:paraId="2E1B9B1B" w14:textId="7D79A113"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741A19BF" w14:textId="77777777" w:rsidR="00B628FF" w:rsidRDefault="005B2D2F">
            <w:pPr>
              <w:pStyle w:val="MeasureTableDataRightAlignedwith2ptsspacing"/>
              <w:keepNext/>
            </w:pPr>
            <w:r>
              <w:t>13.7</w:t>
            </w:r>
          </w:p>
        </w:tc>
        <w:tc>
          <w:tcPr>
            <w:tcW w:w="1043" w:type="dxa"/>
            <w:tcBorders>
              <w:top w:val="single" w:sz="4" w:space="0" w:color="000000"/>
              <w:bottom w:val="single" w:sz="4" w:space="0" w:color="000000"/>
            </w:tcBorders>
          </w:tcPr>
          <w:p w14:paraId="285AA468" w14:textId="77777777" w:rsidR="00B628FF" w:rsidRDefault="005B2D2F">
            <w:pPr>
              <w:pStyle w:val="MeasureTableDataRightAlignedwith2ptsspacing"/>
              <w:keepNext/>
            </w:pPr>
            <w:r>
              <w:t>16.1</w:t>
            </w:r>
          </w:p>
        </w:tc>
        <w:tc>
          <w:tcPr>
            <w:tcW w:w="1043" w:type="dxa"/>
            <w:tcBorders>
              <w:top w:val="single" w:sz="4" w:space="0" w:color="000000"/>
              <w:bottom w:val="single" w:sz="4" w:space="0" w:color="000000"/>
            </w:tcBorders>
          </w:tcPr>
          <w:p w14:paraId="3861F28A" w14:textId="37571326"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20A259EC" w14:textId="18E0AD06" w:rsidR="00B628FF" w:rsidRDefault="00B31B37">
            <w:pPr>
              <w:pStyle w:val="MeasureTableDataRightAlignedwith2ptsspacing"/>
              <w:keepNext/>
            </w:pPr>
            <w:r>
              <w:noBreakHyphen/>
            </w:r>
          </w:p>
        </w:tc>
      </w:tr>
      <w:tr w:rsidR="00B628FF" w14:paraId="32F7932B" w14:textId="77777777">
        <w:trPr>
          <w:cantSplit/>
        </w:trPr>
        <w:tc>
          <w:tcPr>
            <w:tcW w:w="2500" w:type="dxa"/>
            <w:tcBorders>
              <w:top w:val="single" w:sz="4" w:space="0" w:color="000000"/>
              <w:bottom w:val="single" w:sz="4" w:space="0" w:color="000000"/>
            </w:tcBorders>
          </w:tcPr>
          <w:p w14:paraId="0301177B" w14:textId="77777777" w:rsidR="00B628FF" w:rsidRDefault="005B2D2F">
            <w:pPr>
              <w:pStyle w:val="MeasureTableHeadingleftalignedwith2ptsspacing"/>
              <w:keepNext/>
            </w:pPr>
            <w:r>
              <w:t>Australian Public Service Commission</w:t>
            </w:r>
          </w:p>
        </w:tc>
        <w:tc>
          <w:tcPr>
            <w:tcW w:w="1043" w:type="dxa"/>
            <w:tcBorders>
              <w:top w:val="single" w:sz="4" w:space="0" w:color="000000"/>
              <w:bottom w:val="single" w:sz="4" w:space="0" w:color="000000"/>
            </w:tcBorders>
          </w:tcPr>
          <w:p w14:paraId="5BEE6C60" w14:textId="7168AC1F"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64C07C89" w14:textId="77777777" w:rsidR="00B628FF" w:rsidRDefault="005B2D2F">
            <w:pPr>
              <w:pStyle w:val="MeasureTableDataRightAlignedwith2ptsspacing"/>
              <w:keepNext/>
            </w:pPr>
            <w:r>
              <w:t>2.5</w:t>
            </w:r>
          </w:p>
        </w:tc>
        <w:tc>
          <w:tcPr>
            <w:tcW w:w="1043" w:type="dxa"/>
            <w:tcBorders>
              <w:top w:val="single" w:sz="4" w:space="0" w:color="000000"/>
              <w:bottom w:val="single" w:sz="4" w:space="0" w:color="000000"/>
            </w:tcBorders>
          </w:tcPr>
          <w:p w14:paraId="4776868F" w14:textId="77777777" w:rsidR="00B628FF" w:rsidRDefault="005B2D2F">
            <w:pPr>
              <w:pStyle w:val="MeasureTableDataRightAlignedwith2ptsspacing"/>
              <w:keepNext/>
            </w:pPr>
            <w:r>
              <w:t>1.2</w:t>
            </w:r>
          </w:p>
        </w:tc>
        <w:tc>
          <w:tcPr>
            <w:tcW w:w="1043" w:type="dxa"/>
            <w:tcBorders>
              <w:top w:val="single" w:sz="4" w:space="0" w:color="000000"/>
              <w:bottom w:val="single" w:sz="4" w:space="0" w:color="000000"/>
            </w:tcBorders>
          </w:tcPr>
          <w:p w14:paraId="29150048" w14:textId="30E0D5A4"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25B885F3" w14:textId="4B55F6F4" w:rsidR="00B628FF" w:rsidRDefault="00B31B37">
            <w:pPr>
              <w:pStyle w:val="MeasureTableDataRightAlignedwith2ptsspacing"/>
              <w:keepNext/>
            </w:pPr>
            <w:r>
              <w:noBreakHyphen/>
            </w:r>
          </w:p>
        </w:tc>
      </w:tr>
      <w:tr w:rsidR="00B628FF" w14:paraId="2CAC1AF1" w14:textId="77777777">
        <w:trPr>
          <w:cantSplit/>
        </w:trPr>
        <w:tc>
          <w:tcPr>
            <w:tcW w:w="2500" w:type="dxa"/>
            <w:tcBorders>
              <w:top w:val="single" w:sz="4" w:space="0" w:color="000000"/>
              <w:bottom w:val="single" w:sz="4" w:space="0" w:color="000000"/>
            </w:tcBorders>
          </w:tcPr>
          <w:p w14:paraId="5ED5B4EE" w14:textId="77777777" w:rsidR="00B628FF" w:rsidRDefault="005B2D2F">
            <w:pPr>
              <w:pStyle w:val="MeasureTableHeadingleftalignedwith2ptsspacing"/>
              <w:keepNext/>
            </w:pPr>
            <w:r>
              <w:t>Workplace Gender Equality Agency</w:t>
            </w:r>
          </w:p>
        </w:tc>
        <w:tc>
          <w:tcPr>
            <w:tcW w:w="1043" w:type="dxa"/>
            <w:tcBorders>
              <w:top w:val="single" w:sz="4" w:space="0" w:color="000000"/>
              <w:bottom w:val="single" w:sz="4" w:space="0" w:color="000000"/>
            </w:tcBorders>
          </w:tcPr>
          <w:p w14:paraId="478B0645" w14:textId="784CCF77"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3B7C6FEA" w14:textId="77777777" w:rsidR="00B628FF" w:rsidRDefault="005B2D2F">
            <w:pPr>
              <w:pStyle w:val="MeasureTableDataRightAlignedwith2ptsspacing"/>
              <w:keepNext/>
            </w:pPr>
            <w:r>
              <w:t>1.1</w:t>
            </w:r>
          </w:p>
        </w:tc>
        <w:tc>
          <w:tcPr>
            <w:tcW w:w="1043" w:type="dxa"/>
            <w:tcBorders>
              <w:top w:val="single" w:sz="4" w:space="0" w:color="000000"/>
              <w:bottom w:val="single" w:sz="4" w:space="0" w:color="000000"/>
            </w:tcBorders>
          </w:tcPr>
          <w:p w14:paraId="2FDE3E99" w14:textId="22780301"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7C143E35" w14:textId="3EC156CE"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2FA37429" w14:textId="20DFFC56" w:rsidR="00B628FF" w:rsidRDefault="00B31B37">
            <w:pPr>
              <w:pStyle w:val="MeasureTableDataRightAlignedwith2ptsspacing"/>
              <w:keepNext/>
            </w:pPr>
            <w:r>
              <w:noBreakHyphen/>
            </w:r>
          </w:p>
        </w:tc>
      </w:tr>
      <w:tr w:rsidR="00B628FF" w14:paraId="1E6E8A92" w14:textId="77777777">
        <w:trPr>
          <w:cantSplit/>
        </w:trPr>
        <w:tc>
          <w:tcPr>
            <w:tcW w:w="2500" w:type="dxa"/>
            <w:tcBorders>
              <w:top w:val="single" w:sz="4" w:space="0" w:color="000000"/>
              <w:bottom w:val="single" w:sz="4" w:space="0" w:color="000000"/>
            </w:tcBorders>
          </w:tcPr>
          <w:p w14:paraId="6192656B" w14:textId="77777777" w:rsidR="00B628FF" w:rsidRDefault="005B2D2F">
            <w:pPr>
              <w:pStyle w:val="MeasureTableHeadingleftalignedwith2ptsspacing"/>
              <w:keepNext/>
            </w:pPr>
            <w:r>
              <w:t>Department of Finance</w:t>
            </w:r>
          </w:p>
        </w:tc>
        <w:tc>
          <w:tcPr>
            <w:tcW w:w="1043" w:type="dxa"/>
            <w:tcBorders>
              <w:top w:val="single" w:sz="4" w:space="0" w:color="000000"/>
              <w:bottom w:val="single" w:sz="4" w:space="0" w:color="000000"/>
            </w:tcBorders>
          </w:tcPr>
          <w:p w14:paraId="484999DB" w14:textId="73022319"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4AA0342F" w14:textId="77777777" w:rsidR="00B628FF" w:rsidRDefault="005B2D2F">
            <w:pPr>
              <w:pStyle w:val="MeasureTableDataRightAlignedwith2ptsspacing"/>
              <w:keepNext/>
            </w:pPr>
            <w:r>
              <w:t>nfp</w:t>
            </w:r>
          </w:p>
        </w:tc>
        <w:tc>
          <w:tcPr>
            <w:tcW w:w="1043" w:type="dxa"/>
            <w:tcBorders>
              <w:top w:val="single" w:sz="4" w:space="0" w:color="000000"/>
              <w:bottom w:val="single" w:sz="4" w:space="0" w:color="000000"/>
            </w:tcBorders>
          </w:tcPr>
          <w:p w14:paraId="7EFECFCE" w14:textId="77777777" w:rsidR="00B628FF" w:rsidRDefault="005B2D2F">
            <w:pPr>
              <w:pStyle w:val="MeasureTableDataRightAlignedwith2ptsspacing"/>
              <w:keepNext/>
            </w:pPr>
            <w:r>
              <w:t>nfp</w:t>
            </w:r>
          </w:p>
        </w:tc>
        <w:tc>
          <w:tcPr>
            <w:tcW w:w="1043" w:type="dxa"/>
            <w:tcBorders>
              <w:top w:val="single" w:sz="4" w:space="0" w:color="000000"/>
              <w:bottom w:val="single" w:sz="4" w:space="0" w:color="000000"/>
            </w:tcBorders>
          </w:tcPr>
          <w:p w14:paraId="1076FEC9" w14:textId="77777777" w:rsidR="00B628FF" w:rsidRDefault="005B2D2F">
            <w:pPr>
              <w:pStyle w:val="MeasureTableDataRightAlignedwith2ptsspacing"/>
              <w:keepNext/>
            </w:pPr>
            <w:r>
              <w:t>nfp</w:t>
            </w:r>
          </w:p>
        </w:tc>
        <w:tc>
          <w:tcPr>
            <w:tcW w:w="1043" w:type="dxa"/>
            <w:tcBorders>
              <w:top w:val="single" w:sz="4" w:space="0" w:color="000000"/>
              <w:bottom w:val="single" w:sz="4" w:space="0" w:color="000000"/>
            </w:tcBorders>
          </w:tcPr>
          <w:p w14:paraId="40191CB1" w14:textId="65881441" w:rsidR="00B628FF" w:rsidRDefault="00B31B37">
            <w:pPr>
              <w:pStyle w:val="MeasureTableDataRightAlignedwith2ptsspacing"/>
              <w:keepNext/>
            </w:pPr>
            <w:r>
              <w:noBreakHyphen/>
            </w:r>
          </w:p>
        </w:tc>
      </w:tr>
      <w:tr w:rsidR="00B628FF" w14:paraId="23F798FA" w14:textId="77777777">
        <w:trPr>
          <w:cantSplit/>
        </w:trPr>
        <w:tc>
          <w:tcPr>
            <w:tcW w:w="2500" w:type="dxa"/>
            <w:tcBorders>
              <w:top w:val="single" w:sz="4" w:space="0" w:color="000000"/>
              <w:bottom w:val="single" w:sz="4" w:space="0" w:color="000000"/>
            </w:tcBorders>
          </w:tcPr>
          <w:p w14:paraId="11C6B578" w14:textId="77777777" w:rsidR="00B628FF" w:rsidRDefault="005B2D2F">
            <w:pPr>
              <w:pStyle w:val="MeasureTableHeadingleftalignedwith2ptsspacing"/>
              <w:keepNext/>
            </w:pPr>
            <w:r>
              <w:t>Digital Transformation Agency</w:t>
            </w:r>
          </w:p>
        </w:tc>
        <w:tc>
          <w:tcPr>
            <w:tcW w:w="1043" w:type="dxa"/>
            <w:tcBorders>
              <w:top w:val="single" w:sz="4" w:space="0" w:color="000000"/>
              <w:bottom w:val="single" w:sz="4" w:space="0" w:color="000000"/>
            </w:tcBorders>
          </w:tcPr>
          <w:p w14:paraId="0F2C7970" w14:textId="69610B67"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383B840C" w14:textId="77777777" w:rsidR="00B628FF" w:rsidRDefault="005B2D2F">
            <w:pPr>
              <w:pStyle w:val="MeasureTableDataRightAlignedwith2ptsspacing"/>
              <w:keepNext/>
            </w:pPr>
            <w:r>
              <w:t>nfp</w:t>
            </w:r>
          </w:p>
        </w:tc>
        <w:tc>
          <w:tcPr>
            <w:tcW w:w="1043" w:type="dxa"/>
            <w:tcBorders>
              <w:top w:val="single" w:sz="4" w:space="0" w:color="000000"/>
              <w:bottom w:val="single" w:sz="4" w:space="0" w:color="000000"/>
            </w:tcBorders>
          </w:tcPr>
          <w:p w14:paraId="5E458957" w14:textId="77777777" w:rsidR="00B628FF" w:rsidRDefault="005B2D2F">
            <w:pPr>
              <w:pStyle w:val="MeasureTableDataRightAlignedwith2ptsspacing"/>
              <w:keepNext/>
            </w:pPr>
            <w:r>
              <w:t>nfp</w:t>
            </w:r>
          </w:p>
        </w:tc>
        <w:tc>
          <w:tcPr>
            <w:tcW w:w="1043" w:type="dxa"/>
            <w:tcBorders>
              <w:top w:val="single" w:sz="4" w:space="0" w:color="000000"/>
              <w:bottom w:val="single" w:sz="4" w:space="0" w:color="000000"/>
            </w:tcBorders>
          </w:tcPr>
          <w:p w14:paraId="2CB2A54D" w14:textId="77777777" w:rsidR="00B628FF" w:rsidRDefault="005B2D2F">
            <w:pPr>
              <w:pStyle w:val="MeasureTableDataRightAlignedwith2ptsspacing"/>
              <w:keepNext/>
            </w:pPr>
            <w:r>
              <w:t>nfp</w:t>
            </w:r>
          </w:p>
        </w:tc>
        <w:tc>
          <w:tcPr>
            <w:tcW w:w="1043" w:type="dxa"/>
            <w:tcBorders>
              <w:top w:val="single" w:sz="4" w:space="0" w:color="000000"/>
              <w:bottom w:val="single" w:sz="4" w:space="0" w:color="000000"/>
            </w:tcBorders>
          </w:tcPr>
          <w:p w14:paraId="5C7C3484" w14:textId="41A5D991" w:rsidR="00B628FF" w:rsidRDefault="00B31B37">
            <w:pPr>
              <w:pStyle w:val="MeasureTableDataRightAlignedwith2ptsspacing"/>
              <w:keepNext/>
            </w:pPr>
            <w:r>
              <w:noBreakHyphen/>
            </w:r>
          </w:p>
        </w:tc>
      </w:tr>
      <w:tr w:rsidR="00B628FF" w14:paraId="300D5BF5" w14:textId="77777777">
        <w:trPr>
          <w:cantSplit/>
        </w:trPr>
        <w:tc>
          <w:tcPr>
            <w:tcW w:w="2500" w:type="dxa"/>
            <w:tcBorders>
              <w:top w:val="single" w:sz="4" w:space="0" w:color="000000"/>
              <w:bottom w:val="single" w:sz="4" w:space="0" w:color="000000"/>
            </w:tcBorders>
          </w:tcPr>
          <w:p w14:paraId="6CB46D4F" w14:textId="77777777" w:rsidR="00B628FF" w:rsidRDefault="005B2D2F">
            <w:pPr>
              <w:pStyle w:val="MeasureTableHeadingleftalignedwith2ptsspacing"/>
              <w:keepNext/>
            </w:pPr>
            <w:r>
              <w:t>Department of the Prime Minister and Cabinet</w:t>
            </w:r>
          </w:p>
        </w:tc>
        <w:tc>
          <w:tcPr>
            <w:tcW w:w="1043" w:type="dxa"/>
            <w:tcBorders>
              <w:top w:val="single" w:sz="4" w:space="0" w:color="000000"/>
              <w:bottom w:val="single" w:sz="4" w:space="0" w:color="000000"/>
            </w:tcBorders>
          </w:tcPr>
          <w:p w14:paraId="60D25C45" w14:textId="7C2E9D75"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012AA48D" w14:textId="77777777" w:rsidR="00B628FF" w:rsidRDefault="005B2D2F">
            <w:pPr>
              <w:pStyle w:val="MeasureTableDataRightAlignedwith2ptsspacing"/>
              <w:keepNext/>
            </w:pPr>
            <w:r>
              <w:t>nfp</w:t>
            </w:r>
          </w:p>
        </w:tc>
        <w:tc>
          <w:tcPr>
            <w:tcW w:w="1043" w:type="dxa"/>
            <w:tcBorders>
              <w:top w:val="single" w:sz="4" w:space="0" w:color="000000"/>
              <w:bottom w:val="single" w:sz="4" w:space="0" w:color="000000"/>
            </w:tcBorders>
          </w:tcPr>
          <w:p w14:paraId="5BF774C3" w14:textId="77777777" w:rsidR="00B628FF" w:rsidRDefault="005B2D2F">
            <w:pPr>
              <w:pStyle w:val="MeasureTableDataRightAlignedwith2ptsspacing"/>
              <w:keepNext/>
            </w:pPr>
            <w:r>
              <w:t>nfp</w:t>
            </w:r>
          </w:p>
        </w:tc>
        <w:tc>
          <w:tcPr>
            <w:tcW w:w="1043" w:type="dxa"/>
            <w:tcBorders>
              <w:top w:val="single" w:sz="4" w:space="0" w:color="000000"/>
              <w:bottom w:val="single" w:sz="4" w:space="0" w:color="000000"/>
            </w:tcBorders>
          </w:tcPr>
          <w:p w14:paraId="3F4737E1" w14:textId="77777777" w:rsidR="00B628FF" w:rsidRDefault="005B2D2F">
            <w:pPr>
              <w:pStyle w:val="MeasureTableDataRightAlignedwith2ptsspacing"/>
              <w:keepNext/>
            </w:pPr>
            <w:r>
              <w:t>nfp</w:t>
            </w:r>
          </w:p>
        </w:tc>
        <w:tc>
          <w:tcPr>
            <w:tcW w:w="1043" w:type="dxa"/>
            <w:tcBorders>
              <w:top w:val="single" w:sz="4" w:space="0" w:color="000000"/>
              <w:bottom w:val="single" w:sz="4" w:space="0" w:color="000000"/>
            </w:tcBorders>
          </w:tcPr>
          <w:p w14:paraId="2A378C47" w14:textId="77777777" w:rsidR="00B628FF" w:rsidRDefault="005B2D2F">
            <w:pPr>
              <w:pStyle w:val="MeasureTableDataRightAlignedwith2ptsspacing"/>
              <w:keepNext/>
            </w:pPr>
            <w:r>
              <w:t>nfp</w:t>
            </w:r>
          </w:p>
        </w:tc>
      </w:tr>
      <w:tr w:rsidR="00B628FF" w14:paraId="43977650" w14:textId="77777777">
        <w:trPr>
          <w:cantSplit/>
        </w:trPr>
        <w:tc>
          <w:tcPr>
            <w:tcW w:w="2500" w:type="dxa"/>
            <w:tcBorders>
              <w:top w:val="single" w:sz="4" w:space="0" w:color="000000"/>
              <w:bottom w:val="single" w:sz="4" w:space="0" w:color="000000"/>
            </w:tcBorders>
          </w:tcPr>
          <w:p w14:paraId="0B8D8985" w14:textId="77777777" w:rsidR="00B628FF" w:rsidRDefault="005B2D2F">
            <w:pPr>
              <w:pStyle w:val="Totalrowleftaligned"/>
              <w:keepNext/>
            </w:pPr>
            <w:r>
              <w:t>Total – Payments</w:t>
            </w:r>
          </w:p>
        </w:tc>
        <w:tc>
          <w:tcPr>
            <w:tcW w:w="1043" w:type="dxa"/>
            <w:tcBorders>
              <w:top w:val="single" w:sz="4" w:space="0" w:color="000000"/>
              <w:bottom w:val="single" w:sz="4" w:space="0" w:color="000000"/>
            </w:tcBorders>
          </w:tcPr>
          <w:p w14:paraId="4FE159AE" w14:textId="0B113D28" w:rsidR="00B628FF" w:rsidRDefault="00B31B37">
            <w:pPr>
              <w:pStyle w:val="Totaldatarowrightaligned"/>
              <w:keepNext/>
            </w:pPr>
            <w:r>
              <w:noBreakHyphen/>
            </w:r>
          </w:p>
        </w:tc>
        <w:tc>
          <w:tcPr>
            <w:tcW w:w="1043" w:type="dxa"/>
            <w:tcBorders>
              <w:top w:val="single" w:sz="4" w:space="0" w:color="000000"/>
              <w:bottom w:val="single" w:sz="4" w:space="0" w:color="000000"/>
            </w:tcBorders>
          </w:tcPr>
          <w:p w14:paraId="133A420E" w14:textId="77777777" w:rsidR="00B628FF" w:rsidRDefault="005B2D2F">
            <w:pPr>
              <w:pStyle w:val="Totaldatarowrightaligned"/>
              <w:keepNext/>
            </w:pPr>
            <w:r>
              <w:t>17.3</w:t>
            </w:r>
          </w:p>
        </w:tc>
        <w:tc>
          <w:tcPr>
            <w:tcW w:w="1043" w:type="dxa"/>
            <w:tcBorders>
              <w:top w:val="single" w:sz="4" w:space="0" w:color="000000"/>
              <w:bottom w:val="single" w:sz="4" w:space="0" w:color="000000"/>
            </w:tcBorders>
          </w:tcPr>
          <w:p w14:paraId="3D04BE65" w14:textId="77777777" w:rsidR="00B628FF" w:rsidRDefault="005B2D2F">
            <w:pPr>
              <w:pStyle w:val="Totaldatarowrightaligned"/>
              <w:keepNext/>
            </w:pPr>
            <w:r>
              <w:t>17.3</w:t>
            </w:r>
          </w:p>
        </w:tc>
        <w:tc>
          <w:tcPr>
            <w:tcW w:w="1043" w:type="dxa"/>
            <w:tcBorders>
              <w:top w:val="single" w:sz="4" w:space="0" w:color="000000"/>
              <w:bottom w:val="single" w:sz="4" w:space="0" w:color="000000"/>
            </w:tcBorders>
          </w:tcPr>
          <w:p w14:paraId="7A090214" w14:textId="25CFC226" w:rsidR="00B628FF" w:rsidRDefault="00B31B37">
            <w:pPr>
              <w:pStyle w:val="Totaldatarowrightaligned"/>
              <w:keepNext/>
            </w:pPr>
            <w:r>
              <w:noBreakHyphen/>
            </w:r>
          </w:p>
        </w:tc>
        <w:tc>
          <w:tcPr>
            <w:tcW w:w="1043" w:type="dxa"/>
            <w:tcBorders>
              <w:top w:val="single" w:sz="4" w:space="0" w:color="000000"/>
              <w:bottom w:val="single" w:sz="4" w:space="0" w:color="000000"/>
            </w:tcBorders>
          </w:tcPr>
          <w:p w14:paraId="46A1ADDB" w14:textId="7FCF5447" w:rsidR="00B628FF" w:rsidRDefault="00B31B37">
            <w:pPr>
              <w:pStyle w:val="Totaldatarowrightaligned"/>
              <w:keepNext/>
            </w:pPr>
            <w:r>
              <w:noBreakHyphen/>
            </w:r>
          </w:p>
        </w:tc>
      </w:tr>
    </w:tbl>
    <w:p w14:paraId="24A2A70B" w14:textId="77777777" w:rsidR="00B628FF" w:rsidRDefault="00B628FF">
      <w:pPr>
        <w:keepNext/>
        <w:spacing w:line="226" w:lineRule="exact"/>
        <w:rPr>
          <w:sz w:val="16"/>
        </w:rPr>
      </w:pPr>
    </w:p>
    <w:p w14:paraId="0EEF0B85" w14:textId="194B033C" w:rsidR="00B628FF" w:rsidRDefault="005B2D2F">
      <w:pPr>
        <w:pStyle w:val="Normal2"/>
      </w:pPr>
      <w:r w:rsidRPr="5FA307DC">
        <w:rPr>
          <w:lang w:val="en-US"/>
        </w:rPr>
        <w:t xml:space="preserve">The Government will provide additional resourcing for the Prime Minister and Cabinet </w:t>
      </w:r>
      <w:r w:rsidR="00C443D0" w:rsidRPr="5FA307DC">
        <w:rPr>
          <w:lang w:val="en-US"/>
        </w:rPr>
        <w:t>p</w:t>
      </w:r>
      <w:r w:rsidRPr="5FA307DC">
        <w:rPr>
          <w:lang w:val="en-US"/>
        </w:rPr>
        <w:t>ortfolio, including:</w:t>
      </w:r>
    </w:p>
    <w:p w14:paraId="03999B7A" w14:textId="77777777" w:rsidR="00B628FF" w:rsidRDefault="005B2D2F">
      <w:pPr>
        <w:pStyle w:val="Bullet"/>
      </w:pPr>
      <w:r>
        <w:t xml:space="preserve">$44.6 million over four years from 2025–‍26 (and $3.8 million per year ongoing) for measures in response to the recommendations of the </w:t>
      </w:r>
      <w:r w:rsidRPr="005B2D2F">
        <w:rPr>
          <w:i/>
        </w:rPr>
        <w:t>2024 Independent Intelligence Review</w:t>
      </w:r>
      <w:r>
        <w:t>. Funding includes:</w:t>
      </w:r>
    </w:p>
    <w:p w14:paraId="36EE469A" w14:textId="77777777" w:rsidR="00B628FF" w:rsidRDefault="005B2D2F">
      <w:pPr>
        <w:pStyle w:val="Dash"/>
      </w:pPr>
      <w:r>
        <w:t xml:space="preserve">$29.8 million over two years from 2025–‍26 to increase the capacity of the Office of National Intelligence to support initial implementation of key priorities identified in the Government Response to the </w:t>
      </w:r>
      <w:r w:rsidRPr="005B2D2F">
        <w:rPr>
          <w:i/>
        </w:rPr>
        <w:t>2024 Independent Intelligence Review</w:t>
      </w:r>
    </w:p>
    <w:p w14:paraId="6E174D05" w14:textId="77777777" w:rsidR="00B628FF" w:rsidRDefault="005B2D2F">
      <w:pPr>
        <w:pStyle w:val="Dash"/>
      </w:pPr>
      <w:r>
        <w:t>$14.8 million over four years from 2025–‍26 (and $3.8 million per year ongoing) to continue and enhance the National Intelligence Academy to improve the capability and connectivity of the National Intelligence Community through the delivery of training on intelligence skills.</w:t>
      </w:r>
    </w:p>
    <w:p w14:paraId="0EF2B92C" w14:textId="77777777" w:rsidR="00B628FF" w:rsidRDefault="005B2D2F">
      <w:pPr>
        <w:pStyle w:val="Bullet"/>
      </w:pPr>
      <w:r>
        <w:t>$3.4 million over two years from 2025–‍26 for the Australian Public Service Commission to continue to pilot APS Academy Campuses in regional Australia to provide digital and data training and employment opportunities for regional Australians</w:t>
      </w:r>
    </w:p>
    <w:p w14:paraId="10B6864F" w14:textId="77777777" w:rsidR="00B628FF" w:rsidRDefault="005B2D2F">
      <w:pPr>
        <w:pStyle w:val="Bullet"/>
      </w:pPr>
      <w:r>
        <w:t>$1.4 million in 2025–‍26 for the Workplace Gender Equality Agency and Australian Public Service Commission to support continued work on public sector reporting requirements, including for workplace sexual harassment</w:t>
      </w:r>
    </w:p>
    <w:p w14:paraId="454B3674" w14:textId="77777777" w:rsidR="00B628FF" w:rsidRDefault="005B2D2F">
      <w:pPr>
        <w:pStyle w:val="Bullet"/>
      </w:pPr>
      <w:r>
        <w:t>additional resourcing for the Department of the Prime Minister and Cabinet to support the Prime Minister and Cabinet to deliver on Government priorities, including national security, the continued operation of Australian Government Consulting and to strengthen information technology systems including whole‑of‑government systems.</w:t>
      </w:r>
    </w:p>
    <w:p w14:paraId="7174CAFE" w14:textId="77777777" w:rsidR="00B628FF" w:rsidRDefault="005B2D2F">
      <w:pPr>
        <w:pStyle w:val="Normal2"/>
      </w:pPr>
      <w:r>
        <w:t>Partial funding for this measure will be held in the Contingency Reserve. The Government has already provided partial funding for this measure.</w:t>
      </w:r>
    </w:p>
    <w:p w14:paraId="289C5DB9" w14:textId="360440D1" w:rsidR="00B628FF" w:rsidRDefault="005B2D2F">
      <w:pPr>
        <w:pStyle w:val="Normal2"/>
      </w:pPr>
      <w:r w:rsidRPr="5FA307DC">
        <w:rPr>
          <w:lang w:val="en-US"/>
        </w:rPr>
        <w:t>The financial implications for some elements of this measure are not for publication (nfp) as disclosure would impair the Commonwealth</w:t>
      </w:r>
      <w:r w:rsidR="00B31B37">
        <w:rPr>
          <w:lang w:val="en-US"/>
        </w:rPr>
        <w:t>’</w:t>
      </w:r>
      <w:r w:rsidRPr="5FA307DC">
        <w:rPr>
          <w:lang w:val="en-US"/>
        </w:rPr>
        <w:t>s position in negotiating contracts for these services.</w:t>
      </w:r>
    </w:p>
    <w:p w14:paraId="11C447F8" w14:textId="77777777" w:rsidR="00B628FF" w:rsidRDefault="00B628FF">
      <w:pPr>
        <w:sectPr w:rsidR="00B628FF" w:rsidSect="00A06F82">
          <w:headerReference w:type="even" r:id="rId105"/>
          <w:headerReference w:type="default" r:id="rId106"/>
          <w:footerReference w:type="even" r:id="rId107"/>
          <w:footerReference w:type="default" r:id="rId108"/>
          <w:headerReference w:type="first" r:id="rId109"/>
          <w:footerReference w:type="first" r:id="rId110"/>
          <w:pgSz w:w="11906" w:h="16838"/>
          <w:pgMar w:top="2835" w:right="2098" w:bottom="2466" w:left="2098" w:header="1814" w:footer="1814" w:gutter="0"/>
          <w:cols w:space="720"/>
          <w:docGrid w:linePitch="272"/>
        </w:sectPr>
      </w:pPr>
    </w:p>
    <w:p w14:paraId="3209ACB1" w14:textId="77777777" w:rsidR="00B628FF" w:rsidRDefault="005B2D2F">
      <w:pPr>
        <w:pStyle w:val="PortfolioName"/>
      </w:pPr>
      <w:r>
        <w:t>Social Services</w:t>
      </w:r>
    </w:p>
    <w:p w14:paraId="3832D399" w14:textId="77777777" w:rsidR="00B628FF" w:rsidRDefault="005B2D2F">
      <w:pPr>
        <w:pStyle w:val="MeasureTitle"/>
      </w:pPr>
      <w:r>
        <w:t>Additional Support for the Housing Services Sector</w:t>
      </w:r>
    </w:p>
    <w:p w14:paraId="10EC717F" w14:textId="77777777" w:rsidR="00B628FF" w:rsidRDefault="005B2D2F">
      <w:pPr>
        <w:pStyle w:val="MeasureTableHeading"/>
      </w:pPr>
      <w:r>
        <w:t>Payments ($m)</w:t>
      </w:r>
    </w:p>
    <w:tbl>
      <w:tblPr>
        <w:tblOverlap w:val="never"/>
        <w:tblW w:w="7721" w:type="dxa"/>
        <w:tblBorders>
          <w:top w:val="single" w:sz="4" w:space="0" w:color="000000"/>
          <w:bottom w:val="single" w:sz="4" w:space="0" w:color="000000"/>
        </w:tblBorders>
        <w:tblLayout w:type="fixed"/>
        <w:tblLook w:val="04A0" w:firstRow="1" w:lastRow="0" w:firstColumn="1" w:lastColumn="0" w:noHBand="0" w:noVBand="1"/>
      </w:tblPr>
      <w:tblGrid>
        <w:gridCol w:w="2501"/>
        <w:gridCol w:w="1044"/>
        <w:gridCol w:w="1044"/>
        <w:gridCol w:w="1044"/>
        <w:gridCol w:w="1044"/>
        <w:gridCol w:w="1044"/>
      </w:tblGrid>
      <w:tr w:rsidR="00B628FF" w14:paraId="3AEB421D" w14:textId="77777777">
        <w:trPr>
          <w:cantSplit/>
        </w:trPr>
        <w:tc>
          <w:tcPr>
            <w:tcW w:w="2500" w:type="dxa"/>
            <w:tcBorders>
              <w:top w:val="single" w:sz="4" w:space="0" w:color="000000"/>
              <w:bottom w:val="single" w:sz="4" w:space="0" w:color="000000"/>
            </w:tcBorders>
          </w:tcPr>
          <w:p w14:paraId="59CAD19A" w14:textId="77777777" w:rsidR="00B628FF" w:rsidRDefault="00B628FF">
            <w:pPr>
              <w:pStyle w:val="MeasureTableYearHeadings"/>
              <w:keepNext/>
            </w:pPr>
          </w:p>
        </w:tc>
        <w:tc>
          <w:tcPr>
            <w:tcW w:w="1043" w:type="dxa"/>
            <w:tcBorders>
              <w:top w:val="single" w:sz="4" w:space="0" w:color="000000"/>
              <w:bottom w:val="single" w:sz="4" w:space="0" w:color="000000"/>
            </w:tcBorders>
          </w:tcPr>
          <w:p w14:paraId="54D7F130" w14:textId="09BFEADF" w:rsidR="00B628FF" w:rsidRDefault="005B2D2F">
            <w:pPr>
              <w:pStyle w:val="MeasureTableYearHeadings"/>
              <w:keepNext/>
            </w:pPr>
            <w:r>
              <w:t>2024</w:t>
            </w:r>
            <w:r w:rsidR="00B31B37">
              <w:noBreakHyphen/>
            </w:r>
            <w:r>
              <w:t>25</w:t>
            </w:r>
          </w:p>
        </w:tc>
        <w:tc>
          <w:tcPr>
            <w:tcW w:w="1043" w:type="dxa"/>
            <w:tcBorders>
              <w:top w:val="single" w:sz="4" w:space="0" w:color="000000"/>
              <w:bottom w:val="single" w:sz="4" w:space="0" w:color="000000"/>
            </w:tcBorders>
          </w:tcPr>
          <w:p w14:paraId="7B4C9C05" w14:textId="3F975AA9" w:rsidR="00B628FF" w:rsidRDefault="005B2D2F">
            <w:pPr>
              <w:pStyle w:val="MeasureTableYearHeadings"/>
              <w:keepNext/>
            </w:pPr>
            <w:r>
              <w:t>2025</w:t>
            </w:r>
            <w:r w:rsidR="00B31B37">
              <w:noBreakHyphen/>
            </w:r>
            <w:r>
              <w:t>26</w:t>
            </w:r>
          </w:p>
        </w:tc>
        <w:tc>
          <w:tcPr>
            <w:tcW w:w="1043" w:type="dxa"/>
            <w:tcBorders>
              <w:top w:val="single" w:sz="4" w:space="0" w:color="000000"/>
              <w:bottom w:val="single" w:sz="4" w:space="0" w:color="000000"/>
            </w:tcBorders>
          </w:tcPr>
          <w:p w14:paraId="450A6700" w14:textId="7573A0C0" w:rsidR="00B628FF" w:rsidRDefault="005B2D2F">
            <w:pPr>
              <w:pStyle w:val="MeasureTableYearHeadings"/>
              <w:keepNext/>
            </w:pPr>
            <w:r>
              <w:t>2026</w:t>
            </w:r>
            <w:r w:rsidR="00B31B37">
              <w:noBreakHyphen/>
            </w:r>
            <w:r>
              <w:t>27</w:t>
            </w:r>
          </w:p>
        </w:tc>
        <w:tc>
          <w:tcPr>
            <w:tcW w:w="1043" w:type="dxa"/>
            <w:tcBorders>
              <w:top w:val="single" w:sz="4" w:space="0" w:color="000000"/>
              <w:bottom w:val="single" w:sz="4" w:space="0" w:color="000000"/>
            </w:tcBorders>
          </w:tcPr>
          <w:p w14:paraId="3B1E3627" w14:textId="1D5463B4" w:rsidR="00B628FF" w:rsidRDefault="005B2D2F">
            <w:pPr>
              <w:pStyle w:val="MeasureTableYearHeadings"/>
              <w:keepNext/>
            </w:pPr>
            <w:r>
              <w:t>2027</w:t>
            </w:r>
            <w:r w:rsidR="00B31B37">
              <w:noBreakHyphen/>
            </w:r>
            <w:r>
              <w:t>28</w:t>
            </w:r>
          </w:p>
        </w:tc>
        <w:tc>
          <w:tcPr>
            <w:tcW w:w="1043" w:type="dxa"/>
            <w:tcBorders>
              <w:top w:val="single" w:sz="4" w:space="0" w:color="000000"/>
              <w:bottom w:val="single" w:sz="4" w:space="0" w:color="000000"/>
            </w:tcBorders>
          </w:tcPr>
          <w:p w14:paraId="11105721" w14:textId="0FE53164" w:rsidR="00B628FF" w:rsidRDefault="005B2D2F">
            <w:pPr>
              <w:pStyle w:val="MeasureTableYearHeadings"/>
              <w:keepNext/>
            </w:pPr>
            <w:r>
              <w:t>2028</w:t>
            </w:r>
            <w:r w:rsidR="00B31B37">
              <w:noBreakHyphen/>
            </w:r>
            <w:r>
              <w:t>29</w:t>
            </w:r>
          </w:p>
        </w:tc>
      </w:tr>
      <w:tr w:rsidR="00B628FF" w14:paraId="0C9AE3D9" w14:textId="77777777">
        <w:trPr>
          <w:cantSplit/>
        </w:trPr>
        <w:tc>
          <w:tcPr>
            <w:tcW w:w="2500" w:type="dxa"/>
            <w:tcBorders>
              <w:top w:val="single" w:sz="4" w:space="0" w:color="000000"/>
              <w:bottom w:val="single" w:sz="4" w:space="0" w:color="000000"/>
            </w:tcBorders>
          </w:tcPr>
          <w:p w14:paraId="6E54240E" w14:textId="77777777" w:rsidR="00B628FF" w:rsidRDefault="005B2D2F">
            <w:pPr>
              <w:pStyle w:val="MeasureTableHeadingleftalignedwith2ptsspacing"/>
              <w:keepNext/>
            </w:pPr>
            <w:r>
              <w:t>Department of Social Services</w:t>
            </w:r>
          </w:p>
        </w:tc>
        <w:tc>
          <w:tcPr>
            <w:tcW w:w="1043" w:type="dxa"/>
            <w:tcBorders>
              <w:top w:val="single" w:sz="4" w:space="0" w:color="000000"/>
              <w:bottom w:val="single" w:sz="4" w:space="0" w:color="000000"/>
            </w:tcBorders>
          </w:tcPr>
          <w:p w14:paraId="2CF81EE7" w14:textId="4E188ABC"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45C65A76" w14:textId="73E42551"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658932D6" w14:textId="355E0815"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5B703101" w14:textId="1A7C18A8"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7A14D777" w14:textId="6A157034" w:rsidR="00B628FF" w:rsidRDefault="00B31B37">
            <w:pPr>
              <w:pStyle w:val="MeasureTableDataRightAlignedwith2ptsspacing"/>
              <w:keepNext/>
            </w:pPr>
            <w:r>
              <w:noBreakHyphen/>
            </w:r>
          </w:p>
        </w:tc>
      </w:tr>
    </w:tbl>
    <w:p w14:paraId="2D23B9CD" w14:textId="77777777" w:rsidR="00B628FF" w:rsidRDefault="00B628FF">
      <w:pPr>
        <w:keepNext/>
        <w:spacing w:line="226" w:lineRule="exact"/>
        <w:rPr>
          <w:sz w:val="16"/>
        </w:rPr>
      </w:pPr>
    </w:p>
    <w:p w14:paraId="4E9BA944" w14:textId="326CEFAA" w:rsidR="00B628FF" w:rsidRDefault="005B2D2F">
      <w:pPr>
        <w:pStyle w:val="Normal2"/>
      </w:pPr>
      <w:r>
        <w:t>The Government will provide $8.9 million over three</w:t>
      </w:r>
      <w:r w:rsidR="000244D1">
        <w:t> </w:t>
      </w:r>
      <w:r>
        <w:t>years from 2025–‍26 to improve and expand support services for vulnerable Australians, including Australians experiencing housing insecurity and family, domestic and sexual violence. Funding includes:</w:t>
      </w:r>
    </w:p>
    <w:p w14:paraId="44B96D98" w14:textId="77777777" w:rsidR="00B628FF" w:rsidRDefault="005B2D2F">
      <w:pPr>
        <w:pStyle w:val="Bullet"/>
      </w:pPr>
      <w:r>
        <w:t>$6.2 million ​over three years from 2025–‍26 to​ housing and homelessness peak bodies to undertake research, sector development and provide advice to Government on improving housing security for Australians at risk of homelessness</w:t>
      </w:r>
    </w:p>
    <w:p w14:paraId="18AE3C88" w14:textId="77777777" w:rsidR="00B628FF" w:rsidRDefault="005B2D2F">
      <w:pPr>
        <w:pStyle w:val="Bullet"/>
      </w:pPr>
      <w:r>
        <w:t xml:space="preserve">$2.5 million in 2025–‍26 to provide emergency accommodation for women and children experiencing family, domestic and sexual violence under the </w:t>
      </w:r>
      <w:r w:rsidRPr="005B2D2F">
        <w:rPr>
          <w:i/>
        </w:rPr>
        <w:t>Safe Places Emergency Accommodation Program</w:t>
      </w:r>
    </w:p>
    <w:p w14:paraId="6F54FEDA" w14:textId="77777777" w:rsidR="00B628FF" w:rsidRDefault="005B2D2F">
      <w:pPr>
        <w:pStyle w:val="Bullet"/>
      </w:pPr>
      <w:r>
        <w:t>$0.2 million in 2025–‍26 to extend funding for complex case management and provide wrap around support services for victim‑survivors of family, domestic and sexual violence.</w:t>
      </w:r>
    </w:p>
    <w:p w14:paraId="2AC1DC0B" w14:textId="77777777" w:rsidR="00B628FF" w:rsidRDefault="005B2D2F">
      <w:pPr>
        <w:pStyle w:val="Normal2"/>
      </w:pPr>
      <w:r w:rsidRPr="5FA307DC">
        <w:rPr>
          <w:lang w:val="en-US"/>
        </w:rPr>
        <w:t>The Government has already provided partial funding for this measure, and the remainder of the cost will be met from within the existing resourcing of the Department of Social Services.</w:t>
      </w:r>
    </w:p>
    <w:p w14:paraId="6A236CBB" w14:textId="77777777" w:rsidR="00B628FF" w:rsidRDefault="005B2D2F">
      <w:pPr>
        <w:pStyle w:val="Normal2"/>
      </w:pPr>
      <w:r>
        <w:t>Parts of this measure support the implementation of the National Plan to End Violence Against Women and Children 2022–‍32.</w:t>
      </w:r>
    </w:p>
    <w:p w14:paraId="6C0F40DC" w14:textId="77777777" w:rsidR="00B628FF" w:rsidRDefault="005B2D2F">
      <w:pPr>
        <w:pStyle w:val="Normal2"/>
      </w:pPr>
      <w:r w:rsidRPr="5FA307DC">
        <w:rPr>
          <w:lang w:val="en-US"/>
        </w:rPr>
        <w:t xml:space="preserve">This measure builds on the 2024–‍25 MYEFO measures titled </w:t>
      </w:r>
      <w:r w:rsidRPr="5FA307DC">
        <w:rPr>
          <w:i/>
          <w:iCs/>
          <w:lang w:val="en-US"/>
        </w:rPr>
        <w:t>Housing Support</w:t>
      </w:r>
      <w:r w:rsidRPr="5FA307DC">
        <w:rPr>
          <w:lang w:val="en-US"/>
        </w:rPr>
        <w:t xml:space="preserve">, </w:t>
      </w:r>
      <w:r w:rsidRPr="5FA307DC">
        <w:rPr>
          <w:i/>
          <w:iCs/>
          <w:lang w:val="en-US"/>
        </w:rPr>
        <w:t xml:space="preserve">Ending Gender Based Violence – National Cabinet </w:t>
      </w:r>
      <w:r w:rsidRPr="5FA307DC">
        <w:rPr>
          <w:lang w:val="en-US"/>
        </w:rPr>
        <w:t>and</w:t>
      </w:r>
      <w:r w:rsidRPr="5FA307DC">
        <w:rPr>
          <w:i/>
          <w:iCs/>
          <w:lang w:val="en-US"/>
        </w:rPr>
        <w:t xml:space="preserve"> Ending Gender Based Violence – additional investment</w:t>
      </w:r>
      <w:r w:rsidRPr="5FA307DC">
        <w:rPr>
          <w:lang w:val="en-US"/>
        </w:rPr>
        <w:t>.</w:t>
      </w:r>
    </w:p>
    <w:p w14:paraId="20382C96" w14:textId="77777777" w:rsidR="00B628FF" w:rsidRDefault="005B2D2F">
      <w:pPr>
        <w:pStyle w:val="MeasureTitle"/>
      </w:pPr>
      <w:r>
        <w:t>Strengthening the National Disability Insurance Scheme</w:t>
      </w:r>
    </w:p>
    <w:p w14:paraId="2613494A" w14:textId="77777777" w:rsidR="00B628FF" w:rsidRDefault="005B2D2F">
      <w:pPr>
        <w:pStyle w:val="MeasureTableHeading"/>
      </w:pPr>
      <w:r>
        <w:t>Payments ($m)</w:t>
      </w:r>
    </w:p>
    <w:tbl>
      <w:tblPr>
        <w:tblOverlap w:val="never"/>
        <w:tblW w:w="7721" w:type="dxa"/>
        <w:tblBorders>
          <w:top w:val="single" w:sz="4" w:space="0" w:color="000000"/>
          <w:bottom w:val="single" w:sz="4" w:space="0" w:color="000000"/>
        </w:tblBorders>
        <w:tblLayout w:type="fixed"/>
        <w:tblLook w:val="04A0" w:firstRow="1" w:lastRow="0" w:firstColumn="1" w:lastColumn="0" w:noHBand="0" w:noVBand="1"/>
      </w:tblPr>
      <w:tblGrid>
        <w:gridCol w:w="2501"/>
        <w:gridCol w:w="1044"/>
        <w:gridCol w:w="1044"/>
        <w:gridCol w:w="1044"/>
        <w:gridCol w:w="1044"/>
        <w:gridCol w:w="1044"/>
      </w:tblGrid>
      <w:tr w:rsidR="00B628FF" w14:paraId="270E809C" w14:textId="77777777">
        <w:trPr>
          <w:cantSplit/>
        </w:trPr>
        <w:tc>
          <w:tcPr>
            <w:tcW w:w="2500" w:type="dxa"/>
            <w:tcBorders>
              <w:top w:val="single" w:sz="4" w:space="0" w:color="000000"/>
              <w:bottom w:val="single" w:sz="4" w:space="0" w:color="000000"/>
            </w:tcBorders>
          </w:tcPr>
          <w:p w14:paraId="4CEF6AB5" w14:textId="77777777" w:rsidR="00B628FF" w:rsidRDefault="00B628FF">
            <w:pPr>
              <w:pStyle w:val="MeasureTableYearHeadings"/>
              <w:keepNext/>
            </w:pPr>
          </w:p>
        </w:tc>
        <w:tc>
          <w:tcPr>
            <w:tcW w:w="1043" w:type="dxa"/>
            <w:tcBorders>
              <w:top w:val="single" w:sz="4" w:space="0" w:color="000000"/>
              <w:bottom w:val="single" w:sz="4" w:space="0" w:color="000000"/>
            </w:tcBorders>
          </w:tcPr>
          <w:p w14:paraId="17DD7EE4" w14:textId="351FE695" w:rsidR="00B628FF" w:rsidRDefault="005B2D2F">
            <w:pPr>
              <w:pStyle w:val="MeasureTableYearHeadings"/>
              <w:keepNext/>
            </w:pPr>
            <w:r>
              <w:t>2024</w:t>
            </w:r>
            <w:r w:rsidR="00B31B37">
              <w:noBreakHyphen/>
            </w:r>
            <w:r>
              <w:t>25</w:t>
            </w:r>
          </w:p>
        </w:tc>
        <w:tc>
          <w:tcPr>
            <w:tcW w:w="1043" w:type="dxa"/>
            <w:tcBorders>
              <w:top w:val="single" w:sz="4" w:space="0" w:color="000000"/>
              <w:bottom w:val="single" w:sz="4" w:space="0" w:color="000000"/>
            </w:tcBorders>
          </w:tcPr>
          <w:p w14:paraId="2759C234" w14:textId="0C306E64" w:rsidR="00B628FF" w:rsidRDefault="005B2D2F">
            <w:pPr>
              <w:pStyle w:val="MeasureTableYearHeadings"/>
              <w:keepNext/>
            </w:pPr>
            <w:r>
              <w:t>2025</w:t>
            </w:r>
            <w:r w:rsidR="00B31B37">
              <w:noBreakHyphen/>
            </w:r>
            <w:r>
              <w:t>26</w:t>
            </w:r>
          </w:p>
        </w:tc>
        <w:tc>
          <w:tcPr>
            <w:tcW w:w="1043" w:type="dxa"/>
            <w:tcBorders>
              <w:top w:val="single" w:sz="4" w:space="0" w:color="000000"/>
              <w:bottom w:val="single" w:sz="4" w:space="0" w:color="000000"/>
            </w:tcBorders>
          </w:tcPr>
          <w:p w14:paraId="397C0268" w14:textId="756AE1C3" w:rsidR="00B628FF" w:rsidRDefault="005B2D2F">
            <w:pPr>
              <w:pStyle w:val="MeasureTableYearHeadings"/>
              <w:keepNext/>
            </w:pPr>
            <w:r>
              <w:t>2026</w:t>
            </w:r>
            <w:r w:rsidR="00B31B37">
              <w:noBreakHyphen/>
            </w:r>
            <w:r>
              <w:t>27</w:t>
            </w:r>
          </w:p>
        </w:tc>
        <w:tc>
          <w:tcPr>
            <w:tcW w:w="1043" w:type="dxa"/>
            <w:tcBorders>
              <w:top w:val="single" w:sz="4" w:space="0" w:color="000000"/>
              <w:bottom w:val="single" w:sz="4" w:space="0" w:color="000000"/>
            </w:tcBorders>
          </w:tcPr>
          <w:p w14:paraId="65752E7D" w14:textId="370DC84B" w:rsidR="00B628FF" w:rsidRDefault="005B2D2F">
            <w:pPr>
              <w:pStyle w:val="MeasureTableYearHeadings"/>
              <w:keepNext/>
            </w:pPr>
            <w:r>
              <w:t>2027</w:t>
            </w:r>
            <w:r w:rsidR="00B31B37">
              <w:noBreakHyphen/>
            </w:r>
            <w:r>
              <w:t>28</w:t>
            </w:r>
          </w:p>
        </w:tc>
        <w:tc>
          <w:tcPr>
            <w:tcW w:w="1043" w:type="dxa"/>
            <w:tcBorders>
              <w:top w:val="single" w:sz="4" w:space="0" w:color="000000"/>
              <w:bottom w:val="single" w:sz="4" w:space="0" w:color="000000"/>
            </w:tcBorders>
          </w:tcPr>
          <w:p w14:paraId="5B856207" w14:textId="24B1A0CC" w:rsidR="00B628FF" w:rsidRDefault="005B2D2F">
            <w:pPr>
              <w:pStyle w:val="MeasureTableYearHeadings"/>
              <w:keepNext/>
            </w:pPr>
            <w:r>
              <w:t>2028</w:t>
            </w:r>
            <w:r w:rsidR="00B31B37">
              <w:noBreakHyphen/>
            </w:r>
            <w:r>
              <w:t>29</w:t>
            </w:r>
          </w:p>
        </w:tc>
      </w:tr>
      <w:tr w:rsidR="00B628FF" w14:paraId="4BEDFA37" w14:textId="77777777">
        <w:trPr>
          <w:cantSplit/>
        </w:trPr>
        <w:tc>
          <w:tcPr>
            <w:tcW w:w="2500" w:type="dxa"/>
            <w:tcBorders>
              <w:top w:val="single" w:sz="4" w:space="0" w:color="000000"/>
              <w:bottom w:val="single" w:sz="4" w:space="0" w:color="000000"/>
            </w:tcBorders>
          </w:tcPr>
          <w:p w14:paraId="7268A0E2" w14:textId="77777777" w:rsidR="00B628FF" w:rsidRDefault="005B2D2F">
            <w:pPr>
              <w:pStyle w:val="MeasureTableHeadingleftalignedwith2ptsspacing"/>
              <w:keepNext/>
            </w:pPr>
            <w:r>
              <w:t>National Disability Insurance Agency</w:t>
            </w:r>
          </w:p>
        </w:tc>
        <w:tc>
          <w:tcPr>
            <w:tcW w:w="1043" w:type="dxa"/>
            <w:tcBorders>
              <w:top w:val="single" w:sz="4" w:space="0" w:color="000000"/>
              <w:bottom w:val="single" w:sz="4" w:space="0" w:color="000000"/>
            </w:tcBorders>
          </w:tcPr>
          <w:p w14:paraId="32F0F17E" w14:textId="393CD6D4"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606D3E1F" w14:textId="77777777" w:rsidR="00B628FF" w:rsidRDefault="005B2D2F">
            <w:pPr>
              <w:pStyle w:val="MeasureTableDataRightAlignedwith2ptsspacing"/>
              <w:keepNext/>
            </w:pPr>
            <w:r>
              <w:t>17.1</w:t>
            </w:r>
          </w:p>
        </w:tc>
        <w:tc>
          <w:tcPr>
            <w:tcW w:w="1043" w:type="dxa"/>
            <w:tcBorders>
              <w:top w:val="single" w:sz="4" w:space="0" w:color="000000"/>
              <w:bottom w:val="single" w:sz="4" w:space="0" w:color="000000"/>
            </w:tcBorders>
          </w:tcPr>
          <w:p w14:paraId="59F512D0" w14:textId="1D03C178"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29DF9074" w14:textId="1067D729"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00B57249" w14:textId="33F83625" w:rsidR="00B628FF" w:rsidRDefault="00B31B37">
            <w:pPr>
              <w:pStyle w:val="MeasureTableDataRightAlignedwith2ptsspacing"/>
              <w:keepNext/>
            </w:pPr>
            <w:r>
              <w:noBreakHyphen/>
            </w:r>
          </w:p>
        </w:tc>
      </w:tr>
      <w:tr w:rsidR="00B628FF" w14:paraId="3E3CAD4F" w14:textId="77777777">
        <w:trPr>
          <w:cantSplit/>
        </w:trPr>
        <w:tc>
          <w:tcPr>
            <w:tcW w:w="2500" w:type="dxa"/>
            <w:tcBorders>
              <w:top w:val="single" w:sz="4" w:space="0" w:color="000000"/>
              <w:bottom w:val="single" w:sz="4" w:space="0" w:color="000000"/>
            </w:tcBorders>
          </w:tcPr>
          <w:p w14:paraId="03A4E375" w14:textId="77777777" w:rsidR="00B628FF" w:rsidRDefault="005B2D2F">
            <w:pPr>
              <w:pStyle w:val="MeasureTableHeadingleftalignedwith2ptsspacing"/>
              <w:keepNext/>
            </w:pPr>
            <w:r>
              <w:t>Department of Social Services</w:t>
            </w:r>
          </w:p>
        </w:tc>
        <w:tc>
          <w:tcPr>
            <w:tcW w:w="1043" w:type="dxa"/>
            <w:tcBorders>
              <w:top w:val="single" w:sz="4" w:space="0" w:color="000000"/>
              <w:bottom w:val="single" w:sz="4" w:space="0" w:color="000000"/>
            </w:tcBorders>
          </w:tcPr>
          <w:p w14:paraId="67B6A56A" w14:textId="04BB24DD"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64F4D043" w14:textId="77777777" w:rsidR="00B628FF" w:rsidRDefault="005B2D2F">
            <w:pPr>
              <w:pStyle w:val="MeasureTableDataRightAlignedwith2ptsspacing"/>
              <w:keepNext/>
            </w:pPr>
            <w:r>
              <w:t>7.3</w:t>
            </w:r>
          </w:p>
        </w:tc>
        <w:tc>
          <w:tcPr>
            <w:tcW w:w="1043" w:type="dxa"/>
            <w:tcBorders>
              <w:top w:val="single" w:sz="4" w:space="0" w:color="000000"/>
              <w:bottom w:val="single" w:sz="4" w:space="0" w:color="000000"/>
            </w:tcBorders>
          </w:tcPr>
          <w:p w14:paraId="1EE684BE" w14:textId="069161E9"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0C7F1DCE" w14:textId="66F6188E"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03A724D5" w14:textId="78FA9E01" w:rsidR="00B628FF" w:rsidRDefault="00B31B37">
            <w:pPr>
              <w:pStyle w:val="MeasureTableDataRightAlignedwith2ptsspacing"/>
              <w:keepNext/>
            </w:pPr>
            <w:r>
              <w:noBreakHyphen/>
            </w:r>
          </w:p>
        </w:tc>
      </w:tr>
      <w:tr w:rsidR="00B628FF" w14:paraId="7E14720F" w14:textId="77777777">
        <w:trPr>
          <w:cantSplit/>
        </w:trPr>
        <w:tc>
          <w:tcPr>
            <w:tcW w:w="2500" w:type="dxa"/>
            <w:tcBorders>
              <w:top w:val="single" w:sz="4" w:space="0" w:color="000000"/>
              <w:bottom w:val="single" w:sz="4" w:space="0" w:color="000000"/>
            </w:tcBorders>
          </w:tcPr>
          <w:p w14:paraId="38D196CD" w14:textId="77777777" w:rsidR="00B628FF" w:rsidRDefault="005B2D2F">
            <w:pPr>
              <w:pStyle w:val="Totalrowleftaligned"/>
              <w:keepNext/>
            </w:pPr>
            <w:r>
              <w:t>Total – Payments</w:t>
            </w:r>
          </w:p>
        </w:tc>
        <w:tc>
          <w:tcPr>
            <w:tcW w:w="1043" w:type="dxa"/>
            <w:tcBorders>
              <w:top w:val="single" w:sz="4" w:space="0" w:color="000000"/>
              <w:bottom w:val="single" w:sz="4" w:space="0" w:color="000000"/>
            </w:tcBorders>
          </w:tcPr>
          <w:p w14:paraId="5B930DEA" w14:textId="471EF240" w:rsidR="00B628FF" w:rsidRDefault="00B31B37">
            <w:pPr>
              <w:pStyle w:val="Totaldatarowrightaligned"/>
              <w:keepNext/>
            </w:pPr>
            <w:r>
              <w:noBreakHyphen/>
            </w:r>
          </w:p>
        </w:tc>
        <w:tc>
          <w:tcPr>
            <w:tcW w:w="1043" w:type="dxa"/>
            <w:tcBorders>
              <w:top w:val="single" w:sz="4" w:space="0" w:color="000000"/>
              <w:bottom w:val="single" w:sz="4" w:space="0" w:color="000000"/>
            </w:tcBorders>
          </w:tcPr>
          <w:p w14:paraId="3389A2E0" w14:textId="77777777" w:rsidR="00B628FF" w:rsidRDefault="005B2D2F">
            <w:pPr>
              <w:pStyle w:val="Totaldatarowrightaligned"/>
              <w:keepNext/>
            </w:pPr>
            <w:r>
              <w:t>24.4</w:t>
            </w:r>
          </w:p>
        </w:tc>
        <w:tc>
          <w:tcPr>
            <w:tcW w:w="1043" w:type="dxa"/>
            <w:tcBorders>
              <w:top w:val="single" w:sz="4" w:space="0" w:color="000000"/>
              <w:bottom w:val="single" w:sz="4" w:space="0" w:color="000000"/>
            </w:tcBorders>
          </w:tcPr>
          <w:p w14:paraId="423A2F2F" w14:textId="06DEDCEB" w:rsidR="00B628FF" w:rsidRDefault="00B31B37">
            <w:pPr>
              <w:pStyle w:val="Totaldatarowrightaligned"/>
              <w:keepNext/>
            </w:pPr>
            <w:r>
              <w:noBreakHyphen/>
            </w:r>
          </w:p>
        </w:tc>
        <w:tc>
          <w:tcPr>
            <w:tcW w:w="1043" w:type="dxa"/>
            <w:tcBorders>
              <w:top w:val="single" w:sz="4" w:space="0" w:color="000000"/>
              <w:bottom w:val="single" w:sz="4" w:space="0" w:color="000000"/>
            </w:tcBorders>
          </w:tcPr>
          <w:p w14:paraId="4D3106AC" w14:textId="27878DB9" w:rsidR="00B628FF" w:rsidRDefault="00B31B37">
            <w:pPr>
              <w:pStyle w:val="Totaldatarowrightaligned"/>
              <w:keepNext/>
            </w:pPr>
            <w:r>
              <w:noBreakHyphen/>
            </w:r>
          </w:p>
        </w:tc>
        <w:tc>
          <w:tcPr>
            <w:tcW w:w="1043" w:type="dxa"/>
            <w:tcBorders>
              <w:top w:val="single" w:sz="4" w:space="0" w:color="000000"/>
              <w:bottom w:val="single" w:sz="4" w:space="0" w:color="000000"/>
            </w:tcBorders>
          </w:tcPr>
          <w:p w14:paraId="6CD9E433" w14:textId="4DC5DE4C" w:rsidR="00B628FF" w:rsidRDefault="00B31B37">
            <w:pPr>
              <w:pStyle w:val="Totaldatarowrightaligned"/>
              <w:keepNext/>
            </w:pPr>
            <w:r>
              <w:noBreakHyphen/>
            </w:r>
          </w:p>
        </w:tc>
      </w:tr>
    </w:tbl>
    <w:p w14:paraId="71689B43" w14:textId="77777777" w:rsidR="00B628FF" w:rsidRDefault="00B628FF">
      <w:pPr>
        <w:keepNext/>
        <w:spacing w:line="226" w:lineRule="exact"/>
        <w:rPr>
          <w:sz w:val="16"/>
        </w:rPr>
      </w:pPr>
    </w:p>
    <w:p w14:paraId="5519563F" w14:textId="6DC7D5D5" w:rsidR="00B628FF" w:rsidRDefault="005B2D2F" w:rsidP="003C3E34">
      <w:pPr>
        <w:pStyle w:val="Normal2"/>
        <w:keepNext/>
      </w:pPr>
      <w:r w:rsidRPr="5FA307DC">
        <w:rPr>
          <w:lang w:val="en-US"/>
        </w:rPr>
        <w:t>The Government will provide additional funding of $175.4 million over four years from 2025–‍26 (and $43.8 million per year ongoing) to further safeguard the integrity of the National Disability Insurance Scheme (NDIS) and support people with disability. Funding includes:</w:t>
      </w:r>
    </w:p>
    <w:p w14:paraId="480E80EF" w14:textId="44734B7F" w:rsidR="00B628FF" w:rsidRDefault="005B2D2F" w:rsidP="003C3E34">
      <w:pPr>
        <w:pStyle w:val="Bullet"/>
        <w:keepNext/>
      </w:pPr>
      <w:r>
        <w:t>$151.0 million over four years from 2025–‍26 (and $43.8 million per year ongoing) to continue enhancements to the National Disability Insurance Agency</w:t>
      </w:r>
      <w:r w:rsidR="00B31B37">
        <w:t>’</w:t>
      </w:r>
      <w:r>
        <w:t>s (NDIA</w:t>
      </w:r>
      <w:r w:rsidR="00B31B37">
        <w:t>’</w:t>
      </w:r>
      <w:r>
        <w:t>s) fraud detecting information technology systems, with this funding to be held in the Contingency Reserve until the fraud and compliance system enhancements funded in previous economic updates are complete</w:t>
      </w:r>
    </w:p>
    <w:p w14:paraId="6F7526B1" w14:textId="0503321F" w:rsidR="00B628FF" w:rsidRDefault="005B2D2F">
      <w:pPr>
        <w:pStyle w:val="Bullet"/>
      </w:pPr>
      <w:r>
        <w:t>$17.1 million in 2025–‍26 to continue to invest in the NDIA</w:t>
      </w:r>
      <w:r w:rsidR="00B31B37">
        <w:t>’</w:t>
      </w:r>
      <w:r>
        <w:t>s ability to detect and respond to fraud and non‑compliant payments</w:t>
      </w:r>
    </w:p>
    <w:p w14:paraId="7C5A3448" w14:textId="77777777" w:rsidR="00B628FF" w:rsidRDefault="005B2D2F">
      <w:pPr>
        <w:pStyle w:val="Bullet"/>
      </w:pPr>
      <w:r>
        <w:t xml:space="preserve">$7.3 million in 2025–‍26 to extend supplementary funding for the </w:t>
      </w:r>
      <w:r w:rsidRPr="005B2D2F">
        <w:rPr>
          <w:i/>
        </w:rPr>
        <w:t>NDIS Appeals Program.</w:t>
      </w:r>
    </w:p>
    <w:p w14:paraId="2B94A239" w14:textId="77777777" w:rsidR="00B628FF" w:rsidRDefault="005B2D2F">
      <w:pPr>
        <w:pStyle w:val="Normal2"/>
      </w:pPr>
      <w:r>
        <w:t>The Government has already provided partial funding for this measure.</w:t>
      </w:r>
    </w:p>
    <w:p w14:paraId="00202620" w14:textId="77777777" w:rsidR="00B628FF" w:rsidRDefault="005B2D2F">
      <w:pPr>
        <w:pStyle w:val="Normal2"/>
      </w:pPr>
      <w:r>
        <w:t xml:space="preserve">This measure builds on the 2022–‍23 October Budget measure titled </w:t>
      </w:r>
      <w:r w:rsidRPr="005B2D2F">
        <w:rPr>
          <w:i/>
        </w:rPr>
        <w:t>Plan for the National Disability Insurance Scheme</w:t>
      </w:r>
      <w:r>
        <w:t xml:space="preserve">, the 2023–‍24 Budget measure titled </w:t>
      </w:r>
      <w:r w:rsidRPr="005B2D2F">
        <w:rPr>
          <w:i/>
        </w:rPr>
        <w:t>Improving the Effectiveness and Sustainability of the National Disability Insurance Scheme</w:t>
      </w:r>
      <w:r>
        <w:t xml:space="preserve">, the 2024–‍25 Budget measure titled </w:t>
      </w:r>
      <w:r w:rsidRPr="005B2D2F">
        <w:rPr>
          <w:i/>
        </w:rPr>
        <w:t>National Disability Insurance Scheme – getting the NDIS back on track</w:t>
      </w:r>
      <w:r>
        <w:t xml:space="preserve">, and the 2024–‍25 MYEFO measure titled </w:t>
      </w:r>
      <w:r w:rsidRPr="005B2D2F">
        <w:rPr>
          <w:i/>
        </w:rPr>
        <w:t>National Disability Insurance Scheme Reform</w:t>
      </w:r>
      <w:r>
        <w:t>.</w:t>
      </w:r>
    </w:p>
    <w:p w14:paraId="6C633CB0" w14:textId="77777777" w:rsidR="00B628FF" w:rsidRDefault="005B2D2F">
      <w:pPr>
        <w:pStyle w:val="MeasureTitle"/>
      </w:pPr>
      <w:r>
        <w:t>Support for People with Disability</w:t>
      </w:r>
    </w:p>
    <w:p w14:paraId="361C2C71" w14:textId="77777777" w:rsidR="00B628FF" w:rsidRDefault="005B2D2F">
      <w:pPr>
        <w:pStyle w:val="MeasureTableHeading"/>
      </w:pPr>
      <w:r>
        <w:t>Payments ($m)</w:t>
      </w:r>
    </w:p>
    <w:tbl>
      <w:tblPr>
        <w:tblOverlap w:val="never"/>
        <w:tblW w:w="7721" w:type="dxa"/>
        <w:tblBorders>
          <w:top w:val="single" w:sz="4" w:space="0" w:color="000000"/>
          <w:bottom w:val="single" w:sz="4" w:space="0" w:color="000000"/>
        </w:tblBorders>
        <w:tblLayout w:type="fixed"/>
        <w:tblLook w:val="04A0" w:firstRow="1" w:lastRow="0" w:firstColumn="1" w:lastColumn="0" w:noHBand="0" w:noVBand="1"/>
      </w:tblPr>
      <w:tblGrid>
        <w:gridCol w:w="2501"/>
        <w:gridCol w:w="1044"/>
        <w:gridCol w:w="1044"/>
        <w:gridCol w:w="1044"/>
        <w:gridCol w:w="1044"/>
        <w:gridCol w:w="1044"/>
      </w:tblGrid>
      <w:tr w:rsidR="00B628FF" w14:paraId="595078CD" w14:textId="77777777">
        <w:trPr>
          <w:cantSplit/>
        </w:trPr>
        <w:tc>
          <w:tcPr>
            <w:tcW w:w="2500" w:type="dxa"/>
            <w:tcBorders>
              <w:top w:val="single" w:sz="4" w:space="0" w:color="000000"/>
              <w:bottom w:val="single" w:sz="4" w:space="0" w:color="000000"/>
            </w:tcBorders>
          </w:tcPr>
          <w:p w14:paraId="71E1C0B1" w14:textId="77777777" w:rsidR="00B628FF" w:rsidRDefault="00B628FF">
            <w:pPr>
              <w:pStyle w:val="MeasureTableYearHeadings"/>
              <w:keepNext/>
            </w:pPr>
          </w:p>
        </w:tc>
        <w:tc>
          <w:tcPr>
            <w:tcW w:w="1043" w:type="dxa"/>
            <w:tcBorders>
              <w:top w:val="single" w:sz="4" w:space="0" w:color="000000"/>
              <w:bottom w:val="single" w:sz="4" w:space="0" w:color="000000"/>
            </w:tcBorders>
          </w:tcPr>
          <w:p w14:paraId="7CAA37BD" w14:textId="564C4124" w:rsidR="00B628FF" w:rsidRDefault="005B2D2F">
            <w:pPr>
              <w:pStyle w:val="MeasureTableYearHeadings"/>
              <w:keepNext/>
            </w:pPr>
            <w:r>
              <w:t>2024</w:t>
            </w:r>
            <w:r w:rsidR="00B31B37">
              <w:noBreakHyphen/>
            </w:r>
            <w:r>
              <w:t>25</w:t>
            </w:r>
          </w:p>
        </w:tc>
        <w:tc>
          <w:tcPr>
            <w:tcW w:w="1043" w:type="dxa"/>
            <w:tcBorders>
              <w:top w:val="single" w:sz="4" w:space="0" w:color="000000"/>
              <w:bottom w:val="single" w:sz="4" w:space="0" w:color="000000"/>
            </w:tcBorders>
          </w:tcPr>
          <w:p w14:paraId="29294E2A" w14:textId="36AF0C34" w:rsidR="00B628FF" w:rsidRDefault="005B2D2F">
            <w:pPr>
              <w:pStyle w:val="MeasureTableYearHeadings"/>
              <w:keepNext/>
            </w:pPr>
            <w:r>
              <w:t>2025</w:t>
            </w:r>
            <w:r w:rsidR="00B31B37">
              <w:noBreakHyphen/>
            </w:r>
            <w:r>
              <w:t>26</w:t>
            </w:r>
          </w:p>
        </w:tc>
        <w:tc>
          <w:tcPr>
            <w:tcW w:w="1043" w:type="dxa"/>
            <w:tcBorders>
              <w:top w:val="single" w:sz="4" w:space="0" w:color="000000"/>
              <w:bottom w:val="single" w:sz="4" w:space="0" w:color="000000"/>
            </w:tcBorders>
          </w:tcPr>
          <w:p w14:paraId="30A86884" w14:textId="1ED753EE" w:rsidR="00B628FF" w:rsidRDefault="005B2D2F">
            <w:pPr>
              <w:pStyle w:val="MeasureTableYearHeadings"/>
              <w:keepNext/>
            </w:pPr>
            <w:r>
              <w:t>2026</w:t>
            </w:r>
            <w:r w:rsidR="00B31B37">
              <w:noBreakHyphen/>
            </w:r>
            <w:r>
              <w:t>27</w:t>
            </w:r>
          </w:p>
        </w:tc>
        <w:tc>
          <w:tcPr>
            <w:tcW w:w="1043" w:type="dxa"/>
            <w:tcBorders>
              <w:top w:val="single" w:sz="4" w:space="0" w:color="000000"/>
              <w:bottom w:val="single" w:sz="4" w:space="0" w:color="000000"/>
            </w:tcBorders>
          </w:tcPr>
          <w:p w14:paraId="47BE5FD4" w14:textId="48DE9AB8" w:rsidR="00B628FF" w:rsidRDefault="005B2D2F">
            <w:pPr>
              <w:pStyle w:val="MeasureTableYearHeadings"/>
              <w:keepNext/>
            </w:pPr>
            <w:r>
              <w:t>2027</w:t>
            </w:r>
            <w:r w:rsidR="00B31B37">
              <w:noBreakHyphen/>
            </w:r>
            <w:r>
              <w:t>28</w:t>
            </w:r>
          </w:p>
        </w:tc>
        <w:tc>
          <w:tcPr>
            <w:tcW w:w="1043" w:type="dxa"/>
            <w:tcBorders>
              <w:top w:val="single" w:sz="4" w:space="0" w:color="000000"/>
              <w:bottom w:val="single" w:sz="4" w:space="0" w:color="000000"/>
            </w:tcBorders>
          </w:tcPr>
          <w:p w14:paraId="6D6F139E" w14:textId="6B3509D1" w:rsidR="00B628FF" w:rsidRDefault="005B2D2F">
            <w:pPr>
              <w:pStyle w:val="MeasureTableYearHeadings"/>
              <w:keepNext/>
            </w:pPr>
            <w:r>
              <w:t>2028</w:t>
            </w:r>
            <w:r w:rsidR="00B31B37">
              <w:noBreakHyphen/>
            </w:r>
            <w:r>
              <w:t>29</w:t>
            </w:r>
          </w:p>
        </w:tc>
      </w:tr>
      <w:tr w:rsidR="00B628FF" w14:paraId="247ECC17" w14:textId="77777777">
        <w:trPr>
          <w:cantSplit/>
        </w:trPr>
        <w:tc>
          <w:tcPr>
            <w:tcW w:w="2500" w:type="dxa"/>
            <w:tcBorders>
              <w:top w:val="single" w:sz="4" w:space="0" w:color="000000"/>
              <w:bottom w:val="single" w:sz="4" w:space="0" w:color="000000"/>
            </w:tcBorders>
          </w:tcPr>
          <w:p w14:paraId="7F373998" w14:textId="77777777" w:rsidR="00B628FF" w:rsidRDefault="005B2D2F">
            <w:pPr>
              <w:pStyle w:val="MeasureTableHeadingleftalignedwith2ptsspacing"/>
              <w:keepNext/>
            </w:pPr>
            <w:r>
              <w:t>Department of the Treasury</w:t>
            </w:r>
          </w:p>
        </w:tc>
        <w:tc>
          <w:tcPr>
            <w:tcW w:w="1043" w:type="dxa"/>
            <w:tcBorders>
              <w:top w:val="single" w:sz="4" w:space="0" w:color="000000"/>
              <w:bottom w:val="single" w:sz="4" w:space="0" w:color="000000"/>
            </w:tcBorders>
          </w:tcPr>
          <w:p w14:paraId="04A9765B" w14:textId="162B4692"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742E3787" w14:textId="2ECBC28E"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2C153845" w14:textId="7084C2F1"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451C7D37" w14:textId="5CFCB8EE"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70FC9220" w14:textId="123DB1FA" w:rsidR="00B628FF" w:rsidRDefault="00B31B37">
            <w:pPr>
              <w:pStyle w:val="MeasureTableDataRightAlignedwith2ptsspacing"/>
              <w:keepNext/>
            </w:pPr>
            <w:r>
              <w:noBreakHyphen/>
            </w:r>
          </w:p>
        </w:tc>
      </w:tr>
      <w:tr w:rsidR="00B628FF" w14:paraId="377313F3" w14:textId="77777777">
        <w:trPr>
          <w:cantSplit/>
        </w:trPr>
        <w:tc>
          <w:tcPr>
            <w:tcW w:w="2500" w:type="dxa"/>
            <w:tcBorders>
              <w:top w:val="single" w:sz="4" w:space="0" w:color="000000"/>
              <w:bottom w:val="single" w:sz="4" w:space="0" w:color="000000"/>
            </w:tcBorders>
          </w:tcPr>
          <w:p w14:paraId="2F684893" w14:textId="77777777" w:rsidR="00B628FF" w:rsidRDefault="005B2D2F">
            <w:pPr>
              <w:pStyle w:val="MeasureTableHeadingleftalignedwith2ptsspacing"/>
              <w:keepNext/>
            </w:pPr>
            <w:r>
              <w:t>Department of Social Services</w:t>
            </w:r>
          </w:p>
        </w:tc>
        <w:tc>
          <w:tcPr>
            <w:tcW w:w="1043" w:type="dxa"/>
            <w:tcBorders>
              <w:top w:val="single" w:sz="4" w:space="0" w:color="000000"/>
              <w:bottom w:val="single" w:sz="4" w:space="0" w:color="000000"/>
            </w:tcBorders>
          </w:tcPr>
          <w:p w14:paraId="4EB50E69" w14:textId="5E033540" w:rsidR="00B628FF" w:rsidRDefault="00B31B37">
            <w:pPr>
              <w:pStyle w:val="MeasureTableDataRightAlignedwith2ptsspacing"/>
              <w:keepNext/>
            </w:pPr>
            <w:r>
              <w:noBreakHyphen/>
            </w:r>
            <w:r w:rsidR="005B2D2F">
              <w:t>1.2</w:t>
            </w:r>
          </w:p>
        </w:tc>
        <w:tc>
          <w:tcPr>
            <w:tcW w:w="1043" w:type="dxa"/>
            <w:tcBorders>
              <w:top w:val="single" w:sz="4" w:space="0" w:color="000000"/>
              <w:bottom w:val="single" w:sz="4" w:space="0" w:color="000000"/>
            </w:tcBorders>
          </w:tcPr>
          <w:p w14:paraId="12F6B846" w14:textId="03B96A77" w:rsidR="00B628FF" w:rsidRDefault="00B31B37">
            <w:pPr>
              <w:pStyle w:val="MeasureTableDataRightAlignedwith2ptsspacing"/>
              <w:keepNext/>
            </w:pPr>
            <w:r>
              <w:noBreakHyphen/>
            </w:r>
            <w:r w:rsidR="005B2D2F">
              <w:t>17.2</w:t>
            </w:r>
          </w:p>
        </w:tc>
        <w:tc>
          <w:tcPr>
            <w:tcW w:w="1043" w:type="dxa"/>
            <w:tcBorders>
              <w:top w:val="single" w:sz="4" w:space="0" w:color="000000"/>
              <w:bottom w:val="single" w:sz="4" w:space="0" w:color="000000"/>
            </w:tcBorders>
          </w:tcPr>
          <w:p w14:paraId="1E081F03" w14:textId="77777777" w:rsidR="00B628FF" w:rsidRDefault="005B2D2F">
            <w:pPr>
              <w:pStyle w:val="MeasureTableDataRightAlignedwith2ptsspacing"/>
              <w:keepNext/>
            </w:pPr>
            <w:r>
              <w:t>10.2</w:t>
            </w:r>
          </w:p>
        </w:tc>
        <w:tc>
          <w:tcPr>
            <w:tcW w:w="1043" w:type="dxa"/>
            <w:tcBorders>
              <w:top w:val="single" w:sz="4" w:space="0" w:color="000000"/>
              <w:bottom w:val="single" w:sz="4" w:space="0" w:color="000000"/>
            </w:tcBorders>
          </w:tcPr>
          <w:p w14:paraId="389A77CE" w14:textId="77777777" w:rsidR="00B628FF" w:rsidRDefault="005B2D2F">
            <w:pPr>
              <w:pStyle w:val="MeasureTableDataRightAlignedwith2ptsspacing"/>
              <w:keepNext/>
            </w:pPr>
            <w:r>
              <w:t>11.3</w:t>
            </w:r>
          </w:p>
        </w:tc>
        <w:tc>
          <w:tcPr>
            <w:tcW w:w="1043" w:type="dxa"/>
            <w:tcBorders>
              <w:top w:val="single" w:sz="4" w:space="0" w:color="000000"/>
              <w:bottom w:val="single" w:sz="4" w:space="0" w:color="000000"/>
            </w:tcBorders>
          </w:tcPr>
          <w:p w14:paraId="18F2D8C7" w14:textId="65D7D5CF" w:rsidR="00B628FF" w:rsidRDefault="00B31B37">
            <w:pPr>
              <w:pStyle w:val="MeasureTableDataRightAlignedwith2ptsspacing"/>
              <w:keepNext/>
            </w:pPr>
            <w:r>
              <w:noBreakHyphen/>
            </w:r>
            <w:r w:rsidR="005B2D2F">
              <w:t>3.0</w:t>
            </w:r>
          </w:p>
        </w:tc>
      </w:tr>
      <w:tr w:rsidR="00B628FF" w14:paraId="0A9524B3" w14:textId="77777777">
        <w:trPr>
          <w:cantSplit/>
        </w:trPr>
        <w:tc>
          <w:tcPr>
            <w:tcW w:w="2500" w:type="dxa"/>
            <w:tcBorders>
              <w:top w:val="single" w:sz="4" w:space="0" w:color="000000"/>
              <w:bottom w:val="single" w:sz="4" w:space="0" w:color="000000"/>
            </w:tcBorders>
          </w:tcPr>
          <w:p w14:paraId="54D119F5" w14:textId="77777777" w:rsidR="00B628FF" w:rsidRDefault="005B2D2F">
            <w:pPr>
              <w:pStyle w:val="Totalrowleftaligned"/>
              <w:keepNext/>
            </w:pPr>
            <w:r>
              <w:t>Total – Payments</w:t>
            </w:r>
          </w:p>
        </w:tc>
        <w:tc>
          <w:tcPr>
            <w:tcW w:w="1043" w:type="dxa"/>
            <w:tcBorders>
              <w:top w:val="single" w:sz="4" w:space="0" w:color="000000"/>
              <w:bottom w:val="single" w:sz="4" w:space="0" w:color="000000"/>
            </w:tcBorders>
          </w:tcPr>
          <w:p w14:paraId="74DDAD2F" w14:textId="390E7771" w:rsidR="00B628FF" w:rsidRDefault="00B31B37">
            <w:pPr>
              <w:pStyle w:val="Totaldatarowrightaligned"/>
              <w:keepNext/>
            </w:pPr>
            <w:r>
              <w:noBreakHyphen/>
            </w:r>
            <w:r w:rsidR="005B2D2F">
              <w:t>1.2</w:t>
            </w:r>
          </w:p>
        </w:tc>
        <w:tc>
          <w:tcPr>
            <w:tcW w:w="1043" w:type="dxa"/>
            <w:tcBorders>
              <w:top w:val="single" w:sz="4" w:space="0" w:color="000000"/>
              <w:bottom w:val="single" w:sz="4" w:space="0" w:color="000000"/>
            </w:tcBorders>
          </w:tcPr>
          <w:p w14:paraId="7749D477" w14:textId="210CF45A" w:rsidR="00B628FF" w:rsidRDefault="00B31B37">
            <w:pPr>
              <w:pStyle w:val="Totaldatarowrightaligned"/>
              <w:keepNext/>
            </w:pPr>
            <w:r>
              <w:noBreakHyphen/>
            </w:r>
            <w:r w:rsidR="005B2D2F">
              <w:t>17.2</w:t>
            </w:r>
          </w:p>
        </w:tc>
        <w:tc>
          <w:tcPr>
            <w:tcW w:w="1043" w:type="dxa"/>
            <w:tcBorders>
              <w:top w:val="single" w:sz="4" w:space="0" w:color="000000"/>
              <w:bottom w:val="single" w:sz="4" w:space="0" w:color="000000"/>
            </w:tcBorders>
          </w:tcPr>
          <w:p w14:paraId="6668C4C0" w14:textId="77777777" w:rsidR="00B628FF" w:rsidRDefault="005B2D2F">
            <w:pPr>
              <w:pStyle w:val="Totaldatarowrightaligned"/>
              <w:keepNext/>
            </w:pPr>
            <w:r>
              <w:t>10.2</w:t>
            </w:r>
          </w:p>
        </w:tc>
        <w:tc>
          <w:tcPr>
            <w:tcW w:w="1043" w:type="dxa"/>
            <w:tcBorders>
              <w:top w:val="single" w:sz="4" w:space="0" w:color="000000"/>
              <w:bottom w:val="single" w:sz="4" w:space="0" w:color="000000"/>
            </w:tcBorders>
          </w:tcPr>
          <w:p w14:paraId="5C50ECC3" w14:textId="77777777" w:rsidR="00B628FF" w:rsidRDefault="005B2D2F">
            <w:pPr>
              <w:pStyle w:val="Totaldatarowrightaligned"/>
              <w:keepNext/>
            </w:pPr>
            <w:r>
              <w:t>11.3</w:t>
            </w:r>
          </w:p>
        </w:tc>
        <w:tc>
          <w:tcPr>
            <w:tcW w:w="1043" w:type="dxa"/>
            <w:tcBorders>
              <w:top w:val="single" w:sz="4" w:space="0" w:color="000000"/>
              <w:bottom w:val="single" w:sz="4" w:space="0" w:color="000000"/>
            </w:tcBorders>
          </w:tcPr>
          <w:p w14:paraId="2797EE13" w14:textId="6798DB8C" w:rsidR="00B628FF" w:rsidRDefault="00B31B37">
            <w:pPr>
              <w:pStyle w:val="Totaldatarowrightaligned"/>
              <w:keepNext/>
            </w:pPr>
            <w:r>
              <w:noBreakHyphen/>
            </w:r>
            <w:r w:rsidR="005B2D2F">
              <w:t>3.0</w:t>
            </w:r>
          </w:p>
        </w:tc>
      </w:tr>
    </w:tbl>
    <w:p w14:paraId="16AD99AF" w14:textId="77777777" w:rsidR="00B628FF" w:rsidRDefault="00B628FF">
      <w:pPr>
        <w:keepNext/>
        <w:spacing w:line="226" w:lineRule="exact"/>
        <w:rPr>
          <w:sz w:val="16"/>
        </w:rPr>
      </w:pPr>
    </w:p>
    <w:p w14:paraId="1CED79F6" w14:textId="77777777" w:rsidR="00B628FF" w:rsidRDefault="005B2D2F">
      <w:pPr>
        <w:pStyle w:val="Normal2"/>
      </w:pPr>
      <w:r>
        <w:t>The Government will provide $423.8 million over five years from 2024–‍25 (and $150.0 million per year ongoing) to support inclusion and build the capacity of people with disability and their families through improving accessibility, delivery of inclusive community services, and general understanding of disability. Funding includes:</w:t>
      </w:r>
    </w:p>
    <w:p w14:paraId="5D6C8C5C" w14:textId="77777777" w:rsidR="00B628FF" w:rsidRDefault="005B2D2F">
      <w:pPr>
        <w:pStyle w:val="Bullet"/>
      </w:pPr>
      <w:r>
        <w:t xml:space="preserve">$364.5 million over five years from 2024–‍25 (and $150.0 million per year ongoing) to redesign the </w:t>
      </w:r>
      <w:r w:rsidRPr="005B2D2F">
        <w:rPr>
          <w:i/>
        </w:rPr>
        <w:t>Information, Linkages and Capacity Building</w:t>
      </w:r>
      <w:r>
        <w:t xml:space="preserve"> program to provide general supports for people with disability and their families, carers and kin, improving consistency, quality and national coverage, as envisaged by the Independent Review of the National Disability Insurance Scheme. These supports will complement additional foundational supports to be co‑funded with states and territories</w:t>
      </w:r>
    </w:p>
    <w:p w14:paraId="285195E4" w14:textId="1F456390" w:rsidR="00B628FF" w:rsidRDefault="005B2D2F">
      <w:pPr>
        <w:pStyle w:val="Bullet"/>
      </w:pPr>
      <w:r>
        <w:t>$42.2 million over five years from 2024–‍25 (and an additional $0.1 million from 2029–‍30 to 2031–‍32) to deliver the National Autism Strategy and implement the Strategy</w:t>
      </w:r>
      <w:r w:rsidR="00B31B37">
        <w:t>’</w:t>
      </w:r>
      <w:r>
        <w:t>s First Action Plan</w:t>
      </w:r>
    </w:p>
    <w:p w14:paraId="5CF017F4" w14:textId="77777777" w:rsidR="00B628FF" w:rsidRDefault="005B2D2F">
      <w:pPr>
        <w:pStyle w:val="Bullet"/>
      </w:pPr>
      <w:r>
        <w:t>$17.1 million over four years from 2024–‍25 to establish the Accessible Australia initiative, to increase accessibility in community spaces across Australia through accessible infrastructure projects at national parks, beaches, and play spaces, as well as fixed and portable Changing Places facilities to enable increased participation.</w:t>
      </w:r>
    </w:p>
    <w:p w14:paraId="01D3DA77" w14:textId="77777777" w:rsidR="00B628FF" w:rsidRDefault="005B2D2F">
      <w:pPr>
        <w:pStyle w:val="Normal2"/>
      </w:pPr>
      <w:r>
        <w:t>The Government has already provided partial funding for this measure.</w:t>
      </w:r>
    </w:p>
    <w:p w14:paraId="3770AD25" w14:textId="77777777" w:rsidR="00B628FF" w:rsidRDefault="005B2D2F">
      <w:pPr>
        <w:pStyle w:val="Normal2"/>
      </w:pPr>
      <w:r w:rsidRPr="5FA307DC">
        <w:rPr>
          <w:lang w:val="en-US"/>
        </w:rPr>
        <w:t xml:space="preserve">The cost of this measure will be partially met from within the existing resourcing of the Department of Social Services and partially met by a reprioritisation of funding from the 2022–‍23 October Budget measure titled </w:t>
      </w:r>
      <w:r w:rsidRPr="5FA307DC">
        <w:rPr>
          <w:i/>
          <w:iCs/>
          <w:lang w:val="en-US"/>
        </w:rPr>
        <w:t>Better Support for People Living with Disability.</w:t>
      </w:r>
    </w:p>
    <w:p w14:paraId="78AF3AD5" w14:textId="77777777" w:rsidR="00B628FF" w:rsidRDefault="005B2D2F">
      <w:pPr>
        <w:pStyle w:val="Normal2"/>
      </w:pPr>
      <w:r>
        <w:t>The Treasury manages Commonwealth payments to the states and territories.</w:t>
      </w:r>
    </w:p>
    <w:p w14:paraId="7570FEC7" w14:textId="77777777" w:rsidR="00B628FF" w:rsidRDefault="005B2D2F">
      <w:pPr>
        <w:pStyle w:val="Normal2"/>
      </w:pPr>
      <w:r>
        <w:t xml:space="preserve">This measure builds on the 2022–‍23 October Budget measure titled </w:t>
      </w:r>
      <w:r w:rsidRPr="005B2D2F">
        <w:rPr>
          <w:i/>
        </w:rPr>
        <w:t>National Autism Strategy</w:t>
      </w:r>
      <w:r>
        <w:t xml:space="preserve"> and the 2023–‍24 Budget measure titled </w:t>
      </w:r>
      <w:r w:rsidRPr="005B2D2F">
        <w:rPr>
          <w:i/>
        </w:rPr>
        <w:t>Support for People with Autism.</w:t>
      </w:r>
    </w:p>
    <w:p w14:paraId="0AEB0CCF" w14:textId="77777777" w:rsidR="00B628FF" w:rsidRDefault="00B628FF">
      <w:pPr>
        <w:sectPr w:rsidR="00B628FF" w:rsidSect="00A06F82">
          <w:headerReference w:type="even" r:id="rId111"/>
          <w:headerReference w:type="default" r:id="rId112"/>
          <w:footerReference w:type="even" r:id="rId113"/>
          <w:footerReference w:type="default" r:id="rId114"/>
          <w:headerReference w:type="first" r:id="rId115"/>
          <w:footerReference w:type="first" r:id="rId116"/>
          <w:pgSz w:w="11906" w:h="16838"/>
          <w:pgMar w:top="2835" w:right="2098" w:bottom="2466" w:left="2098" w:header="1814" w:footer="1814" w:gutter="0"/>
          <w:cols w:space="720"/>
          <w:docGrid w:linePitch="272"/>
        </w:sectPr>
      </w:pPr>
    </w:p>
    <w:p w14:paraId="7657260E" w14:textId="77777777" w:rsidR="00B628FF" w:rsidRDefault="005B2D2F">
      <w:pPr>
        <w:pStyle w:val="PortfolioName"/>
      </w:pPr>
      <w:r>
        <w:t>Treasury</w:t>
      </w:r>
    </w:p>
    <w:p w14:paraId="085BE485" w14:textId="77777777" w:rsidR="00B628FF" w:rsidRDefault="005B2D2F">
      <w:pPr>
        <w:pStyle w:val="MeasureTitle"/>
      </w:pPr>
      <w:r>
        <w:t>Energy Bill Relief Fund Extension</w:t>
      </w:r>
    </w:p>
    <w:p w14:paraId="485A787D" w14:textId="77777777" w:rsidR="00B628FF" w:rsidRDefault="005B2D2F">
      <w:pPr>
        <w:pStyle w:val="MeasureTableHeading"/>
      </w:pPr>
      <w:r>
        <w:t>Payments ($m)</w:t>
      </w:r>
    </w:p>
    <w:tbl>
      <w:tblPr>
        <w:tblOverlap w:val="never"/>
        <w:tblW w:w="7721" w:type="dxa"/>
        <w:tblBorders>
          <w:top w:val="single" w:sz="4" w:space="0" w:color="000000"/>
          <w:bottom w:val="single" w:sz="4" w:space="0" w:color="000000"/>
        </w:tblBorders>
        <w:tblLayout w:type="fixed"/>
        <w:tblLook w:val="04A0" w:firstRow="1" w:lastRow="0" w:firstColumn="1" w:lastColumn="0" w:noHBand="0" w:noVBand="1"/>
      </w:tblPr>
      <w:tblGrid>
        <w:gridCol w:w="2501"/>
        <w:gridCol w:w="1044"/>
        <w:gridCol w:w="1044"/>
        <w:gridCol w:w="1044"/>
        <w:gridCol w:w="1044"/>
        <w:gridCol w:w="1044"/>
      </w:tblGrid>
      <w:tr w:rsidR="00B628FF" w14:paraId="18B0372F" w14:textId="77777777">
        <w:trPr>
          <w:cantSplit/>
        </w:trPr>
        <w:tc>
          <w:tcPr>
            <w:tcW w:w="2500" w:type="dxa"/>
            <w:tcBorders>
              <w:top w:val="single" w:sz="4" w:space="0" w:color="000000"/>
              <w:bottom w:val="single" w:sz="4" w:space="0" w:color="000000"/>
            </w:tcBorders>
          </w:tcPr>
          <w:p w14:paraId="51CD39C3" w14:textId="77777777" w:rsidR="00B628FF" w:rsidRDefault="00B628FF">
            <w:pPr>
              <w:pStyle w:val="MeasureTableYearHeadings"/>
              <w:keepNext/>
            </w:pPr>
          </w:p>
        </w:tc>
        <w:tc>
          <w:tcPr>
            <w:tcW w:w="1043" w:type="dxa"/>
            <w:tcBorders>
              <w:top w:val="single" w:sz="4" w:space="0" w:color="000000"/>
              <w:bottom w:val="single" w:sz="4" w:space="0" w:color="000000"/>
            </w:tcBorders>
          </w:tcPr>
          <w:p w14:paraId="492DCC53" w14:textId="17119CDA" w:rsidR="00B628FF" w:rsidRDefault="005B2D2F">
            <w:pPr>
              <w:pStyle w:val="MeasureTableYearHeadings"/>
              <w:keepNext/>
            </w:pPr>
            <w:r>
              <w:t>2024</w:t>
            </w:r>
            <w:r w:rsidR="00B31B37">
              <w:noBreakHyphen/>
            </w:r>
            <w:r>
              <w:t>25</w:t>
            </w:r>
          </w:p>
        </w:tc>
        <w:tc>
          <w:tcPr>
            <w:tcW w:w="1043" w:type="dxa"/>
            <w:tcBorders>
              <w:top w:val="single" w:sz="4" w:space="0" w:color="000000"/>
              <w:bottom w:val="single" w:sz="4" w:space="0" w:color="000000"/>
            </w:tcBorders>
          </w:tcPr>
          <w:p w14:paraId="7D0467DC" w14:textId="365348A4" w:rsidR="00B628FF" w:rsidRDefault="005B2D2F">
            <w:pPr>
              <w:pStyle w:val="MeasureTableYearHeadings"/>
              <w:keepNext/>
            </w:pPr>
            <w:r>
              <w:t>2025</w:t>
            </w:r>
            <w:r w:rsidR="00B31B37">
              <w:noBreakHyphen/>
            </w:r>
            <w:r>
              <w:t>26</w:t>
            </w:r>
          </w:p>
        </w:tc>
        <w:tc>
          <w:tcPr>
            <w:tcW w:w="1043" w:type="dxa"/>
            <w:tcBorders>
              <w:top w:val="single" w:sz="4" w:space="0" w:color="000000"/>
              <w:bottom w:val="single" w:sz="4" w:space="0" w:color="000000"/>
            </w:tcBorders>
          </w:tcPr>
          <w:p w14:paraId="2D116FB7" w14:textId="618BBA3F" w:rsidR="00B628FF" w:rsidRDefault="005B2D2F">
            <w:pPr>
              <w:pStyle w:val="MeasureTableYearHeadings"/>
              <w:keepNext/>
            </w:pPr>
            <w:r>
              <w:t>2026</w:t>
            </w:r>
            <w:r w:rsidR="00B31B37">
              <w:noBreakHyphen/>
            </w:r>
            <w:r>
              <w:t>27</w:t>
            </w:r>
          </w:p>
        </w:tc>
        <w:tc>
          <w:tcPr>
            <w:tcW w:w="1043" w:type="dxa"/>
            <w:tcBorders>
              <w:top w:val="single" w:sz="4" w:space="0" w:color="000000"/>
              <w:bottom w:val="single" w:sz="4" w:space="0" w:color="000000"/>
            </w:tcBorders>
          </w:tcPr>
          <w:p w14:paraId="10F77EA6" w14:textId="4B85E0B8" w:rsidR="00B628FF" w:rsidRDefault="005B2D2F">
            <w:pPr>
              <w:pStyle w:val="MeasureTableYearHeadings"/>
              <w:keepNext/>
            </w:pPr>
            <w:r>
              <w:t>2027</w:t>
            </w:r>
            <w:r w:rsidR="00B31B37">
              <w:noBreakHyphen/>
            </w:r>
            <w:r>
              <w:t>28</w:t>
            </w:r>
          </w:p>
        </w:tc>
        <w:tc>
          <w:tcPr>
            <w:tcW w:w="1043" w:type="dxa"/>
            <w:tcBorders>
              <w:top w:val="single" w:sz="4" w:space="0" w:color="000000"/>
              <w:bottom w:val="single" w:sz="4" w:space="0" w:color="000000"/>
            </w:tcBorders>
          </w:tcPr>
          <w:p w14:paraId="01C25E81" w14:textId="39B77A21" w:rsidR="00B628FF" w:rsidRDefault="005B2D2F">
            <w:pPr>
              <w:pStyle w:val="MeasureTableYearHeadings"/>
              <w:keepNext/>
            </w:pPr>
            <w:r>
              <w:t>2028</w:t>
            </w:r>
            <w:r w:rsidR="00B31B37">
              <w:noBreakHyphen/>
            </w:r>
            <w:r>
              <w:t>29</w:t>
            </w:r>
          </w:p>
        </w:tc>
      </w:tr>
      <w:tr w:rsidR="00B628FF" w14:paraId="450CC4BF" w14:textId="77777777">
        <w:trPr>
          <w:cantSplit/>
        </w:trPr>
        <w:tc>
          <w:tcPr>
            <w:tcW w:w="2500" w:type="dxa"/>
            <w:tcBorders>
              <w:top w:val="single" w:sz="4" w:space="0" w:color="000000"/>
              <w:bottom w:val="single" w:sz="4" w:space="0" w:color="000000"/>
            </w:tcBorders>
          </w:tcPr>
          <w:p w14:paraId="3B41C205" w14:textId="77777777" w:rsidR="00B628FF" w:rsidRDefault="005B2D2F">
            <w:pPr>
              <w:pStyle w:val="MeasureTableHeadingleftalignedwith2ptsspacing"/>
              <w:keepNext/>
            </w:pPr>
            <w:r>
              <w:t>Department of the Treasury</w:t>
            </w:r>
          </w:p>
        </w:tc>
        <w:tc>
          <w:tcPr>
            <w:tcW w:w="1043" w:type="dxa"/>
            <w:tcBorders>
              <w:top w:val="single" w:sz="4" w:space="0" w:color="000000"/>
              <w:bottom w:val="single" w:sz="4" w:space="0" w:color="000000"/>
            </w:tcBorders>
          </w:tcPr>
          <w:p w14:paraId="64BD1048" w14:textId="5F03356A"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44268B86" w14:textId="77777777" w:rsidR="00B628FF" w:rsidRDefault="005B2D2F">
            <w:pPr>
              <w:pStyle w:val="MeasureTableDataRightAlignedwith2ptsspacing"/>
              <w:keepNext/>
            </w:pPr>
            <w:r>
              <w:t>1,775.6</w:t>
            </w:r>
          </w:p>
        </w:tc>
        <w:tc>
          <w:tcPr>
            <w:tcW w:w="1043" w:type="dxa"/>
            <w:tcBorders>
              <w:top w:val="single" w:sz="4" w:space="0" w:color="000000"/>
              <w:bottom w:val="single" w:sz="4" w:space="0" w:color="000000"/>
            </w:tcBorders>
          </w:tcPr>
          <w:p w14:paraId="15C366B4" w14:textId="77777777" w:rsidR="00B628FF" w:rsidRDefault="005B2D2F">
            <w:pPr>
              <w:pStyle w:val="MeasureTableDataRightAlignedwith2ptsspacing"/>
              <w:keepNext/>
            </w:pPr>
            <w:r>
              <w:t>0.4</w:t>
            </w:r>
          </w:p>
        </w:tc>
        <w:tc>
          <w:tcPr>
            <w:tcW w:w="1043" w:type="dxa"/>
            <w:tcBorders>
              <w:top w:val="single" w:sz="4" w:space="0" w:color="000000"/>
              <w:bottom w:val="single" w:sz="4" w:space="0" w:color="000000"/>
            </w:tcBorders>
          </w:tcPr>
          <w:p w14:paraId="0447C4C3" w14:textId="3B4BCEAD"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50541740" w14:textId="718C59FC" w:rsidR="00B628FF" w:rsidRDefault="00B31B37">
            <w:pPr>
              <w:pStyle w:val="MeasureTableDataRightAlignedwith2ptsspacing"/>
              <w:keepNext/>
            </w:pPr>
            <w:r>
              <w:noBreakHyphen/>
            </w:r>
          </w:p>
        </w:tc>
      </w:tr>
      <w:tr w:rsidR="00B628FF" w14:paraId="5D8D1B19" w14:textId="77777777">
        <w:trPr>
          <w:cantSplit/>
        </w:trPr>
        <w:tc>
          <w:tcPr>
            <w:tcW w:w="2500" w:type="dxa"/>
            <w:tcBorders>
              <w:top w:val="single" w:sz="4" w:space="0" w:color="000000"/>
              <w:bottom w:val="single" w:sz="4" w:space="0" w:color="000000"/>
            </w:tcBorders>
          </w:tcPr>
          <w:p w14:paraId="15E4ACB4" w14:textId="77777777" w:rsidR="00B628FF" w:rsidRDefault="005B2D2F">
            <w:pPr>
              <w:pStyle w:val="MeasureTableHeadingleftalignedwith2ptsspacing"/>
              <w:keepNext/>
            </w:pPr>
            <w:r>
              <w:t>Department of Infrastructure, Transport, Regional Development, Communications and the Arts</w:t>
            </w:r>
          </w:p>
        </w:tc>
        <w:tc>
          <w:tcPr>
            <w:tcW w:w="1043" w:type="dxa"/>
            <w:tcBorders>
              <w:top w:val="single" w:sz="4" w:space="0" w:color="000000"/>
              <w:bottom w:val="single" w:sz="4" w:space="0" w:color="000000"/>
            </w:tcBorders>
          </w:tcPr>
          <w:p w14:paraId="00C23CA7" w14:textId="315690CB"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369D7C2E" w14:textId="77777777" w:rsidR="00B628FF" w:rsidRDefault="005B2D2F">
            <w:pPr>
              <w:pStyle w:val="MeasureTableDataRightAlignedwith2ptsspacing"/>
              <w:keepNext/>
            </w:pPr>
            <w:r>
              <w:t>0.4</w:t>
            </w:r>
          </w:p>
        </w:tc>
        <w:tc>
          <w:tcPr>
            <w:tcW w:w="1043" w:type="dxa"/>
            <w:tcBorders>
              <w:top w:val="single" w:sz="4" w:space="0" w:color="000000"/>
              <w:bottom w:val="single" w:sz="4" w:space="0" w:color="000000"/>
            </w:tcBorders>
          </w:tcPr>
          <w:p w14:paraId="52B1BC50" w14:textId="7707FF36"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079238EF" w14:textId="2E431936"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0F9EE392" w14:textId="0DE347DD" w:rsidR="00B628FF" w:rsidRDefault="00B31B37">
            <w:pPr>
              <w:pStyle w:val="MeasureTableDataRightAlignedwith2ptsspacing"/>
              <w:keepNext/>
            </w:pPr>
            <w:r>
              <w:noBreakHyphen/>
            </w:r>
          </w:p>
        </w:tc>
      </w:tr>
      <w:tr w:rsidR="00B628FF" w14:paraId="6FCC5B3D" w14:textId="77777777">
        <w:trPr>
          <w:cantSplit/>
        </w:trPr>
        <w:tc>
          <w:tcPr>
            <w:tcW w:w="2500" w:type="dxa"/>
            <w:tcBorders>
              <w:top w:val="single" w:sz="4" w:space="0" w:color="000000"/>
              <w:bottom w:val="single" w:sz="4" w:space="0" w:color="000000"/>
            </w:tcBorders>
          </w:tcPr>
          <w:p w14:paraId="09557DBB" w14:textId="77777777" w:rsidR="00B628FF" w:rsidRDefault="005B2D2F">
            <w:pPr>
              <w:pStyle w:val="Totalrowleftaligned"/>
              <w:keepNext/>
            </w:pPr>
            <w:r>
              <w:t>Total – Payments</w:t>
            </w:r>
          </w:p>
        </w:tc>
        <w:tc>
          <w:tcPr>
            <w:tcW w:w="1043" w:type="dxa"/>
            <w:tcBorders>
              <w:top w:val="single" w:sz="4" w:space="0" w:color="000000"/>
              <w:bottom w:val="single" w:sz="4" w:space="0" w:color="000000"/>
            </w:tcBorders>
          </w:tcPr>
          <w:p w14:paraId="2FC514C6" w14:textId="75760234" w:rsidR="00B628FF" w:rsidRDefault="00B31B37">
            <w:pPr>
              <w:pStyle w:val="Totaldatarowrightaligned"/>
              <w:keepNext/>
            </w:pPr>
            <w:r>
              <w:noBreakHyphen/>
            </w:r>
          </w:p>
        </w:tc>
        <w:tc>
          <w:tcPr>
            <w:tcW w:w="1043" w:type="dxa"/>
            <w:tcBorders>
              <w:top w:val="single" w:sz="4" w:space="0" w:color="000000"/>
              <w:bottom w:val="single" w:sz="4" w:space="0" w:color="000000"/>
            </w:tcBorders>
          </w:tcPr>
          <w:p w14:paraId="36BABF5B" w14:textId="77777777" w:rsidR="00B628FF" w:rsidRDefault="005B2D2F">
            <w:pPr>
              <w:pStyle w:val="Totaldatarowrightaligned"/>
              <w:keepNext/>
            </w:pPr>
            <w:r>
              <w:t>1,776.1</w:t>
            </w:r>
          </w:p>
        </w:tc>
        <w:tc>
          <w:tcPr>
            <w:tcW w:w="1043" w:type="dxa"/>
            <w:tcBorders>
              <w:top w:val="single" w:sz="4" w:space="0" w:color="000000"/>
              <w:bottom w:val="single" w:sz="4" w:space="0" w:color="000000"/>
            </w:tcBorders>
          </w:tcPr>
          <w:p w14:paraId="354BCE37" w14:textId="77777777" w:rsidR="00B628FF" w:rsidRDefault="005B2D2F">
            <w:pPr>
              <w:pStyle w:val="Totaldatarowrightaligned"/>
              <w:keepNext/>
            </w:pPr>
            <w:r>
              <w:t>0.4</w:t>
            </w:r>
          </w:p>
        </w:tc>
        <w:tc>
          <w:tcPr>
            <w:tcW w:w="1043" w:type="dxa"/>
            <w:tcBorders>
              <w:top w:val="single" w:sz="4" w:space="0" w:color="000000"/>
              <w:bottom w:val="single" w:sz="4" w:space="0" w:color="000000"/>
            </w:tcBorders>
          </w:tcPr>
          <w:p w14:paraId="3832EAC0" w14:textId="5F96D364" w:rsidR="00B628FF" w:rsidRDefault="00B31B37">
            <w:pPr>
              <w:pStyle w:val="Totaldatarowrightaligned"/>
              <w:keepNext/>
            </w:pPr>
            <w:r>
              <w:noBreakHyphen/>
            </w:r>
          </w:p>
        </w:tc>
        <w:tc>
          <w:tcPr>
            <w:tcW w:w="1043" w:type="dxa"/>
            <w:tcBorders>
              <w:top w:val="single" w:sz="4" w:space="0" w:color="000000"/>
              <w:bottom w:val="single" w:sz="4" w:space="0" w:color="000000"/>
            </w:tcBorders>
          </w:tcPr>
          <w:p w14:paraId="14648844" w14:textId="6D82259F" w:rsidR="00B628FF" w:rsidRDefault="00B31B37">
            <w:pPr>
              <w:pStyle w:val="Totaldatarowrightaligned"/>
              <w:keepNext/>
            </w:pPr>
            <w:r>
              <w:noBreakHyphen/>
            </w:r>
          </w:p>
        </w:tc>
      </w:tr>
    </w:tbl>
    <w:p w14:paraId="0DD51864" w14:textId="77777777" w:rsidR="00B628FF" w:rsidRDefault="00B628FF">
      <w:pPr>
        <w:keepNext/>
        <w:spacing w:line="226" w:lineRule="exact"/>
        <w:rPr>
          <w:sz w:val="16"/>
        </w:rPr>
      </w:pPr>
    </w:p>
    <w:p w14:paraId="43157717" w14:textId="733D8ED6" w:rsidR="00B628FF" w:rsidRDefault="005B2D2F">
      <w:pPr>
        <w:pStyle w:val="Normal2"/>
      </w:pPr>
      <w:r w:rsidRPr="5FA307DC">
        <w:rPr>
          <w:lang w:val="en-US"/>
        </w:rPr>
        <w:t>The Government will provide $1.8 billion over two</w:t>
      </w:r>
      <w:r w:rsidR="00B85B2A" w:rsidRPr="5FA307DC">
        <w:rPr>
          <w:lang w:val="en-US"/>
        </w:rPr>
        <w:t> </w:t>
      </w:r>
      <w:r w:rsidRPr="5FA307DC">
        <w:rPr>
          <w:lang w:val="en-US"/>
        </w:rPr>
        <w:t>years from 2025–‍26 to continue energy bill rebates of $75</w:t>
      </w:r>
      <w:r w:rsidR="00B85B2A" w:rsidRPr="5FA307DC">
        <w:rPr>
          <w:lang w:val="en-US"/>
        </w:rPr>
        <w:t> </w:t>
      </w:r>
      <w:r w:rsidRPr="5FA307DC">
        <w:rPr>
          <w:lang w:val="en-US"/>
        </w:rPr>
        <w:t>per quarter for eligible Australian households and small businesses until 31 December 2025 to provide cost</w:t>
      </w:r>
      <w:r w:rsidR="00B31B37">
        <w:rPr>
          <w:lang w:val="en-US"/>
        </w:rPr>
        <w:noBreakHyphen/>
      </w:r>
      <w:r w:rsidRPr="5FA307DC">
        <w:rPr>
          <w:lang w:val="en-US"/>
        </w:rPr>
        <w:t>of</w:t>
      </w:r>
      <w:r w:rsidR="00B31B37">
        <w:rPr>
          <w:lang w:val="en-US"/>
        </w:rPr>
        <w:noBreakHyphen/>
      </w:r>
      <w:r w:rsidRPr="5FA307DC">
        <w:rPr>
          <w:lang w:val="en-US"/>
        </w:rPr>
        <w:t>living relief.</w:t>
      </w:r>
    </w:p>
    <w:p w14:paraId="29868121" w14:textId="77777777" w:rsidR="00B628FF" w:rsidRDefault="005B2D2F">
      <w:pPr>
        <w:pStyle w:val="Normal2"/>
      </w:pPr>
      <w:r>
        <w:t xml:space="preserve">This measure extends the 2024–‍25 Budget measure titled </w:t>
      </w:r>
      <w:r w:rsidRPr="005B2D2F">
        <w:rPr>
          <w:i/>
        </w:rPr>
        <w:t>Energy Bill Relief Fund – extension and expansion</w:t>
      </w:r>
      <w:r w:rsidRPr="00E23D33">
        <w:rPr>
          <w:b/>
        </w:rPr>
        <w:t>.</w:t>
      </w:r>
    </w:p>
    <w:p w14:paraId="28148550" w14:textId="488F581F" w:rsidR="00B628FF" w:rsidRDefault="005B2D2F">
      <w:pPr>
        <w:pStyle w:val="MeasureTitle"/>
      </w:pPr>
      <w:r>
        <w:t xml:space="preserve">Housing </w:t>
      </w:r>
      <w:r w:rsidR="00C443D0">
        <w:t>S</w:t>
      </w:r>
      <w:r>
        <w:t>upport</w:t>
      </w:r>
    </w:p>
    <w:p w14:paraId="364B1BFD" w14:textId="77777777" w:rsidR="00B628FF" w:rsidRDefault="005B2D2F">
      <w:pPr>
        <w:pStyle w:val="MeasureTableHeading"/>
      </w:pPr>
      <w:r>
        <w:t>Payments ($m)</w:t>
      </w:r>
    </w:p>
    <w:tbl>
      <w:tblPr>
        <w:tblOverlap w:val="never"/>
        <w:tblW w:w="7721" w:type="dxa"/>
        <w:tblBorders>
          <w:top w:val="single" w:sz="4" w:space="0" w:color="000000"/>
          <w:bottom w:val="single" w:sz="4" w:space="0" w:color="000000"/>
        </w:tblBorders>
        <w:tblLayout w:type="fixed"/>
        <w:tblLook w:val="04A0" w:firstRow="1" w:lastRow="0" w:firstColumn="1" w:lastColumn="0" w:noHBand="0" w:noVBand="1"/>
      </w:tblPr>
      <w:tblGrid>
        <w:gridCol w:w="2501"/>
        <w:gridCol w:w="1044"/>
        <w:gridCol w:w="1044"/>
        <w:gridCol w:w="1044"/>
        <w:gridCol w:w="1044"/>
        <w:gridCol w:w="1044"/>
      </w:tblGrid>
      <w:tr w:rsidR="00B628FF" w14:paraId="60700451" w14:textId="77777777">
        <w:trPr>
          <w:cantSplit/>
        </w:trPr>
        <w:tc>
          <w:tcPr>
            <w:tcW w:w="2500" w:type="dxa"/>
            <w:tcBorders>
              <w:top w:val="single" w:sz="4" w:space="0" w:color="000000"/>
              <w:bottom w:val="single" w:sz="4" w:space="0" w:color="000000"/>
            </w:tcBorders>
          </w:tcPr>
          <w:p w14:paraId="7A7D8F26" w14:textId="77777777" w:rsidR="00B628FF" w:rsidRDefault="00B628FF">
            <w:pPr>
              <w:pStyle w:val="MeasureTableYearHeadings"/>
              <w:keepNext/>
            </w:pPr>
          </w:p>
        </w:tc>
        <w:tc>
          <w:tcPr>
            <w:tcW w:w="1043" w:type="dxa"/>
            <w:tcBorders>
              <w:top w:val="single" w:sz="4" w:space="0" w:color="000000"/>
              <w:bottom w:val="single" w:sz="4" w:space="0" w:color="000000"/>
            </w:tcBorders>
          </w:tcPr>
          <w:p w14:paraId="3DE9A7A1" w14:textId="0901AEF2" w:rsidR="00B628FF" w:rsidRDefault="005B2D2F">
            <w:pPr>
              <w:pStyle w:val="MeasureTableYearHeadings"/>
              <w:keepNext/>
            </w:pPr>
            <w:r>
              <w:t>2024</w:t>
            </w:r>
            <w:r w:rsidR="00B31B37">
              <w:noBreakHyphen/>
            </w:r>
            <w:r>
              <w:t>25</w:t>
            </w:r>
          </w:p>
        </w:tc>
        <w:tc>
          <w:tcPr>
            <w:tcW w:w="1043" w:type="dxa"/>
            <w:tcBorders>
              <w:top w:val="single" w:sz="4" w:space="0" w:color="000000"/>
              <w:bottom w:val="single" w:sz="4" w:space="0" w:color="000000"/>
            </w:tcBorders>
          </w:tcPr>
          <w:p w14:paraId="47D0AB06" w14:textId="61D5CCD1" w:rsidR="00B628FF" w:rsidRDefault="005B2D2F">
            <w:pPr>
              <w:pStyle w:val="MeasureTableYearHeadings"/>
              <w:keepNext/>
            </w:pPr>
            <w:r>
              <w:t>2025</w:t>
            </w:r>
            <w:r w:rsidR="00B31B37">
              <w:noBreakHyphen/>
            </w:r>
            <w:r>
              <w:t>26</w:t>
            </w:r>
          </w:p>
        </w:tc>
        <w:tc>
          <w:tcPr>
            <w:tcW w:w="1043" w:type="dxa"/>
            <w:tcBorders>
              <w:top w:val="single" w:sz="4" w:space="0" w:color="000000"/>
              <w:bottom w:val="single" w:sz="4" w:space="0" w:color="000000"/>
            </w:tcBorders>
          </w:tcPr>
          <w:p w14:paraId="2B3DCF5C" w14:textId="69CB256D" w:rsidR="00B628FF" w:rsidRDefault="005B2D2F">
            <w:pPr>
              <w:pStyle w:val="MeasureTableYearHeadings"/>
              <w:keepNext/>
            </w:pPr>
            <w:r>
              <w:t>2026</w:t>
            </w:r>
            <w:r w:rsidR="00B31B37">
              <w:noBreakHyphen/>
            </w:r>
            <w:r>
              <w:t>27</w:t>
            </w:r>
          </w:p>
        </w:tc>
        <w:tc>
          <w:tcPr>
            <w:tcW w:w="1043" w:type="dxa"/>
            <w:tcBorders>
              <w:top w:val="single" w:sz="4" w:space="0" w:color="000000"/>
              <w:bottom w:val="single" w:sz="4" w:space="0" w:color="000000"/>
            </w:tcBorders>
          </w:tcPr>
          <w:p w14:paraId="7D48CF84" w14:textId="73E6A7CA" w:rsidR="00B628FF" w:rsidRDefault="005B2D2F">
            <w:pPr>
              <w:pStyle w:val="MeasureTableYearHeadings"/>
              <w:keepNext/>
            </w:pPr>
            <w:r>
              <w:t>2027</w:t>
            </w:r>
            <w:r w:rsidR="00B31B37">
              <w:noBreakHyphen/>
            </w:r>
            <w:r>
              <w:t>28</w:t>
            </w:r>
          </w:p>
        </w:tc>
        <w:tc>
          <w:tcPr>
            <w:tcW w:w="1043" w:type="dxa"/>
            <w:tcBorders>
              <w:top w:val="single" w:sz="4" w:space="0" w:color="000000"/>
              <w:bottom w:val="single" w:sz="4" w:space="0" w:color="000000"/>
            </w:tcBorders>
          </w:tcPr>
          <w:p w14:paraId="6D4DE5A6" w14:textId="48695D12" w:rsidR="00B628FF" w:rsidRDefault="005B2D2F">
            <w:pPr>
              <w:pStyle w:val="MeasureTableYearHeadings"/>
              <w:keepNext/>
            </w:pPr>
            <w:r>
              <w:t>2028</w:t>
            </w:r>
            <w:r w:rsidR="00B31B37">
              <w:noBreakHyphen/>
            </w:r>
            <w:r>
              <w:t>29</w:t>
            </w:r>
          </w:p>
        </w:tc>
      </w:tr>
      <w:tr w:rsidR="00B628FF" w14:paraId="4BD698C2" w14:textId="77777777">
        <w:trPr>
          <w:cantSplit/>
        </w:trPr>
        <w:tc>
          <w:tcPr>
            <w:tcW w:w="2500" w:type="dxa"/>
            <w:tcBorders>
              <w:top w:val="single" w:sz="4" w:space="0" w:color="000000"/>
              <w:bottom w:val="single" w:sz="4" w:space="0" w:color="000000"/>
            </w:tcBorders>
          </w:tcPr>
          <w:p w14:paraId="446290BC" w14:textId="77777777" w:rsidR="00B628FF" w:rsidRDefault="005B2D2F">
            <w:pPr>
              <w:pStyle w:val="MeasureTableHeadingleftalignedwith2ptsspacing"/>
              <w:keepNext/>
            </w:pPr>
            <w:r>
              <w:t>Department of Industry, Science and Resources</w:t>
            </w:r>
          </w:p>
        </w:tc>
        <w:tc>
          <w:tcPr>
            <w:tcW w:w="1043" w:type="dxa"/>
            <w:tcBorders>
              <w:top w:val="single" w:sz="4" w:space="0" w:color="000000"/>
              <w:bottom w:val="single" w:sz="4" w:space="0" w:color="000000"/>
            </w:tcBorders>
          </w:tcPr>
          <w:p w14:paraId="14575910" w14:textId="77777777" w:rsidR="00B628FF" w:rsidRDefault="005B2D2F">
            <w:pPr>
              <w:pStyle w:val="MeasureTableDataRightAlignedwith2ptsspacing"/>
              <w:keepNext/>
            </w:pPr>
            <w:r>
              <w:t>0.6</w:t>
            </w:r>
          </w:p>
        </w:tc>
        <w:tc>
          <w:tcPr>
            <w:tcW w:w="1043" w:type="dxa"/>
            <w:tcBorders>
              <w:top w:val="single" w:sz="4" w:space="0" w:color="000000"/>
              <w:bottom w:val="single" w:sz="4" w:space="0" w:color="000000"/>
            </w:tcBorders>
          </w:tcPr>
          <w:p w14:paraId="76006957" w14:textId="77777777" w:rsidR="00B628FF" w:rsidRDefault="005B2D2F">
            <w:pPr>
              <w:pStyle w:val="MeasureTableDataRightAlignedwith2ptsspacing"/>
              <w:keepNext/>
            </w:pPr>
            <w:r>
              <w:t>1.6</w:t>
            </w:r>
          </w:p>
        </w:tc>
        <w:tc>
          <w:tcPr>
            <w:tcW w:w="1043" w:type="dxa"/>
            <w:tcBorders>
              <w:top w:val="single" w:sz="4" w:space="0" w:color="000000"/>
              <w:bottom w:val="single" w:sz="4" w:space="0" w:color="000000"/>
            </w:tcBorders>
          </w:tcPr>
          <w:p w14:paraId="08D62718" w14:textId="77777777" w:rsidR="00B628FF" w:rsidRDefault="005B2D2F">
            <w:pPr>
              <w:pStyle w:val="MeasureTableDataRightAlignedwith2ptsspacing"/>
              <w:keepNext/>
            </w:pPr>
            <w:r>
              <w:t>1.3</w:t>
            </w:r>
          </w:p>
        </w:tc>
        <w:tc>
          <w:tcPr>
            <w:tcW w:w="1043" w:type="dxa"/>
            <w:tcBorders>
              <w:top w:val="single" w:sz="4" w:space="0" w:color="000000"/>
              <w:bottom w:val="single" w:sz="4" w:space="0" w:color="000000"/>
            </w:tcBorders>
          </w:tcPr>
          <w:p w14:paraId="1AA67A32" w14:textId="77777777" w:rsidR="00B628FF" w:rsidRDefault="005B2D2F">
            <w:pPr>
              <w:pStyle w:val="MeasureTableDataRightAlignedwith2ptsspacing"/>
              <w:keepNext/>
            </w:pPr>
            <w:r>
              <w:t>1.1</w:t>
            </w:r>
          </w:p>
        </w:tc>
        <w:tc>
          <w:tcPr>
            <w:tcW w:w="1043" w:type="dxa"/>
            <w:tcBorders>
              <w:top w:val="single" w:sz="4" w:space="0" w:color="000000"/>
              <w:bottom w:val="single" w:sz="4" w:space="0" w:color="000000"/>
            </w:tcBorders>
          </w:tcPr>
          <w:p w14:paraId="7FAA85A9" w14:textId="77777777" w:rsidR="00B628FF" w:rsidRDefault="005B2D2F">
            <w:pPr>
              <w:pStyle w:val="MeasureTableDataRightAlignedwith2ptsspacing"/>
              <w:keepNext/>
            </w:pPr>
            <w:r>
              <w:t>1.1</w:t>
            </w:r>
          </w:p>
        </w:tc>
      </w:tr>
      <w:tr w:rsidR="00B628FF" w14:paraId="38C31983" w14:textId="77777777">
        <w:trPr>
          <w:cantSplit/>
        </w:trPr>
        <w:tc>
          <w:tcPr>
            <w:tcW w:w="2500" w:type="dxa"/>
            <w:tcBorders>
              <w:top w:val="single" w:sz="4" w:space="0" w:color="000000"/>
              <w:bottom w:val="single" w:sz="4" w:space="0" w:color="000000"/>
            </w:tcBorders>
          </w:tcPr>
          <w:p w14:paraId="02AF27C4" w14:textId="77777777" w:rsidR="00B628FF" w:rsidRDefault="005B2D2F">
            <w:pPr>
              <w:pStyle w:val="MeasureTableHeadingleftalignedwith2ptsspacing"/>
              <w:keepNext/>
            </w:pPr>
            <w:r>
              <w:t>Department of the Treasury</w:t>
            </w:r>
          </w:p>
        </w:tc>
        <w:tc>
          <w:tcPr>
            <w:tcW w:w="1043" w:type="dxa"/>
            <w:tcBorders>
              <w:top w:val="single" w:sz="4" w:space="0" w:color="000000"/>
              <w:bottom w:val="single" w:sz="4" w:space="0" w:color="000000"/>
            </w:tcBorders>
          </w:tcPr>
          <w:p w14:paraId="14954327" w14:textId="4470CCFB"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3D3DE472" w14:textId="77777777" w:rsidR="00B628FF" w:rsidRDefault="005B2D2F">
            <w:pPr>
              <w:pStyle w:val="MeasureTableDataRightAlignedwith2ptsspacing"/>
              <w:keepNext/>
            </w:pPr>
            <w:r>
              <w:t>24.6</w:t>
            </w:r>
          </w:p>
        </w:tc>
        <w:tc>
          <w:tcPr>
            <w:tcW w:w="1043" w:type="dxa"/>
            <w:tcBorders>
              <w:top w:val="single" w:sz="4" w:space="0" w:color="000000"/>
              <w:bottom w:val="single" w:sz="4" w:space="0" w:color="000000"/>
            </w:tcBorders>
          </w:tcPr>
          <w:p w14:paraId="0A71B984" w14:textId="77777777" w:rsidR="00B628FF" w:rsidRDefault="005B2D2F">
            <w:pPr>
              <w:pStyle w:val="MeasureTableDataRightAlignedwith2ptsspacing"/>
              <w:keepNext/>
            </w:pPr>
            <w:r>
              <w:t>24.7</w:t>
            </w:r>
          </w:p>
        </w:tc>
        <w:tc>
          <w:tcPr>
            <w:tcW w:w="1043" w:type="dxa"/>
            <w:tcBorders>
              <w:top w:val="single" w:sz="4" w:space="0" w:color="000000"/>
              <w:bottom w:val="single" w:sz="4" w:space="0" w:color="000000"/>
            </w:tcBorders>
          </w:tcPr>
          <w:p w14:paraId="47E6B719" w14:textId="77777777" w:rsidR="00B628FF" w:rsidRDefault="005B2D2F">
            <w:pPr>
              <w:pStyle w:val="MeasureTableDataRightAlignedwith2ptsspacing"/>
              <w:keepNext/>
            </w:pPr>
            <w:r>
              <w:t>0.3</w:t>
            </w:r>
          </w:p>
        </w:tc>
        <w:tc>
          <w:tcPr>
            <w:tcW w:w="1043" w:type="dxa"/>
            <w:tcBorders>
              <w:top w:val="single" w:sz="4" w:space="0" w:color="000000"/>
              <w:bottom w:val="single" w:sz="4" w:space="0" w:color="000000"/>
            </w:tcBorders>
          </w:tcPr>
          <w:p w14:paraId="790B121F" w14:textId="77777777" w:rsidR="00B628FF" w:rsidRDefault="005B2D2F">
            <w:pPr>
              <w:pStyle w:val="MeasureTableDataRightAlignedwith2ptsspacing"/>
              <w:keepNext/>
            </w:pPr>
            <w:r>
              <w:t>1.0</w:t>
            </w:r>
          </w:p>
        </w:tc>
      </w:tr>
      <w:tr w:rsidR="00B628FF" w14:paraId="15516129" w14:textId="77777777">
        <w:trPr>
          <w:cantSplit/>
        </w:trPr>
        <w:tc>
          <w:tcPr>
            <w:tcW w:w="2500" w:type="dxa"/>
            <w:tcBorders>
              <w:top w:val="single" w:sz="4" w:space="0" w:color="000000"/>
              <w:bottom w:val="single" w:sz="4" w:space="0" w:color="000000"/>
            </w:tcBorders>
          </w:tcPr>
          <w:p w14:paraId="2FB67FF2" w14:textId="77777777" w:rsidR="00B628FF" w:rsidRDefault="005B2D2F">
            <w:pPr>
              <w:pStyle w:val="MeasureTableHeadingleftalignedwith2ptsspacing"/>
              <w:keepNext/>
            </w:pPr>
            <w:r>
              <w:t>Housing Australia</w:t>
            </w:r>
          </w:p>
        </w:tc>
        <w:tc>
          <w:tcPr>
            <w:tcW w:w="1043" w:type="dxa"/>
            <w:tcBorders>
              <w:top w:val="single" w:sz="4" w:space="0" w:color="000000"/>
              <w:bottom w:val="single" w:sz="4" w:space="0" w:color="000000"/>
            </w:tcBorders>
          </w:tcPr>
          <w:p w14:paraId="07573A17" w14:textId="323053BB"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385C294C" w14:textId="77777777" w:rsidR="00B628FF" w:rsidRDefault="005B2D2F">
            <w:pPr>
              <w:pStyle w:val="MeasureTableDataRightAlignedwith2ptsspacing"/>
              <w:keepNext/>
            </w:pPr>
            <w:r>
              <w:t>0.9</w:t>
            </w:r>
          </w:p>
        </w:tc>
        <w:tc>
          <w:tcPr>
            <w:tcW w:w="1043" w:type="dxa"/>
            <w:tcBorders>
              <w:top w:val="single" w:sz="4" w:space="0" w:color="000000"/>
              <w:bottom w:val="single" w:sz="4" w:space="0" w:color="000000"/>
            </w:tcBorders>
          </w:tcPr>
          <w:p w14:paraId="42A91124" w14:textId="77777777" w:rsidR="00B628FF" w:rsidRDefault="005B2D2F">
            <w:pPr>
              <w:pStyle w:val="MeasureTableDataRightAlignedwith2ptsspacing"/>
              <w:keepNext/>
            </w:pPr>
            <w:r>
              <w:t>0.9</w:t>
            </w:r>
          </w:p>
        </w:tc>
        <w:tc>
          <w:tcPr>
            <w:tcW w:w="1043" w:type="dxa"/>
            <w:tcBorders>
              <w:top w:val="single" w:sz="4" w:space="0" w:color="000000"/>
              <w:bottom w:val="single" w:sz="4" w:space="0" w:color="000000"/>
            </w:tcBorders>
          </w:tcPr>
          <w:p w14:paraId="6B036552" w14:textId="77777777" w:rsidR="00B628FF" w:rsidRDefault="005B2D2F">
            <w:pPr>
              <w:pStyle w:val="MeasureTableDataRightAlignedwith2ptsspacing"/>
              <w:keepNext/>
            </w:pPr>
            <w:r>
              <w:t>0.9</w:t>
            </w:r>
          </w:p>
        </w:tc>
        <w:tc>
          <w:tcPr>
            <w:tcW w:w="1043" w:type="dxa"/>
            <w:tcBorders>
              <w:top w:val="single" w:sz="4" w:space="0" w:color="000000"/>
              <w:bottom w:val="single" w:sz="4" w:space="0" w:color="000000"/>
            </w:tcBorders>
          </w:tcPr>
          <w:p w14:paraId="7C52F36C" w14:textId="77777777" w:rsidR="00B628FF" w:rsidRDefault="005B2D2F">
            <w:pPr>
              <w:pStyle w:val="MeasureTableDataRightAlignedwith2ptsspacing"/>
              <w:keepNext/>
            </w:pPr>
            <w:r>
              <w:t>0.9</w:t>
            </w:r>
          </w:p>
        </w:tc>
      </w:tr>
      <w:tr w:rsidR="00B628FF" w14:paraId="2B701D58" w14:textId="77777777">
        <w:trPr>
          <w:cantSplit/>
        </w:trPr>
        <w:tc>
          <w:tcPr>
            <w:tcW w:w="2500" w:type="dxa"/>
            <w:tcBorders>
              <w:top w:val="single" w:sz="4" w:space="0" w:color="000000"/>
              <w:bottom w:val="single" w:sz="4" w:space="0" w:color="000000"/>
            </w:tcBorders>
          </w:tcPr>
          <w:p w14:paraId="6E091D29" w14:textId="77777777" w:rsidR="00B628FF" w:rsidRDefault="005B2D2F">
            <w:pPr>
              <w:pStyle w:val="Totalrowleftaligned"/>
              <w:keepNext/>
            </w:pPr>
            <w:r>
              <w:t>Total – Payments</w:t>
            </w:r>
          </w:p>
        </w:tc>
        <w:tc>
          <w:tcPr>
            <w:tcW w:w="1043" w:type="dxa"/>
            <w:tcBorders>
              <w:top w:val="single" w:sz="4" w:space="0" w:color="000000"/>
              <w:bottom w:val="single" w:sz="4" w:space="0" w:color="000000"/>
            </w:tcBorders>
          </w:tcPr>
          <w:p w14:paraId="6EB0A1BB" w14:textId="77777777" w:rsidR="00B628FF" w:rsidRDefault="005B2D2F">
            <w:pPr>
              <w:pStyle w:val="Totaldatarowrightaligned"/>
              <w:keepNext/>
            </w:pPr>
            <w:r>
              <w:t>0.6</w:t>
            </w:r>
          </w:p>
        </w:tc>
        <w:tc>
          <w:tcPr>
            <w:tcW w:w="1043" w:type="dxa"/>
            <w:tcBorders>
              <w:top w:val="single" w:sz="4" w:space="0" w:color="000000"/>
              <w:bottom w:val="single" w:sz="4" w:space="0" w:color="000000"/>
            </w:tcBorders>
          </w:tcPr>
          <w:p w14:paraId="09397C3F" w14:textId="77777777" w:rsidR="00B628FF" w:rsidRDefault="005B2D2F">
            <w:pPr>
              <w:pStyle w:val="Totaldatarowrightaligned"/>
              <w:keepNext/>
            </w:pPr>
            <w:r>
              <w:t>27.1</w:t>
            </w:r>
          </w:p>
        </w:tc>
        <w:tc>
          <w:tcPr>
            <w:tcW w:w="1043" w:type="dxa"/>
            <w:tcBorders>
              <w:top w:val="single" w:sz="4" w:space="0" w:color="000000"/>
              <w:bottom w:val="single" w:sz="4" w:space="0" w:color="000000"/>
            </w:tcBorders>
          </w:tcPr>
          <w:p w14:paraId="7D60335B" w14:textId="77777777" w:rsidR="00B628FF" w:rsidRDefault="005B2D2F">
            <w:pPr>
              <w:pStyle w:val="Totaldatarowrightaligned"/>
              <w:keepNext/>
            </w:pPr>
            <w:r>
              <w:t>26.9</w:t>
            </w:r>
          </w:p>
        </w:tc>
        <w:tc>
          <w:tcPr>
            <w:tcW w:w="1043" w:type="dxa"/>
            <w:tcBorders>
              <w:top w:val="single" w:sz="4" w:space="0" w:color="000000"/>
              <w:bottom w:val="single" w:sz="4" w:space="0" w:color="000000"/>
            </w:tcBorders>
          </w:tcPr>
          <w:p w14:paraId="6E9F2C48" w14:textId="77777777" w:rsidR="00B628FF" w:rsidRDefault="005B2D2F">
            <w:pPr>
              <w:pStyle w:val="Totaldatarowrightaligned"/>
              <w:keepNext/>
            </w:pPr>
            <w:r>
              <w:t>2.3</w:t>
            </w:r>
          </w:p>
        </w:tc>
        <w:tc>
          <w:tcPr>
            <w:tcW w:w="1043" w:type="dxa"/>
            <w:tcBorders>
              <w:top w:val="single" w:sz="4" w:space="0" w:color="000000"/>
              <w:bottom w:val="single" w:sz="4" w:space="0" w:color="000000"/>
            </w:tcBorders>
          </w:tcPr>
          <w:p w14:paraId="6B72BAAB" w14:textId="77777777" w:rsidR="00B628FF" w:rsidRDefault="005B2D2F">
            <w:pPr>
              <w:pStyle w:val="Totaldatarowrightaligned"/>
              <w:keepNext/>
            </w:pPr>
            <w:r>
              <w:t>3.1</w:t>
            </w:r>
          </w:p>
        </w:tc>
      </w:tr>
      <w:tr w:rsidR="00B628FF" w14:paraId="601B88E6" w14:textId="77777777">
        <w:trPr>
          <w:cantSplit/>
        </w:trPr>
        <w:tc>
          <w:tcPr>
            <w:tcW w:w="2500" w:type="dxa"/>
          </w:tcPr>
          <w:p w14:paraId="0722901D" w14:textId="77777777" w:rsidR="00B628FF" w:rsidRDefault="005B2D2F">
            <w:pPr>
              <w:pStyle w:val="AgencyName"/>
              <w:keepNext/>
            </w:pPr>
            <w:r>
              <w:t>Related receipts ($m)</w:t>
            </w:r>
          </w:p>
        </w:tc>
        <w:tc>
          <w:tcPr>
            <w:tcW w:w="1043" w:type="dxa"/>
          </w:tcPr>
          <w:p w14:paraId="53FF6587" w14:textId="77777777" w:rsidR="00B628FF" w:rsidRDefault="00B628FF">
            <w:pPr>
              <w:pStyle w:val="AgencyName"/>
              <w:keepNext/>
            </w:pPr>
          </w:p>
        </w:tc>
        <w:tc>
          <w:tcPr>
            <w:tcW w:w="1043" w:type="dxa"/>
          </w:tcPr>
          <w:p w14:paraId="07E6C057" w14:textId="77777777" w:rsidR="00B628FF" w:rsidRDefault="00B628FF">
            <w:pPr>
              <w:pStyle w:val="AgencyName"/>
              <w:keepNext/>
            </w:pPr>
          </w:p>
        </w:tc>
        <w:tc>
          <w:tcPr>
            <w:tcW w:w="1043" w:type="dxa"/>
          </w:tcPr>
          <w:p w14:paraId="3A6D8A58" w14:textId="77777777" w:rsidR="00B628FF" w:rsidRDefault="00B628FF">
            <w:pPr>
              <w:pStyle w:val="AgencyName"/>
              <w:keepNext/>
            </w:pPr>
          </w:p>
        </w:tc>
        <w:tc>
          <w:tcPr>
            <w:tcW w:w="1043" w:type="dxa"/>
          </w:tcPr>
          <w:p w14:paraId="1761296A" w14:textId="77777777" w:rsidR="00B628FF" w:rsidRDefault="00B628FF">
            <w:pPr>
              <w:pStyle w:val="AgencyName"/>
              <w:keepNext/>
            </w:pPr>
          </w:p>
        </w:tc>
        <w:tc>
          <w:tcPr>
            <w:tcW w:w="1043" w:type="dxa"/>
          </w:tcPr>
          <w:p w14:paraId="057E7A03" w14:textId="77777777" w:rsidR="00B628FF" w:rsidRDefault="00B628FF">
            <w:pPr>
              <w:pStyle w:val="AgencyName"/>
              <w:keepNext/>
            </w:pPr>
          </w:p>
        </w:tc>
      </w:tr>
      <w:tr w:rsidR="00B628FF" w14:paraId="233F119D" w14:textId="77777777">
        <w:tc>
          <w:tcPr>
            <w:tcW w:w="2500" w:type="dxa"/>
          </w:tcPr>
          <w:p w14:paraId="1B5FC828" w14:textId="77777777" w:rsidR="00B628FF" w:rsidRDefault="005B2D2F">
            <w:pPr>
              <w:pStyle w:val="AgencyNamewith2ptsspacing"/>
              <w:keepNext/>
            </w:pPr>
            <w:r>
              <w:t>Department of Industry, Science and Resources</w:t>
            </w:r>
          </w:p>
        </w:tc>
        <w:tc>
          <w:tcPr>
            <w:tcW w:w="1043" w:type="dxa"/>
          </w:tcPr>
          <w:p w14:paraId="448E6FE3" w14:textId="0AE5BC29" w:rsidR="00B628FF" w:rsidRDefault="00B31B37">
            <w:pPr>
              <w:pStyle w:val="Measuretabledatarightaligneditalics"/>
              <w:keepNext/>
            </w:pPr>
            <w:r>
              <w:noBreakHyphen/>
            </w:r>
          </w:p>
        </w:tc>
        <w:tc>
          <w:tcPr>
            <w:tcW w:w="1043" w:type="dxa"/>
          </w:tcPr>
          <w:p w14:paraId="27672AA3" w14:textId="29AF0A82" w:rsidR="00B628FF" w:rsidRDefault="00B31B37">
            <w:pPr>
              <w:pStyle w:val="Measuretabledatarightaligneditalics"/>
              <w:keepNext/>
            </w:pPr>
            <w:r>
              <w:noBreakHyphen/>
            </w:r>
          </w:p>
        </w:tc>
        <w:tc>
          <w:tcPr>
            <w:tcW w:w="1043" w:type="dxa"/>
          </w:tcPr>
          <w:p w14:paraId="3BDB7A85" w14:textId="2BCBB978" w:rsidR="00B628FF" w:rsidRDefault="00B31B37">
            <w:pPr>
              <w:pStyle w:val="Measuretabledatarightaligneditalics"/>
              <w:keepNext/>
            </w:pPr>
            <w:r>
              <w:noBreakHyphen/>
            </w:r>
          </w:p>
        </w:tc>
        <w:tc>
          <w:tcPr>
            <w:tcW w:w="1043" w:type="dxa"/>
          </w:tcPr>
          <w:p w14:paraId="6DF808D8" w14:textId="5664A4F1" w:rsidR="00B628FF" w:rsidRDefault="00B31B37">
            <w:pPr>
              <w:pStyle w:val="Measuretabledatarightaligneditalics"/>
              <w:keepNext/>
            </w:pPr>
            <w:r>
              <w:noBreakHyphen/>
            </w:r>
          </w:p>
        </w:tc>
        <w:tc>
          <w:tcPr>
            <w:tcW w:w="1043" w:type="dxa"/>
          </w:tcPr>
          <w:p w14:paraId="5F784013" w14:textId="77777777" w:rsidR="00B628FF" w:rsidRDefault="005B2D2F">
            <w:pPr>
              <w:pStyle w:val="Measuretabledatarightaligneditalics"/>
              <w:keepNext/>
            </w:pPr>
            <w:r>
              <w:t>1.1</w:t>
            </w:r>
          </w:p>
        </w:tc>
      </w:tr>
    </w:tbl>
    <w:p w14:paraId="45937F6A" w14:textId="77777777" w:rsidR="00B628FF" w:rsidRDefault="00B628FF">
      <w:pPr>
        <w:keepNext/>
        <w:spacing w:line="226" w:lineRule="exact"/>
        <w:rPr>
          <w:sz w:val="16"/>
        </w:rPr>
      </w:pPr>
    </w:p>
    <w:p w14:paraId="468BD502" w14:textId="77777777" w:rsidR="00B628FF" w:rsidRDefault="005B2D2F">
      <w:pPr>
        <w:pStyle w:val="Normal2"/>
      </w:pPr>
      <w:r>
        <w:t>The Government will provide $58.8 million over five years from 2024–‍25 to increase support for housing, including:</w:t>
      </w:r>
    </w:p>
    <w:p w14:paraId="7D777CD9" w14:textId="77777777" w:rsidR="00B628FF" w:rsidRDefault="005B2D2F">
      <w:pPr>
        <w:pStyle w:val="Bullet"/>
      </w:pPr>
      <w:r>
        <w:t>$54.0 million over four years from 2024–‍25 to increase the supply and adoption of prefabricated and modular housing construction, including:</w:t>
      </w:r>
    </w:p>
    <w:p w14:paraId="6BFD89D7" w14:textId="77777777" w:rsidR="00B628FF" w:rsidRDefault="005B2D2F">
      <w:pPr>
        <w:pStyle w:val="Dash"/>
      </w:pPr>
      <w:r>
        <w:t>$49.3 million over two years from 2025–‍26 to support states and territories to scale up existing projects for prefabricated and modular housing construction</w:t>
      </w:r>
    </w:p>
    <w:p w14:paraId="789DE46E" w14:textId="77777777" w:rsidR="00B628FF" w:rsidRDefault="005B2D2F">
      <w:pPr>
        <w:pStyle w:val="Dash"/>
      </w:pPr>
      <w:r>
        <w:t>$4.7 million over four years from 2024–‍25 to develop a voluntary certification and rating scheme for prefabricated and modular housing manufacturers. Costs for the scheme will be recovered from industry from 2028–‍29 onwards.</w:t>
      </w:r>
    </w:p>
    <w:p w14:paraId="5C513C61" w14:textId="77777777" w:rsidR="00B628FF" w:rsidRDefault="005B2D2F">
      <w:pPr>
        <w:pStyle w:val="Bullet"/>
      </w:pPr>
      <w:r>
        <w:t>$4.9 million over four years from 2025–‍26 to continue the Regional Home Guarantee and Family Home Guarantee streams of the Home Guarantee Scheme.</w:t>
      </w:r>
    </w:p>
    <w:p w14:paraId="33864F26" w14:textId="0290B8AB" w:rsidR="00B628FF" w:rsidRDefault="005B2D2F">
      <w:pPr>
        <w:pStyle w:val="Normal2"/>
      </w:pPr>
      <w:r w:rsidRPr="5FA307DC">
        <w:rPr>
          <w:lang w:val="en-US"/>
        </w:rPr>
        <w:t>The Government will also provide $0.8</w:t>
      </w:r>
      <w:r w:rsidR="00B85B2A" w:rsidRPr="5FA307DC">
        <w:rPr>
          <w:lang w:val="en-US"/>
        </w:rPr>
        <w:t> </w:t>
      </w:r>
      <w:r w:rsidRPr="5FA307DC">
        <w:rPr>
          <w:lang w:val="en-US"/>
        </w:rPr>
        <w:t>billion in additional investment in the Help to Buy program, bringing total equity investments to $6.3</w:t>
      </w:r>
      <w:r w:rsidR="00B85B2A" w:rsidRPr="5FA307DC">
        <w:rPr>
          <w:lang w:val="en-US"/>
        </w:rPr>
        <w:t> </w:t>
      </w:r>
      <w:r w:rsidRPr="5FA307DC">
        <w:rPr>
          <w:lang w:val="en-US"/>
        </w:rPr>
        <w:t>billion, through increasing property price caps and increasing income caps from $90,000 to $100,000 for singles and from $120,000 to $160,000 for joint applications.</w:t>
      </w:r>
    </w:p>
    <w:p w14:paraId="42972C96" w14:textId="77777777" w:rsidR="00B628FF" w:rsidRDefault="005B2D2F">
      <w:pPr>
        <w:pStyle w:val="Normal2"/>
      </w:pPr>
      <w:r>
        <w:t xml:space="preserve">This measure builds on the 2024–‍25 Budget measure titled </w:t>
      </w:r>
      <w:r w:rsidRPr="005B2D2F">
        <w:rPr>
          <w:i/>
        </w:rPr>
        <w:t>Housing Support</w:t>
      </w:r>
      <w:r>
        <w:t>.</w:t>
      </w:r>
    </w:p>
    <w:p w14:paraId="3C9650C8" w14:textId="77777777" w:rsidR="00B628FF" w:rsidRDefault="005B2D2F">
      <w:pPr>
        <w:pStyle w:val="MeasureTitle"/>
      </w:pPr>
      <w:r>
        <w:t>International Assistance</w:t>
      </w:r>
    </w:p>
    <w:p w14:paraId="6DA5DDC6" w14:textId="77777777" w:rsidR="00B628FF" w:rsidRDefault="005B2D2F">
      <w:pPr>
        <w:pStyle w:val="MeasureTableHeading"/>
      </w:pPr>
      <w:r>
        <w:t>Payments ($m)</w:t>
      </w:r>
    </w:p>
    <w:tbl>
      <w:tblPr>
        <w:tblOverlap w:val="never"/>
        <w:tblW w:w="7721" w:type="dxa"/>
        <w:tblBorders>
          <w:top w:val="single" w:sz="4" w:space="0" w:color="000000"/>
          <w:bottom w:val="single" w:sz="4" w:space="0" w:color="000000"/>
        </w:tblBorders>
        <w:tblLayout w:type="fixed"/>
        <w:tblLook w:val="04A0" w:firstRow="1" w:lastRow="0" w:firstColumn="1" w:lastColumn="0" w:noHBand="0" w:noVBand="1"/>
      </w:tblPr>
      <w:tblGrid>
        <w:gridCol w:w="2501"/>
        <w:gridCol w:w="1044"/>
        <w:gridCol w:w="1044"/>
        <w:gridCol w:w="1044"/>
        <w:gridCol w:w="1044"/>
        <w:gridCol w:w="1044"/>
      </w:tblGrid>
      <w:tr w:rsidR="00B628FF" w14:paraId="6F7BA792" w14:textId="77777777">
        <w:trPr>
          <w:cantSplit/>
        </w:trPr>
        <w:tc>
          <w:tcPr>
            <w:tcW w:w="2500" w:type="dxa"/>
            <w:tcBorders>
              <w:top w:val="single" w:sz="4" w:space="0" w:color="000000"/>
              <w:bottom w:val="single" w:sz="4" w:space="0" w:color="000000"/>
            </w:tcBorders>
          </w:tcPr>
          <w:p w14:paraId="0F39DBF6" w14:textId="77777777" w:rsidR="00B628FF" w:rsidRDefault="00B628FF">
            <w:pPr>
              <w:pStyle w:val="MeasureTableYearHeadings"/>
              <w:keepNext/>
            </w:pPr>
          </w:p>
        </w:tc>
        <w:tc>
          <w:tcPr>
            <w:tcW w:w="1043" w:type="dxa"/>
            <w:tcBorders>
              <w:top w:val="single" w:sz="4" w:space="0" w:color="000000"/>
              <w:bottom w:val="single" w:sz="4" w:space="0" w:color="000000"/>
            </w:tcBorders>
          </w:tcPr>
          <w:p w14:paraId="39B8168D" w14:textId="3E8E6E2A" w:rsidR="00B628FF" w:rsidRDefault="005B2D2F">
            <w:pPr>
              <w:pStyle w:val="MeasureTableYearHeadings"/>
              <w:keepNext/>
            </w:pPr>
            <w:r>
              <w:t>2024</w:t>
            </w:r>
            <w:r w:rsidR="00B31B37">
              <w:noBreakHyphen/>
            </w:r>
            <w:r>
              <w:t>25</w:t>
            </w:r>
          </w:p>
        </w:tc>
        <w:tc>
          <w:tcPr>
            <w:tcW w:w="1043" w:type="dxa"/>
            <w:tcBorders>
              <w:top w:val="single" w:sz="4" w:space="0" w:color="000000"/>
              <w:bottom w:val="single" w:sz="4" w:space="0" w:color="000000"/>
            </w:tcBorders>
          </w:tcPr>
          <w:p w14:paraId="6646032D" w14:textId="1F4E229A" w:rsidR="00B628FF" w:rsidRDefault="005B2D2F">
            <w:pPr>
              <w:pStyle w:val="MeasureTableYearHeadings"/>
              <w:keepNext/>
            </w:pPr>
            <w:r>
              <w:t>2025</w:t>
            </w:r>
            <w:r w:rsidR="00B31B37">
              <w:noBreakHyphen/>
            </w:r>
            <w:r>
              <w:t>26</w:t>
            </w:r>
          </w:p>
        </w:tc>
        <w:tc>
          <w:tcPr>
            <w:tcW w:w="1043" w:type="dxa"/>
            <w:tcBorders>
              <w:top w:val="single" w:sz="4" w:space="0" w:color="000000"/>
              <w:bottom w:val="single" w:sz="4" w:space="0" w:color="000000"/>
            </w:tcBorders>
          </w:tcPr>
          <w:p w14:paraId="26F4BB07" w14:textId="6A1E66A0" w:rsidR="00B628FF" w:rsidRDefault="005B2D2F">
            <w:pPr>
              <w:pStyle w:val="MeasureTableYearHeadings"/>
              <w:keepNext/>
            </w:pPr>
            <w:r>
              <w:t>2026</w:t>
            </w:r>
            <w:r w:rsidR="00B31B37">
              <w:noBreakHyphen/>
            </w:r>
            <w:r>
              <w:t>27</w:t>
            </w:r>
          </w:p>
        </w:tc>
        <w:tc>
          <w:tcPr>
            <w:tcW w:w="1043" w:type="dxa"/>
            <w:tcBorders>
              <w:top w:val="single" w:sz="4" w:space="0" w:color="000000"/>
              <w:bottom w:val="single" w:sz="4" w:space="0" w:color="000000"/>
            </w:tcBorders>
          </w:tcPr>
          <w:p w14:paraId="15B7C1AE" w14:textId="4FD0A735" w:rsidR="00B628FF" w:rsidRDefault="005B2D2F">
            <w:pPr>
              <w:pStyle w:val="MeasureTableYearHeadings"/>
              <w:keepNext/>
            </w:pPr>
            <w:r>
              <w:t>2027</w:t>
            </w:r>
            <w:r w:rsidR="00B31B37">
              <w:noBreakHyphen/>
            </w:r>
            <w:r>
              <w:t>28</w:t>
            </w:r>
          </w:p>
        </w:tc>
        <w:tc>
          <w:tcPr>
            <w:tcW w:w="1043" w:type="dxa"/>
            <w:tcBorders>
              <w:top w:val="single" w:sz="4" w:space="0" w:color="000000"/>
              <w:bottom w:val="single" w:sz="4" w:space="0" w:color="000000"/>
            </w:tcBorders>
          </w:tcPr>
          <w:p w14:paraId="458DE449" w14:textId="577F4126" w:rsidR="00B628FF" w:rsidRDefault="005B2D2F">
            <w:pPr>
              <w:pStyle w:val="MeasureTableYearHeadings"/>
              <w:keepNext/>
            </w:pPr>
            <w:r>
              <w:t>2028</w:t>
            </w:r>
            <w:r w:rsidR="00B31B37">
              <w:noBreakHyphen/>
            </w:r>
            <w:r>
              <w:t>29</w:t>
            </w:r>
          </w:p>
        </w:tc>
      </w:tr>
      <w:tr w:rsidR="00B628FF" w14:paraId="71F43710" w14:textId="77777777">
        <w:trPr>
          <w:cantSplit/>
        </w:trPr>
        <w:tc>
          <w:tcPr>
            <w:tcW w:w="2500" w:type="dxa"/>
            <w:tcBorders>
              <w:top w:val="single" w:sz="4" w:space="0" w:color="000000"/>
              <w:bottom w:val="single" w:sz="4" w:space="0" w:color="000000"/>
            </w:tcBorders>
          </w:tcPr>
          <w:p w14:paraId="75D8912F" w14:textId="77777777" w:rsidR="00B628FF" w:rsidRDefault="005B2D2F">
            <w:pPr>
              <w:pStyle w:val="MeasureTableHeadingleftalignedwith2ptsspacing"/>
              <w:keepNext/>
            </w:pPr>
            <w:r>
              <w:t>Department of the Treasury</w:t>
            </w:r>
          </w:p>
        </w:tc>
        <w:tc>
          <w:tcPr>
            <w:tcW w:w="1043" w:type="dxa"/>
            <w:tcBorders>
              <w:top w:val="single" w:sz="4" w:space="0" w:color="000000"/>
              <w:bottom w:val="single" w:sz="4" w:space="0" w:color="000000"/>
            </w:tcBorders>
          </w:tcPr>
          <w:p w14:paraId="1046AFBD" w14:textId="5642D56C"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02D09C49" w14:textId="77777777" w:rsidR="00B628FF" w:rsidRDefault="005B2D2F">
            <w:pPr>
              <w:pStyle w:val="MeasureTableDataRightAlignedwith2ptsspacing"/>
              <w:keepNext/>
            </w:pPr>
            <w:r>
              <w:t>nfp</w:t>
            </w:r>
          </w:p>
        </w:tc>
        <w:tc>
          <w:tcPr>
            <w:tcW w:w="1043" w:type="dxa"/>
            <w:tcBorders>
              <w:top w:val="single" w:sz="4" w:space="0" w:color="000000"/>
              <w:bottom w:val="single" w:sz="4" w:space="0" w:color="000000"/>
            </w:tcBorders>
          </w:tcPr>
          <w:p w14:paraId="18085FF5" w14:textId="77777777" w:rsidR="00B628FF" w:rsidRDefault="005B2D2F">
            <w:pPr>
              <w:pStyle w:val="MeasureTableDataRightAlignedwith2ptsspacing"/>
              <w:keepNext/>
            </w:pPr>
            <w:r>
              <w:t>nfp</w:t>
            </w:r>
          </w:p>
        </w:tc>
        <w:tc>
          <w:tcPr>
            <w:tcW w:w="1043" w:type="dxa"/>
            <w:tcBorders>
              <w:top w:val="single" w:sz="4" w:space="0" w:color="000000"/>
              <w:bottom w:val="single" w:sz="4" w:space="0" w:color="000000"/>
            </w:tcBorders>
          </w:tcPr>
          <w:p w14:paraId="1455FFC4" w14:textId="77777777" w:rsidR="00B628FF" w:rsidRDefault="005B2D2F">
            <w:pPr>
              <w:pStyle w:val="MeasureTableDataRightAlignedwith2ptsspacing"/>
              <w:keepNext/>
            </w:pPr>
            <w:r>
              <w:t>nfp</w:t>
            </w:r>
          </w:p>
        </w:tc>
        <w:tc>
          <w:tcPr>
            <w:tcW w:w="1043" w:type="dxa"/>
            <w:tcBorders>
              <w:top w:val="single" w:sz="4" w:space="0" w:color="000000"/>
              <w:bottom w:val="single" w:sz="4" w:space="0" w:color="000000"/>
            </w:tcBorders>
          </w:tcPr>
          <w:p w14:paraId="4241D0CE" w14:textId="77777777" w:rsidR="00B628FF" w:rsidRDefault="005B2D2F">
            <w:pPr>
              <w:pStyle w:val="MeasureTableDataRightAlignedwith2ptsspacing"/>
              <w:keepNext/>
            </w:pPr>
            <w:r>
              <w:t>nfp</w:t>
            </w:r>
          </w:p>
        </w:tc>
      </w:tr>
      <w:tr w:rsidR="00B628FF" w14:paraId="01EA0C94" w14:textId="77777777">
        <w:trPr>
          <w:cantSplit/>
        </w:trPr>
        <w:tc>
          <w:tcPr>
            <w:tcW w:w="2500" w:type="dxa"/>
          </w:tcPr>
          <w:p w14:paraId="40F164E9" w14:textId="77777777" w:rsidR="00B628FF" w:rsidRDefault="005B2D2F">
            <w:pPr>
              <w:pStyle w:val="AgencyName"/>
              <w:keepNext/>
            </w:pPr>
            <w:r>
              <w:t>Related receipts ($m)</w:t>
            </w:r>
          </w:p>
        </w:tc>
        <w:tc>
          <w:tcPr>
            <w:tcW w:w="1043" w:type="dxa"/>
          </w:tcPr>
          <w:p w14:paraId="07B9217B" w14:textId="77777777" w:rsidR="00B628FF" w:rsidRDefault="00B628FF">
            <w:pPr>
              <w:pStyle w:val="AgencyName"/>
              <w:keepNext/>
            </w:pPr>
          </w:p>
        </w:tc>
        <w:tc>
          <w:tcPr>
            <w:tcW w:w="1043" w:type="dxa"/>
          </w:tcPr>
          <w:p w14:paraId="64460F33" w14:textId="77777777" w:rsidR="00B628FF" w:rsidRDefault="00B628FF">
            <w:pPr>
              <w:pStyle w:val="AgencyName"/>
              <w:keepNext/>
            </w:pPr>
          </w:p>
        </w:tc>
        <w:tc>
          <w:tcPr>
            <w:tcW w:w="1043" w:type="dxa"/>
          </w:tcPr>
          <w:p w14:paraId="6EC1F51C" w14:textId="77777777" w:rsidR="00B628FF" w:rsidRDefault="00B628FF">
            <w:pPr>
              <w:pStyle w:val="AgencyName"/>
              <w:keepNext/>
            </w:pPr>
          </w:p>
        </w:tc>
        <w:tc>
          <w:tcPr>
            <w:tcW w:w="1043" w:type="dxa"/>
          </w:tcPr>
          <w:p w14:paraId="21E52E5B" w14:textId="77777777" w:rsidR="00B628FF" w:rsidRDefault="00B628FF">
            <w:pPr>
              <w:pStyle w:val="AgencyName"/>
              <w:keepNext/>
            </w:pPr>
          </w:p>
        </w:tc>
        <w:tc>
          <w:tcPr>
            <w:tcW w:w="1043" w:type="dxa"/>
          </w:tcPr>
          <w:p w14:paraId="70302436" w14:textId="77777777" w:rsidR="00B628FF" w:rsidRDefault="00B628FF">
            <w:pPr>
              <w:pStyle w:val="AgencyName"/>
              <w:keepNext/>
            </w:pPr>
          </w:p>
        </w:tc>
      </w:tr>
      <w:tr w:rsidR="00B628FF" w14:paraId="231DF44B" w14:textId="77777777">
        <w:tc>
          <w:tcPr>
            <w:tcW w:w="2500" w:type="dxa"/>
          </w:tcPr>
          <w:p w14:paraId="0AF13F0B" w14:textId="77777777" w:rsidR="00B628FF" w:rsidRDefault="005B2D2F">
            <w:pPr>
              <w:pStyle w:val="AgencyNamewith2ptsspacing"/>
              <w:keepNext/>
            </w:pPr>
            <w:r>
              <w:t>Department of the Treasury</w:t>
            </w:r>
          </w:p>
        </w:tc>
        <w:tc>
          <w:tcPr>
            <w:tcW w:w="1043" w:type="dxa"/>
          </w:tcPr>
          <w:p w14:paraId="640C4218" w14:textId="77777777" w:rsidR="00B628FF" w:rsidRDefault="005B2D2F">
            <w:pPr>
              <w:pStyle w:val="Measuretabledatarightaligneditalics"/>
              <w:keepNext/>
            </w:pPr>
            <w:r>
              <w:t>nfp</w:t>
            </w:r>
          </w:p>
        </w:tc>
        <w:tc>
          <w:tcPr>
            <w:tcW w:w="1043" w:type="dxa"/>
          </w:tcPr>
          <w:p w14:paraId="45506CEC" w14:textId="77777777" w:rsidR="00B628FF" w:rsidRDefault="005B2D2F">
            <w:pPr>
              <w:pStyle w:val="Measuretabledatarightaligneditalics"/>
              <w:keepNext/>
            </w:pPr>
            <w:r>
              <w:t>nfp</w:t>
            </w:r>
          </w:p>
        </w:tc>
        <w:tc>
          <w:tcPr>
            <w:tcW w:w="1043" w:type="dxa"/>
          </w:tcPr>
          <w:p w14:paraId="396F7EF7" w14:textId="77777777" w:rsidR="00B628FF" w:rsidRDefault="005B2D2F">
            <w:pPr>
              <w:pStyle w:val="Measuretabledatarightaligneditalics"/>
              <w:keepNext/>
            </w:pPr>
            <w:r>
              <w:t>nfp</w:t>
            </w:r>
          </w:p>
        </w:tc>
        <w:tc>
          <w:tcPr>
            <w:tcW w:w="1043" w:type="dxa"/>
          </w:tcPr>
          <w:p w14:paraId="05668C6C" w14:textId="77777777" w:rsidR="00B628FF" w:rsidRDefault="005B2D2F">
            <w:pPr>
              <w:pStyle w:val="Measuretabledatarightaligneditalics"/>
              <w:keepNext/>
            </w:pPr>
            <w:r>
              <w:t>nfp</w:t>
            </w:r>
          </w:p>
        </w:tc>
        <w:tc>
          <w:tcPr>
            <w:tcW w:w="1043" w:type="dxa"/>
          </w:tcPr>
          <w:p w14:paraId="4A25B1AC" w14:textId="77777777" w:rsidR="00B628FF" w:rsidRDefault="005B2D2F">
            <w:pPr>
              <w:pStyle w:val="Measuretabledatarightaligneditalics"/>
              <w:keepNext/>
            </w:pPr>
            <w:r>
              <w:t>nfp</w:t>
            </w:r>
          </w:p>
        </w:tc>
      </w:tr>
    </w:tbl>
    <w:p w14:paraId="4F31AECC" w14:textId="77777777" w:rsidR="00B628FF" w:rsidRDefault="00B628FF">
      <w:pPr>
        <w:keepNext/>
        <w:spacing w:line="226" w:lineRule="exact"/>
        <w:rPr>
          <w:sz w:val="16"/>
        </w:rPr>
      </w:pPr>
    </w:p>
    <w:p w14:paraId="400BA1E0" w14:textId="11ABE39D" w:rsidR="00B628FF" w:rsidRDefault="005B2D2F">
      <w:pPr>
        <w:pStyle w:val="Normal2"/>
      </w:pPr>
      <w:r w:rsidRPr="5FA307DC">
        <w:rPr>
          <w:lang w:val="en-US"/>
        </w:rPr>
        <w:t>The Government has provided a loan of $570 million to the Government of Papua New Guinea (PNG) to address the PNG Government</w:t>
      </w:r>
      <w:r w:rsidR="00B31B37">
        <w:rPr>
          <w:lang w:val="en-US"/>
        </w:rPr>
        <w:t>’</w:t>
      </w:r>
      <w:r w:rsidRPr="5FA307DC">
        <w:rPr>
          <w:lang w:val="en-US"/>
        </w:rPr>
        <w:t>s estimated 2024 budget shortfall. The loan was provided in response to a request from the PNG Government and will support PNG</w:t>
      </w:r>
      <w:r w:rsidR="00B31B37">
        <w:rPr>
          <w:lang w:val="en-US"/>
        </w:rPr>
        <w:t>’</w:t>
      </w:r>
      <w:r w:rsidRPr="5FA307DC">
        <w:rPr>
          <w:lang w:val="en-US"/>
        </w:rPr>
        <w:t>s delivery of economic reforms under the International Monetary Fund program. The Government will also provide an additional $0.8 million in 2025–‍26 to continue in‑country technical support to assist with PNG Budget management.</w:t>
      </w:r>
    </w:p>
    <w:p w14:paraId="194DD915" w14:textId="77777777" w:rsidR="00B628FF" w:rsidRDefault="005B2D2F">
      <w:pPr>
        <w:pStyle w:val="Normal2"/>
      </w:pPr>
      <w:r w:rsidRPr="5FA307DC">
        <w:rPr>
          <w:lang w:val="en-US"/>
        </w:rPr>
        <w:t>The Government has also provided a 10‑year guarantee to ANZ to secure its long‑term commitment to the Pacific. The guarantee provides support for ANZ to maintain and enhance its current banking services in the Pacific and deliver financial literacy and inclusion programs, supporting the ongoing connectivity of the Pacific region and Timor‑Leste to the Australian and global financial systems.</w:t>
      </w:r>
    </w:p>
    <w:p w14:paraId="5A8DB1C6" w14:textId="77777777" w:rsidR="00B628FF" w:rsidRDefault="005B2D2F">
      <w:pPr>
        <w:pStyle w:val="Normal2"/>
      </w:pPr>
      <w:r w:rsidRPr="5FA307DC">
        <w:rPr>
          <w:lang w:val="en-US"/>
        </w:rPr>
        <w:t>The Government has already provided partial funding for this measure. Some of the elements of this measure are not for publication (nfp) due to commercial sensitivities.</w:t>
      </w:r>
    </w:p>
    <w:p w14:paraId="08E9ED26" w14:textId="61C768B0" w:rsidR="00B628FF" w:rsidRDefault="005B2D2F">
      <w:pPr>
        <w:pStyle w:val="MeasureTitle"/>
      </w:pPr>
      <w:r>
        <w:t>National Anti‑Scam Centre</w:t>
      </w:r>
    </w:p>
    <w:p w14:paraId="113B73B8" w14:textId="77777777" w:rsidR="00B628FF" w:rsidRDefault="005B2D2F">
      <w:pPr>
        <w:pStyle w:val="MeasureTableHeading"/>
      </w:pPr>
      <w:r>
        <w:t>Payments ($m)</w:t>
      </w:r>
    </w:p>
    <w:tbl>
      <w:tblPr>
        <w:tblOverlap w:val="never"/>
        <w:tblW w:w="7721" w:type="dxa"/>
        <w:tblBorders>
          <w:top w:val="single" w:sz="4" w:space="0" w:color="000000"/>
          <w:bottom w:val="single" w:sz="4" w:space="0" w:color="000000"/>
        </w:tblBorders>
        <w:tblLayout w:type="fixed"/>
        <w:tblLook w:val="04A0" w:firstRow="1" w:lastRow="0" w:firstColumn="1" w:lastColumn="0" w:noHBand="0" w:noVBand="1"/>
      </w:tblPr>
      <w:tblGrid>
        <w:gridCol w:w="2501"/>
        <w:gridCol w:w="1044"/>
        <w:gridCol w:w="1044"/>
        <w:gridCol w:w="1044"/>
        <w:gridCol w:w="1044"/>
        <w:gridCol w:w="1044"/>
      </w:tblGrid>
      <w:tr w:rsidR="00B628FF" w14:paraId="74278327" w14:textId="77777777">
        <w:trPr>
          <w:cantSplit/>
        </w:trPr>
        <w:tc>
          <w:tcPr>
            <w:tcW w:w="2500" w:type="dxa"/>
            <w:tcBorders>
              <w:top w:val="single" w:sz="4" w:space="0" w:color="000000"/>
              <w:bottom w:val="single" w:sz="4" w:space="0" w:color="000000"/>
            </w:tcBorders>
          </w:tcPr>
          <w:p w14:paraId="30D31410" w14:textId="77777777" w:rsidR="00B628FF" w:rsidRDefault="00B628FF">
            <w:pPr>
              <w:pStyle w:val="MeasureTableYearHeadings"/>
              <w:keepNext/>
            </w:pPr>
          </w:p>
        </w:tc>
        <w:tc>
          <w:tcPr>
            <w:tcW w:w="1043" w:type="dxa"/>
            <w:tcBorders>
              <w:top w:val="single" w:sz="4" w:space="0" w:color="000000"/>
              <w:bottom w:val="single" w:sz="4" w:space="0" w:color="000000"/>
            </w:tcBorders>
          </w:tcPr>
          <w:p w14:paraId="2CB588D3" w14:textId="43808BFC" w:rsidR="00B628FF" w:rsidRDefault="005B2D2F">
            <w:pPr>
              <w:pStyle w:val="MeasureTableYearHeadings"/>
              <w:keepNext/>
            </w:pPr>
            <w:r>
              <w:t>2024</w:t>
            </w:r>
            <w:r w:rsidR="00B31B37">
              <w:noBreakHyphen/>
            </w:r>
            <w:r>
              <w:t>25</w:t>
            </w:r>
          </w:p>
        </w:tc>
        <w:tc>
          <w:tcPr>
            <w:tcW w:w="1043" w:type="dxa"/>
            <w:tcBorders>
              <w:top w:val="single" w:sz="4" w:space="0" w:color="000000"/>
              <w:bottom w:val="single" w:sz="4" w:space="0" w:color="000000"/>
            </w:tcBorders>
          </w:tcPr>
          <w:p w14:paraId="4B4EC66A" w14:textId="1AE01912" w:rsidR="00B628FF" w:rsidRDefault="005B2D2F">
            <w:pPr>
              <w:pStyle w:val="MeasureTableYearHeadings"/>
              <w:keepNext/>
            </w:pPr>
            <w:r>
              <w:t>2025</w:t>
            </w:r>
            <w:r w:rsidR="00B31B37">
              <w:noBreakHyphen/>
            </w:r>
            <w:r>
              <w:t>26</w:t>
            </w:r>
          </w:p>
        </w:tc>
        <w:tc>
          <w:tcPr>
            <w:tcW w:w="1043" w:type="dxa"/>
            <w:tcBorders>
              <w:top w:val="single" w:sz="4" w:space="0" w:color="000000"/>
              <w:bottom w:val="single" w:sz="4" w:space="0" w:color="000000"/>
            </w:tcBorders>
          </w:tcPr>
          <w:p w14:paraId="281EC074" w14:textId="6F11F904" w:rsidR="00B628FF" w:rsidRDefault="005B2D2F">
            <w:pPr>
              <w:pStyle w:val="MeasureTableYearHeadings"/>
              <w:keepNext/>
            </w:pPr>
            <w:r>
              <w:t>2026</w:t>
            </w:r>
            <w:r w:rsidR="00B31B37">
              <w:noBreakHyphen/>
            </w:r>
            <w:r>
              <w:t>27</w:t>
            </w:r>
          </w:p>
        </w:tc>
        <w:tc>
          <w:tcPr>
            <w:tcW w:w="1043" w:type="dxa"/>
            <w:tcBorders>
              <w:top w:val="single" w:sz="4" w:space="0" w:color="000000"/>
              <w:bottom w:val="single" w:sz="4" w:space="0" w:color="000000"/>
            </w:tcBorders>
          </w:tcPr>
          <w:p w14:paraId="3EC9E3DA" w14:textId="31CCF6AA" w:rsidR="00B628FF" w:rsidRDefault="005B2D2F">
            <w:pPr>
              <w:pStyle w:val="MeasureTableYearHeadings"/>
              <w:keepNext/>
            </w:pPr>
            <w:r>
              <w:t>2027</w:t>
            </w:r>
            <w:r w:rsidR="00B31B37">
              <w:noBreakHyphen/>
            </w:r>
            <w:r>
              <w:t>28</w:t>
            </w:r>
          </w:p>
        </w:tc>
        <w:tc>
          <w:tcPr>
            <w:tcW w:w="1043" w:type="dxa"/>
            <w:tcBorders>
              <w:top w:val="single" w:sz="4" w:space="0" w:color="000000"/>
              <w:bottom w:val="single" w:sz="4" w:space="0" w:color="000000"/>
            </w:tcBorders>
          </w:tcPr>
          <w:p w14:paraId="6237077F" w14:textId="19FC19A6" w:rsidR="00B628FF" w:rsidRDefault="005B2D2F">
            <w:pPr>
              <w:pStyle w:val="MeasureTableYearHeadings"/>
              <w:keepNext/>
            </w:pPr>
            <w:r>
              <w:t>2028</w:t>
            </w:r>
            <w:r w:rsidR="00B31B37">
              <w:noBreakHyphen/>
            </w:r>
            <w:r>
              <w:t>29</w:t>
            </w:r>
          </w:p>
        </w:tc>
      </w:tr>
      <w:tr w:rsidR="00B628FF" w14:paraId="6DB9BAF6" w14:textId="77777777">
        <w:trPr>
          <w:cantSplit/>
        </w:trPr>
        <w:tc>
          <w:tcPr>
            <w:tcW w:w="2500" w:type="dxa"/>
            <w:tcBorders>
              <w:top w:val="single" w:sz="4" w:space="0" w:color="000000"/>
              <w:bottom w:val="single" w:sz="4" w:space="0" w:color="000000"/>
            </w:tcBorders>
          </w:tcPr>
          <w:p w14:paraId="2ADF5E37" w14:textId="77777777" w:rsidR="00B628FF" w:rsidRDefault="005B2D2F">
            <w:pPr>
              <w:pStyle w:val="MeasureTableHeadingleftalignedwith2ptsspacing"/>
              <w:keepNext/>
            </w:pPr>
            <w:r>
              <w:t>Australian Competition and Consumer Commission</w:t>
            </w:r>
          </w:p>
        </w:tc>
        <w:tc>
          <w:tcPr>
            <w:tcW w:w="1043" w:type="dxa"/>
            <w:tcBorders>
              <w:top w:val="single" w:sz="4" w:space="0" w:color="000000"/>
              <w:bottom w:val="single" w:sz="4" w:space="0" w:color="000000"/>
            </w:tcBorders>
          </w:tcPr>
          <w:p w14:paraId="562E1EF3" w14:textId="3C04446B"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4266283E" w14:textId="77777777" w:rsidR="00B628FF" w:rsidRDefault="005B2D2F">
            <w:pPr>
              <w:pStyle w:val="MeasureTableDataRightAlignedwith2ptsspacing"/>
              <w:keepNext/>
            </w:pPr>
            <w:r>
              <w:t>6.7</w:t>
            </w:r>
          </w:p>
        </w:tc>
        <w:tc>
          <w:tcPr>
            <w:tcW w:w="1043" w:type="dxa"/>
            <w:tcBorders>
              <w:top w:val="single" w:sz="4" w:space="0" w:color="000000"/>
              <w:bottom w:val="single" w:sz="4" w:space="0" w:color="000000"/>
            </w:tcBorders>
          </w:tcPr>
          <w:p w14:paraId="6422B5CD" w14:textId="3EEADF5C"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22A56D2A" w14:textId="15A62E27"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3F59A91E" w14:textId="3566CC6C" w:rsidR="00B628FF" w:rsidRDefault="00B31B37">
            <w:pPr>
              <w:pStyle w:val="MeasureTableDataRightAlignedwith2ptsspacing"/>
              <w:keepNext/>
            </w:pPr>
            <w:r>
              <w:noBreakHyphen/>
            </w:r>
          </w:p>
        </w:tc>
      </w:tr>
    </w:tbl>
    <w:p w14:paraId="0946721F" w14:textId="77777777" w:rsidR="00B628FF" w:rsidRDefault="00B628FF">
      <w:pPr>
        <w:keepNext/>
        <w:spacing w:line="226" w:lineRule="exact"/>
        <w:rPr>
          <w:sz w:val="16"/>
        </w:rPr>
      </w:pPr>
    </w:p>
    <w:p w14:paraId="6E94C163" w14:textId="77777777" w:rsidR="00B628FF" w:rsidRDefault="005B2D2F">
      <w:pPr>
        <w:pStyle w:val="Normal2"/>
      </w:pPr>
      <w:r w:rsidRPr="5FA307DC">
        <w:rPr>
          <w:lang w:val="en-US"/>
        </w:rPr>
        <w:t>The Government will provide $6.7 million in 2025–‍26 to extend the operation of the National Anti‑Scam Centre within the Australian Competition and Consumer Commission to continue protecting consumers and businesses from scam activity.</w:t>
      </w:r>
    </w:p>
    <w:p w14:paraId="5BCBE0A9" w14:textId="77777777" w:rsidR="00B628FF" w:rsidRDefault="005B2D2F">
      <w:pPr>
        <w:pStyle w:val="Normal2"/>
      </w:pPr>
      <w:r>
        <w:t xml:space="preserve">This measure builds on the 2023–‍24 Budget measure titled </w:t>
      </w:r>
      <w:r w:rsidRPr="005B2D2F">
        <w:rPr>
          <w:i/>
        </w:rPr>
        <w:t>Fighting Scams</w:t>
      </w:r>
      <w:r>
        <w:t>.</w:t>
      </w:r>
    </w:p>
    <w:p w14:paraId="37768A3D" w14:textId="77777777" w:rsidR="00B628FF" w:rsidRDefault="005B2D2F">
      <w:pPr>
        <w:pStyle w:val="MeasureTitle"/>
      </w:pPr>
      <w:r>
        <w:t>Small Business and Franchisee Support and Protection</w:t>
      </w:r>
    </w:p>
    <w:p w14:paraId="59A20DA4" w14:textId="77777777" w:rsidR="00B628FF" w:rsidRDefault="005B2D2F">
      <w:pPr>
        <w:pStyle w:val="MeasureTableHeading"/>
      </w:pPr>
      <w:r>
        <w:t>Payments ($m)</w:t>
      </w:r>
    </w:p>
    <w:tbl>
      <w:tblPr>
        <w:tblOverlap w:val="never"/>
        <w:tblW w:w="7721" w:type="dxa"/>
        <w:tblBorders>
          <w:top w:val="single" w:sz="4" w:space="0" w:color="000000"/>
          <w:bottom w:val="single" w:sz="4" w:space="0" w:color="000000"/>
        </w:tblBorders>
        <w:tblLayout w:type="fixed"/>
        <w:tblLook w:val="04A0" w:firstRow="1" w:lastRow="0" w:firstColumn="1" w:lastColumn="0" w:noHBand="0" w:noVBand="1"/>
      </w:tblPr>
      <w:tblGrid>
        <w:gridCol w:w="2501"/>
        <w:gridCol w:w="1044"/>
        <w:gridCol w:w="1044"/>
        <w:gridCol w:w="1044"/>
        <w:gridCol w:w="1044"/>
        <w:gridCol w:w="1044"/>
      </w:tblGrid>
      <w:tr w:rsidR="00B628FF" w14:paraId="42A92307" w14:textId="77777777">
        <w:trPr>
          <w:cantSplit/>
        </w:trPr>
        <w:tc>
          <w:tcPr>
            <w:tcW w:w="2500" w:type="dxa"/>
            <w:tcBorders>
              <w:top w:val="single" w:sz="4" w:space="0" w:color="000000"/>
              <w:bottom w:val="single" w:sz="4" w:space="0" w:color="000000"/>
            </w:tcBorders>
          </w:tcPr>
          <w:p w14:paraId="38F2315C" w14:textId="77777777" w:rsidR="00B628FF" w:rsidRDefault="00B628FF">
            <w:pPr>
              <w:pStyle w:val="MeasureTableYearHeadings"/>
              <w:keepNext/>
            </w:pPr>
          </w:p>
        </w:tc>
        <w:tc>
          <w:tcPr>
            <w:tcW w:w="1043" w:type="dxa"/>
            <w:tcBorders>
              <w:top w:val="single" w:sz="4" w:space="0" w:color="000000"/>
              <w:bottom w:val="single" w:sz="4" w:space="0" w:color="000000"/>
            </w:tcBorders>
          </w:tcPr>
          <w:p w14:paraId="3E5C55A9" w14:textId="47CBB807" w:rsidR="00B628FF" w:rsidRDefault="005B2D2F">
            <w:pPr>
              <w:pStyle w:val="MeasureTableYearHeadings"/>
              <w:keepNext/>
            </w:pPr>
            <w:r>
              <w:t>2024</w:t>
            </w:r>
            <w:r w:rsidR="00B31B37">
              <w:noBreakHyphen/>
            </w:r>
            <w:r>
              <w:t>25</w:t>
            </w:r>
          </w:p>
        </w:tc>
        <w:tc>
          <w:tcPr>
            <w:tcW w:w="1043" w:type="dxa"/>
            <w:tcBorders>
              <w:top w:val="single" w:sz="4" w:space="0" w:color="000000"/>
              <w:bottom w:val="single" w:sz="4" w:space="0" w:color="000000"/>
            </w:tcBorders>
          </w:tcPr>
          <w:p w14:paraId="774F19EB" w14:textId="0AE9E05E" w:rsidR="00B628FF" w:rsidRDefault="005B2D2F">
            <w:pPr>
              <w:pStyle w:val="MeasureTableYearHeadings"/>
              <w:keepNext/>
            </w:pPr>
            <w:r>
              <w:t>2025</w:t>
            </w:r>
            <w:r w:rsidR="00B31B37">
              <w:noBreakHyphen/>
            </w:r>
            <w:r>
              <w:t>26</w:t>
            </w:r>
          </w:p>
        </w:tc>
        <w:tc>
          <w:tcPr>
            <w:tcW w:w="1043" w:type="dxa"/>
            <w:tcBorders>
              <w:top w:val="single" w:sz="4" w:space="0" w:color="000000"/>
              <w:bottom w:val="single" w:sz="4" w:space="0" w:color="000000"/>
            </w:tcBorders>
          </w:tcPr>
          <w:p w14:paraId="30A2514C" w14:textId="48B9BC2D" w:rsidR="00B628FF" w:rsidRDefault="005B2D2F">
            <w:pPr>
              <w:pStyle w:val="MeasureTableYearHeadings"/>
              <w:keepNext/>
            </w:pPr>
            <w:r>
              <w:t>2026</w:t>
            </w:r>
            <w:r w:rsidR="00B31B37">
              <w:noBreakHyphen/>
            </w:r>
            <w:r>
              <w:t>27</w:t>
            </w:r>
          </w:p>
        </w:tc>
        <w:tc>
          <w:tcPr>
            <w:tcW w:w="1043" w:type="dxa"/>
            <w:tcBorders>
              <w:top w:val="single" w:sz="4" w:space="0" w:color="000000"/>
              <w:bottom w:val="single" w:sz="4" w:space="0" w:color="000000"/>
            </w:tcBorders>
          </w:tcPr>
          <w:p w14:paraId="5E158D13" w14:textId="59EC79E1" w:rsidR="00B628FF" w:rsidRDefault="005B2D2F">
            <w:pPr>
              <w:pStyle w:val="MeasureTableYearHeadings"/>
              <w:keepNext/>
            </w:pPr>
            <w:r>
              <w:t>2027</w:t>
            </w:r>
            <w:r w:rsidR="00B31B37">
              <w:noBreakHyphen/>
            </w:r>
            <w:r>
              <w:t>28</w:t>
            </w:r>
          </w:p>
        </w:tc>
        <w:tc>
          <w:tcPr>
            <w:tcW w:w="1043" w:type="dxa"/>
            <w:tcBorders>
              <w:top w:val="single" w:sz="4" w:space="0" w:color="000000"/>
              <w:bottom w:val="single" w:sz="4" w:space="0" w:color="000000"/>
            </w:tcBorders>
          </w:tcPr>
          <w:p w14:paraId="7BD20224" w14:textId="5FA9FE5C" w:rsidR="00B628FF" w:rsidRDefault="005B2D2F">
            <w:pPr>
              <w:pStyle w:val="MeasureTableYearHeadings"/>
              <w:keepNext/>
            </w:pPr>
            <w:r>
              <w:t>2028</w:t>
            </w:r>
            <w:r w:rsidR="00B31B37">
              <w:noBreakHyphen/>
            </w:r>
            <w:r>
              <w:t>29</w:t>
            </w:r>
          </w:p>
        </w:tc>
      </w:tr>
      <w:tr w:rsidR="00B628FF" w14:paraId="2F28508E" w14:textId="77777777">
        <w:trPr>
          <w:cantSplit/>
        </w:trPr>
        <w:tc>
          <w:tcPr>
            <w:tcW w:w="2500" w:type="dxa"/>
            <w:tcBorders>
              <w:top w:val="single" w:sz="4" w:space="0" w:color="000000"/>
              <w:bottom w:val="single" w:sz="4" w:space="0" w:color="000000"/>
            </w:tcBorders>
          </w:tcPr>
          <w:p w14:paraId="6DB1986F" w14:textId="77777777" w:rsidR="00B628FF" w:rsidRDefault="005B2D2F">
            <w:pPr>
              <w:pStyle w:val="MeasureTableHeadingleftalignedwith2ptsspacing"/>
              <w:keepNext/>
            </w:pPr>
            <w:r>
              <w:t>Australian Competition and Consumer Commission</w:t>
            </w:r>
          </w:p>
        </w:tc>
        <w:tc>
          <w:tcPr>
            <w:tcW w:w="1043" w:type="dxa"/>
            <w:tcBorders>
              <w:top w:val="single" w:sz="4" w:space="0" w:color="000000"/>
              <w:bottom w:val="single" w:sz="4" w:space="0" w:color="000000"/>
            </w:tcBorders>
          </w:tcPr>
          <w:p w14:paraId="5131D2CF" w14:textId="0C0D864D"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7F712C08" w14:textId="77777777" w:rsidR="00B628FF" w:rsidRDefault="005B2D2F">
            <w:pPr>
              <w:pStyle w:val="MeasureTableDataRightAlignedwith2ptsspacing"/>
              <w:keepNext/>
            </w:pPr>
            <w:r>
              <w:t>4.2</w:t>
            </w:r>
          </w:p>
        </w:tc>
        <w:tc>
          <w:tcPr>
            <w:tcW w:w="1043" w:type="dxa"/>
            <w:tcBorders>
              <w:top w:val="single" w:sz="4" w:space="0" w:color="000000"/>
              <w:bottom w:val="single" w:sz="4" w:space="0" w:color="000000"/>
            </w:tcBorders>
          </w:tcPr>
          <w:p w14:paraId="33B33122" w14:textId="77777777" w:rsidR="00B628FF" w:rsidRDefault="005B2D2F">
            <w:pPr>
              <w:pStyle w:val="MeasureTableDataRightAlignedwith2ptsspacing"/>
              <w:keepNext/>
            </w:pPr>
            <w:r>
              <w:t>2.9</w:t>
            </w:r>
          </w:p>
        </w:tc>
        <w:tc>
          <w:tcPr>
            <w:tcW w:w="1043" w:type="dxa"/>
            <w:tcBorders>
              <w:top w:val="single" w:sz="4" w:space="0" w:color="000000"/>
              <w:bottom w:val="single" w:sz="4" w:space="0" w:color="000000"/>
            </w:tcBorders>
          </w:tcPr>
          <w:p w14:paraId="7C70B380" w14:textId="79C85DF6"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0AA320A7" w14:textId="50CE835F" w:rsidR="00B628FF" w:rsidRDefault="00B31B37">
            <w:pPr>
              <w:pStyle w:val="MeasureTableDataRightAlignedwith2ptsspacing"/>
              <w:keepNext/>
            </w:pPr>
            <w:r>
              <w:noBreakHyphen/>
            </w:r>
          </w:p>
        </w:tc>
      </w:tr>
      <w:tr w:rsidR="00B628FF" w14:paraId="23BA8749" w14:textId="77777777">
        <w:trPr>
          <w:cantSplit/>
        </w:trPr>
        <w:tc>
          <w:tcPr>
            <w:tcW w:w="2500" w:type="dxa"/>
            <w:tcBorders>
              <w:top w:val="single" w:sz="4" w:space="0" w:color="000000"/>
              <w:bottom w:val="single" w:sz="4" w:space="0" w:color="000000"/>
            </w:tcBorders>
          </w:tcPr>
          <w:p w14:paraId="38A71FAB" w14:textId="77777777" w:rsidR="00B628FF" w:rsidRDefault="005B2D2F">
            <w:pPr>
              <w:pStyle w:val="MeasureTableHeadingleftalignedwith2ptsspacing"/>
              <w:keepNext/>
            </w:pPr>
            <w:r>
              <w:t>Australian Securities and Investments Commission</w:t>
            </w:r>
          </w:p>
        </w:tc>
        <w:tc>
          <w:tcPr>
            <w:tcW w:w="1043" w:type="dxa"/>
            <w:tcBorders>
              <w:top w:val="single" w:sz="4" w:space="0" w:color="000000"/>
              <w:bottom w:val="single" w:sz="4" w:space="0" w:color="000000"/>
            </w:tcBorders>
          </w:tcPr>
          <w:p w14:paraId="7E76B2EB" w14:textId="20E5B24A"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2ABACC5F" w14:textId="77777777" w:rsidR="00B628FF" w:rsidRDefault="005B2D2F">
            <w:pPr>
              <w:pStyle w:val="MeasureTableDataRightAlignedwith2ptsspacing"/>
              <w:keepNext/>
            </w:pPr>
            <w:r>
              <w:t>1.9</w:t>
            </w:r>
          </w:p>
        </w:tc>
        <w:tc>
          <w:tcPr>
            <w:tcW w:w="1043" w:type="dxa"/>
            <w:tcBorders>
              <w:top w:val="single" w:sz="4" w:space="0" w:color="000000"/>
              <w:bottom w:val="single" w:sz="4" w:space="0" w:color="000000"/>
            </w:tcBorders>
          </w:tcPr>
          <w:p w14:paraId="5B3F1AAC" w14:textId="77777777" w:rsidR="00B628FF" w:rsidRDefault="005B2D2F">
            <w:pPr>
              <w:pStyle w:val="MeasureTableDataRightAlignedwith2ptsspacing"/>
              <w:keepNext/>
            </w:pPr>
            <w:r>
              <w:t>0.9</w:t>
            </w:r>
          </w:p>
        </w:tc>
        <w:tc>
          <w:tcPr>
            <w:tcW w:w="1043" w:type="dxa"/>
            <w:tcBorders>
              <w:top w:val="single" w:sz="4" w:space="0" w:color="000000"/>
              <w:bottom w:val="single" w:sz="4" w:space="0" w:color="000000"/>
            </w:tcBorders>
          </w:tcPr>
          <w:p w14:paraId="1EEF213D" w14:textId="77777777" w:rsidR="00B628FF" w:rsidRDefault="005B2D2F">
            <w:pPr>
              <w:pStyle w:val="MeasureTableDataRightAlignedwith2ptsspacing"/>
              <w:keepNext/>
            </w:pPr>
            <w:r>
              <w:t>0.1</w:t>
            </w:r>
          </w:p>
        </w:tc>
        <w:tc>
          <w:tcPr>
            <w:tcW w:w="1043" w:type="dxa"/>
            <w:tcBorders>
              <w:top w:val="single" w:sz="4" w:space="0" w:color="000000"/>
              <w:bottom w:val="single" w:sz="4" w:space="0" w:color="000000"/>
            </w:tcBorders>
          </w:tcPr>
          <w:p w14:paraId="56DAD216" w14:textId="77777777" w:rsidR="00B628FF" w:rsidRDefault="005B2D2F">
            <w:pPr>
              <w:pStyle w:val="MeasureTableDataRightAlignedwith2ptsspacing"/>
              <w:keepNext/>
            </w:pPr>
            <w:r>
              <w:t>0.1</w:t>
            </w:r>
          </w:p>
        </w:tc>
      </w:tr>
      <w:tr w:rsidR="00B628FF" w14:paraId="21B4D217" w14:textId="77777777">
        <w:trPr>
          <w:cantSplit/>
        </w:trPr>
        <w:tc>
          <w:tcPr>
            <w:tcW w:w="2500" w:type="dxa"/>
            <w:tcBorders>
              <w:top w:val="single" w:sz="4" w:space="0" w:color="000000"/>
              <w:bottom w:val="single" w:sz="4" w:space="0" w:color="000000"/>
            </w:tcBorders>
          </w:tcPr>
          <w:p w14:paraId="45E4C792" w14:textId="77777777" w:rsidR="00B628FF" w:rsidRDefault="005B2D2F">
            <w:pPr>
              <w:pStyle w:val="MeasureTableHeadingleftalignedwith2ptsspacing"/>
              <w:keepNext/>
            </w:pPr>
            <w:r>
              <w:t>Department of the Treasury</w:t>
            </w:r>
          </w:p>
        </w:tc>
        <w:tc>
          <w:tcPr>
            <w:tcW w:w="1043" w:type="dxa"/>
            <w:tcBorders>
              <w:top w:val="single" w:sz="4" w:space="0" w:color="000000"/>
              <w:bottom w:val="single" w:sz="4" w:space="0" w:color="000000"/>
            </w:tcBorders>
          </w:tcPr>
          <w:p w14:paraId="74C913E3" w14:textId="343DFF69"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610CE239" w14:textId="77777777" w:rsidR="00B628FF" w:rsidRDefault="005B2D2F">
            <w:pPr>
              <w:pStyle w:val="MeasureTableDataRightAlignedwith2ptsspacing"/>
              <w:keepNext/>
            </w:pPr>
            <w:r>
              <w:t>0.3</w:t>
            </w:r>
          </w:p>
        </w:tc>
        <w:tc>
          <w:tcPr>
            <w:tcW w:w="1043" w:type="dxa"/>
            <w:tcBorders>
              <w:top w:val="single" w:sz="4" w:space="0" w:color="000000"/>
              <w:bottom w:val="single" w:sz="4" w:space="0" w:color="000000"/>
            </w:tcBorders>
          </w:tcPr>
          <w:p w14:paraId="464FA12A" w14:textId="3BBD2313"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77E696C8" w14:textId="6C724641"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64335E48" w14:textId="0AFB9B44" w:rsidR="00B628FF" w:rsidRDefault="00B31B37">
            <w:pPr>
              <w:pStyle w:val="MeasureTableDataRightAlignedwith2ptsspacing"/>
              <w:keepNext/>
            </w:pPr>
            <w:r>
              <w:noBreakHyphen/>
            </w:r>
          </w:p>
        </w:tc>
      </w:tr>
      <w:tr w:rsidR="00B628FF" w14:paraId="69376417" w14:textId="77777777">
        <w:trPr>
          <w:cantSplit/>
        </w:trPr>
        <w:tc>
          <w:tcPr>
            <w:tcW w:w="2500" w:type="dxa"/>
            <w:tcBorders>
              <w:top w:val="single" w:sz="4" w:space="0" w:color="000000"/>
              <w:bottom w:val="single" w:sz="4" w:space="0" w:color="000000"/>
            </w:tcBorders>
          </w:tcPr>
          <w:p w14:paraId="30EC7F58" w14:textId="77777777" w:rsidR="00B628FF" w:rsidRDefault="005B2D2F">
            <w:pPr>
              <w:pStyle w:val="MeasureTableHeadingleftalignedwith2ptsspacing"/>
              <w:keepNext/>
            </w:pPr>
            <w:r>
              <w:t>Department of Social Services</w:t>
            </w:r>
          </w:p>
        </w:tc>
        <w:tc>
          <w:tcPr>
            <w:tcW w:w="1043" w:type="dxa"/>
            <w:tcBorders>
              <w:top w:val="single" w:sz="4" w:space="0" w:color="000000"/>
              <w:bottom w:val="single" w:sz="4" w:space="0" w:color="000000"/>
            </w:tcBorders>
          </w:tcPr>
          <w:p w14:paraId="7BDE1547" w14:textId="5FED29B9"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11E33B7C" w14:textId="01E98A11"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556DACBB" w14:textId="113578C8"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6B8873F9" w14:textId="53D01C78"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6CD602D4" w14:textId="6405E2B2" w:rsidR="00B628FF" w:rsidRDefault="00B31B37">
            <w:pPr>
              <w:pStyle w:val="MeasureTableDataRightAlignedwith2ptsspacing"/>
              <w:keepNext/>
            </w:pPr>
            <w:r>
              <w:noBreakHyphen/>
            </w:r>
          </w:p>
        </w:tc>
      </w:tr>
      <w:tr w:rsidR="00B628FF" w14:paraId="783CD915" w14:textId="77777777">
        <w:trPr>
          <w:cantSplit/>
        </w:trPr>
        <w:tc>
          <w:tcPr>
            <w:tcW w:w="2500" w:type="dxa"/>
            <w:tcBorders>
              <w:top w:val="single" w:sz="4" w:space="0" w:color="000000"/>
              <w:bottom w:val="single" w:sz="4" w:space="0" w:color="000000"/>
            </w:tcBorders>
          </w:tcPr>
          <w:p w14:paraId="0D07C7E9" w14:textId="77777777" w:rsidR="00B628FF" w:rsidRDefault="005B2D2F">
            <w:pPr>
              <w:pStyle w:val="Totalrowleftaligned"/>
              <w:keepNext/>
            </w:pPr>
            <w:r>
              <w:t>Total – Payments</w:t>
            </w:r>
          </w:p>
        </w:tc>
        <w:tc>
          <w:tcPr>
            <w:tcW w:w="1043" w:type="dxa"/>
            <w:tcBorders>
              <w:top w:val="single" w:sz="4" w:space="0" w:color="000000"/>
              <w:bottom w:val="single" w:sz="4" w:space="0" w:color="000000"/>
            </w:tcBorders>
          </w:tcPr>
          <w:p w14:paraId="7E8CEB4A" w14:textId="57E6235B" w:rsidR="00B628FF" w:rsidRDefault="00B31B37">
            <w:pPr>
              <w:pStyle w:val="Totaldatarowrightaligned"/>
              <w:keepNext/>
            </w:pPr>
            <w:r>
              <w:noBreakHyphen/>
            </w:r>
          </w:p>
        </w:tc>
        <w:tc>
          <w:tcPr>
            <w:tcW w:w="1043" w:type="dxa"/>
            <w:tcBorders>
              <w:top w:val="single" w:sz="4" w:space="0" w:color="000000"/>
              <w:bottom w:val="single" w:sz="4" w:space="0" w:color="000000"/>
            </w:tcBorders>
          </w:tcPr>
          <w:p w14:paraId="7F2B782E" w14:textId="77777777" w:rsidR="00B628FF" w:rsidRDefault="005B2D2F">
            <w:pPr>
              <w:pStyle w:val="Totaldatarowrightaligned"/>
              <w:keepNext/>
            </w:pPr>
            <w:r>
              <w:t>6.4</w:t>
            </w:r>
          </w:p>
        </w:tc>
        <w:tc>
          <w:tcPr>
            <w:tcW w:w="1043" w:type="dxa"/>
            <w:tcBorders>
              <w:top w:val="single" w:sz="4" w:space="0" w:color="000000"/>
              <w:bottom w:val="single" w:sz="4" w:space="0" w:color="000000"/>
            </w:tcBorders>
          </w:tcPr>
          <w:p w14:paraId="41AE781E" w14:textId="77777777" w:rsidR="00B628FF" w:rsidRDefault="005B2D2F">
            <w:pPr>
              <w:pStyle w:val="Totaldatarowrightaligned"/>
              <w:keepNext/>
            </w:pPr>
            <w:r>
              <w:t>3.8</w:t>
            </w:r>
          </w:p>
        </w:tc>
        <w:tc>
          <w:tcPr>
            <w:tcW w:w="1043" w:type="dxa"/>
            <w:tcBorders>
              <w:top w:val="single" w:sz="4" w:space="0" w:color="000000"/>
              <w:bottom w:val="single" w:sz="4" w:space="0" w:color="000000"/>
            </w:tcBorders>
          </w:tcPr>
          <w:p w14:paraId="5D42F708" w14:textId="77777777" w:rsidR="00B628FF" w:rsidRDefault="005B2D2F">
            <w:pPr>
              <w:pStyle w:val="Totaldatarowrightaligned"/>
              <w:keepNext/>
            </w:pPr>
            <w:r>
              <w:t>0.1</w:t>
            </w:r>
          </w:p>
        </w:tc>
        <w:tc>
          <w:tcPr>
            <w:tcW w:w="1043" w:type="dxa"/>
            <w:tcBorders>
              <w:top w:val="single" w:sz="4" w:space="0" w:color="000000"/>
              <w:bottom w:val="single" w:sz="4" w:space="0" w:color="000000"/>
            </w:tcBorders>
          </w:tcPr>
          <w:p w14:paraId="6D0BC977" w14:textId="77777777" w:rsidR="00B628FF" w:rsidRDefault="005B2D2F">
            <w:pPr>
              <w:pStyle w:val="Totaldatarowrightaligned"/>
              <w:keepNext/>
            </w:pPr>
            <w:r>
              <w:t>0.1</w:t>
            </w:r>
          </w:p>
        </w:tc>
      </w:tr>
    </w:tbl>
    <w:p w14:paraId="5160E866" w14:textId="77777777" w:rsidR="00B628FF" w:rsidRDefault="00B628FF">
      <w:pPr>
        <w:keepNext/>
        <w:spacing w:line="226" w:lineRule="exact"/>
        <w:rPr>
          <w:sz w:val="16"/>
        </w:rPr>
      </w:pPr>
    </w:p>
    <w:p w14:paraId="0DC06EF1" w14:textId="77777777" w:rsidR="00B628FF" w:rsidRDefault="005B2D2F">
      <w:pPr>
        <w:pStyle w:val="Normal2"/>
      </w:pPr>
      <w:r>
        <w:t>The Government will provide $12.0 million over four years from 2025–‍26 to support and protect small businesses. Funding includes:</w:t>
      </w:r>
    </w:p>
    <w:p w14:paraId="2A6CDDE2" w14:textId="77777777" w:rsidR="00B628FF" w:rsidRDefault="005B2D2F">
      <w:pPr>
        <w:pStyle w:val="Bullet"/>
      </w:pPr>
      <w:r>
        <w:t>$7.1 million over two years from 2025–‍26 for the Australian Competition and Consumer Commission to strengthen regulatory oversight of the Franchising Code of Conduct</w:t>
      </w:r>
    </w:p>
    <w:p w14:paraId="2D88E1C6" w14:textId="77777777" w:rsidR="00B628FF" w:rsidRDefault="005B2D2F">
      <w:pPr>
        <w:pStyle w:val="Bullet"/>
      </w:pPr>
      <w:r>
        <w:t>$3.0 million over four years from 2025–‍26 for the Australian Securities and Investments Commission to improve its data analytics capability to better target enforcement activities to deter illegal phoenixing activities, particularly in the construction sector</w:t>
      </w:r>
    </w:p>
    <w:p w14:paraId="774A2505" w14:textId="77777777" w:rsidR="00B628FF" w:rsidRDefault="005B2D2F">
      <w:pPr>
        <w:pStyle w:val="Bullet"/>
      </w:pPr>
      <w:r>
        <w:t>$1.2 million in 2025–‍26 to partner with White Box Enterprises to establish a Social Enterprise Loan Fund to offer small loans to social enterprises, including work integration social enterprises, to support employment for disadvantaged Australians</w:t>
      </w:r>
    </w:p>
    <w:p w14:paraId="727B2494" w14:textId="77777777" w:rsidR="00B628FF" w:rsidRDefault="005B2D2F">
      <w:pPr>
        <w:pStyle w:val="Bullet"/>
      </w:pPr>
      <w:r>
        <w:t>$0.8 million in 2025–‍26 for Treasury to develop and consult on options to extend protections against unfair trading practices to small businesses and protect businesses regulated by the Franchising Code of Conduct from unfair contract terms and unfair trading practices.</w:t>
      </w:r>
    </w:p>
    <w:p w14:paraId="79373407" w14:textId="77777777" w:rsidR="00B628FF" w:rsidRDefault="005B2D2F">
      <w:pPr>
        <w:pStyle w:val="Normal2"/>
      </w:pPr>
      <w:r>
        <w:t>The Government has already provided partial funding for this measure.</w:t>
      </w:r>
    </w:p>
    <w:p w14:paraId="5753240E" w14:textId="77777777" w:rsidR="000E32FC" w:rsidRDefault="005B2D2F" w:rsidP="00917F79">
      <w:pPr>
        <w:pStyle w:val="Normal2"/>
      </w:pPr>
      <w:r w:rsidRPr="5FA307DC">
        <w:rPr>
          <w:lang w:val="en-US"/>
        </w:rPr>
        <w:t>The cost of this measure will be partially met from within the existing resourcing of the Treasury.</w:t>
      </w:r>
    </w:p>
    <w:p w14:paraId="3ECD60E0" w14:textId="04CDAE35" w:rsidR="00B628FF" w:rsidRDefault="00313AD5" w:rsidP="000E32FC">
      <w:pPr>
        <w:pStyle w:val="MeasureTitle"/>
      </w:pPr>
      <w:r w:rsidRPr="5FA307DC">
        <w:rPr>
          <w:lang w:val="en-US"/>
        </w:rPr>
        <w:br w:type="page"/>
      </w:r>
      <w:r w:rsidR="005B2D2F" w:rsidRPr="5FA307DC">
        <w:rPr>
          <w:lang w:val="en-US"/>
        </w:rPr>
        <w:t>Treasury Portfolio – additional resourcing</w:t>
      </w:r>
    </w:p>
    <w:p w14:paraId="680A497D" w14:textId="77777777" w:rsidR="00B628FF" w:rsidRDefault="005B2D2F">
      <w:pPr>
        <w:pStyle w:val="MeasureTableHeading"/>
      </w:pPr>
      <w:r>
        <w:t>Payments ($m)</w:t>
      </w:r>
    </w:p>
    <w:tbl>
      <w:tblPr>
        <w:tblOverlap w:val="never"/>
        <w:tblW w:w="7721" w:type="dxa"/>
        <w:tblBorders>
          <w:top w:val="single" w:sz="4" w:space="0" w:color="000000"/>
          <w:bottom w:val="single" w:sz="4" w:space="0" w:color="000000"/>
        </w:tblBorders>
        <w:tblLayout w:type="fixed"/>
        <w:tblLook w:val="04A0" w:firstRow="1" w:lastRow="0" w:firstColumn="1" w:lastColumn="0" w:noHBand="0" w:noVBand="1"/>
      </w:tblPr>
      <w:tblGrid>
        <w:gridCol w:w="2501"/>
        <w:gridCol w:w="1044"/>
        <w:gridCol w:w="1044"/>
        <w:gridCol w:w="1044"/>
        <w:gridCol w:w="1044"/>
        <w:gridCol w:w="1044"/>
      </w:tblGrid>
      <w:tr w:rsidR="00B628FF" w14:paraId="4957776D" w14:textId="77777777">
        <w:trPr>
          <w:cantSplit/>
        </w:trPr>
        <w:tc>
          <w:tcPr>
            <w:tcW w:w="2500" w:type="dxa"/>
            <w:tcBorders>
              <w:top w:val="single" w:sz="4" w:space="0" w:color="000000"/>
              <w:bottom w:val="single" w:sz="4" w:space="0" w:color="000000"/>
            </w:tcBorders>
          </w:tcPr>
          <w:p w14:paraId="6DB231A0" w14:textId="77777777" w:rsidR="00B628FF" w:rsidRDefault="00B628FF">
            <w:pPr>
              <w:pStyle w:val="MeasureTableYearHeadings"/>
              <w:keepNext/>
            </w:pPr>
          </w:p>
        </w:tc>
        <w:tc>
          <w:tcPr>
            <w:tcW w:w="1043" w:type="dxa"/>
            <w:tcBorders>
              <w:top w:val="single" w:sz="4" w:space="0" w:color="000000"/>
              <w:bottom w:val="single" w:sz="4" w:space="0" w:color="000000"/>
            </w:tcBorders>
          </w:tcPr>
          <w:p w14:paraId="6826B292" w14:textId="6F2B5D45" w:rsidR="00B628FF" w:rsidRDefault="005B2D2F">
            <w:pPr>
              <w:pStyle w:val="MeasureTableYearHeadings"/>
              <w:keepNext/>
            </w:pPr>
            <w:r>
              <w:t>2024</w:t>
            </w:r>
            <w:r w:rsidR="00B31B37">
              <w:noBreakHyphen/>
            </w:r>
            <w:r>
              <w:t>25</w:t>
            </w:r>
          </w:p>
        </w:tc>
        <w:tc>
          <w:tcPr>
            <w:tcW w:w="1043" w:type="dxa"/>
            <w:tcBorders>
              <w:top w:val="single" w:sz="4" w:space="0" w:color="000000"/>
              <w:bottom w:val="single" w:sz="4" w:space="0" w:color="000000"/>
            </w:tcBorders>
          </w:tcPr>
          <w:p w14:paraId="2F9D7729" w14:textId="17425F0F" w:rsidR="00B628FF" w:rsidRDefault="005B2D2F">
            <w:pPr>
              <w:pStyle w:val="MeasureTableYearHeadings"/>
              <w:keepNext/>
            </w:pPr>
            <w:r>
              <w:t>2025</w:t>
            </w:r>
            <w:r w:rsidR="00B31B37">
              <w:noBreakHyphen/>
            </w:r>
            <w:r>
              <w:t>26</w:t>
            </w:r>
          </w:p>
        </w:tc>
        <w:tc>
          <w:tcPr>
            <w:tcW w:w="1043" w:type="dxa"/>
            <w:tcBorders>
              <w:top w:val="single" w:sz="4" w:space="0" w:color="000000"/>
              <w:bottom w:val="single" w:sz="4" w:space="0" w:color="000000"/>
            </w:tcBorders>
          </w:tcPr>
          <w:p w14:paraId="46F13DDB" w14:textId="4F842BD5" w:rsidR="00B628FF" w:rsidRDefault="005B2D2F">
            <w:pPr>
              <w:pStyle w:val="MeasureTableYearHeadings"/>
              <w:keepNext/>
            </w:pPr>
            <w:r>
              <w:t>2026</w:t>
            </w:r>
            <w:r w:rsidR="00B31B37">
              <w:noBreakHyphen/>
            </w:r>
            <w:r>
              <w:t>27</w:t>
            </w:r>
          </w:p>
        </w:tc>
        <w:tc>
          <w:tcPr>
            <w:tcW w:w="1043" w:type="dxa"/>
            <w:tcBorders>
              <w:top w:val="single" w:sz="4" w:space="0" w:color="000000"/>
              <w:bottom w:val="single" w:sz="4" w:space="0" w:color="000000"/>
            </w:tcBorders>
          </w:tcPr>
          <w:p w14:paraId="2FDECBDB" w14:textId="38F8B48C" w:rsidR="00B628FF" w:rsidRDefault="005B2D2F">
            <w:pPr>
              <w:pStyle w:val="MeasureTableYearHeadings"/>
              <w:keepNext/>
            </w:pPr>
            <w:r>
              <w:t>2027</w:t>
            </w:r>
            <w:r w:rsidR="00B31B37">
              <w:noBreakHyphen/>
            </w:r>
            <w:r>
              <w:t>28</w:t>
            </w:r>
          </w:p>
        </w:tc>
        <w:tc>
          <w:tcPr>
            <w:tcW w:w="1043" w:type="dxa"/>
            <w:tcBorders>
              <w:top w:val="single" w:sz="4" w:space="0" w:color="000000"/>
              <w:bottom w:val="single" w:sz="4" w:space="0" w:color="000000"/>
            </w:tcBorders>
          </w:tcPr>
          <w:p w14:paraId="113F6D79" w14:textId="20F8F25B" w:rsidR="00B628FF" w:rsidRDefault="005B2D2F">
            <w:pPr>
              <w:pStyle w:val="MeasureTableYearHeadings"/>
              <w:keepNext/>
            </w:pPr>
            <w:r>
              <w:t>2028</w:t>
            </w:r>
            <w:r w:rsidR="00B31B37">
              <w:noBreakHyphen/>
            </w:r>
            <w:r>
              <w:t>29</w:t>
            </w:r>
          </w:p>
        </w:tc>
      </w:tr>
      <w:tr w:rsidR="00B628FF" w14:paraId="07098C4A" w14:textId="77777777">
        <w:trPr>
          <w:cantSplit/>
        </w:trPr>
        <w:tc>
          <w:tcPr>
            <w:tcW w:w="2500" w:type="dxa"/>
            <w:tcBorders>
              <w:top w:val="single" w:sz="4" w:space="0" w:color="000000"/>
              <w:bottom w:val="single" w:sz="4" w:space="0" w:color="000000"/>
            </w:tcBorders>
          </w:tcPr>
          <w:p w14:paraId="3B8D5A7A" w14:textId="77777777" w:rsidR="00B628FF" w:rsidRDefault="005B2D2F">
            <w:pPr>
              <w:pStyle w:val="MeasureTableHeadingleftalignedwith2ptsspacing"/>
              <w:keepNext/>
            </w:pPr>
            <w:r>
              <w:t>Australian Securities and Investments Commission</w:t>
            </w:r>
          </w:p>
        </w:tc>
        <w:tc>
          <w:tcPr>
            <w:tcW w:w="1043" w:type="dxa"/>
            <w:tcBorders>
              <w:top w:val="single" w:sz="4" w:space="0" w:color="000000"/>
              <w:bottom w:val="single" w:sz="4" w:space="0" w:color="000000"/>
            </w:tcBorders>
          </w:tcPr>
          <w:p w14:paraId="38D4D7E8" w14:textId="1ADB3F52"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586BB419" w14:textId="77777777" w:rsidR="00B628FF" w:rsidRDefault="005B2D2F">
            <w:pPr>
              <w:pStyle w:val="MeasureTableDataRightAlignedwith2ptsspacing"/>
              <w:keepNext/>
            </w:pPr>
            <w:r>
              <w:t>82.1</w:t>
            </w:r>
          </w:p>
        </w:tc>
        <w:tc>
          <w:tcPr>
            <w:tcW w:w="1043" w:type="dxa"/>
            <w:tcBorders>
              <w:top w:val="single" w:sz="4" w:space="0" w:color="000000"/>
              <w:bottom w:val="single" w:sz="4" w:space="0" w:color="000000"/>
            </w:tcBorders>
          </w:tcPr>
          <w:p w14:paraId="36E91499" w14:textId="77777777" w:rsidR="00B628FF" w:rsidRDefault="005B2D2F">
            <w:pPr>
              <w:pStyle w:val="MeasureTableDataRightAlignedwith2ptsspacing"/>
              <w:keepNext/>
            </w:pPr>
            <w:r>
              <w:t>124.7</w:t>
            </w:r>
          </w:p>
        </w:tc>
        <w:tc>
          <w:tcPr>
            <w:tcW w:w="1043" w:type="dxa"/>
            <w:tcBorders>
              <w:top w:val="single" w:sz="4" w:space="0" w:color="000000"/>
              <w:bottom w:val="single" w:sz="4" w:space="0" w:color="000000"/>
            </w:tcBorders>
          </w:tcPr>
          <w:p w14:paraId="26C8128B" w14:textId="1F09CF3D"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647C139E" w14:textId="3E091AF0" w:rsidR="00B628FF" w:rsidRDefault="00B31B37">
            <w:pPr>
              <w:pStyle w:val="MeasureTableDataRightAlignedwith2ptsspacing"/>
              <w:keepNext/>
            </w:pPr>
            <w:r>
              <w:noBreakHyphen/>
            </w:r>
          </w:p>
        </w:tc>
      </w:tr>
      <w:tr w:rsidR="00B628FF" w14:paraId="511539C7" w14:textId="77777777">
        <w:trPr>
          <w:cantSplit/>
        </w:trPr>
        <w:tc>
          <w:tcPr>
            <w:tcW w:w="2500" w:type="dxa"/>
            <w:tcBorders>
              <w:top w:val="single" w:sz="4" w:space="0" w:color="000000"/>
              <w:bottom w:val="single" w:sz="4" w:space="0" w:color="000000"/>
            </w:tcBorders>
          </w:tcPr>
          <w:p w14:paraId="145797FA" w14:textId="77777777" w:rsidR="00B628FF" w:rsidRDefault="005B2D2F">
            <w:pPr>
              <w:pStyle w:val="MeasureTableHeadingleftalignedwith2ptsspacing"/>
              <w:keepNext/>
            </w:pPr>
            <w:r>
              <w:t>Australian Competition and Consumer Commission</w:t>
            </w:r>
          </w:p>
        </w:tc>
        <w:tc>
          <w:tcPr>
            <w:tcW w:w="1043" w:type="dxa"/>
            <w:tcBorders>
              <w:top w:val="single" w:sz="4" w:space="0" w:color="000000"/>
              <w:bottom w:val="single" w:sz="4" w:space="0" w:color="000000"/>
            </w:tcBorders>
          </w:tcPr>
          <w:p w14:paraId="7F6E01EC" w14:textId="0E6C321D"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3A4CAC1A" w14:textId="77777777" w:rsidR="00B628FF" w:rsidRDefault="005B2D2F">
            <w:pPr>
              <w:pStyle w:val="MeasureTableDataRightAlignedwith2ptsspacing"/>
              <w:keepNext/>
            </w:pPr>
            <w:r>
              <w:t>3.9</w:t>
            </w:r>
          </w:p>
        </w:tc>
        <w:tc>
          <w:tcPr>
            <w:tcW w:w="1043" w:type="dxa"/>
            <w:tcBorders>
              <w:top w:val="single" w:sz="4" w:space="0" w:color="000000"/>
              <w:bottom w:val="single" w:sz="4" w:space="0" w:color="000000"/>
            </w:tcBorders>
          </w:tcPr>
          <w:p w14:paraId="2A73348B" w14:textId="7C454757"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20B37CD5" w14:textId="03030CB9"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20C8C408" w14:textId="0C26FBD8" w:rsidR="00B628FF" w:rsidRDefault="00B31B37">
            <w:pPr>
              <w:pStyle w:val="MeasureTableDataRightAlignedwith2ptsspacing"/>
              <w:keepNext/>
            </w:pPr>
            <w:r>
              <w:noBreakHyphen/>
            </w:r>
          </w:p>
        </w:tc>
      </w:tr>
      <w:tr w:rsidR="00B628FF" w14:paraId="41779C3A" w14:textId="77777777">
        <w:trPr>
          <w:cantSplit/>
        </w:trPr>
        <w:tc>
          <w:tcPr>
            <w:tcW w:w="2500" w:type="dxa"/>
            <w:tcBorders>
              <w:top w:val="single" w:sz="4" w:space="0" w:color="000000"/>
              <w:bottom w:val="single" w:sz="4" w:space="0" w:color="000000"/>
            </w:tcBorders>
          </w:tcPr>
          <w:p w14:paraId="36565D16" w14:textId="77777777" w:rsidR="00B628FF" w:rsidRDefault="005B2D2F">
            <w:pPr>
              <w:pStyle w:val="MeasureTableHeadingleftalignedwith2ptsspacing"/>
              <w:keepNext/>
            </w:pPr>
            <w:r>
              <w:t>Department of the Treasury</w:t>
            </w:r>
          </w:p>
        </w:tc>
        <w:tc>
          <w:tcPr>
            <w:tcW w:w="1043" w:type="dxa"/>
            <w:tcBorders>
              <w:top w:val="single" w:sz="4" w:space="0" w:color="000000"/>
              <w:bottom w:val="single" w:sz="4" w:space="0" w:color="000000"/>
            </w:tcBorders>
          </w:tcPr>
          <w:p w14:paraId="2A3DEE02" w14:textId="42D50C04"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24E0947A" w14:textId="77777777" w:rsidR="00B628FF" w:rsidRDefault="005B2D2F">
            <w:pPr>
              <w:pStyle w:val="MeasureTableDataRightAlignedwith2ptsspacing"/>
              <w:keepNext/>
            </w:pPr>
            <w:r>
              <w:t>1.6</w:t>
            </w:r>
          </w:p>
        </w:tc>
        <w:tc>
          <w:tcPr>
            <w:tcW w:w="1043" w:type="dxa"/>
            <w:tcBorders>
              <w:top w:val="single" w:sz="4" w:space="0" w:color="000000"/>
              <w:bottom w:val="single" w:sz="4" w:space="0" w:color="000000"/>
            </w:tcBorders>
          </w:tcPr>
          <w:p w14:paraId="56ACC650" w14:textId="77777777" w:rsidR="00B628FF" w:rsidRDefault="005B2D2F">
            <w:pPr>
              <w:pStyle w:val="MeasureTableDataRightAlignedwith2ptsspacing"/>
              <w:keepNext/>
            </w:pPr>
            <w:r>
              <w:t>1.1</w:t>
            </w:r>
          </w:p>
        </w:tc>
        <w:tc>
          <w:tcPr>
            <w:tcW w:w="1043" w:type="dxa"/>
            <w:tcBorders>
              <w:top w:val="single" w:sz="4" w:space="0" w:color="000000"/>
              <w:bottom w:val="single" w:sz="4" w:space="0" w:color="000000"/>
            </w:tcBorders>
          </w:tcPr>
          <w:p w14:paraId="3D40DB88" w14:textId="77777777" w:rsidR="00B628FF" w:rsidRDefault="005B2D2F">
            <w:pPr>
              <w:pStyle w:val="MeasureTableDataRightAlignedwith2ptsspacing"/>
              <w:keepNext/>
            </w:pPr>
            <w:r>
              <w:t>0.9</w:t>
            </w:r>
          </w:p>
        </w:tc>
        <w:tc>
          <w:tcPr>
            <w:tcW w:w="1043" w:type="dxa"/>
            <w:tcBorders>
              <w:top w:val="single" w:sz="4" w:space="0" w:color="000000"/>
              <w:bottom w:val="single" w:sz="4" w:space="0" w:color="000000"/>
            </w:tcBorders>
          </w:tcPr>
          <w:p w14:paraId="7C32BC88" w14:textId="2568BF55" w:rsidR="00B628FF" w:rsidRDefault="00B31B37">
            <w:pPr>
              <w:pStyle w:val="MeasureTableDataRightAlignedwith2ptsspacing"/>
              <w:keepNext/>
            </w:pPr>
            <w:r>
              <w:noBreakHyphen/>
            </w:r>
          </w:p>
        </w:tc>
      </w:tr>
      <w:tr w:rsidR="00B628FF" w14:paraId="66349932" w14:textId="77777777">
        <w:trPr>
          <w:cantSplit/>
        </w:trPr>
        <w:tc>
          <w:tcPr>
            <w:tcW w:w="2500" w:type="dxa"/>
            <w:tcBorders>
              <w:top w:val="single" w:sz="4" w:space="0" w:color="000000"/>
              <w:bottom w:val="single" w:sz="4" w:space="0" w:color="000000"/>
            </w:tcBorders>
          </w:tcPr>
          <w:p w14:paraId="24B1296D" w14:textId="77777777" w:rsidR="00B628FF" w:rsidRDefault="005B2D2F">
            <w:pPr>
              <w:pStyle w:val="MeasureTableHeadingleftalignedwith2ptsspacing"/>
              <w:keepNext/>
            </w:pPr>
            <w:r>
              <w:t>Digital Transformation Agency</w:t>
            </w:r>
          </w:p>
        </w:tc>
        <w:tc>
          <w:tcPr>
            <w:tcW w:w="1043" w:type="dxa"/>
            <w:tcBorders>
              <w:top w:val="single" w:sz="4" w:space="0" w:color="000000"/>
              <w:bottom w:val="single" w:sz="4" w:space="0" w:color="000000"/>
            </w:tcBorders>
          </w:tcPr>
          <w:p w14:paraId="3B8EF198" w14:textId="740D3B1F"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75D73A7E" w14:textId="77777777" w:rsidR="00B628FF" w:rsidRDefault="005B2D2F">
            <w:pPr>
              <w:pStyle w:val="MeasureTableDataRightAlignedwith2ptsspacing"/>
              <w:keepNext/>
            </w:pPr>
            <w:r>
              <w:t>0.1</w:t>
            </w:r>
          </w:p>
        </w:tc>
        <w:tc>
          <w:tcPr>
            <w:tcW w:w="1043" w:type="dxa"/>
            <w:tcBorders>
              <w:top w:val="single" w:sz="4" w:space="0" w:color="000000"/>
              <w:bottom w:val="single" w:sz="4" w:space="0" w:color="000000"/>
            </w:tcBorders>
          </w:tcPr>
          <w:p w14:paraId="5CEBF1A7" w14:textId="77777777" w:rsidR="00B628FF" w:rsidRDefault="005B2D2F">
            <w:pPr>
              <w:pStyle w:val="MeasureTableDataRightAlignedwith2ptsspacing"/>
              <w:keepNext/>
            </w:pPr>
            <w:r>
              <w:t>0.1</w:t>
            </w:r>
          </w:p>
        </w:tc>
        <w:tc>
          <w:tcPr>
            <w:tcW w:w="1043" w:type="dxa"/>
            <w:tcBorders>
              <w:top w:val="single" w:sz="4" w:space="0" w:color="000000"/>
              <w:bottom w:val="single" w:sz="4" w:space="0" w:color="000000"/>
            </w:tcBorders>
          </w:tcPr>
          <w:p w14:paraId="62A27380" w14:textId="74712826" w:rsidR="00B628FF" w:rsidRDefault="00B31B37">
            <w:pPr>
              <w:pStyle w:val="MeasureTableDataRightAlignedwith2ptsspacing"/>
              <w:keepNext/>
            </w:pPr>
            <w:r>
              <w:noBreakHyphen/>
            </w:r>
          </w:p>
        </w:tc>
        <w:tc>
          <w:tcPr>
            <w:tcW w:w="1043" w:type="dxa"/>
            <w:tcBorders>
              <w:top w:val="single" w:sz="4" w:space="0" w:color="000000"/>
              <w:bottom w:val="single" w:sz="4" w:space="0" w:color="000000"/>
            </w:tcBorders>
          </w:tcPr>
          <w:p w14:paraId="0D35DB8E" w14:textId="03E3F03D" w:rsidR="00B628FF" w:rsidRDefault="00B31B37">
            <w:pPr>
              <w:pStyle w:val="MeasureTableDataRightAlignedwith2ptsspacing"/>
              <w:keepNext/>
            </w:pPr>
            <w:r>
              <w:noBreakHyphen/>
            </w:r>
          </w:p>
        </w:tc>
      </w:tr>
      <w:tr w:rsidR="00B628FF" w14:paraId="4538E32F" w14:textId="77777777">
        <w:trPr>
          <w:cantSplit/>
        </w:trPr>
        <w:tc>
          <w:tcPr>
            <w:tcW w:w="2500" w:type="dxa"/>
            <w:tcBorders>
              <w:top w:val="single" w:sz="4" w:space="0" w:color="000000"/>
              <w:bottom w:val="single" w:sz="4" w:space="0" w:color="000000"/>
            </w:tcBorders>
          </w:tcPr>
          <w:p w14:paraId="0AE5FF5D" w14:textId="77777777" w:rsidR="00B628FF" w:rsidRDefault="005B2D2F">
            <w:pPr>
              <w:pStyle w:val="Totalrowleftaligned"/>
              <w:keepNext/>
            </w:pPr>
            <w:r>
              <w:t>Total – Payments</w:t>
            </w:r>
          </w:p>
        </w:tc>
        <w:tc>
          <w:tcPr>
            <w:tcW w:w="1043" w:type="dxa"/>
            <w:tcBorders>
              <w:top w:val="single" w:sz="4" w:space="0" w:color="000000"/>
              <w:bottom w:val="single" w:sz="4" w:space="0" w:color="000000"/>
            </w:tcBorders>
          </w:tcPr>
          <w:p w14:paraId="3482515A" w14:textId="143FFFBF" w:rsidR="00B628FF" w:rsidRDefault="00B31B37">
            <w:pPr>
              <w:pStyle w:val="Totaldatarowrightaligned"/>
              <w:keepNext/>
            </w:pPr>
            <w:r>
              <w:noBreakHyphen/>
            </w:r>
          </w:p>
        </w:tc>
        <w:tc>
          <w:tcPr>
            <w:tcW w:w="1043" w:type="dxa"/>
            <w:tcBorders>
              <w:top w:val="single" w:sz="4" w:space="0" w:color="000000"/>
              <w:bottom w:val="single" w:sz="4" w:space="0" w:color="000000"/>
            </w:tcBorders>
          </w:tcPr>
          <w:p w14:paraId="0677B6E0" w14:textId="77777777" w:rsidR="00B628FF" w:rsidRDefault="005B2D2F">
            <w:pPr>
              <w:pStyle w:val="Totaldatarowrightaligned"/>
              <w:keepNext/>
            </w:pPr>
            <w:r>
              <w:t>87.8</w:t>
            </w:r>
          </w:p>
        </w:tc>
        <w:tc>
          <w:tcPr>
            <w:tcW w:w="1043" w:type="dxa"/>
            <w:tcBorders>
              <w:top w:val="single" w:sz="4" w:space="0" w:color="000000"/>
              <w:bottom w:val="single" w:sz="4" w:space="0" w:color="000000"/>
            </w:tcBorders>
          </w:tcPr>
          <w:p w14:paraId="39AF664C" w14:textId="77777777" w:rsidR="00B628FF" w:rsidRDefault="005B2D2F">
            <w:pPr>
              <w:pStyle w:val="Totaldatarowrightaligned"/>
              <w:keepNext/>
            </w:pPr>
            <w:r>
              <w:t>125.9</w:t>
            </w:r>
          </w:p>
        </w:tc>
        <w:tc>
          <w:tcPr>
            <w:tcW w:w="1043" w:type="dxa"/>
            <w:tcBorders>
              <w:top w:val="single" w:sz="4" w:space="0" w:color="000000"/>
              <w:bottom w:val="single" w:sz="4" w:space="0" w:color="000000"/>
            </w:tcBorders>
          </w:tcPr>
          <w:p w14:paraId="18F450EC" w14:textId="77777777" w:rsidR="00B628FF" w:rsidRDefault="005B2D2F">
            <w:pPr>
              <w:pStyle w:val="Totaldatarowrightaligned"/>
              <w:keepNext/>
            </w:pPr>
            <w:r>
              <w:t>0.9</w:t>
            </w:r>
          </w:p>
        </w:tc>
        <w:tc>
          <w:tcPr>
            <w:tcW w:w="1043" w:type="dxa"/>
            <w:tcBorders>
              <w:top w:val="single" w:sz="4" w:space="0" w:color="000000"/>
              <w:bottom w:val="single" w:sz="4" w:space="0" w:color="000000"/>
            </w:tcBorders>
          </w:tcPr>
          <w:p w14:paraId="6FD12301" w14:textId="02B0C785" w:rsidR="00B628FF" w:rsidRDefault="00B31B37">
            <w:pPr>
              <w:pStyle w:val="Totaldatarowrightaligned"/>
              <w:keepNext/>
            </w:pPr>
            <w:r>
              <w:noBreakHyphen/>
            </w:r>
          </w:p>
        </w:tc>
      </w:tr>
    </w:tbl>
    <w:p w14:paraId="28D83274" w14:textId="77777777" w:rsidR="00EE70EF" w:rsidRPr="00EE70EF" w:rsidRDefault="00EE70EF" w:rsidP="00EE70EF">
      <w:pPr>
        <w:pStyle w:val="SingleParagraph"/>
      </w:pPr>
    </w:p>
    <w:p w14:paraId="1DE45644" w14:textId="0F256674" w:rsidR="00B628FF" w:rsidRDefault="005B2D2F" w:rsidP="00EE70EF">
      <w:pPr>
        <w:pStyle w:val="Normal2"/>
      </w:pPr>
      <w:r>
        <w:t>The Government will provide $219.2 million over four years from 2025–</w:t>
      </w:r>
      <w:r>
        <w:rPr>
          <w:rFonts w:ascii="Times New Roman" w:hAnsi="Times New Roman"/>
        </w:rPr>
        <w:t>‍</w:t>
      </w:r>
      <w:r>
        <w:t>26 to support the delivery of Government priorities in the Treasury portfolio, including:</w:t>
      </w:r>
    </w:p>
    <w:p w14:paraId="5BCE2A6B" w14:textId="6AA5B985" w:rsidR="00B628FF" w:rsidRDefault="005B2D2F">
      <w:pPr>
        <w:pStyle w:val="Bullet"/>
      </w:pPr>
      <w:r>
        <w:t>an increase in the cap on the Commonwealth</w:t>
      </w:r>
      <w:r w:rsidR="00B31B37">
        <w:t>’</w:t>
      </w:r>
      <w:r>
        <w:t>s guarantee of Housing Australia</w:t>
      </w:r>
      <w:r w:rsidR="00B31B37">
        <w:t>’</w:t>
      </w:r>
      <w:r>
        <w:t>s liabilities from $10 billion to $26 billion including support for commitments for projects under the Housing Australia Future Fund and the National Housing Accord Facility</w:t>
      </w:r>
    </w:p>
    <w:p w14:paraId="0F3E4229" w14:textId="7233441F" w:rsidR="00B628FF" w:rsidRDefault="005B2D2F">
      <w:pPr>
        <w:pStyle w:val="Bullet"/>
      </w:pPr>
      <w:r>
        <w:t>$207.0 million over two years from 2025–‍26 to deliver the second tranche of stabilisation and uplift of the Australian Securities and Investments Commission</w:t>
      </w:r>
      <w:r w:rsidR="00B31B37">
        <w:t>’</w:t>
      </w:r>
      <w:r>
        <w:t>s (ASIC) business registers</w:t>
      </w:r>
    </w:p>
    <w:p w14:paraId="627CD8F6" w14:textId="77777777" w:rsidR="00B628FF" w:rsidRDefault="005B2D2F">
      <w:pPr>
        <w:pStyle w:val="Bullet"/>
      </w:pPr>
      <w:r>
        <w:t>$4.6 million over four years from 2025–‍26 to continue the National Housing Delivery Coordinator</w:t>
      </w:r>
    </w:p>
    <w:p w14:paraId="6A9C4CCD" w14:textId="77777777" w:rsidR="00B628FF" w:rsidRDefault="005B2D2F">
      <w:pPr>
        <w:pStyle w:val="Bullet"/>
      </w:pPr>
      <w:r>
        <w:t>$3.9 million in 2025–‍26 for the Australian Competition and Consumer Commission to extend the National Electricity Market Inquiry and enforcement activities to protect consumer price outcomes and ensure electricity providers comply with their obligations</w:t>
      </w:r>
    </w:p>
    <w:p w14:paraId="76E905DA" w14:textId="5A788205" w:rsidR="00AD1495" w:rsidRDefault="00AD1495">
      <w:pPr>
        <w:pStyle w:val="Bullet"/>
      </w:pPr>
      <w:r w:rsidRPr="00AD1495">
        <w:t>$2.9 million over three years from 2025</w:t>
      </w:r>
      <w:r w:rsidR="006512D0">
        <w:t>–</w:t>
      </w:r>
      <w:r w:rsidRPr="00AD1495">
        <w:t>26 to assist fresh produce suppliers to understand and enforce their rights under the Food and Grocery Code to achieve more favourable commercial outcomes when negotiating with large grocery businesses</w:t>
      </w:r>
    </w:p>
    <w:p w14:paraId="093B42D8" w14:textId="4B7D5E61" w:rsidR="00B628FF" w:rsidRDefault="005B2D2F">
      <w:pPr>
        <w:pStyle w:val="Bullet"/>
      </w:pPr>
      <w:r>
        <w:t xml:space="preserve">$0.8 million in 2025–‍26 for </w:t>
      </w:r>
      <w:r w:rsidR="001001B5">
        <w:t xml:space="preserve">the </w:t>
      </w:r>
      <w:r>
        <w:t>Treasury to reform Australia</w:t>
      </w:r>
      <w:r w:rsidR="00B31B37">
        <w:t>’</w:t>
      </w:r>
      <w:r>
        <w:t>s financial reporting governance arrangements.</w:t>
      </w:r>
    </w:p>
    <w:p w14:paraId="4180214D" w14:textId="684208DB" w:rsidR="00B628FF" w:rsidRDefault="005B2D2F">
      <w:pPr>
        <w:pStyle w:val="Normal2"/>
      </w:pPr>
      <w:r>
        <w:t xml:space="preserve">The Government will also amend the application of indexation to certain fees under the </w:t>
      </w:r>
      <w:r w:rsidRPr="005B2D2F">
        <w:rPr>
          <w:i/>
        </w:rPr>
        <w:t>Corporations (Review Fees) Act</w:t>
      </w:r>
      <w:r w:rsidR="00F27F95">
        <w:rPr>
          <w:i/>
        </w:rPr>
        <w:t> </w:t>
      </w:r>
      <w:r w:rsidRPr="005B2D2F">
        <w:rPr>
          <w:i/>
        </w:rPr>
        <w:t>2003</w:t>
      </w:r>
      <w:r>
        <w:t>.</w:t>
      </w:r>
    </w:p>
    <w:p w14:paraId="6B8A4FBA" w14:textId="3E34698A" w:rsidR="00B628FF" w:rsidRDefault="005B2D2F">
      <w:pPr>
        <w:pStyle w:val="Normal2"/>
      </w:pPr>
      <w:r w:rsidRPr="5FA307DC">
        <w:rPr>
          <w:lang w:val="en-US"/>
        </w:rPr>
        <w:t xml:space="preserve">The cost of this measure will be partially met from within the existing resourcing of the Housing </w:t>
      </w:r>
      <w:r w:rsidR="00AD1495" w:rsidRPr="5FA307DC">
        <w:rPr>
          <w:lang w:val="en-US"/>
        </w:rPr>
        <w:t>p</w:t>
      </w:r>
      <w:r w:rsidRPr="5FA307DC">
        <w:rPr>
          <w:lang w:val="en-US"/>
        </w:rPr>
        <w:t>ortfolio.</w:t>
      </w:r>
    </w:p>
    <w:sectPr w:rsidR="00B628FF" w:rsidSect="00A06F82">
      <w:headerReference w:type="even" r:id="rId117"/>
      <w:headerReference w:type="default" r:id="rId118"/>
      <w:footerReference w:type="even" r:id="rId119"/>
      <w:footerReference w:type="default" r:id="rId120"/>
      <w:headerReference w:type="first" r:id="rId121"/>
      <w:footerReference w:type="first" r:id="rId122"/>
      <w:endnotePr>
        <w:numFmt w:val="lowerLetter"/>
        <w:numRestart w:val="eachSect"/>
      </w:endnotePr>
      <w:pgSz w:w="11907" w:h="16840" w:code="9"/>
      <w:pgMar w:top="2835" w:right="2098" w:bottom="2466" w:left="2098" w:header="1814" w:footer="1814"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B9707" w14:textId="77777777" w:rsidR="00AA6286" w:rsidRPr="00493083" w:rsidRDefault="00AA6286" w:rsidP="00493083">
      <w:pPr>
        <w:pStyle w:val="SummaryTableEndnoteSeparator"/>
      </w:pPr>
    </w:p>
  </w:endnote>
  <w:endnote w:type="continuationSeparator" w:id="0">
    <w:p w14:paraId="68BD0C1C" w14:textId="77777777" w:rsidR="00AA6286" w:rsidRDefault="00AA6286">
      <w:r>
        <w:continuationSeparator/>
      </w:r>
    </w:p>
  </w:endnote>
  <w:endnote w:type="continuationNotice" w:id="1">
    <w:p w14:paraId="3D170CD2" w14:textId="77777777" w:rsidR="00AA6286" w:rsidRDefault="00AA62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wiss 721 BT">
    <w:altName w:val="Swiss 721 B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1DB58" w14:textId="7AE3D740" w:rsidR="00997AF2" w:rsidRPr="00997AF2" w:rsidRDefault="00997AF2" w:rsidP="00997AF2">
    <w:pPr>
      <w:pStyle w:val="FooterEven"/>
    </w:pPr>
    <w:r w:rsidRPr="00997AF2">
      <w:rPr>
        <w:b/>
      </w:rPr>
      <w:t xml:space="preserve">Page </w:t>
    </w:r>
    <w:r w:rsidRPr="00997AF2">
      <w:rPr>
        <w:b/>
      </w:rPr>
      <w:fldChar w:fldCharType="begin"/>
    </w:r>
    <w:r w:rsidRPr="00997AF2">
      <w:rPr>
        <w:b/>
      </w:rPr>
      <w:instrText xml:space="preserve"> PAGE  \* MERGEFORMAT </w:instrText>
    </w:r>
    <w:r w:rsidRPr="00997AF2">
      <w:rPr>
        <w:b/>
      </w:rPr>
      <w:fldChar w:fldCharType="separate"/>
    </w:r>
    <w:r>
      <w:rPr>
        <w:b/>
        <w:noProof/>
      </w:rPr>
      <w:t>2</w:t>
    </w:r>
    <w:r w:rsidRPr="00997AF2">
      <w:rPr>
        <w:b/>
      </w:rPr>
      <w:fldChar w:fldCharType="end"/>
    </w:r>
    <w:r w:rsidRPr="00997AF2">
      <w:rPr>
        <w:b/>
      </w:rPr>
      <w:t xml:space="preserve">  </w:t>
    </w:r>
    <w:r>
      <w:t>|  Part 1: Receipt Measures</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D8C4F" w14:textId="4DA9856E" w:rsidR="00997AF2" w:rsidRPr="00997AF2" w:rsidRDefault="5FA307DC" w:rsidP="00997AF2">
    <w:pPr>
      <w:pStyle w:val="FooterEven"/>
    </w:pPr>
    <w:r w:rsidRPr="5FA307DC">
      <w:rPr>
        <w:b/>
        <w:bCs/>
        <w:lang w:val="en-US"/>
      </w:rPr>
      <w:t xml:space="preserve">Page </w:t>
    </w:r>
    <w:r w:rsidR="00997AF2" w:rsidRPr="5FA307DC">
      <w:rPr>
        <w:b/>
        <w:bCs/>
        <w:noProof/>
        <w:lang w:val="en-US"/>
      </w:rPr>
      <w:fldChar w:fldCharType="begin"/>
    </w:r>
    <w:r w:rsidR="00997AF2" w:rsidRPr="5FA307DC">
      <w:rPr>
        <w:b/>
        <w:bCs/>
      </w:rPr>
      <w:instrText xml:space="preserve"> PAGE  \* MERGEFORMAT </w:instrText>
    </w:r>
    <w:r w:rsidR="00997AF2" w:rsidRPr="5FA307DC">
      <w:rPr>
        <w:b/>
        <w:bCs/>
      </w:rPr>
      <w:fldChar w:fldCharType="separate"/>
    </w:r>
    <w:r w:rsidRPr="5FA307DC">
      <w:rPr>
        <w:b/>
        <w:bCs/>
        <w:noProof/>
        <w:lang w:val="en-US"/>
      </w:rPr>
      <w:t>20</w:t>
    </w:r>
    <w:r w:rsidR="00997AF2" w:rsidRPr="5FA307DC">
      <w:rPr>
        <w:b/>
        <w:bCs/>
        <w:noProof/>
        <w:lang w:val="en-US"/>
      </w:rPr>
      <w:fldChar w:fldCharType="end"/>
    </w:r>
    <w:r w:rsidRPr="5FA307DC">
      <w:rPr>
        <w:b/>
        <w:bCs/>
        <w:lang w:val="en-US"/>
      </w:rPr>
      <w:t xml:space="preserve">  </w:t>
    </w:r>
    <w:r w:rsidRPr="5FA307DC">
      <w:rPr>
        <w:lang w:val="en-US"/>
      </w:rPr>
      <w:t>|  Part 2: Payment Measures</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EBF30" w14:textId="012544EE" w:rsidR="00997AF2" w:rsidRPr="00997AF2" w:rsidRDefault="5FA307DC" w:rsidP="5FA307DC">
    <w:pPr>
      <w:pStyle w:val="FooterOdd"/>
      <w:rPr>
        <w:lang w:val="en-US"/>
      </w:rPr>
    </w:pPr>
    <w:r w:rsidRPr="5FA307DC">
      <w:rPr>
        <w:lang w:val="en-US"/>
      </w:rPr>
      <w:t xml:space="preserve">Part 2: Payment </w:t>
    </w:r>
    <w:proofErr w:type="gramStart"/>
    <w:r w:rsidRPr="5FA307DC">
      <w:rPr>
        <w:lang w:val="en-US"/>
      </w:rPr>
      <w:t>Measures  |</w:t>
    </w:r>
    <w:proofErr w:type="gramEnd"/>
    <w:r w:rsidRPr="5FA307DC">
      <w:rPr>
        <w:lang w:val="en-US"/>
      </w:rPr>
      <w:t xml:space="preserve">  </w:t>
    </w:r>
    <w:r w:rsidRPr="5FA307DC">
      <w:rPr>
        <w:b/>
        <w:bCs/>
        <w:lang w:val="en-US"/>
      </w:rPr>
      <w:t xml:space="preserve">Page </w:t>
    </w:r>
    <w:r w:rsidR="00997AF2" w:rsidRPr="5FA307DC">
      <w:rPr>
        <w:b/>
        <w:bCs/>
        <w:noProof/>
        <w:lang w:val="en-US"/>
      </w:rPr>
      <w:fldChar w:fldCharType="begin"/>
    </w:r>
    <w:r w:rsidR="00997AF2" w:rsidRPr="5FA307DC">
      <w:rPr>
        <w:b/>
        <w:bCs/>
      </w:rPr>
      <w:instrText xml:space="preserve"> PAGE  \* MERGEFORMAT </w:instrText>
    </w:r>
    <w:r w:rsidR="00997AF2" w:rsidRPr="5FA307DC">
      <w:rPr>
        <w:b/>
        <w:bCs/>
      </w:rPr>
      <w:fldChar w:fldCharType="separate"/>
    </w:r>
    <w:r w:rsidRPr="5FA307DC">
      <w:rPr>
        <w:b/>
        <w:bCs/>
        <w:noProof/>
        <w:lang w:val="en-US"/>
      </w:rPr>
      <w:t>19</w:t>
    </w:r>
    <w:r w:rsidR="00997AF2" w:rsidRPr="5FA307DC">
      <w:rPr>
        <w:b/>
        <w:bCs/>
        <w:noProof/>
        <w:lang w:val="en-US"/>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98EC8" w14:textId="3BCA6AB4" w:rsidR="00997AF2" w:rsidRPr="00997AF2" w:rsidRDefault="5FA307DC" w:rsidP="5FA307DC">
    <w:pPr>
      <w:pStyle w:val="FooterOdd"/>
      <w:rPr>
        <w:lang w:val="en-US"/>
      </w:rPr>
    </w:pPr>
    <w:r w:rsidRPr="5FA307DC">
      <w:rPr>
        <w:lang w:val="en-US"/>
      </w:rPr>
      <w:t xml:space="preserve">Part 2: Payment </w:t>
    </w:r>
    <w:proofErr w:type="gramStart"/>
    <w:r w:rsidRPr="5FA307DC">
      <w:rPr>
        <w:lang w:val="en-US"/>
      </w:rPr>
      <w:t>Measures  |</w:t>
    </w:r>
    <w:proofErr w:type="gramEnd"/>
    <w:r w:rsidRPr="5FA307DC">
      <w:rPr>
        <w:lang w:val="en-US"/>
      </w:rPr>
      <w:t xml:space="preserve">  </w:t>
    </w:r>
    <w:r w:rsidRPr="5FA307DC">
      <w:rPr>
        <w:b/>
        <w:bCs/>
        <w:lang w:val="en-US"/>
      </w:rPr>
      <w:t xml:space="preserve">Page </w:t>
    </w:r>
    <w:r w:rsidR="00997AF2" w:rsidRPr="5FA307DC">
      <w:rPr>
        <w:b/>
        <w:bCs/>
        <w:noProof/>
        <w:lang w:val="en-US"/>
      </w:rPr>
      <w:fldChar w:fldCharType="begin"/>
    </w:r>
    <w:r w:rsidR="00997AF2" w:rsidRPr="5FA307DC">
      <w:rPr>
        <w:b/>
        <w:bCs/>
      </w:rPr>
      <w:instrText xml:space="preserve"> PAGE  \* MERGEFORMAT </w:instrText>
    </w:r>
    <w:r w:rsidR="00997AF2" w:rsidRPr="5FA307DC">
      <w:rPr>
        <w:b/>
        <w:bCs/>
      </w:rPr>
      <w:fldChar w:fldCharType="separate"/>
    </w:r>
    <w:r w:rsidRPr="5FA307DC">
      <w:rPr>
        <w:b/>
        <w:bCs/>
        <w:noProof/>
        <w:lang w:val="en-US"/>
      </w:rPr>
      <w:t>9</w:t>
    </w:r>
    <w:r w:rsidR="00997AF2" w:rsidRPr="5FA307DC">
      <w:rPr>
        <w:b/>
        <w:bCs/>
        <w:noProof/>
        <w:lang w:val="en-US"/>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88FA2" w14:textId="0FC7CB41" w:rsidR="00997AF2" w:rsidRPr="00997AF2" w:rsidRDefault="5FA307DC" w:rsidP="00997AF2">
    <w:pPr>
      <w:pStyle w:val="FooterEven"/>
    </w:pPr>
    <w:r w:rsidRPr="5FA307DC">
      <w:rPr>
        <w:b/>
        <w:bCs/>
        <w:lang w:val="en-US"/>
      </w:rPr>
      <w:t xml:space="preserve">Page </w:t>
    </w:r>
    <w:r w:rsidR="00997AF2" w:rsidRPr="5FA307DC">
      <w:rPr>
        <w:b/>
        <w:bCs/>
        <w:noProof/>
        <w:lang w:val="en-US"/>
      </w:rPr>
      <w:fldChar w:fldCharType="begin"/>
    </w:r>
    <w:r w:rsidR="00997AF2" w:rsidRPr="5FA307DC">
      <w:rPr>
        <w:b/>
        <w:bCs/>
      </w:rPr>
      <w:instrText xml:space="preserve"> PAGE  \* MERGEFORMAT </w:instrText>
    </w:r>
    <w:r w:rsidR="00997AF2" w:rsidRPr="5FA307DC">
      <w:rPr>
        <w:b/>
        <w:bCs/>
      </w:rPr>
      <w:fldChar w:fldCharType="separate"/>
    </w:r>
    <w:r w:rsidRPr="5FA307DC">
      <w:rPr>
        <w:b/>
        <w:bCs/>
        <w:noProof/>
        <w:lang w:val="en-US"/>
      </w:rPr>
      <w:t>20</w:t>
    </w:r>
    <w:r w:rsidR="00997AF2" w:rsidRPr="5FA307DC">
      <w:rPr>
        <w:b/>
        <w:bCs/>
        <w:noProof/>
        <w:lang w:val="en-US"/>
      </w:rPr>
      <w:fldChar w:fldCharType="end"/>
    </w:r>
    <w:r w:rsidRPr="5FA307DC">
      <w:rPr>
        <w:b/>
        <w:bCs/>
        <w:lang w:val="en-US"/>
      </w:rPr>
      <w:t xml:space="preserve">  </w:t>
    </w:r>
    <w:r w:rsidRPr="5FA307DC">
      <w:rPr>
        <w:lang w:val="en-US"/>
      </w:rPr>
      <w:t>|  Part 2: Payment Measures</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33EDD" w14:textId="4D62BFC4" w:rsidR="00997AF2" w:rsidRPr="00997AF2" w:rsidRDefault="5FA307DC" w:rsidP="5FA307DC">
    <w:pPr>
      <w:pStyle w:val="FooterOdd"/>
      <w:rPr>
        <w:lang w:val="en-US"/>
      </w:rPr>
    </w:pPr>
    <w:r w:rsidRPr="5FA307DC">
      <w:rPr>
        <w:lang w:val="en-US"/>
      </w:rPr>
      <w:t xml:space="preserve">Part 2: Payment </w:t>
    </w:r>
    <w:proofErr w:type="gramStart"/>
    <w:r w:rsidRPr="5FA307DC">
      <w:rPr>
        <w:lang w:val="en-US"/>
      </w:rPr>
      <w:t>Measures  |</w:t>
    </w:r>
    <w:proofErr w:type="gramEnd"/>
    <w:r w:rsidRPr="5FA307DC">
      <w:rPr>
        <w:lang w:val="en-US"/>
      </w:rPr>
      <w:t xml:space="preserve">  </w:t>
    </w:r>
    <w:r w:rsidRPr="5FA307DC">
      <w:rPr>
        <w:b/>
        <w:bCs/>
        <w:lang w:val="en-US"/>
      </w:rPr>
      <w:t xml:space="preserve">Page </w:t>
    </w:r>
    <w:r w:rsidR="00997AF2" w:rsidRPr="5FA307DC">
      <w:rPr>
        <w:b/>
        <w:bCs/>
        <w:noProof/>
        <w:lang w:val="en-US"/>
      </w:rPr>
      <w:fldChar w:fldCharType="begin"/>
    </w:r>
    <w:r w:rsidR="00997AF2" w:rsidRPr="5FA307DC">
      <w:rPr>
        <w:b/>
        <w:bCs/>
      </w:rPr>
      <w:instrText xml:space="preserve"> PAGE  \* MERGEFORMAT </w:instrText>
    </w:r>
    <w:r w:rsidR="00997AF2" w:rsidRPr="5FA307DC">
      <w:rPr>
        <w:b/>
        <w:bCs/>
      </w:rPr>
      <w:fldChar w:fldCharType="separate"/>
    </w:r>
    <w:r w:rsidRPr="5FA307DC">
      <w:rPr>
        <w:b/>
        <w:bCs/>
        <w:noProof/>
        <w:lang w:val="en-US"/>
      </w:rPr>
      <w:t>21</w:t>
    </w:r>
    <w:r w:rsidR="00997AF2" w:rsidRPr="5FA307DC">
      <w:rPr>
        <w:b/>
        <w:bCs/>
        <w:noProof/>
        <w:lang w:val="en-US"/>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C1016" w14:textId="7FD6E096" w:rsidR="00997AF2" w:rsidRPr="00997AF2" w:rsidRDefault="5FA307DC" w:rsidP="5FA307DC">
    <w:pPr>
      <w:pStyle w:val="FooterOdd"/>
      <w:rPr>
        <w:lang w:val="en-US"/>
      </w:rPr>
    </w:pPr>
    <w:r w:rsidRPr="5FA307DC">
      <w:rPr>
        <w:lang w:val="en-US"/>
      </w:rPr>
      <w:t xml:space="preserve">Part 2: Payment </w:t>
    </w:r>
    <w:proofErr w:type="gramStart"/>
    <w:r w:rsidRPr="5FA307DC">
      <w:rPr>
        <w:lang w:val="en-US"/>
      </w:rPr>
      <w:t>Measures  |</w:t>
    </w:r>
    <w:proofErr w:type="gramEnd"/>
    <w:r w:rsidRPr="5FA307DC">
      <w:rPr>
        <w:lang w:val="en-US"/>
      </w:rPr>
      <w:t xml:space="preserve">  </w:t>
    </w:r>
    <w:r w:rsidRPr="5FA307DC">
      <w:rPr>
        <w:b/>
        <w:bCs/>
        <w:lang w:val="en-US"/>
      </w:rPr>
      <w:t xml:space="preserve">Page </w:t>
    </w:r>
    <w:r w:rsidR="00997AF2" w:rsidRPr="5FA307DC">
      <w:rPr>
        <w:b/>
        <w:bCs/>
        <w:noProof/>
        <w:lang w:val="en-US"/>
      </w:rPr>
      <w:fldChar w:fldCharType="begin"/>
    </w:r>
    <w:r w:rsidR="00997AF2" w:rsidRPr="5FA307DC">
      <w:rPr>
        <w:b/>
        <w:bCs/>
      </w:rPr>
      <w:instrText xml:space="preserve"> PAGE  \* MERGEFORMAT </w:instrText>
    </w:r>
    <w:r w:rsidR="00997AF2" w:rsidRPr="5FA307DC">
      <w:rPr>
        <w:b/>
        <w:bCs/>
      </w:rPr>
      <w:fldChar w:fldCharType="separate"/>
    </w:r>
    <w:r w:rsidRPr="5FA307DC">
      <w:rPr>
        <w:b/>
        <w:bCs/>
        <w:noProof/>
        <w:lang w:val="en-US"/>
      </w:rPr>
      <w:t>9</w:t>
    </w:r>
    <w:r w:rsidR="00997AF2" w:rsidRPr="5FA307DC">
      <w:rPr>
        <w:b/>
        <w:bCs/>
        <w:noProof/>
        <w:lang w:val="en-US"/>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9BE18" w14:textId="75BA007D" w:rsidR="00997AF2" w:rsidRPr="00997AF2" w:rsidRDefault="5FA307DC" w:rsidP="00997AF2">
    <w:pPr>
      <w:pStyle w:val="FooterEven"/>
    </w:pPr>
    <w:r w:rsidRPr="5FA307DC">
      <w:rPr>
        <w:b/>
        <w:bCs/>
        <w:lang w:val="en-US"/>
      </w:rPr>
      <w:t xml:space="preserve">Page </w:t>
    </w:r>
    <w:r w:rsidR="00997AF2" w:rsidRPr="5FA307DC">
      <w:rPr>
        <w:b/>
        <w:bCs/>
        <w:noProof/>
        <w:lang w:val="en-US"/>
      </w:rPr>
      <w:fldChar w:fldCharType="begin"/>
    </w:r>
    <w:r w:rsidR="00997AF2" w:rsidRPr="5FA307DC">
      <w:rPr>
        <w:b/>
        <w:bCs/>
      </w:rPr>
      <w:instrText xml:space="preserve"> PAGE  \* MERGEFORMAT </w:instrText>
    </w:r>
    <w:r w:rsidR="00997AF2" w:rsidRPr="5FA307DC">
      <w:rPr>
        <w:b/>
        <w:bCs/>
      </w:rPr>
      <w:fldChar w:fldCharType="separate"/>
    </w:r>
    <w:r w:rsidRPr="5FA307DC">
      <w:rPr>
        <w:b/>
        <w:bCs/>
        <w:noProof/>
        <w:lang w:val="en-US"/>
      </w:rPr>
      <w:t>22</w:t>
    </w:r>
    <w:r w:rsidR="00997AF2" w:rsidRPr="5FA307DC">
      <w:rPr>
        <w:b/>
        <w:bCs/>
        <w:noProof/>
        <w:lang w:val="en-US"/>
      </w:rPr>
      <w:fldChar w:fldCharType="end"/>
    </w:r>
    <w:r w:rsidRPr="5FA307DC">
      <w:rPr>
        <w:b/>
        <w:bCs/>
        <w:lang w:val="en-US"/>
      </w:rPr>
      <w:t xml:space="preserve">  </w:t>
    </w:r>
    <w:r w:rsidRPr="5FA307DC">
      <w:rPr>
        <w:lang w:val="en-US"/>
      </w:rPr>
      <w:t>|  Part 2: Payment Measures</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C87C9" w14:textId="6ED05980" w:rsidR="00997AF2" w:rsidRPr="00997AF2" w:rsidRDefault="5FA307DC" w:rsidP="5FA307DC">
    <w:pPr>
      <w:pStyle w:val="FooterOdd"/>
      <w:rPr>
        <w:lang w:val="en-US"/>
      </w:rPr>
    </w:pPr>
    <w:r w:rsidRPr="5FA307DC">
      <w:rPr>
        <w:lang w:val="en-US"/>
      </w:rPr>
      <w:t xml:space="preserve">Part 2: Payment </w:t>
    </w:r>
    <w:proofErr w:type="gramStart"/>
    <w:r w:rsidRPr="5FA307DC">
      <w:rPr>
        <w:lang w:val="en-US"/>
      </w:rPr>
      <w:t>Measures  |</w:t>
    </w:r>
    <w:proofErr w:type="gramEnd"/>
    <w:r w:rsidRPr="5FA307DC">
      <w:rPr>
        <w:lang w:val="en-US"/>
      </w:rPr>
      <w:t xml:space="preserve">  </w:t>
    </w:r>
    <w:r w:rsidRPr="5FA307DC">
      <w:rPr>
        <w:b/>
        <w:bCs/>
        <w:lang w:val="en-US"/>
      </w:rPr>
      <w:t xml:space="preserve">Page </w:t>
    </w:r>
    <w:r w:rsidR="00997AF2" w:rsidRPr="5FA307DC">
      <w:rPr>
        <w:b/>
        <w:bCs/>
        <w:noProof/>
        <w:lang w:val="en-US"/>
      </w:rPr>
      <w:fldChar w:fldCharType="begin"/>
    </w:r>
    <w:r w:rsidR="00997AF2" w:rsidRPr="5FA307DC">
      <w:rPr>
        <w:b/>
        <w:bCs/>
      </w:rPr>
      <w:instrText xml:space="preserve"> PAGE  \* MERGEFORMAT </w:instrText>
    </w:r>
    <w:r w:rsidR="00997AF2" w:rsidRPr="5FA307DC">
      <w:rPr>
        <w:b/>
        <w:bCs/>
      </w:rPr>
      <w:fldChar w:fldCharType="separate"/>
    </w:r>
    <w:r w:rsidRPr="5FA307DC">
      <w:rPr>
        <w:b/>
        <w:bCs/>
        <w:noProof/>
        <w:lang w:val="en-US"/>
      </w:rPr>
      <w:t>23</w:t>
    </w:r>
    <w:r w:rsidR="00997AF2" w:rsidRPr="5FA307DC">
      <w:rPr>
        <w:b/>
        <w:bCs/>
        <w:noProof/>
        <w:lang w:val="en-US"/>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DEA17" w14:textId="39EC886C" w:rsidR="00997AF2" w:rsidRPr="00997AF2" w:rsidRDefault="5FA307DC" w:rsidP="5FA307DC">
    <w:pPr>
      <w:pStyle w:val="FooterOdd"/>
      <w:rPr>
        <w:lang w:val="en-US"/>
      </w:rPr>
    </w:pPr>
    <w:r w:rsidRPr="5FA307DC">
      <w:rPr>
        <w:lang w:val="en-US"/>
      </w:rPr>
      <w:t xml:space="preserve">Part 2: Payment </w:t>
    </w:r>
    <w:proofErr w:type="gramStart"/>
    <w:r w:rsidRPr="5FA307DC">
      <w:rPr>
        <w:lang w:val="en-US"/>
      </w:rPr>
      <w:t>Measures  |</w:t>
    </w:r>
    <w:proofErr w:type="gramEnd"/>
    <w:r w:rsidRPr="5FA307DC">
      <w:rPr>
        <w:lang w:val="en-US"/>
      </w:rPr>
      <w:t xml:space="preserve">  </w:t>
    </w:r>
    <w:r w:rsidRPr="5FA307DC">
      <w:rPr>
        <w:b/>
        <w:bCs/>
        <w:lang w:val="en-US"/>
      </w:rPr>
      <w:t xml:space="preserve">Page </w:t>
    </w:r>
    <w:r w:rsidR="00997AF2" w:rsidRPr="5FA307DC">
      <w:rPr>
        <w:b/>
        <w:bCs/>
        <w:noProof/>
        <w:lang w:val="en-US"/>
      </w:rPr>
      <w:fldChar w:fldCharType="begin"/>
    </w:r>
    <w:r w:rsidR="00997AF2" w:rsidRPr="5FA307DC">
      <w:rPr>
        <w:b/>
        <w:bCs/>
      </w:rPr>
      <w:instrText xml:space="preserve"> PAGE  \* MERGEFORMAT </w:instrText>
    </w:r>
    <w:r w:rsidR="00997AF2" w:rsidRPr="5FA307DC">
      <w:rPr>
        <w:b/>
        <w:bCs/>
      </w:rPr>
      <w:fldChar w:fldCharType="separate"/>
    </w:r>
    <w:r w:rsidRPr="5FA307DC">
      <w:rPr>
        <w:b/>
        <w:bCs/>
        <w:noProof/>
        <w:lang w:val="en-US"/>
      </w:rPr>
      <w:t>9</w:t>
    </w:r>
    <w:r w:rsidR="00997AF2" w:rsidRPr="5FA307DC">
      <w:rPr>
        <w:b/>
        <w:bCs/>
        <w:noProof/>
        <w:lang w:val="en-US"/>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5FB16" w14:textId="7758B238" w:rsidR="00997AF2" w:rsidRPr="00997AF2" w:rsidRDefault="5FA307DC" w:rsidP="00997AF2">
    <w:pPr>
      <w:pStyle w:val="FooterEven"/>
    </w:pPr>
    <w:r w:rsidRPr="5FA307DC">
      <w:rPr>
        <w:b/>
        <w:bCs/>
        <w:lang w:val="en-US"/>
      </w:rPr>
      <w:t xml:space="preserve">Page </w:t>
    </w:r>
    <w:r w:rsidR="00997AF2" w:rsidRPr="5FA307DC">
      <w:rPr>
        <w:b/>
        <w:bCs/>
        <w:noProof/>
        <w:lang w:val="en-US"/>
      </w:rPr>
      <w:fldChar w:fldCharType="begin"/>
    </w:r>
    <w:r w:rsidR="00997AF2" w:rsidRPr="5FA307DC">
      <w:rPr>
        <w:b/>
        <w:bCs/>
      </w:rPr>
      <w:instrText xml:space="preserve"> PAGE  \* MERGEFORMAT </w:instrText>
    </w:r>
    <w:r w:rsidR="00997AF2" w:rsidRPr="5FA307DC">
      <w:rPr>
        <w:b/>
        <w:bCs/>
      </w:rPr>
      <w:fldChar w:fldCharType="separate"/>
    </w:r>
    <w:r w:rsidRPr="5FA307DC">
      <w:rPr>
        <w:b/>
        <w:bCs/>
        <w:noProof/>
        <w:lang w:val="en-US"/>
      </w:rPr>
      <w:t>26</w:t>
    </w:r>
    <w:r w:rsidR="00997AF2" w:rsidRPr="5FA307DC">
      <w:rPr>
        <w:b/>
        <w:bCs/>
        <w:noProof/>
        <w:lang w:val="en-US"/>
      </w:rPr>
      <w:fldChar w:fldCharType="end"/>
    </w:r>
    <w:r w:rsidRPr="5FA307DC">
      <w:rPr>
        <w:b/>
        <w:bCs/>
        <w:lang w:val="en-US"/>
      </w:rPr>
      <w:t xml:space="preserve">  </w:t>
    </w:r>
    <w:r w:rsidRPr="5FA307DC">
      <w:rPr>
        <w:lang w:val="en-US"/>
      </w:rPr>
      <w:t>|  Part 2: Payment Measures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11515" w14:textId="2F3DFFC3" w:rsidR="00294042" w:rsidRPr="00997AF2" w:rsidRDefault="5FA307DC" w:rsidP="5FA307DC">
    <w:pPr>
      <w:pStyle w:val="FooterOdd"/>
      <w:rPr>
        <w:lang w:val="en-US"/>
      </w:rPr>
    </w:pPr>
    <w:r w:rsidRPr="5FA307DC">
      <w:rPr>
        <w:lang w:val="en-US"/>
      </w:rPr>
      <w:t xml:space="preserve">Part 1: Receipt </w:t>
    </w:r>
    <w:proofErr w:type="gramStart"/>
    <w:r w:rsidRPr="5FA307DC">
      <w:rPr>
        <w:lang w:val="en-US"/>
      </w:rPr>
      <w:t>Measures  |</w:t>
    </w:r>
    <w:proofErr w:type="gramEnd"/>
    <w:r w:rsidRPr="5FA307DC">
      <w:rPr>
        <w:lang w:val="en-US"/>
      </w:rPr>
      <w:t xml:space="preserve">  </w:t>
    </w:r>
    <w:r w:rsidRPr="5FA307DC">
      <w:rPr>
        <w:b/>
        <w:bCs/>
        <w:lang w:val="en-US"/>
      </w:rPr>
      <w:t xml:space="preserve">Page </w:t>
    </w:r>
    <w:r w:rsidR="00997AF2" w:rsidRPr="5FA307DC">
      <w:rPr>
        <w:b/>
        <w:bCs/>
        <w:noProof/>
        <w:lang w:val="en-US"/>
      </w:rPr>
      <w:fldChar w:fldCharType="begin"/>
    </w:r>
    <w:r w:rsidR="00997AF2" w:rsidRPr="5FA307DC">
      <w:rPr>
        <w:b/>
        <w:bCs/>
      </w:rPr>
      <w:instrText xml:space="preserve"> PAGE  \* MERGEFORMAT </w:instrText>
    </w:r>
    <w:r w:rsidR="00997AF2" w:rsidRPr="5FA307DC">
      <w:rPr>
        <w:b/>
        <w:bCs/>
      </w:rPr>
      <w:fldChar w:fldCharType="separate"/>
    </w:r>
    <w:r w:rsidRPr="5FA307DC">
      <w:rPr>
        <w:b/>
        <w:bCs/>
        <w:noProof/>
        <w:lang w:val="en-US"/>
      </w:rPr>
      <w:t>3</w:t>
    </w:r>
    <w:r w:rsidR="00997AF2" w:rsidRPr="5FA307DC">
      <w:rPr>
        <w:b/>
        <w:bCs/>
        <w:noProof/>
        <w:lang w:val="en-US"/>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195F1" w14:textId="2E1F21C1" w:rsidR="00997AF2" w:rsidRPr="00997AF2" w:rsidRDefault="5FA307DC" w:rsidP="5FA307DC">
    <w:pPr>
      <w:pStyle w:val="FooterOdd"/>
      <w:rPr>
        <w:lang w:val="en-US"/>
      </w:rPr>
    </w:pPr>
    <w:r w:rsidRPr="5FA307DC">
      <w:rPr>
        <w:lang w:val="en-US"/>
      </w:rPr>
      <w:t xml:space="preserve">Part 2: Payment </w:t>
    </w:r>
    <w:proofErr w:type="gramStart"/>
    <w:r w:rsidRPr="5FA307DC">
      <w:rPr>
        <w:lang w:val="en-US"/>
      </w:rPr>
      <w:t>Measures  |</w:t>
    </w:r>
    <w:proofErr w:type="gramEnd"/>
    <w:r w:rsidRPr="5FA307DC">
      <w:rPr>
        <w:lang w:val="en-US"/>
      </w:rPr>
      <w:t xml:space="preserve">  </w:t>
    </w:r>
    <w:r w:rsidRPr="5FA307DC">
      <w:rPr>
        <w:b/>
        <w:bCs/>
        <w:lang w:val="en-US"/>
      </w:rPr>
      <w:t xml:space="preserve">Page </w:t>
    </w:r>
    <w:r w:rsidR="00997AF2" w:rsidRPr="5FA307DC">
      <w:rPr>
        <w:b/>
        <w:bCs/>
        <w:noProof/>
        <w:lang w:val="en-US"/>
      </w:rPr>
      <w:fldChar w:fldCharType="begin"/>
    </w:r>
    <w:r w:rsidR="00997AF2" w:rsidRPr="5FA307DC">
      <w:rPr>
        <w:b/>
        <w:bCs/>
      </w:rPr>
      <w:instrText xml:space="preserve"> PAGE  \* MERGEFORMAT </w:instrText>
    </w:r>
    <w:r w:rsidR="00997AF2" w:rsidRPr="5FA307DC">
      <w:rPr>
        <w:b/>
        <w:bCs/>
      </w:rPr>
      <w:fldChar w:fldCharType="separate"/>
    </w:r>
    <w:r w:rsidRPr="5FA307DC">
      <w:rPr>
        <w:b/>
        <w:bCs/>
        <w:noProof/>
        <w:lang w:val="en-US"/>
      </w:rPr>
      <w:t>25</w:t>
    </w:r>
    <w:r w:rsidR="00997AF2" w:rsidRPr="5FA307DC">
      <w:rPr>
        <w:b/>
        <w:bCs/>
        <w:noProof/>
        <w:lang w:val="en-US"/>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4BF8E" w14:textId="1D6DAEDD" w:rsidR="00997AF2" w:rsidRPr="00997AF2" w:rsidRDefault="5FA307DC" w:rsidP="5FA307DC">
    <w:pPr>
      <w:pStyle w:val="FooterOdd"/>
      <w:rPr>
        <w:lang w:val="en-US"/>
      </w:rPr>
    </w:pPr>
    <w:r w:rsidRPr="5FA307DC">
      <w:rPr>
        <w:lang w:val="en-US"/>
      </w:rPr>
      <w:t xml:space="preserve">Part 2: Payment </w:t>
    </w:r>
    <w:proofErr w:type="gramStart"/>
    <w:r w:rsidRPr="5FA307DC">
      <w:rPr>
        <w:lang w:val="en-US"/>
      </w:rPr>
      <w:t>Measures  |</w:t>
    </w:r>
    <w:proofErr w:type="gramEnd"/>
    <w:r w:rsidRPr="5FA307DC">
      <w:rPr>
        <w:lang w:val="en-US"/>
      </w:rPr>
      <w:t xml:space="preserve">  </w:t>
    </w:r>
    <w:r w:rsidRPr="5FA307DC">
      <w:rPr>
        <w:b/>
        <w:bCs/>
        <w:lang w:val="en-US"/>
      </w:rPr>
      <w:t xml:space="preserve">Page </w:t>
    </w:r>
    <w:r w:rsidR="00997AF2" w:rsidRPr="5FA307DC">
      <w:rPr>
        <w:b/>
        <w:bCs/>
        <w:noProof/>
        <w:lang w:val="en-US"/>
      </w:rPr>
      <w:fldChar w:fldCharType="begin"/>
    </w:r>
    <w:r w:rsidR="00997AF2" w:rsidRPr="5FA307DC">
      <w:rPr>
        <w:b/>
        <w:bCs/>
      </w:rPr>
      <w:instrText xml:space="preserve"> PAGE  \* MERGEFORMAT </w:instrText>
    </w:r>
    <w:r w:rsidR="00997AF2" w:rsidRPr="5FA307DC">
      <w:rPr>
        <w:b/>
        <w:bCs/>
      </w:rPr>
      <w:fldChar w:fldCharType="separate"/>
    </w:r>
    <w:r w:rsidRPr="5FA307DC">
      <w:rPr>
        <w:b/>
        <w:bCs/>
        <w:noProof/>
        <w:lang w:val="en-US"/>
      </w:rPr>
      <w:t>9</w:t>
    </w:r>
    <w:r w:rsidR="00997AF2" w:rsidRPr="5FA307DC">
      <w:rPr>
        <w:b/>
        <w:bCs/>
        <w:noProof/>
        <w:lang w:val="en-US"/>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11CA5" w14:textId="5E92BDB9" w:rsidR="00997AF2" w:rsidRPr="00997AF2" w:rsidRDefault="00997AF2" w:rsidP="00997AF2">
    <w:pPr>
      <w:pStyle w:val="FooterEven"/>
    </w:pPr>
    <w:r w:rsidRPr="00997AF2">
      <w:rPr>
        <w:b/>
      </w:rPr>
      <w:t xml:space="preserve">Page </w:t>
    </w:r>
    <w:r w:rsidRPr="00997AF2">
      <w:rPr>
        <w:b/>
      </w:rPr>
      <w:fldChar w:fldCharType="begin"/>
    </w:r>
    <w:r w:rsidRPr="00997AF2">
      <w:rPr>
        <w:b/>
      </w:rPr>
      <w:instrText xml:space="preserve"> PAGE  \* MERGEFORMAT </w:instrText>
    </w:r>
    <w:r w:rsidRPr="00997AF2">
      <w:rPr>
        <w:b/>
      </w:rPr>
      <w:fldChar w:fldCharType="separate"/>
    </w:r>
    <w:r w:rsidRPr="00997AF2">
      <w:rPr>
        <w:b/>
        <w:noProof/>
      </w:rPr>
      <w:t>2</w:t>
    </w:r>
    <w:r w:rsidRPr="00997AF2">
      <w:rPr>
        <w:b/>
      </w:rPr>
      <w:fldChar w:fldCharType="end"/>
    </w:r>
    <w:r w:rsidRPr="00997AF2">
      <w:rPr>
        <w:b/>
      </w:rPr>
      <w:t xml:space="preserve">  </w:t>
    </w:r>
    <w:r>
      <w:t>|  Part 2: Payment Measures</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BEF32" w14:textId="50A70361" w:rsidR="00997AF2" w:rsidRPr="00997AF2" w:rsidRDefault="5FA307DC" w:rsidP="5FA307DC">
    <w:pPr>
      <w:pStyle w:val="FooterOdd"/>
      <w:rPr>
        <w:lang w:val="en-US"/>
      </w:rPr>
    </w:pPr>
    <w:r w:rsidRPr="5FA307DC">
      <w:rPr>
        <w:lang w:val="en-US"/>
      </w:rPr>
      <w:t xml:space="preserve">Part 2: Payment </w:t>
    </w:r>
    <w:proofErr w:type="gramStart"/>
    <w:r w:rsidRPr="5FA307DC">
      <w:rPr>
        <w:lang w:val="en-US"/>
      </w:rPr>
      <w:t>Measures  |</w:t>
    </w:r>
    <w:proofErr w:type="gramEnd"/>
    <w:r w:rsidRPr="5FA307DC">
      <w:rPr>
        <w:lang w:val="en-US"/>
      </w:rPr>
      <w:t xml:space="preserve">  </w:t>
    </w:r>
    <w:r w:rsidRPr="5FA307DC">
      <w:rPr>
        <w:b/>
        <w:bCs/>
        <w:lang w:val="en-US"/>
      </w:rPr>
      <w:t xml:space="preserve">Page </w:t>
    </w:r>
    <w:r w:rsidR="00997AF2" w:rsidRPr="5FA307DC">
      <w:rPr>
        <w:b/>
        <w:bCs/>
        <w:noProof/>
        <w:lang w:val="en-US"/>
      </w:rPr>
      <w:fldChar w:fldCharType="begin"/>
    </w:r>
    <w:r w:rsidR="00997AF2" w:rsidRPr="5FA307DC">
      <w:rPr>
        <w:b/>
        <w:bCs/>
      </w:rPr>
      <w:instrText xml:space="preserve"> PAGE  \* MERGEFORMAT </w:instrText>
    </w:r>
    <w:r w:rsidR="00997AF2" w:rsidRPr="5FA307DC">
      <w:rPr>
        <w:b/>
        <w:bCs/>
      </w:rPr>
      <w:fldChar w:fldCharType="separate"/>
    </w:r>
    <w:r w:rsidRPr="5FA307DC">
      <w:rPr>
        <w:b/>
        <w:bCs/>
        <w:noProof/>
        <w:lang w:val="en-US"/>
      </w:rPr>
      <w:t>2</w:t>
    </w:r>
    <w:r w:rsidR="00997AF2" w:rsidRPr="5FA307DC">
      <w:rPr>
        <w:b/>
        <w:bCs/>
        <w:noProof/>
        <w:lang w:val="en-US"/>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B465D" w14:textId="1A1787E2" w:rsidR="00997AF2" w:rsidRPr="00997AF2" w:rsidRDefault="5FA307DC" w:rsidP="5FA307DC">
    <w:pPr>
      <w:pStyle w:val="FooterOdd"/>
      <w:rPr>
        <w:lang w:val="en-US"/>
      </w:rPr>
    </w:pPr>
    <w:r w:rsidRPr="5FA307DC">
      <w:rPr>
        <w:lang w:val="en-US"/>
      </w:rPr>
      <w:t xml:space="preserve">Part 2: Payment </w:t>
    </w:r>
    <w:proofErr w:type="gramStart"/>
    <w:r w:rsidRPr="5FA307DC">
      <w:rPr>
        <w:lang w:val="en-US"/>
      </w:rPr>
      <w:t>Measures  |</w:t>
    </w:r>
    <w:proofErr w:type="gramEnd"/>
    <w:r w:rsidRPr="5FA307DC">
      <w:rPr>
        <w:lang w:val="en-US"/>
      </w:rPr>
      <w:t xml:space="preserve">  </w:t>
    </w:r>
    <w:r w:rsidRPr="5FA307DC">
      <w:rPr>
        <w:b/>
        <w:bCs/>
        <w:lang w:val="en-US"/>
      </w:rPr>
      <w:t xml:space="preserve">Page </w:t>
    </w:r>
    <w:r w:rsidR="00997AF2" w:rsidRPr="5FA307DC">
      <w:rPr>
        <w:b/>
        <w:bCs/>
        <w:noProof/>
        <w:lang w:val="en-US"/>
      </w:rPr>
      <w:fldChar w:fldCharType="begin"/>
    </w:r>
    <w:r w:rsidR="00997AF2" w:rsidRPr="5FA307DC">
      <w:rPr>
        <w:b/>
        <w:bCs/>
      </w:rPr>
      <w:instrText xml:space="preserve"> PAGE  \* MERGEFORMAT </w:instrText>
    </w:r>
    <w:r w:rsidR="00997AF2" w:rsidRPr="5FA307DC">
      <w:rPr>
        <w:b/>
        <w:bCs/>
      </w:rPr>
      <w:fldChar w:fldCharType="separate"/>
    </w:r>
    <w:r w:rsidRPr="5FA307DC">
      <w:rPr>
        <w:b/>
        <w:bCs/>
        <w:noProof/>
        <w:lang w:val="en-US"/>
      </w:rPr>
      <w:t>9</w:t>
    </w:r>
    <w:r w:rsidR="00997AF2" w:rsidRPr="5FA307DC">
      <w:rPr>
        <w:b/>
        <w:bCs/>
        <w:noProof/>
        <w:lang w:val="en-US"/>
      </w:rP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3262E" w14:textId="447455BF" w:rsidR="00997AF2" w:rsidRPr="00997AF2" w:rsidRDefault="00997AF2" w:rsidP="00997AF2">
    <w:pPr>
      <w:pStyle w:val="FooterEven"/>
    </w:pPr>
    <w:r w:rsidRPr="00997AF2">
      <w:rPr>
        <w:b/>
      </w:rPr>
      <w:t xml:space="preserve">Page </w:t>
    </w:r>
    <w:r w:rsidRPr="00997AF2">
      <w:rPr>
        <w:b/>
      </w:rPr>
      <w:fldChar w:fldCharType="begin"/>
    </w:r>
    <w:r w:rsidRPr="00997AF2">
      <w:rPr>
        <w:b/>
      </w:rPr>
      <w:instrText xml:space="preserve"> PAGE  \* MERGEFORMAT </w:instrText>
    </w:r>
    <w:r w:rsidRPr="00997AF2">
      <w:rPr>
        <w:b/>
      </w:rPr>
      <w:fldChar w:fldCharType="separate"/>
    </w:r>
    <w:r w:rsidRPr="00997AF2">
      <w:rPr>
        <w:b/>
        <w:noProof/>
      </w:rPr>
      <w:t>2</w:t>
    </w:r>
    <w:r w:rsidRPr="00997AF2">
      <w:rPr>
        <w:b/>
      </w:rPr>
      <w:fldChar w:fldCharType="end"/>
    </w:r>
    <w:r w:rsidRPr="00997AF2">
      <w:rPr>
        <w:b/>
      </w:rPr>
      <w:t xml:space="preserve">  </w:t>
    </w:r>
    <w:r>
      <w:t>|  Part 2: Payment Measures</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B21D5" w14:textId="10B6FDAD" w:rsidR="00997AF2" w:rsidRPr="00997AF2" w:rsidRDefault="5FA307DC" w:rsidP="5FA307DC">
    <w:pPr>
      <w:pStyle w:val="FooterOdd"/>
      <w:rPr>
        <w:lang w:val="en-US"/>
      </w:rPr>
    </w:pPr>
    <w:r w:rsidRPr="5FA307DC">
      <w:rPr>
        <w:lang w:val="en-US"/>
      </w:rPr>
      <w:t xml:space="preserve">Part 2: Payment </w:t>
    </w:r>
    <w:proofErr w:type="gramStart"/>
    <w:r w:rsidRPr="5FA307DC">
      <w:rPr>
        <w:lang w:val="en-US"/>
      </w:rPr>
      <w:t>Measures  |</w:t>
    </w:r>
    <w:proofErr w:type="gramEnd"/>
    <w:r w:rsidRPr="5FA307DC">
      <w:rPr>
        <w:lang w:val="en-US"/>
      </w:rPr>
      <w:t xml:space="preserve">  </w:t>
    </w:r>
    <w:r w:rsidRPr="5FA307DC">
      <w:rPr>
        <w:b/>
        <w:bCs/>
        <w:lang w:val="en-US"/>
      </w:rPr>
      <w:t xml:space="preserve">Page </w:t>
    </w:r>
    <w:r w:rsidR="00997AF2" w:rsidRPr="5FA307DC">
      <w:rPr>
        <w:b/>
        <w:bCs/>
        <w:noProof/>
        <w:lang w:val="en-US"/>
      </w:rPr>
      <w:fldChar w:fldCharType="begin"/>
    </w:r>
    <w:r w:rsidR="00997AF2" w:rsidRPr="5FA307DC">
      <w:rPr>
        <w:b/>
        <w:bCs/>
      </w:rPr>
      <w:instrText xml:space="preserve"> PAGE  \* MERGEFORMAT </w:instrText>
    </w:r>
    <w:r w:rsidR="00997AF2" w:rsidRPr="5FA307DC">
      <w:rPr>
        <w:b/>
        <w:bCs/>
      </w:rPr>
      <w:fldChar w:fldCharType="separate"/>
    </w:r>
    <w:r w:rsidRPr="5FA307DC">
      <w:rPr>
        <w:b/>
        <w:bCs/>
        <w:noProof/>
        <w:lang w:val="en-US"/>
      </w:rPr>
      <w:t>2</w:t>
    </w:r>
    <w:r w:rsidR="00997AF2" w:rsidRPr="5FA307DC">
      <w:rPr>
        <w:b/>
        <w:bCs/>
        <w:noProof/>
        <w:lang w:val="en-US"/>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C554B" w14:textId="66E1093F" w:rsidR="00997AF2" w:rsidRPr="00997AF2" w:rsidRDefault="5FA307DC" w:rsidP="5FA307DC">
    <w:pPr>
      <w:pStyle w:val="FooterOdd"/>
      <w:rPr>
        <w:lang w:val="en-US"/>
      </w:rPr>
    </w:pPr>
    <w:r w:rsidRPr="5FA307DC">
      <w:rPr>
        <w:lang w:val="en-US"/>
      </w:rPr>
      <w:t xml:space="preserve">Part 2: Payment </w:t>
    </w:r>
    <w:proofErr w:type="gramStart"/>
    <w:r w:rsidRPr="5FA307DC">
      <w:rPr>
        <w:lang w:val="en-US"/>
      </w:rPr>
      <w:t>Measures  |</w:t>
    </w:r>
    <w:proofErr w:type="gramEnd"/>
    <w:r w:rsidRPr="5FA307DC">
      <w:rPr>
        <w:lang w:val="en-US"/>
      </w:rPr>
      <w:t xml:space="preserve">  </w:t>
    </w:r>
    <w:r w:rsidRPr="5FA307DC">
      <w:rPr>
        <w:b/>
        <w:bCs/>
        <w:lang w:val="en-US"/>
      </w:rPr>
      <w:t xml:space="preserve">Page </w:t>
    </w:r>
    <w:r w:rsidR="00997AF2" w:rsidRPr="5FA307DC">
      <w:rPr>
        <w:b/>
        <w:bCs/>
        <w:noProof/>
        <w:lang w:val="en-US"/>
      </w:rPr>
      <w:fldChar w:fldCharType="begin"/>
    </w:r>
    <w:r w:rsidR="00997AF2" w:rsidRPr="5FA307DC">
      <w:rPr>
        <w:b/>
        <w:bCs/>
      </w:rPr>
      <w:instrText xml:space="preserve"> PAGE  \* MERGEFORMAT </w:instrText>
    </w:r>
    <w:r w:rsidR="00997AF2" w:rsidRPr="5FA307DC">
      <w:rPr>
        <w:b/>
        <w:bCs/>
      </w:rPr>
      <w:fldChar w:fldCharType="separate"/>
    </w:r>
    <w:r w:rsidRPr="5FA307DC">
      <w:rPr>
        <w:b/>
        <w:bCs/>
        <w:noProof/>
        <w:lang w:val="en-US"/>
      </w:rPr>
      <w:t>9</w:t>
    </w:r>
    <w:r w:rsidR="00997AF2" w:rsidRPr="5FA307DC">
      <w:rPr>
        <w:b/>
        <w:bCs/>
        <w:noProof/>
        <w:lang w:val="en-US"/>
      </w:rPr>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0EC53" w14:textId="1671FBA5" w:rsidR="00997AF2" w:rsidRPr="00997AF2" w:rsidRDefault="00997AF2" w:rsidP="00997AF2">
    <w:pPr>
      <w:pStyle w:val="FooterEven"/>
    </w:pPr>
    <w:r w:rsidRPr="00997AF2">
      <w:rPr>
        <w:b/>
      </w:rPr>
      <w:t xml:space="preserve">Page </w:t>
    </w:r>
    <w:r w:rsidRPr="00997AF2">
      <w:rPr>
        <w:b/>
      </w:rPr>
      <w:fldChar w:fldCharType="begin"/>
    </w:r>
    <w:r w:rsidRPr="00997AF2">
      <w:rPr>
        <w:b/>
      </w:rPr>
      <w:instrText xml:space="preserve"> PAGE  \* MERGEFORMAT </w:instrText>
    </w:r>
    <w:r w:rsidRPr="00997AF2">
      <w:rPr>
        <w:b/>
      </w:rPr>
      <w:fldChar w:fldCharType="separate"/>
    </w:r>
    <w:r w:rsidRPr="00997AF2">
      <w:rPr>
        <w:b/>
        <w:noProof/>
      </w:rPr>
      <w:t>2</w:t>
    </w:r>
    <w:r w:rsidRPr="00997AF2">
      <w:rPr>
        <w:b/>
      </w:rPr>
      <w:fldChar w:fldCharType="end"/>
    </w:r>
    <w:r w:rsidRPr="00997AF2">
      <w:rPr>
        <w:b/>
      </w:rPr>
      <w:t xml:space="preserve">  </w:t>
    </w:r>
    <w:r>
      <w:t>|  Part 2: Payment Measures</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8B60D" w14:textId="6D444CCE" w:rsidR="00997AF2" w:rsidRPr="00997AF2" w:rsidRDefault="5FA307DC" w:rsidP="5FA307DC">
    <w:pPr>
      <w:pStyle w:val="FooterOdd"/>
      <w:rPr>
        <w:lang w:val="en-US"/>
      </w:rPr>
    </w:pPr>
    <w:r w:rsidRPr="5FA307DC">
      <w:rPr>
        <w:lang w:val="en-US"/>
      </w:rPr>
      <w:t xml:space="preserve">Part 2: Payment </w:t>
    </w:r>
    <w:proofErr w:type="gramStart"/>
    <w:r w:rsidRPr="5FA307DC">
      <w:rPr>
        <w:lang w:val="en-US"/>
      </w:rPr>
      <w:t>Measures  |</w:t>
    </w:r>
    <w:proofErr w:type="gramEnd"/>
    <w:r w:rsidRPr="5FA307DC">
      <w:rPr>
        <w:lang w:val="en-US"/>
      </w:rPr>
      <w:t xml:space="preserve">  </w:t>
    </w:r>
    <w:r w:rsidRPr="5FA307DC">
      <w:rPr>
        <w:b/>
        <w:bCs/>
        <w:lang w:val="en-US"/>
      </w:rPr>
      <w:t xml:space="preserve">Page </w:t>
    </w:r>
    <w:r w:rsidR="00997AF2" w:rsidRPr="5FA307DC">
      <w:rPr>
        <w:b/>
        <w:bCs/>
        <w:noProof/>
        <w:lang w:val="en-US"/>
      </w:rPr>
      <w:fldChar w:fldCharType="begin"/>
    </w:r>
    <w:r w:rsidR="00997AF2" w:rsidRPr="5FA307DC">
      <w:rPr>
        <w:b/>
        <w:bCs/>
      </w:rPr>
      <w:instrText xml:space="preserve"> PAGE  \* MERGEFORMAT </w:instrText>
    </w:r>
    <w:r w:rsidR="00997AF2" w:rsidRPr="5FA307DC">
      <w:rPr>
        <w:b/>
        <w:bCs/>
      </w:rPr>
      <w:fldChar w:fldCharType="separate"/>
    </w:r>
    <w:r w:rsidRPr="5FA307DC">
      <w:rPr>
        <w:b/>
        <w:bCs/>
        <w:noProof/>
        <w:lang w:val="en-US"/>
      </w:rPr>
      <w:t>2</w:t>
    </w:r>
    <w:r w:rsidR="00997AF2" w:rsidRPr="5FA307DC">
      <w:rPr>
        <w:b/>
        <w:bCs/>
        <w:noProof/>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EE522" w14:textId="5B1FF91F" w:rsidR="00997AF2" w:rsidRPr="00997AF2" w:rsidRDefault="5FA307DC" w:rsidP="5FA307DC">
    <w:pPr>
      <w:pStyle w:val="FooterOdd"/>
      <w:rPr>
        <w:lang w:val="en-US"/>
      </w:rPr>
    </w:pPr>
    <w:r w:rsidRPr="5FA307DC">
      <w:rPr>
        <w:lang w:val="en-US"/>
      </w:rPr>
      <w:t xml:space="preserve">Part 1: Receipt </w:t>
    </w:r>
    <w:proofErr w:type="gramStart"/>
    <w:r w:rsidRPr="5FA307DC">
      <w:rPr>
        <w:lang w:val="en-US"/>
      </w:rPr>
      <w:t>Measures  |</w:t>
    </w:r>
    <w:proofErr w:type="gramEnd"/>
    <w:r w:rsidRPr="5FA307DC">
      <w:rPr>
        <w:lang w:val="en-US"/>
      </w:rPr>
      <w:t xml:space="preserve">  </w:t>
    </w:r>
    <w:r w:rsidRPr="5FA307DC">
      <w:rPr>
        <w:b/>
        <w:bCs/>
        <w:lang w:val="en-US"/>
      </w:rPr>
      <w:t xml:space="preserve">Page </w:t>
    </w:r>
    <w:r w:rsidR="00997AF2" w:rsidRPr="5FA307DC">
      <w:rPr>
        <w:b/>
        <w:bCs/>
        <w:noProof/>
        <w:lang w:val="en-US"/>
      </w:rPr>
      <w:fldChar w:fldCharType="begin"/>
    </w:r>
    <w:r w:rsidR="00997AF2" w:rsidRPr="5FA307DC">
      <w:rPr>
        <w:b/>
        <w:bCs/>
      </w:rPr>
      <w:instrText xml:space="preserve"> PAGE  \* MERGEFORMAT </w:instrText>
    </w:r>
    <w:r w:rsidR="00997AF2" w:rsidRPr="5FA307DC">
      <w:rPr>
        <w:b/>
        <w:bCs/>
      </w:rPr>
      <w:fldChar w:fldCharType="separate"/>
    </w:r>
    <w:r w:rsidRPr="5FA307DC">
      <w:rPr>
        <w:b/>
        <w:bCs/>
        <w:noProof/>
        <w:lang w:val="en-US"/>
      </w:rPr>
      <w:t>1</w:t>
    </w:r>
    <w:r w:rsidR="00997AF2" w:rsidRPr="5FA307DC">
      <w:rPr>
        <w:b/>
        <w:bCs/>
        <w:noProof/>
        <w:lang w:val="en-US"/>
      </w:rPr>
      <w:fldChar w:fldCharType="end"/>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0C366" w14:textId="1FEB7E6C" w:rsidR="00997AF2" w:rsidRPr="00997AF2" w:rsidRDefault="5FA307DC" w:rsidP="5FA307DC">
    <w:pPr>
      <w:pStyle w:val="FooterOdd"/>
      <w:rPr>
        <w:lang w:val="en-US"/>
      </w:rPr>
    </w:pPr>
    <w:r w:rsidRPr="5FA307DC">
      <w:rPr>
        <w:lang w:val="en-US"/>
      </w:rPr>
      <w:t xml:space="preserve">Part 2: Payment </w:t>
    </w:r>
    <w:proofErr w:type="gramStart"/>
    <w:r w:rsidRPr="5FA307DC">
      <w:rPr>
        <w:lang w:val="en-US"/>
      </w:rPr>
      <w:t>Measures  |</w:t>
    </w:r>
    <w:proofErr w:type="gramEnd"/>
    <w:r w:rsidRPr="5FA307DC">
      <w:rPr>
        <w:lang w:val="en-US"/>
      </w:rPr>
      <w:t xml:space="preserve">  </w:t>
    </w:r>
    <w:r w:rsidRPr="5FA307DC">
      <w:rPr>
        <w:b/>
        <w:bCs/>
        <w:lang w:val="en-US"/>
      </w:rPr>
      <w:t xml:space="preserve">Page </w:t>
    </w:r>
    <w:r w:rsidR="00997AF2" w:rsidRPr="5FA307DC">
      <w:rPr>
        <w:b/>
        <w:bCs/>
        <w:noProof/>
        <w:lang w:val="en-US"/>
      </w:rPr>
      <w:fldChar w:fldCharType="begin"/>
    </w:r>
    <w:r w:rsidR="00997AF2" w:rsidRPr="5FA307DC">
      <w:rPr>
        <w:b/>
        <w:bCs/>
      </w:rPr>
      <w:instrText xml:space="preserve"> PAGE  \* MERGEFORMAT </w:instrText>
    </w:r>
    <w:r w:rsidR="00997AF2" w:rsidRPr="5FA307DC">
      <w:rPr>
        <w:b/>
        <w:bCs/>
      </w:rPr>
      <w:fldChar w:fldCharType="separate"/>
    </w:r>
    <w:r w:rsidRPr="5FA307DC">
      <w:rPr>
        <w:b/>
        <w:bCs/>
        <w:noProof/>
        <w:lang w:val="en-US"/>
      </w:rPr>
      <w:t>9</w:t>
    </w:r>
    <w:r w:rsidR="00997AF2" w:rsidRPr="5FA307DC">
      <w:rPr>
        <w:b/>
        <w:bCs/>
        <w:noProof/>
        <w:lang w:val="en-US"/>
      </w:rPr>
      <w:fldChar w:fldCharType="end"/>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39142" w14:textId="79914335" w:rsidR="00997AF2" w:rsidRPr="00997AF2" w:rsidRDefault="00997AF2" w:rsidP="00997AF2">
    <w:pPr>
      <w:pStyle w:val="FooterEven"/>
    </w:pPr>
    <w:r w:rsidRPr="00997AF2">
      <w:rPr>
        <w:b/>
      </w:rPr>
      <w:t xml:space="preserve">Page </w:t>
    </w:r>
    <w:r w:rsidRPr="00997AF2">
      <w:rPr>
        <w:b/>
      </w:rPr>
      <w:fldChar w:fldCharType="begin"/>
    </w:r>
    <w:r w:rsidRPr="00997AF2">
      <w:rPr>
        <w:b/>
      </w:rPr>
      <w:instrText xml:space="preserve"> PAGE  \* MERGEFORMAT </w:instrText>
    </w:r>
    <w:r w:rsidRPr="00997AF2">
      <w:rPr>
        <w:b/>
      </w:rPr>
      <w:fldChar w:fldCharType="separate"/>
    </w:r>
    <w:r w:rsidRPr="00997AF2">
      <w:rPr>
        <w:b/>
        <w:noProof/>
      </w:rPr>
      <w:t>4</w:t>
    </w:r>
    <w:r w:rsidRPr="00997AF2">
      <w:rPr>
        <w:b/>
      </w:rPr>
      <w:fldChar w:fldCharType="end"/>
    </w:r>
    <w:r w:rsidRPr="00997AF2">
      <w:rPr>
        <w:b/>
      </w:rPr>
      <w:t xml:space="preserve">  </w:t>
    </w:r>
    <w:r>
      <w:t>|  Part 2: Payment Measures</w: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3BF93" w14:textId="12C6CB77" w:rsidR="00997AF2" w:rsidRPr="00997AF2" w:rsidRDefault="5FA307DC" w:rsidP="5FA307DC">
    <w:pPr>
      <w:pStyle w:val="FooterOdd"/>
      <w:rPr>
        <w:lang w:val="en-US"/>
      </w:rPr>
    </w:pPr>
    <w:r w:rsidRPr="5FA307DC">
      <w:rPr>
        <w:lang w:val="en-US"/>
      </w:rPr>
      <w:t xml:space="preserve">Part 2: Payment </w:t>
    </w:r>
    <w:proofErr w:type="gramStart"/>
    <w:r w:rsidRPr="5FA307DC">
      <w:rPr>
        <w:lang w:val="en-US"/>
      </w:rPr>
      <w:t>Measures  |</w:t>
    </w:r>
    <w:proofErr w:type="gramEnd"/>
    <w:r w:rsidRPr="5FA307DC">
      <w:rPr>
        <w:lang w:val="en-US"/>
      </w:rPr>
      <w:t xml:space="preserve">  </w:t>
    </w:r>
    <w:r w:rsidRPr="5FA307DC">
      <w:rPr>
        <w:b/>
        <w:bCs/>
        <w:lang w:val="en-US"/>
      </w:rPr>
      <w:t xml:space="preserve">Page </w:t>
    </w:r>
    <w:r w:rsidR="00997AF2" w:rsidRPr="5FA307DC">
      <w:rPr>
        <w:b/>
        <w:bCs/>
        <w:noProof/>
        <w:lang w:val="en-US"/>
      </w:rPr>
      <w:fldChar w:fldCharType="begin"/>
    </w:r>
    <w:r w:rsidR="00997AF2" w:rsidRPr="5FA307DC">
      <w:rPr>
        <w:b/>
        <w:bCs/>
      </w:rPr>
      <w:instrText xml:space="preserve"> PAGE  \* MERGEFORMAT </w:instrText>
    </w:r>
    <w:r w:rsidR="00997AF2" w:rsidRPr="5FA307DC">
      <w:rPr>
        <w:b/>
        <w:bCs/>
      </w:rPr>
      <w:fldChar w:fldCharType="separate"/>
    </w:r>
    <w:r w:rsidRPr="5FA307DC">
      <w:rPr>
        <w:b/>
        <w:bCs/>
        <w:noProof/>
        <w:lang w:val="en-US"/>
      </w:rPr>
      <w:t>4</w:t>
    </w:r>
    <w:r w:rsidR="00997AF2" w:rsidRPr="5FA307DC">
      <w:rPr>
        <w:b/>
        <w:bCs/>
        <w:noProof/>
        <w:lang w:val="en-US"/>
      </w:rP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72AFC" w14:textId="38249D54" w:rsidR="00997AF2" w:rsidRPr="00997AF2" w:rsidRDefault="5FA307DC" w:rsidP="5FA307DC">
    <w:pPr>
      <w:pStyle w:val="FooterOdd"/>
      <w:rPr>
        <w:lang w:val="en-US"/>
      </w:rPr>
    </w:pPr>
    <w:r w:rsidRPr="5FA307DC">
      <w:rPr>
        <w:lang w:val="en-US"/>
      </w:rPr>
      <w:t xml:space="preserve">Part 2: Payment </w:t>
    </w:r>
    <w:proofErr w:type="gramStart"/>
    <w:r w:rsidRPr="5FA307DC">
      <w:rPr>
        <w:lang w:val="en-US"/>
      </w:rPr>
      <w:t>Measures  |</w:t>
    </w:r>
    <w:proofErr w:type="gramEnd"/>
    <w:r w:rsidRPr="5FA307DC">
      <w:rPr>
        <w:lang w:val="en-US"/>
      </w:rPr>
      <w:t xml:space="preserve">  </w:t>
    </w:r>
    <w:r w:rsidRPr="5FA307DC">
      <w:rPr>
        <w:b/>
        <w:bCs/>
        <w:lang w:val="en-US"/>
      </w:rPr>
      <w:t xml:space="preserve">Page </w:t>
    </w:r>
    <w:r w:rsidR="00997AF2" w:rsidRPr="5FA307DC">
      <w:rPr>
        <w:b/>
        <w:bCs/>
        <w:noProof/>
        <w:lang w:val="en-US"/>
      </w:rPr>
      <w:fldChar w:fldCharType="begin"/>
    </w:r>
    <w:r w:rsidR="00997AF2" w:rsidRPr="5FA307DC">
      <w:rPr>
        <w:b/>
        <w:bCs/>
      </w:rPr>
      <w:instrText xml:space="preserve"> PAGE  \* MERGEFORMAT </w:instrText>
    </w:r>
    <w:r w:rsidR="00997AF2" w:rsidRPr="5FA307DC">
      <w:rPr>
        <w:b/>
        <w:bCs/>
      </w:rPr>
      <w:fldChar w:fldCharType="separate"/>
    </w:r>
    <w:r w:rsidRPr="5FA307DC">
      <w:rPr>
        <w:b/>
        <w:bCs/>
        <w:noProof/>
        <w:lang w:val="en-US"/>
      </w:rPr>
      <w:t>9</w:t>
    </w:r>
    <w:r w:rsidR="00997AF2" w:rsidRPr="5FA307DC">
      <w:rPr>
        <w:b/>
        <w:bCs/>
        <w:noProof/>
        <w:lang w:val="en-US"/>
      </w:rPr>
      <w:fldChar w:fldCharType="end"/>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A8832" w14:textId="224CB6F2" w:rsidR="00997AF2" w:rsidRPr="00997AF2" w:rsidRDefault="00997AF2" w:rsidP="00997AF2">
    <w:pPr>
      <w:pStyle w:val="FooterEven"/>
    </w:pPr>
    <w:r w:rsidRPr="00997AF2">
      <w:rPr>
        <w:b/>
      </w:rPr>
      <w:t xml:space="preserve">Page </w:t>
    </w:r>
    <w:r w:rsidRPr="00997AF2">
      <w:rPr>
        <w:b/>
      </w:rPr>
      <w:fldChar w:fldCharType="begin"/>
    </w:r>
    <w:r w:rsidRPr="00997AF2">
      <w:rPr>
        <w:b/>
      </w:rPr>
      <w:instrText xml:space="preserve"> PAGE  \* MERGEFORMAT </w:instrText>
    </w:r>
    <w:r w:rsidRPr="00997AF2">
      <w:rPr>
        <w:b/>
      </w:rPr>
      <w:fldChar w:fldCharType="separate"/>
    </w:r>
    <w:r w:rsidRPr="00997AF2">
      <w:rPr>
        <w:b/>
        <w:noProof/>
      </w:rPr>
      <w:t>4</w:t>
    </w:r>
    <w:r w:rsidRPr="00997AF2">
      <w:rPr>
        <w:b/>
      </w:rPr>
      <w:fldChar w:fldCharType="end"/>
    </w:r>
    <w:r w:rsidRPr="00997AF2">
      <w:rPr>
        <w:b/>
      </w:rPr>
      <w:t xml:space="preserve">  </w:t>
    </w:r>
    <w:r>
      <w:t>|  Part 2: Payment Measures</w: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DC7AE" w14:textId="3E53907F" w:rsidR="00997AF2" w:rsidRPr="00997AF2" w:rsidRDefault="5FA307DC" w:rsidP="5FA307DC">
    <w:pPr>
      <w:pStyle w:val="FooterOdd"/>
      <w:rPr>
        <w:lang w:val="en-US"/>
      </w:rPr>
    </w:pPr>
    <w:r w:rsidRPr="5FA307DC">
      <w:rPr>
        <w:lang w:val="en-US"/>
      </w:rPr>
      <w:t xml:space="preserve">Part 2: Payment </w:t>
    </w:r>
    <w:proofErr w:type="gramStart"/>
    <w:r w:rsidRPr="5FA307DC">
      <w:rPr>
        <w:lang w:val="en-US"/>
      </w:rPr>
      <w:t>Measures  |</w:t>
    </w:r>
    <w:proofErr w:type="gramEnd"/>
    <w:r w:rsidRPr="5FA307DC">
      <w:rPr>
        <w:lang w:val="en-US"/>
      </w:rPr>
      <w:t xml:space="preserve">  </w:t>
    </w:r>
    <w:r w:rsidRPr="5FA307DC">
      <w:rPr>
        <w:b/>
        <w:bCs/>
        <w:lang w:val="en-US"/>
      </w:rPr>
      <w:t xml:space="preserve">Page </w:t>
    </w:r>
    <w:r w:rsidR="00997AF2" w:rsidRPr="5FA307DC">
      <w:rPr>
        <w:b/>
        <w:bCs/>
        <w:noProof/>
        <w:lang w:val="en-US"/>
      </w:rPr>
      <w:fldChar w:fldCharType="begin"/>
    </w:r>
    <w:r w:rsidR="00997AF2" w:rsidRPr="5FA307DC">
      <w:rPr>
        <w:b/>
        <w:bCs/>
      </w:rPr>
      <w:instrText xml:space="preserve"> PAGE  \* MERGEFORMAT </w:instrText>
    </w:r>
    <w:r w:rsidR="00997AF2" w:rsidRPr="5FA307DC">
      <w:rPr>
        <w:b/>
        <w:bCs/>
      </w:rPr>
      <w:fldChar w:fldCharType="separate"/>
    </w:r>
    <w:r w:rsidRPr="5FA307DC">
      <w:rPr>
        <w:b/>
        <w:bCs/>
        <w:noProof/>
        <w:lang w:val="en-US"/>
      </w:rPr>
      <w:t>4</w:t>
    </w:r>
    <w:r w:rsidR="00997AF2" w:rsidRPr="5FA307DC">
      <w:rPr>
        <w:b/>
        <w:bCs/>
        <w:noProof/>
        <w:lang w:val="en-US"/>
      </w:rPr>
      <w:fldChar w:fldCharType="end"/>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243D5" w14:textId="71E08DE0" w:rsidR="00997AF2" w:rsidRPr="00997AF2" w:rsidRDefault="5FA307DC" w:rsidP="5FA307DC">
    <w:pPr>
      <w:pStyle w:val="FooterOdd"/>
      <w:rPr>
        <w:lang w:val="en-US"/>
      </w:rPr>
    </w:pPr>
    <w:r w:rsidRPr="5FA307DC">
      <w:rPr>
        <w:lang w:val="en-US"/>
      </w:rPr>
      <w:t xml:space="preserve">Part 2: Payment </w:t>
    </w:r>
    <w:proofErr w:type="gramStart"/>
    <w:r w:rsidRPr="5FA307DC">
      <w:rPr>
        <w:lang w:val="en-US"/>
      </w:rPr>
      <w:t>Measures  |</w:t>
    </w:r>
    <w:proofErr w:type="gramEnd"/>
    <w:r w:rsidRPr="5FA307DC">
      <w:rPr>
        <w:lang w:val="en-US"/>
      </w:rPr>
      <w:t xml:space="preserve">  </w:t>
    </w:r>
    <w:r w:rsidRPr="5FA307DC">
      <w:rPr>
        <w:b/>
        <w:bCs/>
        <w:lang w:val="en-US"/>
      </w:rPr>
      <w:t xml:space="preserve">Page </w:t>
    </w:r>
    <w:r w:rsidR="00997AF2" w:rsidRPr="5FA307DC">
      <w:rPr>
        <w:b/>
        <w:bCs/>
        <w:noProof/>
        <w:lang w:val="en-US"/>
      </w:rPr>
      <w:fldChar w:fldCharType="begin"/>
    </w:r>
    <w:r w:rsidR="00997AF2" w:rsidRPr="5FA307DC">
      <w:rPr>
        <w:b/>
        <w:bCs/>
      </w:rPr>
      <w:instrText xml:space="preserve"> PAGE  \* MERGEFORMAT </w:instrText>
    </w:r>
    <w:r w:rsidR="00997AF2" w:rsidRPr="5FA307DC">
      <w:rPr>
        <w:b/>
        <w:bCs/>
      </w:rPr>
      <w:fldChar w:fldCharType="separate"/>
    </w:r>
    <w:r w:rsidRPr="5FA307DC">
      <w:rPr>
        <w:b/>
        <w:bCs/>
        <w:noProof/>
        <w:lang w:val="en-US"/>
      </w:rPr>
      <w:t>9</w:t>
    </w:r>
    <w:r w:rsidR="00997AF2" w:rsidRPr="5FA307DC">
      <w:rPr>
        <w:b/>
        <w:bCs/>
        <w:noProof/>
        <w:lang w:val="en-US"/>
      </w:rPr>
      <w:fldChar w:fldCharType="end"/>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5D84F" w14:textId="43B9A678" w:rsidR="00997AF2" w:rsidRPr="00997AF2" w:rsidRDefault="00997AF2" w:rsidP="00997AF2">
    <w:pPr>
      <w:pStyle w:val="FooterEven"/>
    </w:pPr>
    <w:r w:rsidRPr="00997AF2">
      <w:rPr>
        <w:b/>
      </w:rPr>
      <w:t xml:space="preserve">Page </w:t>
    </w:r>
    <w:r w:rsidRPr="00997AF2">
      <w:rPr>
        <w:b/>
      </w:rPr>
      <w:fldChar w:fldCharType="begin"/>
    </w:r>
    <w:r w:rsidRPr="00997AF2">
      <w:rPr>
        <w:b/>
      </w:rPr>
      <w:instrText xml:space="preserve"> PAGE  \* MERGEFORMAT </w:instrText>
    </w:r>
    <w:r w:rsidRPr="00997AF2">
      <w:rPr>
        <w:b/>
      </w:rPr>
      <w:fldChar w:fldCharType="separate"/>
    </w:r>
    <w:r w:rsidRPr="00997AF2">
      <w:rPr>
        <w:b/>
        <w:noProof/>
      </w:rPr>
      <w:t>2</w:t>
    </w:r>
    <w:r w:rsidRPr="00997AF2">
      <w:rPr>
        <w:b/>
      </w:rPr>
      <w:fldChar w:fldCharType="end"/>
    </w:r>
    <w:r w:rsidRPr="00997AF2">
      <w:rPr>
        <w:b/>
      </w:rPr>
      <w:t xml:space="preserve">  </w:t>
    </w:r>
    <w:r>
      <w:t>|  Part 2: Payment Measures</w: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045FF" w14:textId="2A19532D" w:rsidR="00997AF2" w:rsidRPr="00997AF2" w:rsidRDefault="5FA307DC" w:rsidP="5FA307DC">
    <w:pPr>
      <w:pStyle w:val="FooterOdd"/>
      <w:rPr>
        <w:lang w:val="en-US"/>
      </w:rPr>
    </w:pPr>
    <w:r w:rsidRPr="5FA307DC">
      <w:rPr>
        <w:lang w:val="en-US"/>
      </w:rPr>
      <w:t xml:space="preserve">Part 2: Payment </w:t>
    </w:r>
    <w:proofErr w:type="gramStart"/>
    <w:r w:rsidRPr="5FA307DC">
      <w:rPr>
        <w:lang w:val="en-US"/>
      </w:rPr>
      <w:t>Measures  |</w:t>
    </w:r>
    <w:proofErr w:type="gramEnd"/>
    <w:r w:rsidRPr="5FA307DC">
      <w:rPr>
        <w:lang w:val="en-US"/>
      </w:rPr>
      <w:t xml:space="preserve">  </w:t>
    </w:r>
    <w:r w:rsidRPr="5FA307DC">
      <w:rPr>
        <w:b/>
        <w:bCs/>
        <w:lang w:val="en-US"/>
      </w:rPr>
      <w:t xml:space="preserve">Page </w:t>
    </w:r>
    <w:r w:rsidR="00997AF2" w:rsidRPr="5FA307DC">
      <w:rPr>
        <w:b/>
        <w:bCs/>
        <w:noProof/>
        <w:lang w:val="en-US"/>
      </w:rPr>
      <w:fldChar w:fldCharType="begin"/>
    </w:r>
    <w:r w:rsidR="00997AF2" w:rsidRPr="5FA307DC">
      <w:rPr>
        <w:b/>
        <w:bCs/>
      </w:rPr>
      <w:instrText xml:space="preserve"> PAGE  \* MERGEFORMAT </w:instrText>
    </w:r>
    <w:r w:rsidR="00997AF2" w:rsidRPr="5FA307DC">
      <w:rPr>
        <w:b/>
        <w:bCs/>
      </w:rPr>
      <w:fldChar w:fldCharType="separate"/>
    </w:r>
    <w:r w:rsidRPr="5FA307DC">
      <w:rPr>
        <w:b/>
        <w:bCs/>
        <w:noProof/>
        <w:lang w:val="en-US"/>
      </w:rPr>
      <w:t>4</w:t>
    </w:r>
    <w:r w:rsidR="00997AF2" w:rsidRPr="5FA307DC">
      <w:rPr>
        <w:b/>
        <w:bCs/>
        <w:noProof/>
        <w:lang w:val="en-US"/>
      </w:rPr>
      <w:fldChar w:fldCharType="end"/>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83D33" w14:textId="20DDEA1F" w:rsidR="00997AF2" w:rsidRPr="00997AF2" w:rsidRDefault="5FA307DC" w:rsidP="5FA307DC">
    <w:pPr>
      <w:pStyle w:val="FooterOdd"/>
      <w:rPr>
        <w:lang w:val="en-US"/>
      </w:rPr>
    </w:pPr>
    <w:r w:rsidRPr="5FA307DC">
      <w:rPr>
        <w:lang w:val="en-US"/>
      </w:rPr>
      <w:t xml:space="preserve">Part 2: Payment </w:t>
    </w:r>
    <w:proofErr w:type="gramStart"/>
    <w:r w:rsidRPr="5FA307DC">
      <w:rPr>
        <w:lang w:val="en-US"/>
      </w:rPr>
      <w:t>Measures  |</w:t>
    </w:r>
    <w:proofErr w:type="gramEnd"/>
    <w:r w:rsidRPr="5FA307DC">
      <w:rPr>
        <w:lang w:val="en-US"/>
      </w:rPr>
      <w:t xml:space="preserve">  </w:t>
    </w:r>
    <w:r w:rsidRPr="5FA307DC">
      <w:rPr>
        <w:b/>
        <w:bCs/>
        <w:lang w:val="en-US"/>
      </w:rPr>
      <w:t xml:space="preserve">Page </w:t>
    </w:r>
    <w:r w:rsidR="00997AF2" w:rsidRPr="5FA307DC">
      <w:rPr>
        <w:b/>
        <w:bCs/>
        <w:noProof/>
        <w:lang w:val="en-US"/>
      </w:rPr>
      <w:fldChar w:fldCharType="begin"/>
    </w:r>
    <w:r w:rsidR="00997AF2" w:rsidRPr="5FA307DC">
      <w:rPr>
        <w:b/>
        <w:bCs/>
      </w:rPr>
      <w:instrText xml:space="preserve"> PAGE  \* MERGEFORMAT </w:instrText>
    </w:r>
    <w:r w:rsidR="00997AF2" w:rsidRPr="5FA307DC">
      <w:rPr>
        <w:b/>
        <w:bCs/>
      </w:rPr>
      <w:fldChar w:fldCharType="separate"/>
    </w:r>
    <w:r w:rsidRPr="5FA307DC">
      <w:rPr>
        <w:b/>
        <w:bCs/>
        <w:noProof/>
        <w:lang w:val="en-US"/>
      </w:rPr>
      <w:t>9</w:t>
    </w:r>
    <w:r w:rsidR="00997AF2" w:rsidRPr="5FA307DC">
      <w:rPr>
        <w:b/>
        <w:bCs/>
        <w:noProof/>
        <w:lang w:val="en-U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C97EF" w14:textId="4F7FDEB0" w:rsidR="00997AF2" w:rsidRPr="00997AF2" w:rsidRDefault="00997AF2" w:rsidP="00997AF2">
    <w:pPr>
      <w:pStyle w:val="FooterEven"/>
    </w:pPr>
    <w:r w:rsidRPr="00997AF2">
      <w:rPr>
        <w:b/>
      </w:rPr>
      <w:t xml:space="preserve">Page </w:t>
    </w:r>
    <w:r w:rsidRPr="00997AF2">
      <w:rPr>
        <w:b/>
      </w:rPr>
      <w:fldChar w:fldCharType="begin"/>
    </w:r>
    <w:r w:rsidRPr="00997AF2">
      <w:rPr>
        <w:b/>
      </w:rPr>
      <w:instrText xml:space="preserve"> PAGE  \* MERGEFORMAT </w:instrText>
    </w:r>
    <w:r w:rsidRPr="00997AF2">
      <w:rPr>
        <w:b/>
      </w:rPr>
      <w:fldChar w:fldCharType="separate"/>
    </w:r>
    <w:r w:rsidRPr="00997AF2">
      <w:rPr>
        <w:b/>
        <w:noProof/>
      </w:rPr>
      <w:t>4</w:t>
    </w:r>
    <w:r w:rsidRPr="00997AF2">
      <w:rPr>
        <w:b/>
      </w:rPr>
      <w:fldChar w:fldCharType="end"/>
    </w:r>
    <w:r w:rsidRPr="00997AF2">
      <w:rPr>
        <w:b/>
      </w:rPr>
      <w:t xml:space="preserve">  </w:t>
    </w:r>
    <w:r>
      <w:t>|  Part 1: Receipt Measures</w: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3B096" w14:textId="1376AF9D" w:rsidR="00997AF2" w:rsidRPr="00997AF2" w:rsidRDefault="00997AF2" w:rsidP="00997AF2">
    <w:pPr>
      <w:pStyle w:val="FooterEven"/>
    </w:pPr>
    <w:r w:rsidRPr="00997AF2">
      <w:rPr>
        <w:b/>
      </w:rPr>
      <w:t xml:space="preserve">Page </w:t>
    </w:r>
    <w:r w:rsidRPr="00997AF2">
      <w:rPr>
        <w:b/>
      </w:rPr>
      <w:fldChar w:fldCharType="begin"/>
    </w:r>
    <w:r w:rsidRPr="00997AF2">
      <w:rPr>
        <w:b/>
      </w:rPr>
      <w:instrText xml:space="preserve"> PAGE  \* MERGEFORMAT </w:instrText>
    </w:r>
    <w:r w:rsidRPr="00997AF2">
      <w:rPr>
        <w:b/>
      </w:rPr>
      <w:fldChar w:fldCharType="separate"/>
    </w:r>
    <w:r w:rsidRPr="00997AF2">
      <w:rPr>
        <w:b/>
        <w:noProof/>
      </w:rPr>
      <w:t>2</w:t>
    </w:r>
    <w:r w:rsidRPr="00997AF2">
      <w:rPr>
        <w:b/>
      </w:rPr>
      <w:fldChar w:fldCharType="end"/>
    </w:r>
    <w:r w:rsidRPr="00997AF2">
      <w:rPr>
        <w:b/>
      </w:rPr>
      <w:t xml:space="preserve">  </w:t>
    </w:r>
    <w:r>
      <w:t>|  Part 2: Payment Measures</w: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4D19D" w14:textId="3001C417" w:rsidR="00997AF2" w:rsidRPr="00997AF2" w:rsidRDefault="5FA307DC" w:rsidP="5FA307DC">
    <w:pPr>
      <w:pStyle w:val="FooterOdd"/>
      <w:rPr>
        <w:lang w:val="en-US"/>
      </w:rPr>
    </w:pPr>
    <w:r w:rsidRPr="5FA307DC">
      <w:rPr>
        <w:lang w:val="en-US"/>
      </w:rPr>
      <w:t xml:space="preserve">Part 2: Payment </w:t>
    </w:r>
    <w:proofErr w:type="gramStart"/>
    <w:r w:rsidRPr="5FA307DC">
      <w:rPr>
        <w:lang w:val="en-US"/>
      </w:rPr>
      <w:t>Measures  |</w:t>
    </w:r>
    <w:proofErr w:type="gramEnd"/>
    <w:r w:rsidRPr="5FA307DC">
      <w:rPr>
        <w:lang w:val="en-US"/>
      </w:rPr>
      <w:t xml:space="preserve">  </w:t>
    </w:r>
    <w:r w:rsidRPr="5FA307DC">
      <w:rPr>
        <w:b/>
        <w:bCs/>
        <w:lang w:val="en-US"/>
      </w:rPr>
      <w:t xml:space="preserve">Page </w:t>
    </w:r>
    <w:r w:rsidR="00997AF2" w:rsidRPr="5FA307DC">
      <w:rPr>
        <w:b/>
        <w:bCs/>
        <w:noProof/>
        <w:lang w:val="en-US"/>
      </w:rPr>
      <w:fldChar w:fldCharType="begin"/>
    </w:r>
    <w:r w:rsidR="00997AF2" w:rsidRPr="5FA307DC">
      <w:rPr>
        <w:b/>
        <w:bCs/>
      </w:rPr>
      <w:instrText xml:space="preserve"> PAGE  \* MERGEFORMAT </w:instrText>
    </w:r>
    <w:r w:rsidR="00997AF2" w:rsidRPr="5FA307DC">
      <w:rPr>
        <w:b/>
        <w:bCs/>
      </w:rPr>
      <w:fldChar w:fldCharType="separate"/>
    </w:r>
    <w:r w:rsidRPr="5FA307DC">
      <w:rPr>
        <w:b/>
        <w:bCs/>
        <w:noProof/>
        <w:lang w:val="en-US"/>
      </w:rPr>
      <w:t>2</w:t>
    </w:r>
    <w:r w:rsidR="00997AF2" w:rsidRPr="5FA307DC">
      <w:rPr>
        <w:b/>
        <w:bCs/>
        <w:noProof/>
        <w:lang w:val="en-US"/>
      </w:rPr>
      <w:fldChar w:fldCharType="end"/>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5E072" w14:textId="0FA2A981" w:rsidR="00997AF2" w:rsidRPr="00997AF2" w:rsidRDefault="5FA307DC" w:rsidP="5FA307DC">
    <w:pPr>
      <w:pStyle w:val="FooterOdd"/>
      <w:rPr>
        <w:lang w:val="en-US"/>
      </w:rPr>
    </w:pPr>
    <w:r w:rsidRPr="5FA307DC">
      <w:rPr>
        <w:lang w:val="en-US"/>
      </w:rPr>
      <w:t xml:space="preserve">Part 2: Payment </w:t>
    </w:r>
    <w:proofErr w:type="gramStart"/>
    <w:r w:rsidRPr="5FA307DC">
      <w:rPr>
        <w:lang w:val="en-US"/>
      </w:rPr>
      <w:t>Measures  |</w:t>
    </w:r>
    <w:proofErr w:type="gramEnd"/>
    <w:r w:rsidRPr="5FA307DC">
      <w:rPr>
        <w:lang w:val="en-US"/>
      </w:rPr>
      <w:t xml:space="preserve">  </w:t>
    </w:r>
    <w:r w:rsidRPr="5FA307DC">
      <w:rPr>
        <w:b/>
        <w:bCs/>
        <w:lang w:val="en-US"/>
      </w:rPr>
      <w:t xml:space="preserve">Page </w:t>
    </w:r>
    <w:r w:rsidR="00997AF2" w:rsidRPr="5FA307DC">
      <w:rPr>
        <w:b/>
        <w:bCs/>
        <w:noProof/>
        <w:lang w:val="en-US"/>
      </w:rPr>
      <w:fldChar w:fldCharType="begin"/>
    </w:r>
    <w:r w:rsidR="00997AF2" w:rsidRPr="5FA307DC">
      <w:rPr>
        <w:b/>
        <w:bCs/>
      </w:rPr>
      <w:instrText xml:space="preserve"> PAGE  \* MERGEFORMAT </w:instrText>
    </w:r>
    <w:r w:rsidR="00997AF2" w:rsidRPr="5FA307DC">
      <w:rPr>
        <w:b/>
        <w:bCs/>
      </w:rPr>
      <w:fldChar w:fldCharType="separate"/>
    </w:r>
    <w:r w:rsidRPr="5FA307DC">
      <w:rPr>
        <w:b/>
        <w:bCs/>
        <w:noProof/>
        <w:lang w:val="en-US"/>
      </w:rPr>
      <w:t>9</w:t>
    </w:r>
    <w:r w:rsidR="00997AF2" w:rsidRPr="5FA307DC">
      <w:rPr>
        <w:b/>
        <w:bCs/>
        <w:noProof/>
        <w:lang w:val="en-US"/>
      </w:rPr>
      <w:fldChar w:fldCharType="end"/>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F0F32" w14:textId="62D26766" w:rsidR="00997AF2" w:rsidRPr="00997AF2" w:rsidRDefault="00997AF2" w:rsidP="00997AF2">
    <w:pPr>
      <w:pStyle w:val="FooterEven"/>
    </w:pPr>
    <w:r w:rsidRPr="00997AF2">
      <w:rPr>
        <w:b/>
      </w:rPr>
      <w:t xml:space="preserve">Page </w:t>
    </w:r>
    <w:r w:rsidRPr="00997AF2">
      <w:rPr>
        <w:b/>
      </w:rPr>
      <w:fldChar w:fldCharType="begin"/>
    </w:r>
    <w:r w:rsidRPr="00997AF2">
      <w:rPr>
        <w:b/>
      </w:rPr>
      <w:instrText xml:space="preserve"> PAGE  \* MERGEFORMAT </w:instrText>
    </w:r>
    <w:r w:rsidRPr="00997AF2">
      <w:rPr>
        <w:b/>
      </w:rPr>
      <w:fldChar w:fldCharType="separate"/>
    </w:r>
    <w:r w:rsidRPr="00997AF2">
      <w:rPr>
        <w:b/>
        <w:noProof/>
      </w:rPr>
      <w:t>2</w:t>
    </w:r>
    <w:r w:rsidRPr="00997AF2">
      <w:rPr>
        <w:b/>
      </w:rPr>
      <w:fldChar w:fldCharType="end"/>
    </w:r>
    <w:r w:rsidRPr="00997AF2">
      <w:rPr>
        <w:b/>
      </w:rPr>
      <w:t xml:space="preserve">  </w:t>
    </w:r>
    <w:r>
      <w:t>|  Part 2: Payment Measures</w: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7A9A5" w14:textId="3FBC154F" w:rsidR="00997AF2" w:rsidRPr="00997AF2" w:rsidRDefault="5FA307DC" w:rsidP="5FA307DC">
    <w:pPr>
      <w:pStyle w:val="FooterOdd"/>
      <w:rPr>
        <w:lang w:val="en-US"/>
      </w:rPr>
    </w:pPr>
    <w:r w:rsidRPr="5FA307DC">
      <w:rPr>
        <w:lang w:val="en-US"/>
      </w:rPr>
      <w:t xml:space="preserve">Part 2: Payment </w:t>
    </w:r>
    <w:proofErr w:type="gramStart"/>
    <w:r w:rsidRPr="5FA307DC">
      <w:rPr>
        <w:lang w:val="en-US"/>
      </w:rPr>
      <w:t>Measures  |</w:t>
    </w:r>
    <w:proofErr w:type="gramEnd"/>
    <w:r w:rsidRPr="5FA307DC">
      <w:rPr>
        <w:lang w:val="en-US"/>
      </w:rPr>
      <w:t xml:space="preserve">  </w:t>
    </w:r>
    <w:r w:rsidRPr="5FA307DC">
      <w:rPr>
        <w:b/>
        <w:bCs/>
        <w:lang w:val="en-US"/>
      </w:rPr>
      <w:t xml:space="preserve">Page </w:t>
    </w:r>
    <w:r w:rsidR="00997AF2" w:rsidRPr="5FA307DC">
      <w:rPr>
        <w:b/>
        <w:bCs/>
        <w:noProof/>
        <w:lang w:val="en-US"/>
      </w:rPr>
      <w:fldChar w:fldCharType="begin"/>
    </w:r>
    <w:r w:rsidR="00997AF2" w:rsidRPr="5FA307DC">
      <w:rPr>
        <w:b/>
        <w:bCs/>
      </w:rPr>
      <w:instrText xml:space="preserve"> PAGE  \* MERGEFORMAT </w:instrText>
    </w:r>
    <w:r w:rsidR="00997AF2" w:rsidRPr="5FA307DC">
      <w:rPr>
        <w:b/>
        <w:bCs/>
      </w:rPr>
      <w:fldChar w:fldCharType="separate"/>
    </w:r>
    <w:r w:rsidRPr="5FA307DC">
      <w:rPr>
        <w:b/>
        <w:bCs/>
        <w:noProof/>
        <w:lang w:val="en-US"/>
      </w:rPr>
      <w:t>2</w:t>
    </w:r>
    <w:r w:rsidR="00997AF2" w:rsidRPr="5FA307DC">
      <w:rPr>
        <w:b/>
        <w:bCs/>
        <w:noProof/>
        <w:lang w:val="en-US"/>
      </w:rPr>
      <w:fldChar w:fldCharType="end"/>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E5D17" w14:textId="66FEC7C1" w:rsidR="00997AF2" w:rsidRPr="00997AF2" w:rsidRDefault="5FA307DC" w:rsidP="5FA307DC">
    <w:pPr>
      <w:pStyle w:val="FooterOdd"/>
      <w:rPr>
        <w:lang w:val="en-US"/>
      </w:rPr>
    </w:pPr>
    <w:r w:rsidRPr="5FA307DC">
      <w:rPr>
        <w:lang w:val="en-US"/>
      </w:rPr>
      <w:t xml:space="preserve">Part 2: Payment </w:t>
    </w:r>
    <w:proofErr w:type="gramStart"/>
    <w:r w:rsidRPr="5FA307DC">
      <w:rPr>
        <w:lang w:val="en-US"/>
      </w:rPr>
      <w:t>Measures  |</w:t>
    </w:r>
    <w:proofErr w:type="gramEnd"/>
    <w:r w:rsidRPr="5FA307DC">
      <w:rPr>
        <w:lang w:val="en-US"/>
      </w:rPr>
      <w:t xml:space="preserve">  </w:t>
    </w:r>
    <w:r w:rsidRPr="5FA307DC">
      <w:rPr>
        <w:b/>
        <w:bCs/>
        <w:lang w:val="en-US"/>
      </w:rPr>
      <w:t xml:space="preserve">Page </w:t>
    </w:r>
    <w:r w:rsidR="00997AF2" w:rsidRPr="5FA307DC">
      <w:rPr>
        <w:b/>
        <w:bCs/>
        <w:noProof/>
        <w:lang w:val="en-US"/>
      </w:rPr>
      <w:fldChar w:fldCharType="begin"/>
    </w:r>
    <w:r w:rsidR="00997AF2" w:rsidRPr="5FA307DC">
      <w:rPr>
        <w:b/>
        <w:bCs/>
      </w:rPr>
      <w:instrText xml:space="preserve"> PAGE  \* MERGEFORMAT </w:instrText>
    </w:r>
    <w:r w:rsidR="00997AF2" w:rsidRPr="5FA307DC">
      <w:rPr>
        <w:b/>
        <w:bCs/>
      </w:rPr>
      <w:fldChar w:fldCharType="separate"/>
    </w:r>
    <w:r w:rsidRPr="5FA307DC">
      <w:rPr>
        <w:b/>
        <w:bCs/>
        <w:noProof/>
        <w:lang w:val="en-US"/>
      </w:rPr>
      <w:t>9</w:t>
    </w:r>
    <w:r w:rsidR="00997AF2" w:rsidRPr="5FA307DC">
      <w:rPr>
        <w:b/>
        <w:bCs/>
        <w:noProof/>
        <w:lang w:val="en-US"/>
      </w:rPr>
      <w:fldChar w:fldCharType="end"/>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8B520" w14:textId="73BA492A" w:rsidR="00997AF2" w:rsidRPr="00997AF2" w:rsidRDefault="00997AF2" w:rsidP="00997AF2">
    <w:pPr>
      <w:pStyle w:val="FooterEven"/>
    </w:pPr>
    <w:r w:rsidRPr="00997AF2">
      <w:rPr>
        <w:b/>
      </w:rPr>
      <w:t xml:space="preserve">Page </w:t>
    </w:r>
    <w:r w:rsidRPr="00997AF2">
      <w:rPr>
        <w:b/>
      </w:rPr>
      <w:fldChar w:fldCharType="begin"/>
    </w:r>
    <w:r w:rsidRPr="00997AF2">
      <w:rPr>
        <w:b/>
      </w:rPr>
      <w:instrText xml:space="preserve"> PAGE  \* MERGEFORMAT </w:instrText>
    </w:r>
    <w:r w:rsidRPr="00997AF2">
      <w:rPr>
        <w:b/>
      </w:rPr>
      <w:fldChar w:fldCharType="separate"/>
    </w:r>
    <w:r w:rsidRPr="00997AF2">
      <w:rPr>
        <w:b/>
        <w:noProof/>
      </w:rPr>
      <w:t>2</w:t>
    </w:r>
    <w:r w:rsidRPr="00997AF2">
      <w:rPr>
        <w:b/>
      </w:rPr>
      <w:fldChar w:fldCharType="end"/>
    </w:r>
    <w:r w:rsidRPr="00997AF2">
      <w:rPr>
        <w:b/>
      </w:rPr>
      <w:t xml:space="preserve">  </w:t>
    </w:r>
    <w:r>
      <w:t>|  Part 2: Payment Measures</w:t>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58459" w14:textId="15B2019A" w:rsidR="00997AF2" w:rsidRPr="00997AF2" w:rsidRDefault="5FA307DC" w:rsidP="5FA307DC">
    <w:pPr>
      <w:pStyle w:val="FooterOdd"/>
      <w:rPr>
        <w:lang w:val="en-US"/>
      </w:rPr>
    </w:pPr>
    <w:r w:rsidRPr="5FA307DC">
      <w:rPr>
        <w:lang w:val="en-US"/>
      </w:rPr>
      <w:t xml:space="preserve">Part 2: Payment </w:t>
    </w:r>
    <w:proofErr w:type="gramStart"/>
    <w:r w:rsidRPr="5FA307DC">
      <w:rPr>
        <w:lang w:val="en-US"/>
      </w:rPr>
      <w:t>Measures  |</w:t>
    </w:r>
    <w:proofErr w:type="gramEnd"/>
    <w:r w:rsidRPr="5FA307DC">
      <w:rPr>
        <w:lang w:val="en-US"/>
      </w:rPr>
      <w:t xml:space="preserve">  </w:t>
    </w:r>
    <w:r w:rsidRPr="5FA307DC">
      <w:rPr>
        <w:b/>
        <w:bCs/>
        <w:lang w:val="en-US"/>
      </w:rPr>
      <w:t xml:space="preserve">Page </w:t>
    </w:r>
    <w:r w:rsidR="00997AF2" w:rsidRPr="5FA307DC">
      <w:rPr>
        <w:b/>
        <w:bCs/>
        <w:noProof/>
        <w:lang w:val="en-US"/>
      </w:rPr>
      <w:fldChar w:fldCharType="begin"/>
    </w:r>
    <w:r w:rsidR="00997AF2" w:rsidRPr="5FA307DC">
      <w:rPr>
        <w:b/>
        <w:bCs/>
      </w:rPr>
      <w:instrText xml:space="preserve"> PAGE  \* MERGEFORMAT </w:instrText>
    </w:r>
    <w:r w:rsidR="00997AF2" w:rsidRPr="5FA307DC">
      <w:rPr>
        <w:b/>
        <w:bCs/>
      </w:rPr>
      <w:fldChar w:fldCharType="separate"/>
    </w:r>
    <w:r w:rsidRPr="5FA307DC">
      <w:rPr>
        <w:b/>
        <w:bCs/>
        <w:noProof/>
        <w:lang w:val="en-US"/>
      </w:rPr>
      <w:t>2</w:t>
    </w:r>
    <w:r w:rsidR="00997AF2" w:rsidRPr="5FA307DC">
      <w:rPr>
        <w:b/>
        <w:bCs/>
        <w:noProof/>
        <w:lang w:val="en-US"/>
      </w:rPr>
      <w:fldChar w:fldCharType="end"/>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1254C" w14:textId="280EC634" w:rsidR="00997AF2" w:rsidRPr="00997AF2" w:rsidRDefault="5FA307DC" w:rsidP="5FA307DC">
    <w:pPr>
      <w:pStyle w:val="FooterOdd"/>
      <w:rPr>
        <w:lang w:val="en-US"/>
      </w:rPr>
    </w:pPr>
    <w:r w:rsidRPr="5FA307DC">
      <w:rPr>
        <w:lang w:val="en-US"/>
      </w:rPr>
      <w:t xml:space="preserve">Part 2: Payment </w:t>
    </w:r>
    <w:proofErr w:type="gramStart"/>
    <w:r w:rsidRPr="5FA307DC">
      <w:rPr>
        <w:lang w:val="en-US"/>
      </w:rPr>
      <w:t>Measures  |</w:t>
    </w:r>
    <w:proofErr w:type="gramEnd"/>
    <w:r w:rsidRPr="5FA307DC">
      <w:rPr>
        <w:lang w:val="en-US"/>
      </w:rPr>
      <w:t xml:space="preserve">  </w:t>
    </w:r>
    <w:r w:rsidRPr="5FA307DC">
      <w:rPr>
        <w:b/>
        <w:bCs/>
        <w:lang w:val="en-US"/>
      </w:rPr>
      <w:t xml:space="preserve">Page </w:t>
    </w:r>
    <w:r w:rsidR="00997AF2" w:rsidRPr="5FA307DC">
      <w:rPr>
        <w:b/>
        <w:bCs/>
        <w:noProof/>
        <w:lang w:val="en-US"/>
      </w:rPr>
      <w:fldChar w:fldCharType="begin"/>
    </w:r>
    <w:r w:rsidR="00997AF2" w:rsidRPr="5FA307DC">
      <w:rPr>
        <w:b/>
        <w:bCs/>
      </w:rPr>
      <w:instrText xml:space="preserve"> PAGE  \* MERGEFORMAT </w:instrText>
    </w:r>
    <w:r w:rsidR="00997AF2" w:rsidRPr="5FA307DC">
      <w:rPr>
        <w:b/>
        <w:bCs/>
      </w:rPr>
      <w:fldChar w:fldCharType="separate"/>
    </w:r>
    <w:r w:rsidRPr="5FA307DC">
      <w:rPr>
        <w:b/>
        <w:bCs/>
        <w:noProof/>
        <w:lang w:val="en-US"/>
      </w:rPr>
      <w:t>9</w:t>
    </w:r>
    <w:r w:rsidR="00997AF2" w:rsidRPr="5FA307DC">
      <w:rPr>
        <w:b/>
        <w:bCs/>
        <w:noProof/>
        <w:lang w:val="en-US"/>
      </w:rPr>
      <w:fldChar w:fldCharType="end"/>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86BF4" w14:textId="719D015B" w:rsidR="00997AF2" w:rsidRPr="00997AF2" w:rsidRDefault="00997AF2" w:rsidP="00997AF2">
    <w:pPr>
      <w:pStyle w:val="FooterEven"/>
    </w:pPr>
    <w:r w:rsidRPr="00997AF2">
      <w:rPr>
        <w:b/>
      </w:rPr>
      <w:t xml:space="preserve">Page </w:t>
    </w:r>
    <w:r w:rsidRPr="00997AF2">
      <w:rPr>
        <w:b/>
      </w:rPr>
      <w:fldChar w:fldCharType="begin"/>
    </w:r>
    <w:r w:rsidRPr="00997AF2">
      <w:rPr>
        <w:b/>
      </w:rPr>
      <w:instrText xml:space="preserve"> PAGE  \* MERGEFORMAT </w:instrText>
    </w:r>
    <w:r w:rsidRPr="00997AF2">
      <w:rPr>
        <w:b/>
      </w:rPr>
      <w:fldChar w:fldCharType="separate"/>
    </w:r>
    <w:r w:rsidRPr="00997AF2">
      <w:rPr>
        <w:b/>
        <w:noProof/>
      </w:rPr>
      <w:t>2</w:t>
    </w:r>
    <w:r w:rsidRPr="00997AF2">
      <w:rPr>
        <w:b/>
      </w:rPr>
      <w:fldChar w:fldCharType="end"/>
    </w:r>
    <w:r w:rsidRPr="00997AF2">
      <w:rPr>
        <w:b/>
      </w:rPr>
      <w:t xml:space="preserve">  </w:t>
    </w:r>
    <w:r>
      <w:t>|  Part 2: Payment Measures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89F88" w14:textId="56755DF5" w:rsidR="00997AF2" w:rsidRPr="00997AF2" w:rsidRDefault="5FA307DC" w:rsidP="5FA307DC">
    <w:pPr>
      <w:pStyle w:val="FooterOdd"/>
      <w:rPr>
        <w:lang w:val="en-US"/>
      </w:rPr>
    </w:pPr>
    <w:r w:rsidRPr="5FA307DC">
      <w:rPr>
        <w:lang w:val="en-US"/>
      </w:rPr>
      <w:t xml:space="preserve">Part 1: Receipt </w:t>
    </w:r>
    <w:proofErr w:type="gramStart"/>
    <w:r w:rsidRPr="5FA307DC">
      <w:rPr>
        <w:lang w:val="en-US"/>
      </w:rPr>
      <w:t>Measures  |</w:t>
    </w:r>
    <w:proofErr w:type="gramEnd"/>
    <w:r w:rsidRPr="5FA307DC">
      <w:rPr>
        <w:lang w:val="en-US"/>
      </w:rPr>
      <w:t xml:space="preserve">  </w:t>
    </w:r>
    <w:r w:rsidRPr="5FA307DC">
      <w:rPr>
        <w:b/>
        <w:bCs/>
        <w:lang w:val="en-US"/>
      </w:rPr>
      <w:t xml:space="preserve">Page </w:t>
    </w:r>
    <w:r w:rsidR="00997AF2" w:rsidRPr="5FA307DC">
      <w:rPr>
        <w:b/>
        <w:bCs/>
        <w:noProof/>
        <w:lang w:val="en-US"/>
      </w:rPr>
      <w:fldChar w:fldCharType="begin"/>
    </w:r>
    <w:r w:rsidR="00997AF2" w:rsidRPr="5FA307DC">
      <w:rPr>
        <w:b/>
        <w:bCs/>
      </w:rPr>
      <w:instrText xml:space="preserve"> PAGE  \* MERGEFORMAT </w:instrText>
    </w:r>
    <w:r w:rsidR="00997AF2" w:rsidRPr="5FA307DC">
      <w:rPr>
        <w:b/>
        <w:bCs/>
      </w:rPr>
      <w:fldChar w:fldCharType="separate"/>
    </w:r>
    <w:r w:rsidRPr="5FA307DC">
      <w:rPr>
        <w:b/>
        <w:bCs/>
        <w:noProof/>
        <w:lang w:val="en-US"/>
      </w:rPr>
      <w:t>3</w:t>
    </w:r>
    <w:r w:rsidR="00997AF2" w:rsidRPr="5FA307DC">
      <w:rPr>
        <w:b/>
        <w:bCs/>
        <w:noProof/>
        <w:lang w:val="en-US"/>
      </w:rPr>
      <w:fldChar w:fldCharType="end"/>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FCFD1" w14:textId="0C24AA0F" w:rsidR="00997AF2" w:rsidRPr="00997AF2" w:rsidRDefault="5FA307DC" w:rsidP="5FA307DC">
    <w:pPr>
      <w:pStyle w:val="FooterOdd"/>
      <w:rPr>
        <w:lang w:val="en-US"/>
      </w:rPr>
    </w:pPr>
    <w:r w:rsidRPr="5FA307DC">
      <w:rPr>
        <w:lang w:val="en-US"/>
      </w:rPr>
      <w:t xml:space="preserve">Part 2: Payment </w:t>
    </w:r>
    <w:proofErr w:type="gramStart"/>
    <w:r w:rsidRPr="5FA307DC">
      <w:rPr>
        <w:lang w:val="en-US"/>
      </w:rPr>
      <w:t>Measures  |</w:t>
    </w:r>
    <w:proofErr w:type="gramEnd"/>
    <w:r w:rsidRPr="5FA307DC">
      <w:rPr>
        <w:lang w:val="en-US"/>
      </w:rPr>
      <w:t xml:space="preserve">  </w:t>
    </w:r>
    <w:r w:rsidRPr="5FA307DC">
      <w:rPr>
        <w:b/>
        <w:bCs/>
        <w:lang w:val="en-US"/>
      </w:rPr>
      <w:t xml:space="preserve">Page </w:t>
    </w:r>
    <w:r w:rsidR="00997AF2" w:rsidRPr="5FA307DC">
      <w:rPr>
        <w:b/>
        <w:bCs/>
        <w:noProof/>
        <w:lang w:val="en-US"/>
      </w:rPr>
      <w:fldChar w:fldCharType="begin"/>
    </w:r>
    <w:r w:rsidR="00997AF2" w:rsidRPr="5FA307DC">
      <w:rPr>
        <w:b/>
        <w:bCs/>
      </w:rPr>
      <w:instrText xml:space="preserve"> PAGE  \* MERGEFORMAT </w:instrText>
    </w:r>
    <w:r w:rsidR="00997AF2" w:rsidRPr="5FA307DC">
      <w:rPr>
        <w:b/>
        <w:bCs/>
      </w:rPr>
      <w:fldChar w:fldCharType="separate"/>
    </w:r>
    <w:r w:rsidRPr="5FA307DC">
      <w:rPr>
        <w:b/>
        <w:bCs/>
        <w:noProof/>
        <w:lang w:val="en-US"/>
      </w:rPr>
      <w:t>2</w:t>
    </w:r>
    <w:r w:rsidR="00997AF2" w:rsidRPr="5FA307DC">
      <w:rPr>
        <w:b/>
        <w:bCs/>
        <w:noProof/>
        <w:lang w:val="en-US"/>
      </w:rPr>
      <w:fldChar w:fldCharType="end"/>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A8338" w14:textId="6CDF6C29" w:rsidR="00997AF2" w:rsidRPr="00997AF2" w:rsidRDefault="5FA307DC" w:rsidP="5FA307DC">
    <w:pPr>
      <w:pStyle w:val="FooterOdd"/>
      <w:rPr>
        <w:lang w:val="en-US"/>
      </w:rPr>
    </w:pPr>
    <w:r w:rsidRPr="5FA307DC">
      <w:rPr>
        <w:lang w:val="en-US"/>
      </w:rPr>
      <w:t xml:space="preserve">Part 2: Payment </w:t>
    </w:r>
    <w:proofErr w:type="gramStart"/>
    <w:r w:rsidRPr="5FA307DC">
      <w:rPr>
        <w:lang w:val="en-US"/>
      </w:rPr>
      <w:t>Measures  |</w:t>
    </w:r>
    <w:proofErr w:type="gramEnd"/>
    <w:r w:rsidRPr="5FA307DC">
      <w:rPr>
        <w:lang w:val="en-US"/>
      </w:rPr>
      <w:t xml:space="preserve">  </w:t>
    </w:r>
    <w:r w:rsidRPr="5FA307DC">
      <w:rPr>
        <w:b/>
        <w:bCs/>
        <w:lang w:val="en-US"/>
      </w:rPr>
      <w:t xml:space="preserve">Page </w:t>
    </w:r>
    <w:r w:rsidR="00997AF2" w:rsidRPr="5FA307DC">
      <w:rPr>
        <w:b/>
        <w:bCs/>
        <w:noProof/>
        <w:lang w:val="en-US"/>
      </w:rPr>
      <w:fldChar w:fldCharType="begin"/>
    </w:r>
    <w:r w:rsidR="00997AF2" w:rsidRPr="5FA307DC">
      <w:rPr>
        <w:b/>
        <w:bCs/>
      </w:rPr>
      <w:instrText xml:space="preserve"> PAGE  \* MERGEFORMAT </w:instrText>
    </w:r>
    <w:r w:rsidR="00997AF2" w:rsidRPr="5FA307DC">
      <w:rPr>
        <w:b/>
        <w:bCs/>
      </w:rPr>
      <w:fldChar w:fldCharType="separate"/>
    </w:r>
    <w:r w:rsidRPr="5FA307DC">
      <w:rPr>
        <w:b/>
        <w:bCs/>
        <w:noProof/>
        <w:lang w:val="en-US"/>
      </w:rPr>
      <w:t>9</w:t>
    </w:r>
    <w:r w:rsidR="00997AF2" w:rsidRPr="5FA307DC">
      <w:rPr>
        <w:b/>
        <w:bCs/>
        <w:noProof/>
        <w:lang w:val="en-US"/>
      </w:rPr>
      <w:fldChar w:fldCharType="end"/>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7A4A2" w14:textId="1DE02A64" w:rsidR="00997AF2" w:rsidRPr="00997AF2" w:rsidRDefault="00997AF2" w:rsidP="00997AF2">
    <w:pPr>
      <w:pStyle w:val="FooterEven"/>
    </w:pPr>
    <w:r w:rsidRPr="00997AF2">
      <w:rPr>
        <w:b/>
      </w:rPr>
      <w:t xml:space="preserve">Page </w:t>
    </w:r>
    <w:r w:rsidRPr="00997AF2">
      <w:rPr>
        <w:b/>
      </w:rPr>
      <w:fldChar w:fldCharType="begin"/>
    </w:r>
    <w:r w:rsidRPr="00997AF2">
      <w:rPr>
        <w:b/>
      </w:rPr>
      <w:instrText xml:space="preserve"> PAGE  \* MERGEFORMAT </w:instrText>
    </w:r>
    <w:r w:rsidRPr="00997AF2">
      <w:rPr>
        <w:b/>
      </w:rPr>
      <w:fldChar w:fldCharType="separate"/>
    </w:r>
    <w:r w:rsidRPr="00997AF2">
      <w:rPr>
        <w:b/>
        <w:noProof/>
      </w:rPr>
      <w:t>2</w:t>
    </w:r>
    <w:r w:rsidRPr="00997AF2">
      <w:rPr>
        <w:b/>
      </w:rPr>
      <w:fldChar w:fldCharType="end"/>
    </w:r>
    <w:r w:rsidRPr="00997AF2">
      <w:rPr>
        <w:b/>
      </w:rPr>
      <w:t xml:space="preserve">  </w:t>
    </w:r>
    <w:r>
      <w:t>|  Part 2: Payment Measures</w:t>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8F0CC" w14:textId="4B5D9CCC" w:rsidR="00997AF2" w:rsidRPr="00997AF2" w:rsidRDefault="5FA307DC" w:rsidP="5FA307DC">
    <w:pPr>
      <w:pStyle w:val="FooterOdd"/>
      <w:rPr>
        <w:lang w:val="en-US"/>
      </w:rPr>
    </w:pPr>
    <w:r w:rsidRPr="5FA307DC">
      <w:rPr>
        <w:lang w:val="en-US"/>
      </w:rPr>
      <w:t xml:space="preserve">Part 2: Payment </w:t>
    </w:r>
    <w:proofErr w:type="gramStart"/>
    <w:r w:rsidRPr="5FA307DC">
      <w:rPr>
        <w:lang w:val="en-US"/>
      </w:rPr>
      <w:t>Measures  |</w:t>
    </w:r>
    <w:proofErr w:type="gramEnd"/>
    <w:r w:rsidRPr="5FA307DC">
      <w:rPr>
        <w:lang w:val="en-US"/>
      </w:rPr>
      <w:t xml:space="preserve">  </w:t>
    </w:r>
    <w:r w:rsidRPr="5FA307DC">
      <w:rPr>
        <w:b/>
        <w:bCs/>
        <w:lang w:val="en-US"/>
      </w:rPr>
      <w:t xml:space="preserve">Page </w:t>
    </w:r>
    <w:r w:rsidR="00997AF2" w:rsidRPr="5FA307DC">
      <w:rPr>
        <w:b/>
        <w:bCs/>
        <w:noProof/>
        <w:lang w:val="en-US"/>
      </w:rPr>
      <w:fldChar w:fldCharType="begin"/>
    </w:r>
    <w:r w:rsidR="00997AF2" w:rsidRPr="5FA307DC">
      <w:rPr>
        <w:b/>
        <w:bCs/>
      </w:rPr>
      <w:instrText xml:space="preserve"> PAGE  \* MERGEFORMAT </w:instrText>
    </w:r>
    <w:r w:rsidR="00997AF2" w:rsidRPr="5FA307DC">
      <w:rPr>
        <w:b/>
        <w:bCs/>
      </w:rPr>
      <w:fldChar w:fldCharType="separate"/>
    </w:r>
    <w:r w:rsidRPr="5FA307DC">
      <w:rPr>
        <w:b/>
        <w:bCs/>
        <w:noProof/>
        <w:lang w:val="en-US"/>
      </w:rPr>
      <w:t>2</w:t>
    </w:r>
    <w:r w:rsidR="00997AF2" w:rsidRPr="5FA307DC">
      <w:rPr>
        <w:b/>
        <w:bCs/>
        <w:noProof/>
        <w:lang w:val="en-US"/>
      </w:rPr>
      <w:fldChar w:fldCharType="end"/>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1F125" w14:textId="44A21DD5" w:rsidR="00997AF2" w:rsidRPr="00997AF2" w:rsidRDefault="5FA307DC" w:rsidP="5FA307DC">
    <w:pPr>
      <w:pStyle w:val="FooterOdd"/>
      <w:rPr>
        <w:lang w:val="en-US"/>
      </w:rPr>
    </w:pPr>
    <w:r w:rsidRPr="5FA307DC">
      <w:rPr>
        <w:lang w:val="en-US"/>
      </w:rPr>
      <w:t xml:space="preserve">Part 2: Payment </w:t>
    </w:r>
    <w:proofErr w:type="gramStart"/>
    <w:r w:rsidRPr="5FA307DC">
      <w:rPr>
        <w:lang w:val="en-US"/>
      </w:rPr>
      <w:t>Measures  |</w:t>
    </w:r>
    <w:proofErr w:type="gramEnd"/>
    <w:r w:rsidRPr="5FA307DC">
      <w:rPr>
        <w:lang w:val="en-US"/>
      </w:rPr>
      <w:t xml:space="preserve">  </w:t>
    </w:r>
    <w:r w:rsidRPr="5FA307DC">
      <w:rPr>
        <w:b/>
        <w:bCs/>
        <w:lang w:val="en-US"/>
      </w:rPr>
      <w:t xml:space="preserve">Page </w:t>
    </w:r>
    <w:r w:rsidR="00997AF2" w:rsidRPr="5FA307DC">
      <w:rPr>
        <w:b/>
        <w:bCs/>
        <w:noProof/>
        <w:lang w:val="en-US"/>
      </w:rPr>
      <w:fldChar w:fldCharType="begin"/>
    </w:r>
    <w:r w:rsidR="00997AF2" w:rsidRPr="5FA307DC">
      <w:rPr>
        <w:b/>
        <w:bCs/>
      </w:rPr>
      <w:instrText xml:space="preserve"> PAGE  \* MERGEFORMAT </w:instrText>
    </w:r>
    <w:r w:rsidR="00997AF2" w:rsidRPr="5FA307DC">
      <w:rPr>
        <w:b/>
        <w:bCs/>
      </w:rPr>
      <w:fldChar w:fldCharType="separate"/>
    </w:r>
    <w:r w:rsidRPr="5FA307DC">
      <w:rPr>
        <w:b/>
        <w:bCs/>
        <w:noProof/>
        <w:lang w:val="en-US"/>
      </w:rPr>
      <w:t>9</w:t>
    </w:r>
    <w:r w:rsidR="00997AF2" w:rsidRPr="5FA307DC">
      <w:rPr>
        <w:b/>
        <w:bCs/>
        <w:noProof/>
        <w:lang w:val="en-US"/>
      </w:rPr>
      <w:fldChar w:fldCharType="end"/>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FB8D5" w14:textId="44143C3B" w:rsidR="00997AF2" w:rsidRPr="00997AF2" w:rsidRDefault="00997AF2" w:rsidP="00997AF2">
    <w:pPr>
      <w:pStyle w:val="FooterEven"/>
    </w:pPr>
    <w:r w:rsidRPr="00997AF2">
      <w:rPr>
        <w:b/>
      </w:rPr>
      <w:t xml:space="preserve">Page </w:t>
    </w:r>
    <w:r w:rsidRPr="00997AF2">
      <w:rPr>
        <w:b/>
      </w:rPr>
      <w:fldChar w:fldCharType="begin"/>
    </w:r>
    <w:r w:rsidRPr="00997AF2">
      <w:rPr>
        <w:b/>
      </w:rPr>
      <w:instrText xml:space="preserve"> PAGE  \* MERGEFORMAT </w:instrText>
    </w:r>
    <w:r w:rsidRPr="00997AF2">
      <w:rPr>
        <w:b/>
      </w:rPr>
      <w:fldChar w:fldCharType="separate"/>
    </w:r>
    <w:r w:rsidRPr="00997AF2">
      <w:rPr>
        <w:b/>
        <w:noProof/>
      </w:rPr>
      <w:t>2</w:t>
    </w:r>
    <w:r w:rsidRPr="00997AF2">
      <w:rPr>
        <w:b/>
      </w:rPr>
      <w:fldChar w:fldCharType="end"/>
    </w:r>
    <w:r w:rsidRPr="00997AF2">
      <w:rPr>
        <w:b/>
      </w:rPr>
      <w:t xml:space="preserve">  </w:t>
    </w:r>
    <w:r>
      <w:t>|  Part 2: Payment Measures</w:t>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577EB" w14:textId="62AFB296" w:rsidR="00997AF2" w:rsidRPr="00997AF2" w:rsidRDefault="5FA307DC" w:rsidP="5FA307DC">
    <w:pPr>
      <w:pStyle w:val="FooterOdd"/>
      <w:rPr>
        <w:lang w:val="en-US"/>
      </w:rPr>
    </w:pPr>
    <w:r w:rsidRPr="5FA307DC">
      <w:rPr>
        <w:lang w:val="en-US"/>
      </w:rPr>
      <w:t xml:space="preserve">Part 2: Payment </w:t>
    </w:r>
    <w:proofErr w:type="gramStart"/>
    <w:r w:rsidRPr="5FA307DC">
      <w:rPr>
        <w:lang w:val="en-US"/>
      </w:rPr>
      <w:t>Measures  |</w:t>
    </w:r>
    <w:proofErr w:type="gramEnd"/>
    <w:r w:rsidRPr="5FA307DC">
      <w:rPr>
        <w:lang w:val="en-US"/>
      </w:rPr>
      <w:t xml:space="preserve">  </w:t>
    </w:r>
    <w:r w:rsidRPr="5FA307DC">
      <w:rPr>
        <w:b/>
        <w:bCs/>
        <w:lang w:val="en-US"/>
      </w:rPr>
      <w:t xml:space="preserve">Page </w:t>
    </w:r>
    <w:r w:rsidR="00997AF2" w:rsidRPr="5FA307DC">
      <w:rPr>
        <w:b/>
        <w:bCs/>
        <w:noProof/>
        <w:lang w:val="en-US"/>
      </w:rPr>
      <w:fldChar w:fldCharType="begin"/>
    </w:r>
    <w:r w:rsidR="00997AF2" w:rsidRPr="5FA307DC">
      <w:rPr>
        <w:b/>
        <w:bCs/>
      </w:rPr>
      <w:instrText xml:space="preserve"> PAGE  \* MERGEFORMAT </w:instrText>
    </w:r>
    <w:r w:rsidR="00997AF2" w:rsidRPr="5FA307DC">
      <w:rPr>
        <w:b/>
        <w:bCs/>
      </w:rPr>
      <w:fldChar w:fldCharType="separate"/>
    </w:r>
    <w:r w:rsidRPr="5FA307DC">
      <w:rPr>
        <w:b/>
        <w:bCs/>
        <w:noProof/>
        <w:lang w:val="en-US"/>
      </w:rPr>
      <w:t>2</w:t>
    </w:r>
    <w:r w:rsidR="00997AF2" w:rsidRPr="5FA307DC">
      <w:rPr>
        <w:b/>
        <w:bCs/>
        <w:noProof/>
        <w:lang w:val="en-US"/>
      </w:rPr>
      <w:fldChar w:fldCharType="end"/>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9A304" w14:textId="5ADD0346" w:rsidR="00997AF2" w:rsidRPr="00997AF2" w:rsidRDefault="5FA307DC" w:rsidP="5FA307DC">
    <w:pPr>
      <w:pStyle w:val="FooterOdd"/>
      <w:rPr>
        <w:lang w:val="en-US"/>
      </w:rPr>
    </w:pPr>
    <w:r w:rsidRPr="5FA307DC">
      <w:rPr>
        <w:lang w:val="en-US"/>
      </w:rPr>
      <w:t xml:space="preserve">Part 2: Payment </w:t>
    </w:r>
    <w:proofErr w:type="gramStart"/>
    <w:r w:rsidRPr="5FA307DC">
      <w:rPr>
        <w:lang w:val="en-US"/>
      </w:rPr>
      <w:t>Measures  |</w:t>
    </w:r>
    <w:proofErr w:type="gramEnd"/>
    <w:r w:rsidRPr="5FA307DC">
      <w:rPr>
        <w:lang w:val="en-US"/>
      </w:rPr>
      <w:t xml:space="preserve">  </w:t>
    </w:r>
    <w:r w:rsidRPr="5FA307DC">
      <w:rPr>
        <w:b/>
        <w:bCs/>
        <w:lang w:val="en-US"/>
      </w:rPr>
      <w:t xml:space="preserve">Page </w:t>
    </w:r>
    <w:r w:rsidR="00997AF2" w:rsidRPr="5FA307DC">
      <w:rPr>
        <w:b/>
        <w:bCs/>
        <w:noProof/>
        <w:lang w:val="en-US"/>
      </w:rPr>
      <w:fldChar w:fldCharType="begin"/>
    </w:r>
    <w:r w:rsidR="00997AF2" w:rsidRPr="5FA307DC">
      <w:rPr>
        <w:b/>
        <w:bCs/>
      </w:rPr>
      <w:instrText xml:space="preserve"> PAGE  \* MERGEFORMAT </w:instrText>
    </w:r>
    <w:r w:rsidR="00997AF2" w:rsidRPr="5FA307DC">
      <w:rPr>
        <w:b/>
        <w:bCs/>
      </w:rPr>
      <w:fldChar w:fldCharType="separate"/>
    </w:r>
    <w:r w:rsidRPr="5FA307DC">
      <w:rPr>
        <w:b/>
        <w:bCs/>
        <w:noProof/>
        <w:lang w:val="en-US"/>
      </w:rPr>
      <w:t>9</w:t>
    </w:r>
    <w:r w:rsidR="00997AF2" w:rsidRPr="5FA307DC">
      <w:rPr>
        <w:b/>
        <w:bCs/>
        <w:noProof/>
        <w:lang w:val="en-US"/>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7E60B" w14:textId="04219EC6" w:rsidR="00997AF2" w:rsidRPr="00997AF2" w:rsidRDefault="5FA307DC" w:rsidP="5FA307DC">
    <w:pPr>
      <w:pStyle w:val="FooterOdd"/>
      <w:rPr>
        <w:lang w:val="en-US"/>
      </w:rPr>
    </w:pPr>
    <w:r w:rsidRPr="5FA307DC">
      <w:rPr>
        <w:lang w:val="en-US"/>
      </w:rPr>
      <w:t xml:space="preserve">Part 1: Receipt </w:t>
    </w:r>
    <w:proofErr w:type="gramStart"/>
    <w:r w:rsidRPr="5FA307DC">
      <w:rPr>
        <w:lang w:val="en-US"/>
      </w:rPr>
      <w:t>Measures  |</w:t>
    </w:r>
    <w:proofErr w:type="gramEnd"/>
    <w:r w:rsidRPr="5FA307DC">
      <w:rPr>
        <w:lang w:val="en-US"/>
      </w:rPr>
      <w:t xml:space="preserve">  </w:t>
    </w:r>
    <w:r w:rsidRPr="5FA307DC">
      <w:rPr>
        <w:b/>
        <w:bCs/>
        <w:lang w:val="en-US"/>
      </w:rPr>
      <w:t xml:space="preserve">Page </w:t>
    </w:r>
    <w:r w:rsidR="00997AF2" w:rsidRPr="5FA307DC">
      <w:rPr>
        <w:b/>
        <w:bCs/>
        <w:noProof/>
        <w:lang w:val="en-US"/>
      </w:rPr>
      <w:fldChar w:fldCharType="begin"/>
    </w:r>
    <w:r w:rsidR="00997AF2" w:rsidRPr="5FA307DC">
      <w:rPr>
        <w:b/>
        <w:bCs/>
      </w:rPr>
      <w:instrText xml:space="preserve"> PAGE  \* MERGEFORMAT </w:instrText>
    </w:r>
    <w:r w:rsidR="00997AF2" w:rsidRPr="5FA307DC">
      <w:rPr>
        <w:b/>
        <w:bCs/>
      </w:rPr>
      <w:fldChar w:fldCharType="separate"/>
    </w:r>
    <w:r w:rsidRPr="5FA307DC">
      <w:rPr>
        <w:b/>
        <w:bCs/>
        <w:noProof/>
        <w:lang w:val="en-US"/>
      </w:rPr>
      <w:t>1</w:t>
    </w:r>
    <w:r w:rsidR="00997AF2" w:rsidRPr="5FA307DC">
      <w:rPr>
        <w:b/>
        <w:bCs/>
        <w:noProof/>
        <w:lang w:val="en-US"/>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61C42" w14:textId="7A88EC89" w:rsidR="00997AF2" w:rsidRPr="00997AF2" w:rsidRDefault="00997AF2" w:rsidP="00997AF2">
    <w:pPr>
      <w:pStyle w:val="FooterEven"/>
    </w:pPr>
    <w:r w:rsidRPr="00997AF2">
      <w:rPr>
        <w:b/>
      </w:rPr>
      <w:t xml:space="preserve">Page </w:t>
    </w:r>
    <w:r w:rsidRPr="00997AF2">
      <w:rPr>
        <w:b/>
      </w:rPr>
      <w:fldChar w:fldCharType="begin"/>
    </w:r>
    <w:r w:rsidRPr="00997AF2">
      <w:rPr>
        <w:b/>
      </w:rPr>
      <w:instrText xml:space="preserve"> PAGE  \* MERGEFORMAT </w:instrText>
    </w:r>
    <w:r w:rsidRPr="00997AF2">
      <w:rPr>
        <w:b/>
      </w:rPr>
      <w:fldChar w:fldCharType="separate"/>
    </w:r>
    <w:r>
      <w:rPr>
        <w:b/>
        <w:noProof/>
      </w:rPr>
      <w:t>4</w:t>
    </w:r>
    <w:r w:rsidRPr="00997AF2">
      <w:rPr>
        <w:b/>
      </w:rPr>
      <w:fldChar w:fldCharType="end"/>
    </w:r>
    <w:r w:rsidRPr="00997AF2">
      <w:rPr>
        <w:b/>
      </w:rPr>
      <w:t xml:space="preserve">  </w:t>
    </w:r>
    <w:r>
      <w:t>|  Part 1: Receipt Measures</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3CFD8" w14:textId="10C95166" w:rsidR="00997AF2" w:rsidRPr="00997AF2" w:rsidRDefault="5FA307DC" w:rsidP="5FA307DC">
    <w:pPr>
      <w:pStyle w:val="FooterOdd"/>
      <w:rPr>
        <w:lang w:val="en-US"/>
      </w:rPr>
    </w:pPr>
    <w:r w:rsidRPr="5FA307DC">
      <w:rPr>
        <w:lang w:val="en-US"/>
      </w:rPr>
      <w:t xml:space="preserve">Part 1: Receipt </w:t>
    </w:r>
    <w:proofErr w:type="gramStart"/>
    <w:r w:rsidRPr="5FA307DC">
      <w:rPr>
        <w:lang w:val="en-US"/>
      </w:rPr>
      <w:t>Measures  |</w:t>
    </w:r>
    <w:proofErr w:type="gramEnd"/>
    <w:r w:rsidRPr="5FA307DC">
      <w:rPr>
        <w:lang w:val="en-US"/>
      </w:rPr>
      <w:t xml:space="preserve">  </w:t>
    </w:r>
    <w:r w:rsidRPr="5FA307DC">
      <w:rPr>
        <w:b/>
        <w:bCs/>
        <w:lang w:val="en-US"/>
      </w:rPr>
      <w:t xml:space="preserve">Page </w:t>
    </w:r>
    <w:r w:rsidR="00997AF2" w:rsidRPr="5FA307DC">
      <w:rPr>
        <w:b/>
        <w:bCs/>
        <w:noProof/>
        <w:lang w:val="en-US"/>
      </w:rPr>
      <w:fldChar w:fldCharType="begin"/>
    </w:r>
    <w:r w:rsidR="00997AF2" w:rsidRPr="5FA307DC">
      <w:rPr>
        <w:b/>
        <w:bCs/>
      </w:rPr>
      <w:instrText xml:space="preserve"> PAGE  \* MERGEFORMAT </w:instrText>
    </w:r>
    <w:r w:rsidR="00997AF2" w:rsidRPr="5FA307DC">
      <w:rPr>
        <w:b/>
        <w:bCs/>
      </w:rPr>
      <w:fldChar w:fldCharType="separate"/>
    </w:r>
    <w:r w:rsidRPr="5FA307DC">
      <w:rPr>
        <w:b/>
        <w:bCs/>
        <w:noProof/>
        <w:lang w:val="en-US"/>
      </w:rPr>
      <w:t>7</w:t>
    </w:r>
    <w:r w:rsidR="00997AF2" w:rsidRPr="5FA307DC">
      <w:rPr>
        <w:b/>
        <w:bCs/>
        <w:noProof/>
        <w:lang w:val="en-US"/>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FF09A" w14:textId="6A3FA88B" w:rsidR="00997AF2" w:rsidRPr="00997AF2" w:rsidRDefault="5FA307DC" w:rsidP="5FA307DC">
    <w:pPr>
      <w:pStyle w:val="FooterOdd"/>
      <w:rPr>
        <w:lang w:val="en-US"/>
      </w:rPr>
    </w:pPr>
    <w:r w:rsidRPr="5FA307DC">
      <w:rPr>
        <w:lang w:val="en-US"/>
      </w:rPr>
      <w:t xml:space="preserve">Part 1: Receipt </w:t>
    </w:r>
    <w:proofErr w:type="gramStart"/>
    <w:r w:rsidRPr="5FA307DC">
      <w:rPr>
        <w:lang w:val="en-US"/>
      </w:rPr>
      <w:t>Measures  |</w:t>
    </w:r>
    <w:proofErr w:type="gramEnd"/>
    <w:r w:rsidRPr="5FA307DC">
      <w:rPr>
        <w:lang w:val="en-US"/>
      </w:rPr>
      <w:t xml:space="preserve">  </w:t>
    </w:r>
    <w:r w:rsidRPr="5FA307DC">
      <w:rPr>
        <w:b/>
        <w:bCs/>
        <w:lang w:val="en-US"/>
      </w:rPr>
      <w:t xml:space="preserve">Page </w:t>
    </w:r>
    <w:r w:rsidR="00997AF2" w:rsidRPr="5FA307DC">
      <w:rPr>
        <w:b/>
        <w:bCs/>
        <w:noProof/>
        <w:lang w:val="en-US"/>
      </w:rPr>
      <w:fldChar w:fldCharType="begin"/>
    </w:r>
    <w:r w:rsidR="00997AF2" w:rsidRPr="5FA307DC">
      <w:rPr>
        <w:b/>
        <w:bCs/>
      </w:rPr>
      <w:instrText xml:space="preserve"> PAGE  \* MERGEFORMAT </w:instrText>
    </w:r>
    <w:r w:rsidR="00997AF2" w:rsidRPr="5FA307DC">
      <w:rPr>
        <w:b/>
        <w:bCs/>
      </w:rPr>
      <w:fldChar w:fldCharType="separate"/>
    </w:r>
    <w:r w:rsidRPr="5FA307DC">
      <w:rPr>
        <w:b/>
        <w:bCs/>
        <w:noProof/>
        <w:lang w:val="en-US"/>
      </w:rPr>
      <w:t>1</w:t>
    </w:r>
    <w:r w:rsidR="00997AF2" w:rsidRPr="5FA307DC">
      <w:rPr>
        <w:b/>
        <w:bCs/>
        <w:noProof/>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F2C2E" w14:textId="77777777" w:rsidR="00AA6286" w:rsidRDefault="00AA6286">
      <w:r>
        <w:separator/>
      </w:r>
    </w:p>
  </w:footnote>
  <w:footnote w:type="continuationSeparator" w:id="0">
    <w:p w14:paraId="08AAED73" w14:textId="77777777" w:rsidR="00AA6286" w:rsidRDefault="00AA6286">
      <w:r>
        <w:continuationSeparator/>
      </w:r>
    </w:p>
  </w:footnote>
  <w:footnote w:type="continuationNotice" w:id="1">
    <w:p w14:paraId="3A10469A" w14:textId="77777777" w:rsidR="00AA6286" w:rsidRDefault="00AA62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38645" w14:textId="0490D190" w:rsidR="00880034" w:rsidRPr="008C56E1" w:rsidRDefault="00880034" w:rsidP="00880034">
    <w:pPr>
      <w:pStyle w:val="HeaderEven"/>
    </w:pPr>
    <w:r w:rsidRPr="008C56E1">
      <w:rPr>
        <w:noProof/>
        <w:position w:val="-8"/>
      </w:rPr>
      <w:drawing>
        <wp:inline distT="0" distB="0" distL="0" distR="0" wp14:anchorId="20E2DA7D" wp14:editId="39E4AF0C">
          <wp:extent cx="864091" cy="198000"/>
          <wp:effectExtent l="0" t="0" r="0" b="0"/>
          <wp:docPr id="1798286542" name="Picture 17982865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694567" name="Picture 97469456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r w:rsidRPr="00081542">
      <w:t> | </w:t>
    </w:r>
    <w:fldSimple w:instr=" TITLE   \* MERGEFORMAT ">
      <w:r w:rsidR="008952F5">
        <w:t>Budget Paper No. 2</w:t>
      </w:r>
    </w:fldSimple>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ED0847" w14:paraId="57C33BAC" w14:textId="77777777" w:rsidTr="00362707">
      <w:trPr>
        <w:trHeight w:hRule="exact" w:val="340"/>
      </w:trPr>
      <w:tc>
        <w:tcPr>
          <w:tcW w:w="7797" w:type="dxa"/>
          <w:tcMar>
            <w:left w:w="108" w:type="dxa"/>
            <w:right w:w="108" w:type="dxa"/>
          </w:tcMar>
        </w:tcPr>
        <w:p w14:paraId="2E42E7CC" w14:textId="148FF0CF" w:rsidR="00ED0847" w:rsidRPr="00D13BF9" w:rsidRDefault="004B40B5" w:rsidP="00ED0847">
          <w:pPr>
            <w:pStyle w:val="HeaderOdd"/>
          </w:pPr>
          <w:fldSimple w:instr=" TITLE   \* MERGEFORMAT ">
            <w:r w:rsidR="008952F5">
              <w:t>Budget Paper No. 2</w:t>
            </w:r>
          </w:fldSimple>
          <w:r w:rsidR="00ED0847" w:rsidRPr="00081542">
            <w:t> | </w:t>
          </w:r>
          <w:r w:rsidR="00ED0847" w:rsidRPr="002709D2">
            <w:rPr>
              <w:noProof/>
              <w:position w:val="-8"/>
              <w:vertAlign w:val="subscript"/>
            </w:rPr>
            <w:drawing>
              <wp:inline distT="0" distB="0" distL="0" distR="0" wp14:anchorId="77D52905" wp14:editId="4793A877">
                <wp:extent cx="864091" cy="198000"/>
                <wp:effectExtent l="0" t="0" r="0" b="0"/>
                <wp:docPr id="1927324761" name="Picture 19273247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1864" name="Picture 1537186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p>
      </w:tc>
    </w:tr>
  </w:tbl>
  <w:p w14:paraId="72C8EE8E" w14:textId="2FEAD580" w:rsidR="00997AF2" w:rsidRPr="00ED0847" w:rsidRDefault="00997AF2" w:rsidP="00ED0847"/>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97086" w14:textId="516D1CCC" w:rsidR="00997AF2" w:rsidRDefault="00997AF2" w:rsidP="00997AF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0A95" w14:textId="7354E672" w:rsidR="00997AF2" w:rsidRDefault="00BA139C" w:rsidP="00997AF2">
    <w:pPr>
      <w:pStyle w:val="HeaderEven"/>
    </w:pPr>
    <w:r w:rsidRPr="008C56E1">
      <w:rPr>
        <w:noProof/>
        <w:position w:val="-8"/>
      </w:rPr>
      <w:drawing>
        <wp:inline distT="0" distB="0" distL="0" distR="0" wp14:anchorId="6CEE5C29" wp14:editId="0F527FF2">
          <wp:extent cx="864091" cy="198000"/>
          <wp:effectExtent l="0" t="0" r="0" b="0"/>
          <wp:docPr id="112565038" name="Picture 1125650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694567" name="Picture 97469456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r w:rsidRPr="00081542">
      <w:t> | </w:t>
    </w:r>
    <w:fldSimple w:instr=" TITLE   \* MERGEFORMAT ">
      <w:r w:rsidR="008952F5">
        <w:t>Budget Paper No. 2</w:t>
      </w:r>
    </w:fldSimple>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C44AA" w14:textId="1D5C070A" w:rsidR="00997AF2" w:rsidRPr="00997AF2" w:rsidRDefault="5FA307DC" w:rsidP="5FA307DC">
    <w:pPr>
      <w:pStyle w:val="HeaderOdd"/>
      <w:rPr>
        <w:position w:val="-10"/>
        <w:lang w:val="en-US"/>
      </w:rPr>
    </w:pPr>
    <w:r w:rsidRPr="5FA307DC">
      <w:rPr>
        <w:lang w:val="en-US"/>
      </w:rPr>
      <w:t xml:space="preserve">Agriculture, Fisheries and </w:t>
    </w:r>
    <w:proofErr w:type="gramStart"/>
    <w:r w:rsidRPr="5FA307DC">
      <w:rPr>
        <w:lang w:val="en-US"/>
      </w:rPr>
      <w:t>Forestry  |</w:t>
    </w:r>
    <w:proofErr w:type="gramEnd"/>
    <w:r w:rsidRPr="5FA307DC">
      <w:rPr>
        <w:lang w:val="en-US"/>
      </w:rPr>
      <w:t xml:space="preserve">  </w:t>
    </w:r>
    <w:r>
      <w:rPr>
        <w:noProof/>
      </w:rPr>
      <w:drawing>
        <wp:inline distT="0" distB="0" distL="0" distR="0" wp14:anchorId="64D65CB6" wp14:editId="3A4494D5">
          <wp:extent cx="906980" cy="174483"/>
          <wp:effectExtent l="0" t="0" r="0" b="0"/>
          <wp:docPr id="639239834" name="Picture 6392398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pic:nvPicPr>
                <pic:blipFill>
                  <a:blip r:embed="rId1">
                    <a:extLst>
                      <a:ext uri="{C183D7F6-B498-43B3-948B-1728B52AA6E4}">
                        <adec:decorative xmlns="" xmlns:o="urn:schemas-microsoft-com:office:office" xmlns:v="urn:schemas-microsoft-com:vml" xmlns:w10="urn:schemas-microsoft-com:office:word" xmlns:w="http://schemas.openxmlformats.org/wordprocessingml/2006/main" xmlns:w16sdtfl="http://schemas.microsoft.com/office/word/2024/wordml/sdtformatlock" xmlns:a14="http://schemas.microsoft.com/office/drawing/2010/main" xmlns:adec="http://schemas.microsoft.com/office/drawing/2017/decorative" val="1"/>
                      </a:ext>
                    </a:extLst>
                  </a:blip>
                  <a:stretch>
                    <a:fillRect/>
                  </a:stretch>
                </pic:blipFill>
                <pic:spPr>
                  <a:xfrm>
                    <a:off x="0" y="0"/>
                    <a:ext cx="906980" cy="174483"/>
                  </a:xfrm>
                  <a:prstGeom prst="rect">
                    <a:avLst/>
                  </a:prstGeom>
                </pic:spPr>
              </pic:pic>
            </a:graphicData>
          </a:graphic>
        </wp:inline>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721E4" w14:textId="1BDCDB84" w:rsidR="00997AF2" w:rsidRDefault="00997AF2" w:rsidP="00997AF2">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CB9E9" w14:textId="3DEC6115" w:rsidR="00997AF2" w:rsidRDefault="00BA139C" w:rsidP="00997AF2">
    <w:pPr>
      <w:pStyle w:val="HeaderEven"/>
    </w:pPr>
    <w:r w:rsidRPr="008C56E1">
      <w:rPr>
        <w:noProof/>
        <w:position w:val="-8"/>
      </w:rPr>
      <w:drawing>
        <wp:inline distT="0" distB="0" distL="0" distR="0" wp14:anchorId="7E838989" wp14:editId="17405B96">
          <wp:extent cx="864091" cy="198000"/>
          <wp:effectExtent l="0" t="0" r="0" b="0"/>
          <wp:docPr id="1928679084" name="Picture 19286790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694567" name="Picture 97469456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r w:rsidRPr="00081542">
      <w:t> | </w:t>
    </w:r>
    <w:fldSimple w:instr=" TITLE   \* MERGEFORMAT ">
      <w:r w:rsidR="008952F5">
        <w:t>Budget Paper No. 2</w:t>
      </w:r>
    </w:fldSimple>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8C3478" w14:paraId="6DA16C7A" w14:textId="77777777" w:rsidTr="00362707">
      <w:trPr>
        <w:trHeight w:hRule="exact" w:val="340"/>
      </w:trPr>
      <w:tc>
        <w:tcPr>
          <w:tcW w:w="7797" w:type="dxa"/>
          <w:tcMar>
            <w:left w:w="108" w:type="dxa"/>
            <w:right w:w="108" w:type="dxa"/>
          </w:tcMar>
        </w:tcPr>
        <w:p w14:paraId="1F5727E0" w14:textId="115F5E0F" w:rsidR="008C3478" w:rsidRPr="00D13BF9" w:rsidRDefault="004B40B5" w:rsidP="008C3478">
          <w:pPr>
            <w:pStyle w:val="HeaderOdd"/>
          </w:pPr>
          <w:fldSimple w:instr=" STYLEREF  PortfolioName  \* MERGEFORMAT ">
            <w:r w:rsidR="009E261C">
              <w:rPr>
                <w:noProof/>
              </w:rPr>
              <w:t>Attorney</w:t>
            </w:r>
            <w:r w:rsidR="009E261C" w:rsidRPr="009E261C">
              <w:rPr>
                <w:rFonts w:ascii="Cambria Math" w:hAnsi="Cambria Math" w:cs="Cambria Math"/>
                <w:noProof/>
              </w:rPr>
              <w:t>‑</w:t>
            </w:r>
            <w:r w:rsidR="009E261C">
              <w:rPr>
                <w:noProof/>
              </w:rPr>
              <w:t>General’s</w:t>
            </w:r>
          </w:fldSimple>
          <w:r w:rsidR="008C3478" w:rsidRPr="00081542">
            <w:t> | </w:t>
          </w:r>
          <w:r w:rsidR="008C3478" w:rsidRPr="002709D2">
            <w:rPr>
              <w:noProof/>
              <w:position w:val="-8"/>
              <w:vertAlign w:val="subscript"/>
            </w:rPr>
            <w:drawing>
              <wp:inline distT="0" distB="0" distL="0" distR="0" wp14:anchorId="64CB75AF" wp14:editId="6C6EB408">
                <wp:extent cx="864091" cy="198000"/>
                <wp:effectExtent l="0" t="0" r="0" b="0"/>
                <wp:docPr id="1700713012" name="Picture 17007130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1864" name="Picture 1537186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p>
      </w:tc>
    </w:tr>
  </w:tbl>
  <w:p w14:paraId="4F7E7753" w14:textId="53F6D04A" w:rsidR="00997AF2" w:rsidRPr="008C3478" w:rsidRDefault="00997AF2" w:rsidP="008C3478">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F250C" w14:textId="7F89A637" w:rsidR="00997AF2" w:rsidRDefault="00997AF2" w:rsidP="00997AF2">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A29F" w14:textId="3DA688B6" w:rsidR="00997AF2" w:rsidRDefault="00BA139C" w:rsidP="00997AF2">
    <w:pPr>
      <w:pStyle w:val="HeaderEven"/>
    </w:pPr>
    <w:r w:rsidRPr="008C56E1">
      <w:rPr>
        <w:noProof/>
        <w:position w:val="-8"/>
      </w:rPr>
      <w:drawing>
        <wp:inline distT="0" distB="0" distL="0" distR="0" wp14:anchorId="6A9CC07E" wp14:editId="1A91989D">
          <wp:extent cx="864091" cy="198000"/>
          <wp:effectExtent l="0" t="0" r="0" b="0"/>
          <wp:docPr id="46708194" name="Picture 4670819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694567" name="Picture 97469456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r w:rsidRPr="00081542">
      <w:t> | </w:t>
    </w:r>
    <w:fldSimple w:instr=" TITLE   \* MERGEFORMAT ">
      <w:r w:rsidR="008952F5">
        <w:t>Budget Paper No. 2</w:t>
      </w:r>
    </w:fldSimple>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8C3478" w14:paraId="3817A612" w14:textId="77777777" w:rsidTr="00362707">
      <w:trPr>
        <w:trHeight w:hRule="exact" w:val="340"/>
      </w:trPr>
      <w:tc>
        <w:tcPr>
          <w:tcW w:w="7797" w:type="dxa"/>
          <w:tcMar>
            <w:left w:w="108" w:type="dxa"/>
            <w:right w:w="108" w:type="dxa"/>
          </w:tcMar>
        </w:tcPr>
        <w:p w14:paraId="7431DDD2" w14:textId="54304085" w:rsidR="008C3478" w:rsidRPr="00D13BF9" w:rsidRDefault="004B40B5" w:rsidP="008C3478">
          <w:pPr>
            <w:pStyle w:val="HeaderOdd"/>
          </w:pPr>
          <w:fldSimple w:instr=" STYLEREF  PortfolioName  \* MERGEFORMAT ">
            <w:r w:rsidR="009E261C">
              <w:rPr>
                <w:noProof/>
              </w:rPr>
              <w:t>Climate</w:t>
            </w:r>
            <w:r w:rsidR="009E261C" w:rsidRPr="009E261C">
              <w:rPr>
                <w:rFonts w:ascii="Cambria Math" w:hAnsi="Cambria Math" w:cs="Cambria Math"/>
                <w:noProof/>
              </w:rPr>
              <w:t xml:space="preserve"> </w:t>
            </w:r>
            <w:r w:rsidR="009E261C">
              <w:rPr>
                <w:noProof/>
              </w:rPr>
              <w:t>Change, Energy, the Environment and Water</w:t>
            </w:r>
          </w:fldSimple>
          <w:r w:rsidR="008C3478" w:rsidRPr="00081542">
            <w:t> | </w:t>
          </w:r>
          <w:r w:rsidR="008C3478" w:rsidRPr="002709D2">
            <w:rPr>
              <w:noProof/>
              <w:position w:val="-8"/>
              <w:vertAlign w:val="subscript"/>
            </w:rPr>
            <w:drawing>
              <wp:inline distT="0" distB="0" distL="0" distR="0" wp14:anchorId="7E4ABFDA" wp14:editId="14AEFAB2">
                <wp:extent cx="864091" cy="198000"/>
                <wp:effectExtent l="0" t="0" r="0" b="0"/>
                <wp:docPr id="1388207193" name="Picture 13882071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1864" name="Picture 1537186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p>
      </w:tc>
    </w:tr>
  </w:tbl>
  <w:p w14:paraId="71829346" w14:textId="4C8FBBB5" w:rsidR="00997AF2" w:rsidRPr="008C3478" w:rsidRDefault="00997AF2" w:rsidP="008C34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CD723" w14:textId="571C8033" w:rsidR="00997AF2" w:rsidRPr="00997AF2" w:rsidRDefault="5FA307DC" w:rsidP="5FA307DC">
    <w:pPr>
      <w:pStyle w:val="HeaderOdd"/>
      <w:rPr>
        <w:position w:val="-10"/>
        <w:lang w:val="en-US"/>
      </w:rPr>
    </w:pPr>
    <w:r w:rsidRPr="5FA307DC">
      <w:rPr>
        <w:lang w:val="en-US"/>
      </w:rPr>
      <w:t xml:space="preserve">Budget Paper No. </w:t>
    </w:r>
    <w:proofErr w:type="gramStart"/>
    <w:r w:rsidRPr="5FA307DC">
      <w:rPr>
        <w:lang w:val="en-US"/>
      </w:rPr>
      <w:t>2  |</w:t>
    </w:r>
    <w:proofErr w:type="gramEnd"/>
    <w:r w:rsidRPr="5FA307DC">
      <w:rPr>
        <w:lang w:val="en-US"/>
      </w:rPr>
      <w:t xml:space="preserve">  </w:t>
    </w:r>
    <w:r>
      <w:rPr>
        <w:noProof/>
      </w:rPr>
      <w:drawing>
        <wp:inline distT="0" distB="0" distL="0" distR="0" wp14:anchorId="13F0F41B" wp14:editId="4F1A6D42">
          <wp:extent cx="906980" cy="174483"/>
          <wp:effectExtent l="0" t="0" r="0" b="0"/>
          <wp:docPr id="429278781" name="Picture 4292787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C183D7F6-B498-43B3-948B-1728B52AA6E4}">
                        <adec:decorative xmlns="" xmlns:o="urn:schemas-microsoft-com:office:office" xmlns:v="urn:schemas-microsoft-com:vml" xmlns:w10="urn:schemas-microsoft-com:office:word" xmlns:w="http://schemas.openxmlformats.org/wordprocessingml/2006/main" xmlns:w16sdtfl="http://schemas.microsoft.com/office/word/2024/wordml/sdtformatlock" xmlns:a14="http://schemas.microsoft.com/office/drawing/2010/main" xmlns:adec="http://schemas.microsoft.com/office/drawing/2017/decorative" val="1"/>
                      </a:ext>
                    </a:extLst>
                  </a:blip>
                  <a:stretch>
                    <a:fillRect/>
                  </a:stretch>
                </pic:blipFill>
                <pic:spPr>
                  <a:xfrm>
                    <a:off x="0" y="0"/>
                    <a:ext cx="906980" cy="174483"/>
                  </a:xfrm>
                  <a:prstGeom prst="rect">
                    <a:avLst/>
                  </a:prstGeom>
                </pic:spPr>
              </pic:pic>
            </a:graphicData>
          </a:graphic>
        </wp:inline>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108C7" w14:textId="680785BB" w:rsidR="00997AF2" w:rsidRDefault="00997AF2" w:rsidP="00997AF2">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6B29C" w14:textId="2662C0CA" w:rsidR="00997AF2" w:rsidRPr="00BA139C" w:rsidRDefault="00BA139C" w:rsidP="00BA139C">
    <w:pPr>
      <w:pStyle w:val="HeaderEven"/>
    </w:pPr>
    <w:r w:rsidRPr="008C56E1">
      <w:rPr>
        <w:noProof/>
        <w:position w:val="-8"/>
      </w:rPr>
      <w:drawing>
        <wp:inline distT="0" distB="0" distL="0" distR="0" wp14:anchorId="5D67265A" wp14:editId="59372D86">
          <wp:extent cx="864091" cy="198000"/>
          <wp:effectExtent l="0" t="0" r="0" b="0"/>
          <wp:docPr id="2093223494" name="Picture 209322349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694567" name="Picture 97469456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r w:rsidRPr="00081542">
      <w:t> | </w:t>
    </w:r>
    <w:fldSimple w:instr=" TITLE   \* MERGEFORMAT ">
      <w:r w:rsidR="008952F5">
        <w:t>Budget Paper No. 2</w:t>
      </w:r>
    </w:fldSimple>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E518C6" w14:paraId="1325D2AC" w14:textId="77777777" w:rsidTr="00362707">
      <w:trPr>
        <w:trHeight w:hRule="exact" w:val="340"/>
      </w:trPr>
      <w:tc>
        <w:tcPr>
          <w:tcW w:w="7797" w:type="dxa"/>
          <w:tcMar>
            <w:left w:w="108" w:type="dxa"/>
            <w:right w:w="108" w:type="dxa"/>
          </w:tcMar>
        </w:tcPr>
        <w:p w14:paraId="67286133" w14:textId="500C72D4" w:rsidR="00E518C6" w:rsidRPr="00D13BF9" w:rsidRDefault="004B40B5" w:rsidP="00E518C6">
          <w:pPr>
            <w:pStyle w:val="HeaderOdd"/>
          </w:pPr>
          <w:fldSimple w:instr=" STYLEREF  PortfolioName  \* MERGEFORMAT ">
            <w:r w:rsidR="009E261C">
              <w:rPr>
                <w:noProof/>
              </w:rPr>
              <w:t>Cross</w:t>
            </w:r>
            <w:r w:rsidR="009E261C" w:rsidRPr="009E261C">
              <w:rPr>
                <w:rFonts w:ascii="Cambria Math" w:hAnsi="Cambria Math" w:cs="Cambria Math"/>
                <w:noProof/>
              </w:rPr>
              <w:t xml:space="preserve"> </w:t>
            </w:r>
            <w:r w:rsidR="009E261C">
              <w:rPr>
                <w:noProof/>
              </w:rPr>
              <w:t>Portfolio</w:t>
            </w:r>
          </w:fldSimple>
          <w:r w:rsidR="00E518C6" w:rsidRPr="00081542">
            <w:t> | </w:t>
          </w:r>
          <w:r w:rsidR="00E518C6" w:rsidRPr="002709D2">
            <w:rPr>
              <w:noProof/>
              <w:position w:val="-8"/>
              <w:vertAlign w:val="subscript"/>
            </w:rPr>
            <w:drawing>
              <wp:inline distT="0" distB="0" distL="0" distR="0" wp14:anchorId="2D0FCE9A" wp14:editId="5275B3AD">
                <wp:extent cx="864091" cy="198000"/>
                <wp:effectExtent l="0" t="0" r="0" b="0"/>
                <wp:docPr id="1350076736" name="Picture 13500767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1864" name="Picture 1537186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p>
      </w:tc>
    </w:tr>
  </w:tbl>
  <w:p w14:paraId="250DF751" w14:textId="50943E14" w:rsidR="00997AF2" w:rsidRPr="00E518C6" w:rsidRDefault="00997AF2" w:rsidP="00E518C6">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639C1" w14:textId="00614F76" w:rsidR="00997AF2" w:rsidRDefault="00997AF2" w:rsidP="00997AF2">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703E5" w14:textId="0160B8BB" w:rsidR="00997AF2" w:rsidRDefault="00BA139C" w:rsidP="00997AF2">
    <w:pPr>
      <w:pStyle w:val="HeaderEven"/>
    </w:pPr>
    <w:r w:rsidRPr="008C56E1">
      <w:rPr>
        <w:noProof/>
        <w:position w:val="-8"/>
      </w:rPr>
      <w:drawing>
        <wp:inline distT="0" distB="0" distL="0" distR="0" wp14:anchorId="08CBFC50" wp14:editId="149B422A">
          <wp:extent cx="864091" cy="198000"/>
          <wp:effectExtent l="0" t="0" r="0" b="0"/>
          <wp:docPr id="1259203395" name="Picture 12592033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694567" name="Picture 97469456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r w:rsidRPr="00081542">
      <w:t> | </w:t>
    </w:r>
    <w:fldSimple w:instr=" TITLE   \* MERGEFORMAT ">
      <w:r w:rsidR="008952F5">
        <w:t>Budget Paper No. 2</w:t>
      </w:r>
    </w:fldSimple>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E518C6" w14:paraId="68C8CA74" w14:textId="77777777" w:rsidTr="00362707">
      <w:trPr>
        <w:trHeight w:hRule="exact" w:val="340"/>
      </w:trPr>
      <w:tc>
        <w:tcPr>
          <w:tcW w:w="7797" w:type="dxa"/>
          <w:tcMar>
            <w:left w:w="108" w:type="dxa"/>
            <w:right w:w="108" w:type="dxa"/>
          </w:tcMar>
        </w:tcPr>
        <w:p w14:paraId="5462AE62" w14:textId="31732EFB" w:rsidR="00E518C6" w:rsidRPr="00D13BF9" w:rsidRDefault="004B40B5" w:rsidP="00E518C6">
          <w:pPr>
            <w:pStyle w:val="HeaderOdd"/>
          </w:pPr>
          <w:fldSimple w:instr=" STYLEREF  PortfolioName  \* MERGEFORMAT ">
            <w:r w:rsidR="009E261C">
              <w:rPr>
                <w:noProof/>
              </w:rPr>
              <w:t>Defence</w:t>
            </w:r>
          </w:fldSimple>
          <w:r w:rsidR="00E518C6" w:rsidRPr="00081542">
            <w:t> | </w:t>
          </w:r>
          <w:r w:rsidR="00E518C6" w:rsidRPr="002709D2">
            <w:rPr>
              <w:noProof/>
              <w:position w:val="-8"/>
              <w:vertAlign w:val="subscript"/>
            </w:rPr>
            <w:drawing>
              <wp:inline distT="0" distB="0" distL="0" distR="0" wp14:anchorId="7A0BBC2C" wp14:editId="2F3EE3BD">
                <wp:extent cx="864091" cy="198000"/>
                <wp:effectExtent l="0" t="0" r="0" b="0"/>
                <wp:docPr id="828218042" name="Picture 8282180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1864" name="Picture 1537186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p>
      </w:tc>
    </w:tr>
  </w:tbl>
  <w:p w14:paraId="4473D41A" w14:textId="0B43BBFE" w:rsidR="00997AF2" w:rsidRPr="00E518C6" w:rsidRDefault="00997AF2" w:rsidP="00E518C6">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FA6B4" w14:textId="0C4D34A9" w:rsidR="00997AF2" w:rsidRDefault="00997AF2" w:rsidP="00997AF2">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CB41E" w14:textId="0F2FD807" w:rsidR="00997AF2" w:rsidRDefault="00BA139C" w:rsidP="00997AF2">
    <w:pPr>
      <w:pStyle w:val="HeaderEven"/>
    </w:pPr>
    <w:r w:rsidRPr="008C56E1">
      <w:rPr>
        <w:noProof/>
        <w:position w:val="-8"/>
      </w:rPr>
      <w:drawing>
        <wp:inline distT="0" distB="0" distL="0" distR="0" wp14:anchorId="0C7F2117" wp14:editId="04252BD4">
          <wp:extent cx="864091" cy="198000"/>
          <wp:effectExtent l="0" t="0" r="0" b="0"/>
          <wp:docPr id="1658508385" name="Picture 16585083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694567" name="Picture 97469456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r w:rsidRPr="00081542">
      <w:t> | </w:t>
    </w:r>
    <w:fldSimple w:instr=" TITLE   \* MERGEFORMAT ">
      <w:r w:rsidR="008952F5">
        <w:t>Budget Paper No. 2</w:t>
      </w:r>
    </w:fldSimple>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E518C6" w14:paraId="16DA4070" w14:textId="77777777" w:rsidTr="00362707">
      <w:trPr>
        <w:trHeight w:hRule="exact" w:val="340"/>
      </w:trPr>
      <w:tc>
        <w:tcPr>
          <w:tcW w:w="7797" w:type="dxa"/>
          <w:tcMar>
            <w:left w:w="108" w:type="dxa"/>
            <w:right w:w="108" w:type="dxa"/>
          </w:tcMar>
        </w:tcPr>
        <w:p w14:paraId="7CEFCEB7" w14:textId="290A6A00" w:rsidR="00E518C6" w:rsidRPr="00D13BF9" w:rsidRDefault="004B40B5" w:rsidP="00E518C6">
          <w:pPr>
            <w:pStyle w:val="HeaderOdd"/>
          </w:pPr>
          <w:fldSimple w:instr=" STYLEREF  PortfolioName  \* MERGEFORMAT ">
            <w:r w:rsidR="009E261C">
              <w:rPr>
                <w:noProof/>
              </w:rPr>
              <w:t>Education</w:t>
            </w:r>
          </w:fldSimple>
          <w:r w:rsidR="00E518C6" w:rsidRPr="00081542">
            <w:t> | </w:t>
          </w:r>
          <w:r w:rsidR="00E518C6" w:rsidRPr="002709D2">
            <w:rPr>
              <w:noProof/>
              <w:position w:val="-8"/>
              <w:vertAlign w:val="subscript"/>
            </w:rPr>
            <w:drawing>
              <wp:inline distT="0" distB="0" distL="0" distR="0" wp14:anchorId="4DE6C933" wp14:editId="29C1926E">
                <wp:extent cx="864091" cy="198000"/>
                <wp:effectExtent l="0" t="0" r="0" b="0"/>
                <wp:docPr id="303056966" name="Picture 3030569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1864" name="Picture 1537186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p>
      </w:tc>
    </w:tr>
  </w:tbl>
  <w:p w14:paraId="7B790676" w14:textId="526CE05C" w:rsidR="00997AF2" w:rsidRPr="00E518C6" w:rsidRDefault="00997AF2" w:rsidP="00E518C6">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144B2" w14:textId="7C57C3FE" w:rsidR="00997AF2" w:rsidRDefault="00997AF2" w:rsidP="00997A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C2B13" w14:textId="51813960" w:rsidR="00997AF2" w:rsidRDefault="5FA307DC" w:rsidP="00997AF2">
    <w:pPr>
      <w:pStyle w:val="HeaderEven"/>
    </w:pPr>
    <w:r>
      <w:rPr>
        <w:noProof/>
      </w:rPr>
      <w:drawing>
        <wp:inline distT="0" distB="0" distL="0" distR="0" wp14:anchorId="06E301CA" wp14:editId="43DE510C">
          <wp:extent cx="906980" cy="174483"/>
          <wp:effectExtent l="0" t="0" r="0" b="0"/>
          <wp:docPr id="28349131" name="Picture 283491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C183D7F6-B498-43B3-948B-1728B52AA6E4}">
                        <adec:decorative xmlns="" xmlns:o="urn:schemas-microsoft-com:office:office" xmlns:v="urn:schemas-microsoft-com:vml" xmlns:w10="urn:schemas-microsoft-com:office:word" xmlns:w="http://schemas.openxmlformats.org/wordprocessingml/2006/main" xmlns:w16sdtfl="http://schemas.microsoft.com/office/word/2024/wordml/sdtformatlock" xmlns:a14="http://schemas.microsoft.com/office/drawing/2010/main" xmlns:adec="http://schemas.microsoft.com/office/drawing/2017/decorative" val="1"/>
                      </a:ext>
                    </a:extLst>
                  </a:blip>
                  <a:stretch>
                    <a:fillRect/>
                  </a:stretch>
                </pic:blipFill>
                <pic:spPr>
                  <a:xfrm>
                    <a:off x="0" y="0"/>
                    <a:ext cx="906980" cy="174483"/>
                  </a:xfrm>
                  <a:prstGeom prst="rect">
                    <a:avLst/>
                  </a:prstGeom>
                </pic:spPr>
              </pic:pic>
            </a:graphicData>
          </a:graphic>
        </wp:inline>
      </w:drawing>
    </w:r>
    <w:r w:rsidRPr="5FA307DC">
      <w:rPr>
        <w:lang w:val="en-US"/>
      </w:rPr>
      <w:t xml:space="preserve">  </w:t>
    </w:r>
    <w:proofErr w:type="gramStart"/>
    <w:r w:rsidRPr="5FA307DC">
      <w:rPr>
        <w:lang w:val="en-US"/>
      </w:rPr>
      <w:t>|  Budget</w:t>
    </w:r>
    <w:proofErr w:type="gramEnd"/>
    <w:r w:rsidRPr="5FA307DC">
      <w:rPr>
        <w:lang w:val="en-US"/>
      </w:rPr>
      <w:t xml:space="preserve"> Paper No. 2</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A96D4" w14:textId="7F6ABEFA" w:rsidR="00997AF2" w:rsidRDefault="00BA139C" w:rsidP="00997AF2">
    <w:pPr>
      <w:pStyle w:val="HeaderEven"/>
    </w:pPr>
    <w:r w:rsidRPr="008C56E1">
      <w:rPr>
        <w:noProof/>
        <w:position w:val="-8"/>
      </w:rPr>
      <w:drawing>
        <wp:inline distT="0" distB="0" distL="0" distR="0" wp14:anchorId="46239195" wp14:editId="5D94D2A6">
          <wp:extent cx="864091" cy="198000"/>
          <wp:effectExtent l="0" t="0" r="0" b="0"/>
          <wp:docPr id="1025042671" name="Picture 10250426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694567" name="Picture 97469456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r w:rsidRPr="00081542">
      <w:t> | </w:t>
    </w:r>
    <w:fldSimple w:instr=" TITLE   \* MERGEFORMAT ">
      <w:r w:rsidR="008952F5">
        <w:t>Budget Paper No. 2</w:t>
      </w:r>
    </w:fldSimple>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E518C6" w14:paraId="42F4D5D9" w14:textId="77777777" w:rsidTr="00362707">
      <w:trPr>
        <w:trHeight w:hRule="exact" w:val="340"/>
      </w:trPr>
      <w:tc>
        <w:tcPr>
          <w:tcW w:w="7797" w:type="dxa"/>
          <w:tcMar>
            <w:left w:w="108" w:type="dxa"/>
            <w:right w:w="108" w:type="dxa"/>
          </w:tcMar>
        </w:tcPr>
        <w:p w14:paraId="6ED6D6A1" w14:textId="526F6777" w:rsidR="00E518C6" w:rsidRPr="00D13BF9" w:rsidRDefault="004B40B5" w:rsidP="00E518C6">
          <w:pPr>
            <w:pStyle w:val="HeaderOdd"/>
          </w:pPr>
          <w:fldSimple w:instr=" STYLEREF  PortfolioName  \* MERGEFORMAT ">
            <w:r w:rsidR="009E261C">
              <w:rPr>
                <w:noProof/>
              </w:rPr>
              <w:t>Employment and Workplace Relations</w:t>
            </w:r>
          </w:fldSimple>
          <w:r w:rsidR="00E518C6" w:rsidRPr="00081542">
            <w:t> | </w:t>
          </w:r>
          <w:r w:rsidR="00E518C6" w:rsidRPr="002709D2">
            <w:rPr>
              <w:noProof/>
              <w:position w:val="-8"/>
              <w:vertAlign w:val="subscript"/>
            </w:rPr>
            <w:drawing>
              <wp:inline distT="0" distB="0" distL="0" distR="0" wp14:anchorId="45BCCD4F" wp14:editId="771D239E">
                <wp:extent cx="864091" cy="198000"/>
                <wp:effectExtent l="0" t="0" r="0" b="0"/>
                <wp:docPr id="1046612646" name="Picture 10466126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1864" name="Picture 1537186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p>
      </w:tc>
    </w:tr>
  </w:tbl>
  <w:p w14:paraId="51A286B2" w14:textId="2F260D32" w:rsidR="00997AF2" w:rsidRPr="00E518C6" w:rsidRDefault="00997AF2" w:rsidP="00E518C6">
    <w:pPr>
      <w:pStyle w:val="HeaderOdd"/>
      <w:jc w:val="left"/>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1B54C" w14:textId="1D010B18" w:rsidR="00997AF2" w:rsidRDefault="00997AF2" w:rsidP="00997AF2">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80704" w14:textId="16174354" w:rsidR="00997AF2" w:rsidRDefault="00BA139C" w:rsidP="00997AF2">
    <w:pPr>
      <w:pStyle w:val="HeaderEven"/>
    </w:pPr>
    <w:r w:rsidRPr="008C56E1">
      <w:rPr>
        <w:noProof/>
        <w:position w:val="-8"/>
      </w:rPr>
      <w:drawing>
        <wp:inline distT="0" distB="0" distL="0" distR="0" wp14:anchorId="461E9952" wp14:editId="1EECB14A">
          <wp:extent cx="864091" cy="198000"/>
          <wp:effectExtent l="0" t="0" r="0" b="0"/>
          <wp:docPr id="1047503997" name="Picture 10475039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694567" name="Picture 97469456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r w:rsidRPr="00081542">
      <w:t> | </w:t>
    </w:r>
    <w:fldSimple w:instr=" TITLE   \* MERGEFORMAT ">
      <w:r w:rsidR="008952F5">
        <w:t>Budget Paper No. 2</w:t>
      </w:r>
    </w:fldSimple>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E518C6" w14:paraId="085AA5B3" w14:textId="77777777" w:rsidTr="00362707">
      <w:trPr>
        <w:trHeight w:hRule="exact" w:val="340"/>
      </w:trPr>
      <w:tc>
        <w:tcPr>
          <w:tcW w:w="7797" w:type="dxa"/>
          <w:tcMar>
            <w:left w:w="108" w:type="dxa"/>
            <w:right w:w="108" w:type="dxa"/>
          </w:tcMar>
        </w:tcPr>
        <w:p w14:paraId="6F6171E1" w14:textId="535BE59A" w:rsidR="00E518C6" w:rsidRPr="00D13BF9" w:rsidRDefault="004B40B5" w:rsidP="00E518C6">
          <w:pPr>
            <w:pStyle w:val="HeaderOdd"/>
          </w:pPr>
          <w:fldSimple w:instr=" STYLEREF  PortfolioName  \* MERGEFORMAT ">
            <w:r w:rsidR="009E261C">
              <w:rPr>
                <w:noProof/>
              </w:rPr>
              <w:t>Foreign</w:t>
            </w:r>
            <w:r w:rsidR="009E261C" w:rsidRPr="009E261C">
              <w:rPr>
                <w:rFonts w:ascii="Cambria Math" w:hAnsi="Cambria Math" w:cs="Cambria Math"/>
                <w:noProof/>
              </w:rPr>
              <w:t xml:space="preserve"> </w:t>
            </w:r>
            <w:r w:rsidR="009E261C">
              <w:rPr>
                <w:noProof/>
              </w:rPr>
              <w:t>Affairs and Trade</w:t>
            </w:r>
          </w:fldSimple>
          <w:r w:rsidR="00E518C6" w:rsidRPr="00081542">
            <w:t> | </w:t>
          </w:r>
          <w:r w:rsidR="00E518C6" w:rsidRPr="002709D2">
            <w:rPr>
              <w:noProof/>
              <w:position w:val="-8"/>
              <w:vertAlign w:val="subscript"/>
            </w:rPr>
            <w:drawing>
              <wp:inline distT="0" distB="0" distL="0" distR="0" wp14:anchorId="1893794E" wp14:editId="6CA15E6E">
                <wp:extent cx="864091" cy="198000"/>
                <wp:effectExtent l="0" t="0" r="0" b="0"/>
                <wp:docPr id="1986258680" name="Picture 19862586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1864" name="Picture 1537186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p>
      </w:tc>
    </w:tr>
  </w:tbl>
  <w:p w14:paraId="0D44D264" w14:textId="51CAEDC1" w:rsidR="00997AF2" w:rsidRPr="00E518C6" w:rsidRDefault="00997AF2" w:rsidP="00E518C6">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77EDB" w14:textId="246838B6" w:rsidR="00997AF2" w:rsidRDefault="00997AF2" w:rsidP="00997AF2">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7EB1D" w14:textId="57AD806E" w:rsidR="00BA139C" w:rsidRPr="008C56E1" w:rsidRDefault="00BA139C" w:rsidP="00BA139C">
    <w:pPr>
      <w:pStyle w:val="HeaderEven"/>
    </w:pPr>
    <w:r w:rsidRPr="008C56E1">
      <w:rPr>
        <w:noProof/>
        <w:position w:val="-8"/>
      </w:rPr>
      <w:drawing>
        <wp:inline distT="0" distB="0" distL="0" distR="0" wp14:anchorId="23F3A109" wp14:editId="5475A684">
          <wp:extent cx="864091" cy="198000"/>
          <wp:effectExtent l="0" t="0" r="0" b="0"/>
          <wp:docPr id="1875423632" name="Picture 18754236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694567" name="Picture 97469456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r w:rsidRPr="00081542">
      <w:t> | </w:t>
    </w:r>
    <w:fldSimple w:instr=" TITLE   \* MERGEFORMAT ">
      <w:r w:rsidR="008952F5">
        <w:t>Budget Paper No. 2</w:t>
      </w:r>
    </w:fldSimple>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E518C6" w14:paraId="2B96D27F" w14:textId="77777777" w:rsidTr="00362707">
      <w:trPr>
        <w:trHeight w:hRule="exact" w:val="340"/>
      </w:trPr>
      <w:tc>
        <w:tcPr>
          <w:tcW w:w="7797" w:type="dxa"/>
          <w:tcMar>
            <w:left w:w="108" w:type="dxa"/>
            <w:right w:w="108" w:type="dxa"/>
          </w:tcMar>
        </w:tcPr>
        <w:p w14:paraId="70D4B7A9" w14:textId="714D85D2" w:rsidR="00E518C6" w:rsidRPr="00D13BF9" w:rsidRDefault="004B40B5" w:rsidP="00E518C6">
          <w:pPr>
            <w:pStyle w:val="HeaderOdd"/>
          </w:pPr>
          <w:fldSimple w:instr=" STYLEREF  PortfolioName  \* MERGEFORMAT ">
            <w:r w:rsidR="009E261C">
              <w:rPr>
                <w:noProof/>
              </w:rPr>
              <w:t>Health</w:t>
            </w:r>
            <w:r w:rsidR="009E261C" w:rsidRPr="009E261C">
              <w:rPr>
                <w:rFonts w:ascii="Cambria Math" w:hAnsi="Cambria Math" w:cs="Cambria Math"/>
                <w:noProof/>
              </w:rPr>
              <w:t xml:space="preserve"> </w:t>
            </w:r>
            <w:r w:rsidR="009E261C">
              <w:rPr>
                <w:noProof/>
              </w:rPr>
              <w:t>and Aged Care</w:t>
            </w:r>
          </w:fldSimple>
          <w:r w:rsidR="00E518C6" w:rsidRPr="00081542">
            <w:t> | </w:t>
          </w:r>
          <w:r w:rsidR="00E518C6" w:rsidRPr="002709D2">
            <w:rPr>
              <w:noProof/>
              <w:position w:val="-8"/>
              <w:vertAlign w:val="subscript"/>
            </w:rPr>
            <w:drawing>
              <wp:inline distT="0" distB="0" distL="0" distR="0" wp14:anchorId="54160E9A" wp14:editId="6D3B1A2F">
                <wp:extent cx="864091" cy="198000"/>
                <wp:effectExtent l="0" t="0" r="0" b="0"/>
                <wp:docPr id="1818673985" name="Picture 18186739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1864" name="Picture 1537186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p>
      </w:tc>
    </w:tr>
  </w:tbl>
  <w:p w14:paraId="21B55E85" w14:textId="6F97803A" w:rsidR="00997AF2" w:rsidRPr="00E518C6" w:rsidRDefault="00997AF2" w:rsidP="00E518C6">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C3923" w14:textId="56889B85" w:rsidR="00997AF2" w:rsidRDefault="00997AF2" w:rsidP="00997AF2">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22C0E" w14:textId="3D97DB39" w:rsidR="00997AF2" w:rsidRDefault="00BA139C" w:rsidP="00997AF2">
    <w:pPr>
      <w:pStyle w:val="HeaderEven"/>
    </w:pPr>
    <w:r w:rsidRPr="008C56E1">
      <w:rPr>
        <w:noProof/>
        <w:position w:val="-8"/>
      </w:rPr>
      <w:drawing>
        <wp:inline distT="0" distB="0" distL="0" distR="0" wp14:anchorId="1B19CD8C" wp14:editId="47EF3FE9">
          <wp:extent cx="864091" cy="198000"/>
          <wp:effectExtent l="0" t="0" r="0" b="0"/>
          <wp:docPr id="1853891499" name="Picture 18538914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694567" name="Picture 97469456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r w:rsidRPr="00081542">
      <w:t> | </w:t>
    </w:r>
    <w:fldSimple w:instr=" TITLE   \* MERGEFORMAT ">
      <w:r w:rsidR="008952F5">
        <w:t>Budget Paper No. 2</w:t>
      </w:r>
    </w:fldSimple>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8A6B48" w14:paraId="7EFF829C" w14:textId="77777777" w:rsidTr="00362707">
      <w:trPr>
        <w:trHeight w:hRule="exact" w:val="340"/>
      </w:trPr>
      <w:tc>
        <w:tcPr>
          <w:tcW w:w="7797" w:type="dxa"/>
          <w:tcMar>
            <w:left w:w="108" w:type="dxa"/>
            <w:right w:w="108" w:type="dxa"/>
          </w:tcMar>
        </w:tcPr>
        <w:p w14:paraId="45879F85" w14:textId="14116A0A" w:rsidR="008A6B48" w:rsidRPr="00D13BF9" w:rsidRDefault="004B40B5" w:rsidP="008A6B48">
          <w:pPr>
            <w:pStyle w:val="HeaderOdd"/>
          </w:pPr>
          <w:fldSimple w:instr=" STYLEREF  PortfolioName  \* MERGEFORMAT ">
            <w:r w:rsidR="001D61F6">
              <w:rPr>
                <w:noProof/>
              </w:rPr>
              <w:t>Home Affairs</w:t>
            </w:r>
          </w:fldSimple>
          <w:r w:rsidR="008A6B48" w:rsidRPr="00081542">
            <w:t> | </w:t>
          </w:r>
          <w:r w:rsidR="008A6B48" w:rsidRPr="002709D2">
            <w:rPr>
              <w:noProof/>
              <w:position w:val="-8"/>
              <w:vertAlign w:val="subscript"/>
            </w:rPr>
            <w:drawing>
              <wp:inline distT="0" distB="0" distL="0" distR="0" wp14:anchorId="2B429DF3" wp14:editId="35B22FBF">
                <wp:extent cx="864091" cy="198000"/>
                <wp:effectExtent l="0" t="0" r="0" b="0"/>
                <wp:docPr id="295202271" name="Picture 2952022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1864" name="Picture 1537186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p>
      </w:tc>
    </w:tr>
  </w:tbl>
  <w:p w14:paraId="69FA8301" w14:textId="2815CB5C" w:rsidR="00997AF2" w:rsidRPr="00125AEB" w:rsidRDefault="00997AF2" w:rsidP="00BA139C">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E73C9B" w14:paraId="3BDC4B2B" w14:textId="77777777" w:rsidTr="00362707">
      <w:trPr>
        <w:trHeight w:hRule="exact" w:val="340"/>
      </w:trPr>
      <w:tc>
        <w:tcPr>
          <w:tcW w:w="7797" w:type="dxa"/>
          <w:tcMar>
            <w:left w:w="108" w:type="dxa"/>
            <w:right w:w="108" w:type="dxa"/>
          </w:tcMar>
        </w:tcPr>
        <w:p w14:paraId="16FB258D" w14:textId="7D9935CC" w:rsidR="00E73C9B" w:rsidRPr="00D13BF9" w:rsidRDefault="004B40B5" w:rsidP="00E73C9B">
          <w:pPr>
            <w:pStyle w:val="HeaderOdd"/>
          </w:pPr>
          <w:fldSimple w:instr=" STYLEREF  PortfolioName  \* MERGEFORMAT ">
            <w:r w:rsidR="009E261C">
              <w:rPr>
                <w:noProof/>
              </w:rPr>
              <w:t>Home</w:t>
            </w:r>
            <w:r w:rsidR="009E261C" w:rsidRPr="009E261C">
              <w:rPr>
                <w:rFonts w:ascii="Cambria Math" w:hAnsi="Cambria Math" w:cs="Cambria Math"/>
                <w:noProof/>
              </w:rPr>
              <w:t xml:space="preserve"> </w:t>
            </w:r>
            <w:r w:rsidR="009E261C">
              <w:rPr>
                <w:noProof/>
              </w:rPr>
              <w:t>Affairs</w:t>
            </w:r>
          </w:fldSimple>
          <w:r w:rsidR="00E73C9B" w:rsidRPr="00081542">
            <w:t> | </w:t>
          </w:r>
          <w:r w:rsidR="00E73C9B" w:rsidRPr="002709D2">
            <w:rPr>
              <w:noProof/>
              <w:position w:val="-8"/>
              <w:vertAlign w:val="subscript"/>
            </w:rPr>
            <w:drawing>
              <wp:inline distT="0" distB="0" distL="0" distR="0" wp14:anchorId="0D3C8C43" wp14:editId="66DD9F6F">
                <wp:extent cx="864091" cy="198000"/>
                <wp:effectExtent l="0" t="0" r="0" b="0"/>
                <wp:docPr id="56028457" name="Picture 560284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1864" name="Picture 1537186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p>
      </w:tc>
    </w:tr>
  </w:tbl>
  <w:p w14:paraId="538BC487" w14:textId="0B63C43E" w:rsidR="00997AF2" w:rsidRPr="00E73C9B" w:rsidRDefault="00997AF2" w:rsidP="00E73C9B">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F03D2" w14:textId="28C9453E" w:rsidR="00997AF2" w:rsidRDefault="00997AF2" w:rsidP="00997AF2">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3804F" w14:textId="4AF88E00" w:rsidR="00997AF2" w:rsidRDefault="00BA139C" w:rsidP="00997AF2">
    <w:pPr>
      <w:pStyle w:val="HeaderEven"/>
    </w:pPr>
    <w:r w:rsidRPr="008C56E1">
      <w:rPr>
        <w:noProof/>
        <w:position w:val="-8"/>
      </w:rPr>
      <w:drawing>
        <wp:inline distT="0" distB="0" distL="0" distR="0" wp14:anchorId="2C67F24F" wp14:editId="2AC78051">
          <wp:extent cx="864091" cy="198000"/>
          <wp:effectExtent l="0" t="0" r="0" b="0"/>
          <wp:docPr id="713125607" name="Picture 7131256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694567" name="Picture 97469456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r w:rsidRPr="00081542">
      <w:t> | </w:t>
    </w:r>
    <w:fldSimple w:instr=" TITLE   \* MERGEFORMAT ">
      <w:r w:rsidR="008952F5">
        <w:t>Budget Paper No. 2</w:t>
      </w:r>
    </w:fldSimple>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E73C9B" w14:paraId="1B87925F" w14:textId="77777777" w:rsidTr="00362707">
      <w:trPr>
        <w:trHeight w:hRule="exact" w:val="340"/>
      </w:trPr>
      <w:tc>
        <w:tcPr>
          <w:tcW w:w="7797" w:type="dxa"/>
          <w:tcMar>
            <w:left w:w="108" w:type="dxa"/>
            <w:right w:w="108" w:type="dxa"/>
          </w:tcMar>
        </w:tcPr>
        <w:p w14:paraId="656CD72C" w14:textId="38297D2F" w:rsidR="00E73C9B" w:rsidRPr="00D13BF9" w:rsidRDefault="004B40B5" w:rsidP="00E73C9B">
          <w:pPr>
            <w:pStyle w:val="HeaderOdd"/>
          </w:pPr>
          <w:fldSimple w:instr=" STYLEREF  PortfolioName  \* MERGEFORMAT ">
            <w:r w:rsidR="009E261C">
              <w:rPr>
                <w:noProof/>
              </w:rPr>
              <w:t>Industry</w:t>
            </w:r>
            <w:r w:rsidR="009E261C" w:rsidRPr="009E261C">
              <w:rPr>
                <w:rFonts w:ascii="Cambria Math" w:hAnsi="Cambria Math" w:cs="Cambria Math"/>
                <w:noProof/>
              </w:rPr>
              <w:t>,</w:t>
            </w:r>
            <w:r w:rsidR="009E261C">
              <w:rPr>
                <w:noProof/>
              </w:rPr>
              <w:t xml:space="preserve"> Science and Resources</w:t>
            </w:r>
          </w:fldSimple>
          <w:r w:rsidR="00E73C9B" w:rsidRPr="00081542">
            <w:t> | </w:t>
          </w:r>
          <w:r w:rsidR="00E73C9B" w:rsidRPr="002709D2">
            <w:rPr>
              <w:noProof/>
              <w:position w:val="-8"/>
              <w:vertAlign w:val="subscript"/>
            </w:rPr>
            <w:drawing>
              <wp:inline distT="0" distB="0" distL="0" distR="0" wp14:anchorId="3B0702C1" wp14:editId="17018174">
                <wp:extent cx="864091" cy="198000"/>
                <wp:effectExtent l="0" t="0" r="0" b="0"/>
                <wp:docPr id="2067693531" name="Picture 20676935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1864" name="Picture 1537186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p>
      </w:tc>
    </w:tr>
  </w:tbl>
  <w:p w14:paraId="28D4CC76" w14:textId="15475553" w:rsidR="00997AF2" w:rsidRPr="00E73C9B" w:rsidRDefault="00997AF2" w:rsidP="00E73C9B">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CF1CA" w14:textId="66521C1F" w:rsidR="00997AF2" w:rsidRDefault="00997AF2" w:rsidP="00997AF2">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23B7F" w14:textId="1CFADD1B" w:rsidR="00997AF2" w:rsidRPr="00BA139C" w:rsidRDefault="00BA139C" w:rsidP="00BA139C">
    <w:pPr>
      <w:pStyle w:val="HeaderEven"/>
    </w:pPr>
    <w:r w:rsidRPr="008C56E1">
      <w:rPr>
        <w:noProof/>
        <w:position w:val="-8"/>
      </w:rPr>
      <w:drawing>
        <wp:inline distT="0" distB="0" distL="0" distR="0" wp14:anchorId="02376989" wp14:editId="22D86F88">
          <wp:extent cx="864091" cy="198000"/>
          <wp:effectExtent l="0" t="0" r="0" b="0"/>
          <wp:docPr id="642988689" name="Picture 6429886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694567" name="Picture 97469456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r w:rsidRPr="00081542">
      <w:t> | </w:t>
    </w:r>
    <w:fldSimple w:instr=" TITLE   \* MERGEFORMAT ">
      <w:r w:rsidR="008952F5">
        <w:t>Budget Paper No. 2</w:t>
      </w:r>
    </w:fldSimple>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D703F6" w:rsidRPr="00352A16" w14:paraId="129D3ADC" w14:textId="77777777" w:rsidTr="00362707">
      <w:trPr>
        <w:trHeight w:hRule="exact" w:val="340"/>
      </w:trPr>
      <w:tc>
        <w:tcPr>
          <w:tcW w:w="7797" w:type="dxa"/>
          <w:tcMar>
            <w:left w:w="108" w:type="dxa"/>
            <w:right w:w="108" w:type="dxa"/>
          </w:tcMar>
        </w:tcPr>
        <w:p w14:paraId="18C32CE0" w14:textId="2FBA613A" w:rsidR="00D703F6" w:rsidRPr="00352A16" w:rsidRDefault="009B022A" w:rsidP="00352A16">
          <w:pPr>
            <w:pStyle w:val="HeaderOdd"/>
            <w:spacing w:after="0" w:line="240" w:lineRule="auto"/>
            <w:rPr>
              <w:spacing w:val="-6"/>
            </w:rPr>
          </w:pPr>
          <w:r w:rsidRPr="00352A16">
            <w:rPr>
              <w:spacing w:val="-6"/>
              <w:szCs w:val="18"/>
            </w:rPr>
            <w:t>Infrastructure, Transport, Regional Development, Communications and the Arts</w:t>
          </w:r>
          <w:r w:rsidR="00A537F1" w:rsidRPr="00352A16">
            <w:rPr>
              <w:spacing w:val="-6"/>
            </w:rPr>
            <w:t> | </w:t>
          </w:r>
          <w:r w:rsidR="00A537F1" w:rsidRPr="00352A16">
            <w:rPr>
              <w:noProof/>
              <w:spacing w:val="-6"/>
              <w:position w:val="-8"/>
              <w:vertAlign w:val="subscript"/>
            </w:rPr>
            <w:drawing>
              <wp:inline distT="0" distB="0" distL="0" distR="0" wp14:anchorId="6C964DBE" wp14:editId="5D317539">
                <wp:extent cx="864091" cy="198000"/>
                <wp:effectExtent l="0" t="0" r="0" b="0"/>
                <wp:docPr id="602186520" name="Picture 6021865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1864" name="Picture 1537186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p>
      </w:tc>
    </w:tr>
  </w:tbl>
  <w:p w14:paraId="0DD07280" w14:textId="61C6E707" w:rsidR="00997AF2" w:rsidRPr="00D703F6" w:rsidRDefault="00997AF2" w:rsidP="00DC28AC">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A6A34" w14:textId="03125ED4" w:rsidR="00997AF2" w:rsidRDefault="00997AF2" w:rsidP="00997AF2">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D8BEE" w14:textId="48456C0F" w:rsidR="00997AF2" w:rsidRDefault="00BA139C" w:rsidP="00997AF2">
    <w:pPr>
      <w:pStyle w:val="HeaderEven"/>
    </w:pPr>
    <w:r w:rsidRPr="008C56E1">
      <w:rPr>
        <w:noProof/>
        <w:position w:val="-8"/>
      </w:rPr>
      <w:drawing>
        <wp:inline distT="0" distB="0" distL="0" distR="0" wp14:anchorId="1D53C3EF" wp14:editId="31905FF2">
          <wp:extent cx="864091" cy="198000"/>
          <wp:effectExtent l="0" t="0" r="0" b="0"/>
          <wp:docPr id="1840166915" name="Picture 18401669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694567" name="Picture 97469456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r w:rsidRPr="00081542">
      <w:t> | </w:t>
    </w:r>
    <w:fldSimple w:instr=" TITLE   \* MERGEFORMAT ">
      <w:r w:rsidR="008952F5">
        <w:t>Budget Paper No. 2</w:t>
      </w:r>
    </w:fldSimple>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CD7AC9" w14:paraId="31C0751E" w14:textId="77777777" w:rsidTr="00362707">
      <w:trPr>
        <w:trHeight w:hRule="exact" w:val="340"/>
      </w:trPr>
      <w:tc>
        <w:tcPr>
          <w:tcW w:w="7797" w:type="dxa"/>
          <w:tcMar>
            <w:left w:w="108" w:type="dxa"/>
            <w:right w:w="108" w:type="dxa"/>
          </w:tcMar>
        </w:tcPr>
        <w:p w14:paraId="72A1517F" w14:textId="612C668B" w:rsidR="00CD7AC9" w:rsidRPr="00D13BF9" w:rsidRDefault="004B40B5" w:rsidP="00CD7AC9">
          <w:pPr>
            <w:pStyle w:val="HeaderOdd"/>
          </w:pPr>
          <w:fldSimple w:instr=" STYLEREF  PortfolioName  \* MERGEFORMAT ">
            <w:r w:rsidR="009E261C">
              <w:rPr>
                <w:noProof/>
              </w:rPr>
              <w:t>Prime</w:t>
            </w:r>
            <w:r w:rsidR="009E261C" w:rsidRPr="009E261C">
              <w:rPr>
                <w:rFonts w:ascii="Cambria Math" w:hAnsi="Cambria Math" w:cs="Cambria Math"/>
                <w:noProof/>
              </w:rPr>
              <w:t xml:space="preserve"> </w:t>
            </w:r>
            <w:r w:rsidR="009E261C">
              <w:rPr>
                <w:noProof/>
              </w:rPr>
              <w:t>Minister and Cabinet</w:t>
            </w:r>
          </w:fldSimple>
          <w:r w:rsidR="00CD7AC9" w:rsidRPr="00081542">
            <w:t> | </w:t>
          </w:r>
          <w:r w:rsidR="00CD7AC9" w:rsidRPr="002709D2">
            <w:rPr>
              <w:noProof/>
              <w:position w:val="-8"/>
              <w:vertAlign w:val="subscript"/>
            </w:rPr>
            <w:drawing>
              <wp:inline distT="0" distB="0" distL="0" distR="0" wp14:anchorId="3F59D3BE" wp14:editId="741D03AD">
                <wp:extent cx="864091" cy="198000"/>
                <wp:effectExtent l="0" t="0" r="0" b="0"/>
                <wp:docPr id="1540497133" name="Picture 15404971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1864" name="Picture 1537186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p>
      </w:tc>
    </w:tr>
  </w:tbl>
  <w:p w14:paraId="4A684C40" w14:textId="623B5EB5" w:rsidR="00997AF2" w:rsidRPr="00CD7AC9" w:rsidRDefault="00997AF2" w:rsidP="00CD7AC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9E2CC" w14:textId="3E3E1B14" w:rsidR="00997AF2" w:rsidRDefault="00997AF2">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B76F2" w14:textId="41AE1136" w:rsidR="00997AF2" w:rsidRDefault="00997AF2" w:rsidP="00997AF2">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D398E" w14:textId="231721CA" w:rsidR="00997AF2" w:rsidRDefault="00BA139C" w:rsidP="00997AF2">
    <w:pPr>
      <w:pStyle w:val="HeaderEven"/>
    </w:pPr>
    <w:r w:rsidRPr="008C56E1">
      <w:rPr>
        <w:noProof/>
        <w:position w:val="-8"/>
      </w:rPr>
      <w:drawing>
        <wp:inline distT="0" distB="0" distL="0" distR="0" wp14:anchorId="67220C57" wp14:editId="20404EF5">
          <wp:extent cx="864091" cy="198000"/>
          <wp:effectExtent l="0" t="0" r="0" b="0"/>
          <wp:docPr id="1590481436" name="Picture 15904814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694567" name="Picture 97469456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r w:rsidRPr="00081542">
      <w:t> | </w:t>
    </w:r>
    <w:fldSimple w:instr=" TITLE   \* MERGEFORMAT ">
      <w:r w:rsidR="008952F5">
        <w:t>Budget Paper No. 2</w:t>
      </w:r>
    </w:fldSimple>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CD7AC9" w14:paraId="1F9F080B" w14:textId="77777777" w:rsidTr="00362707">
      <w:trPr>
        <w:trHeight w:hRule="exact" w:val="340"/>
      </w:trPr>
      <w:tc>
        <w:tcPr>
          <w:tcW w:w="7797" w:type="dxa"/>
          <w:tcMar>
            <w:left w:w="108" w:type="dxa"/>
            <w:right w:w="108" w:type="dxa"/>
          </w:tcMar>
        </w:tcPr>
        <w:p w14:paraId="1653959B" w14:textId="23654024" w:rsidR="00CD7AC9" w:rsidRPr="00D13BF9" w:rsidRDefault="004B40B5" w:rsidP="00CD7AC9">
          <w:pPr>
            <w:pStyle w:val="HeaderOdd"/>
          </w:pPr>
          <w:fldSimple w:instr=" STYLEREF  PortfolioName  \* MERGEFORMAT ">
            <w:r w:rsidR="009E261C">
              <w:rPr>
                <w:noProof/>
              </w:rPr>
              <w:t>Social Services</w:t>
            </w:r>
          </w:fldSimple>
          <w:r w:rsidR="00CD7AC9" w:rsidRPr="00081542">
            <w:t> | </w:t>
          </w:r>
          <w:r w:rsidR="00CD7AC9" w:rsidRPr="002709D2">
            <w:rPr>
              <w:noProof/>
              <w:position w:val="-8"/>
              <w:vertAlign w:val="subscript"/>
            </w:rPr>
            <w:drawing>
              <wp:inline distT="0" distB="0" distL="0" distR="0" wp14:anchorId="33045255" wp14:editId="47D75388">
                <wp:extent cx="864091" cy="198000"/>
                <wp:effectExtent l="0" t="0" r="0" b="0"/>
                <wp:docPr id="1236161088" name="Picture 12361610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1864" name="Picture 1537186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p>
      </w:tc>
    </w:tr>
  </w:tbl>
  <w:p w14:paraId="520BC1EC" w14:textId="3D2CD9AE" w:rsidR="00997AF2" w:rsidRPr="00CD7AC9" w:rsidRDefault="00997AF2" w:rsidP="00CD7AC9">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E9A69" w14:textId="72FFAA61" w:rsidR="00997AF2" w:rsidRDefault="00997AF2" w:rsidP="00997AF2">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0CD54" w14:textId="247AD318" w:rsidR="00997AF2" w:rsidRDefault="00BA139C" w:rsidP="00997AF2">
    <w:pPr>
      <w:pStyle w:val="HeaderEven"/>
    </w:pPr>
    <w:r w:rsidRPr="008C56E1">
      <w:rPr>
        <w:noProof/>
        <w:position w:val="-8"/>
      </w:rPr>
      <w:drawing>
        <wp:inline distT="0" distB="0" distL="0" distR="0" wp14:anchorId="59ACFA18" wp14:editId="5C03421E">
          <wp:extent cx="864091" cy="198000"/>
          <wp:effectExtent l="0" t="0" r="0" b="0"/>
          <wp:docPr id="1768731869" name="Picture 17687318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694567" name="Picture 97469456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r w:rsidRPr="00081542">
      <w:t> | </w:t>
    </w:r>
    <w:fldSimple w:instr=" TITLE   \* MERGEFORMAT ">
      <w:r w:rsidR="008952F5">
        <w:t>Budget Paper No. 2</w:t>
      </w:r>
    </w:fldSimple>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CD7AC9" w14:paraId="399702FB" w14:textId="77777777" w:rsidTr="00362707">
      <w:trPr>
        <w:trHeight w:hRule="exact" w:val="340"/>
      </w:trPr>
      <w:tc>
        <w:tcPr>
          <w:tcW w:w="7797" w:type="dxa"/>
          <w:tcMar>
            <w:left w:w="108" w:type="dxa"/>
            <w:right w:w="108" w:type="dxa"/>
          </w:tcMar>
        </w:tcPr>
        <w:p w14:paraId="0FAEA25A" w14:textId="6CFDFA7E" w:rsidR="00CD7AC9" w:rsidRPr="00D13BF9" w:rsidRDefault="004B40B5" w:rsidP="00CD7AC9">
          <w:pPr>
            <w:pStyle w:val="HeaderOdd"/>
          </w:pPr>
          <w:fldSimple w:instr=" STYLEREF  PortfolioName  \* MERGEFORMAT ">
            <w:r w:rsidR="009E261C">
              <w:rPr>
                <w:noProof/>
              </w:rPr>
              <w:t>Treasury</w:t>
            </w:r>
          </w:fldSimple>
          <w:r w:rsidR="00CD7AC9" w:rsidRPr="00081542">
            <w:t> | </w:t>
          </w:r>
          <w:r w:rsidR="00CD7AC9" w:rsidRPr="002709D2">
            <w:rPr>
              <w:noProof/>
              <w:position w:val="-8"/>
              <w:vertAlign w:val="subscript"/>
            </w:rPr>
            <w:drawing>
              <wp:inline distT="0" distB="0" distL="0" distR="0" wp14:anchorId="715A1812" wp14:editId="285A4FEB">
                <wp:extent cx="864091" cy="198000"/>
                <wp:effectExtent l="0" t="0" r="0" b="0"/>
                <wp:docPr id="429292140" name="Picture 4292921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1864" name="Picture 1537186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p>
      </w:tc>
    </w:tr>
  </w:tbl>
  <w:p w14:paraId="52540B3F" w14:textId="29860BE2" w:rsidR="00997AF2" w:rsidRPr="00CD7AC9" w:rsidRDefault="00997AF2" w:rsidP="00CD7AC9">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C347A" w14:textId="1C4714AF" w:rsidR="00997AF2" w:rsidRDefault="00997AF2" w:rsidP="00997AF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FEA03" w14:textId="1BB7A639" w:rsidR="00997AF2" w:rsidRPr="00E60477" w:rsidRDefault="00E60477" w:rsidP="00E60477">
    <w:pPr>
      <w:pStyle w:val="HeaderEven"/>
    </w:pPr>
    <w:r w:rsidRPr="008C56E1">
      <w:rPr>
        <w:noProof/>
        <w:position w:val="-8"/>
      </w:rPr>
      <w:drawing>
        <wp:inline distT="0" distB="0" distL="0" distR="0" wp14:anchorId="281E9462" wp14:editId="382F41FA">
          <wp:extent cx="864091" cy="198000"/>
          <wp:effectExtent l="0" t="0" r="0" b="0"/>
          <wp:docPr id="2014055889" name="Picture 20140558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694567" name="Picture 97469456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r w:rsidRPr="00081542">
      <w:t> | </w:t>
    </w:r>
    <w:fldSimple w:instr=" TITLE   \* MERGEFORMAT ">
      <w:r w:rsidR="008952F5">
        <w:t>Budget Paper No. 2</w:t>
      </w:r>
    </w:fldSimple>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FD2A1A" w14:paraId="613F1F0B" w14:textId="77777777" w:rsidTr="00362707">
      <w:trPr>
        <w:trHeight w:hRule="exact" w:val="340"/>
      </w:trPr>
      <w:tc>
        <w:tcPr>
          <w:tcW w:w="7797" w:type="dxa"/>
          <w:tcMar>
            <w:left w:w="108" w:type="dxa"/>
            <w:right w:w="108" w:type="dxa"/>
          </w:tcMar>
        </w:tcPr>
        <w:p w14:paraId="2D4F9620" w14:textId="7ED57417" w:rsidR="00FD2A1A" w:rsidRPr="00D13BF9" w:rsidRDefault="004B40B5" w:rsidP="00FD2A1A">
          <w:pPr>
            <w:pStyle w:val="HeaderOdd"/>
          </w:pPr>
          <w:fldSimple w:instr=" STYLEREF  PortfolioName  \* MERGEFORMAT ">
            <w:r>
              <w:rPr>
                <w:noProof/>
              </w:rPr>
              <w:t>Treasury</w:t>
            </w:r>
          </w:fldSimple>
          <w:r w:rsidR="00FD2A1A" w:rsidRPr="00081542">
            <w:t> | </w:t>
          </w:r>
          <w:r w:rsidR="00FD2A1A" w:rsidRPr="002709D2">
            <w:rPr>
              <w:noProof/>
              <w:position w:val="-8"/>
              <w:vertAlign w:val="subscript"/>
            </w:rPr>
            <w:drawing>
              <wp:inline distT="0" distB="0" distL="0" distR="0" wp14:anchorId="4D96C588" wp14:editId="2C24D8C3">
                <wp:extent cx="864091" cy="198000"/>
                <wp:effectExtent l="0" t="0" r="0" b="0"/>
                <wp:docPr id="147497378" name="Picture 1474973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1864" name="Picture 1537186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p>
      </w:tc>
    </w:tr>
  </w:tbl>
  <w:p w14:paraId="3427B71F" w14:textId="2ABFF917" w:rsidR="00997AF2" w:rsidRPr="007A78EC" w:rsidRDefault="00997AF2" w:rsidP="007A78EC"/>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24911" w14:textId="558044CF" w:rsidR="00997AF2" w:rsidRDefault="00997AF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CD5F0" w14:textId="42CE39B3" w:rsidR="00997AF2" w:rsidRPr="00BA139C" w:rsidRDefault="00BA139C" w:rsidP="00BA139C">
    <w:pPr>
      <w:pStyle w:val="HeaderEven"/>
    </w:pPr>
    <w:r w:rsidRPr="008C56E1">
      <w:rPr>
        <w:noProof/>
        <w:position w:val="-8"/>
      </w:rPr>
      <w:drawing>
        <wp:inline distT="0" distB="0" distL="0" distR="0" wp14:anchorId="6B5A5382" wp14:editId="03429672">
          <wp:extent cx="864091" cy="198000"/>
          <wp:effectExtent l="0" t="0" r="0" b="0"/>
          <wp:docPr id="2043131035" name="Picture 20431310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694567" name="Picture 97469456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r w:rsidRPr="00081542">
      <w:t> | </w:t>
    </w:r>
    <w:fldSimple w:instr=" TITLE   \* MERGEFORMAT ">
      <w:r w:rsidR="008952F5">
        <w:t>Budget Paper No. 2</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D8E43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38F83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FC8A6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6C58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5F4341E"/>
    <w:lvl w:ilvl="0">
      <w:start w:val="1"/>
      <w:numFmt w:val="bullet"/>
      <w:lvlText w:val=""/>
      <w:lvlJc w:val="left"/>
      <w:pPr>
        <w:tabs>
          <w:tab w:val="num" w:pos="1492"/>
        </w:tabs>
        <w:ind w:left="1492" w:hanging="360"/>
      </w:pPr>
      <w:rPr>
        <w:rFonts w:ascii="Book Antiqua" w:hAnsi="Book Antiqua" w:hint="default"/>
      </w:rPr>
    </w:lvl>
  </w:abstractNum>
  <w:abstractNum w:abstractNumId="5" w15:restartNumberingAfterBreak="0">
    <w:nsid w:val="FFFFFF81"/>
    <w:multiLevelType w:val="singleLevel"/>
    <w:tmpl w:val="637CFB36"/>
    <w:lvl w:ilvl="0">
      <w:start w:val="1"/>
      <w:numFmt w:val="bullet"/>
      <w:lvlText w:val=""/>
      <w:lvlJc w:val="left"/>
      <w:pPr>
        <w:tabs>
          <w:tab w:val="num" w:pos="1209"/>
        </w:tabs>
        <w:ind w:left="1209" w:hanging="360"/>
      </w:pPr>
      <w:rPr>
        <w:rFonts w:ascii="Book Antiqua" w:hAnsi="Book Antiqua" w:hint="default"/>
      </w:rPr>
    </w:lvl>
  </w:abstractNum>
  <w:abstractNum w:abstractNumId="6" w15:restartNumberingAfterBreak="0">
    <w:nsid w:val="FFFFFF82"/>
    <w:multiLevelType w:val="singleLevel"/>
    <w:tmpl w:val="70B68402"/>
    <w:lvl w:ilvl="0">
      <w:start w:val="1"/>
      <w:numFmt w:val="bullet"/>
      <w:lvlText w:val=""/>
      <w:lvlJc w:val="left"/>
      <w:pPr>
        <w:tabs>
          <w:tab w:val="num" w:pos="926"/>
        </w:tabs>
        <w:ind w:left="926" w:hanging="360"/>
      </w:pPr>
      <w:rPr>
        <w:rFonts w:ascii="Book Antiqua" w:hAnsi="Book Antiqua" w:hint="default"/>
      </w:rPr>
    </w:lvl>
  </w:abstractNum>
  <w:abstractNum w:abstractNumId="7" w15:restartNumberingAfterBreak="0">
    <w:nsid w:val="FFFFFF83"/>
    <w:multiLevelType w:val="singleLevel"/>
    <w:tmpl w:val="579423CC"/>
    <w:lvl w:ilvl="0">
      <w:start w:val="1"/>
      <w:numFmt w:val="bullet"/>
      <w:lvlText w:val=""/>
      <w:lvlJc w:val="left"/>
      <w:pPr>
        <w:tabs>
          <w:tab w:val="num" w:pos="643"/>
        </w:tabs>
        <w:ind w:left="643" w:hanging="360"/>
      </w:pPr>
      <w:rPr>
        <w:rFonts w:ascii="Book Antiqua" w:hAnsi="Book Antiqua" w:hint="default"/>
      </w:rPr>
    </w:lvl>
  </w:abstractNum>
  <w:abstractNum w:abstractNumId="8" w15:restartNumberingAfterBreak="0">
    <w:nsid w:val="FFFFFF88"/>
    <w:multiLevelType w:val="singleLevel"/>
    <w:tmpl w:val="6AE44E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C4A5BDC"/>
    <w:lvl w:ilvl="0">
      <w:start w:val="1"/>
      <w:numFmt w:val="bullet"/>
      <w:lvlText w:val=""/>
      <w:lvlJc w:val="left"/>
      <w:pPr>
        <w:tabs>
          <w:tab w:val="num" w:pos="360"/>
        </w:tabs>
        <w:ind w:left="360" w:hanging="360"/>
      </w:pPr>
      <w:rPr>
        <w:rFonts w:ascii="Book Antiqua" w:hAnsi="Book Antiqua" w:hint="default"/>
      </w:rPr>
    </w:lvl>
  </w:abstractNum>
  <w:abstractNum w:abstractNumId="10" w15:restartNumberingAfterBreak="0">
    <w:nsid w:val="01775260"/>
    <w:multiLevelType w:val="multilevel"/>
    <w:tmpl w:val="26A27A84"/>
    <w:lvl w:ilvl="0">
      <w:start w:val="1"/>
      <w:numFmt w:val="bullet"/>
      <w:lvlRestart w:val="0"/>
      <w:lvlText w:val=""/>
      <w:lvlJc w:val="left"/>
      <w:pPr>
        <w:tabs>
          <w:tab w:val="num" w:pos="283"/>
        </w:tabs>
        <w:ind w:left="283" w:hanging="283"/>
      </w:pPr>
      <w:rPr>
        <w:rFonts w:ascii="Symbol" w:hAnsi="Symbol" w:hint="default"/>
        <w:sz w:val="16"/>
      </w:rPr>
    </w:lvl>
    <w:lvl w:ilvl="1">
      <w:start w:val="1"/>
      <w:numFmt w:val="bullet"/>
      <w:lvlText w:val="–"/>
      <w:lvlJc w:val="left"/>
      <w:pPr>
        <w:tabs>
          <w:tab w:val="num" w:pos="567"/>
        </w:tabs>
        <w:ind w:left="567" w:hanging="284"/>
      </w:pPr>
      <w:rPr>
        <w:rFonts w:ascii="Arial" w:hAnsi="Arial" w:cs="Arial"/>
      </w:rPr>
    </w:lvl>
    <w:lvl w:ilvl="2">
      <w:start w:val="1"/>
      <w:numFmt w:val="bullet"/>
      <w:lvlText w:val=":"/>
      <w:lvlJc w:val="left"/>
      <w:pPr>
        <w:tabs>
          <w:tab w:val="num" w:pos="850"/>
        </w:tabs>
        <w:ind w:left="850" w:hanging="283"/>
      </w:pPr>
      <w:rPr>
        <w:rFonts w:ascii="Arial" w:hAnsi="Arial" w:cs="Arial"/>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5873012"/>
    <w:multiLevelType w:val="multilevel"/>
    <w:tmpl w:val="DD1E79DE"/>
    <w:lvl w:ilvl="0">
      <w:start w:val="1"/>
      <w:numFmt w:val="bullet"/>
      <w:lvlRestart w:val="0"/>
      <w:pStyle w:val="FootnoteBullet"/>
      <w:lvlText w:val="•"/>
      <w:lvlJc w:val="left"/>
      <w:pPr>
        <w:tabs>
          <w:tab w:val="num" w:pos="170"/>
        </w:tabs>
        <w:ind w:left="510" w:hanging="170"/>
      </w:pPr>
      <w:rPr>
        <w:rFonts w:ascii="Times New Roman" w:hAnsi="Times New Roman" w:cs="Times New Roman" w:hint="default"/>
        <w:b w:val="0"/>
        <w:i w:val="0"/>
        <w:color w:val="000000"/>
        <w:sz w:val="20"/>
      </w:rPr>
    </w:lvl>
    <w:lvl w:ilvl="1">
      <w:start w:val="1"/>
      <w:numFmt w:val="bullet"/>
      <w:lvlText w:val="–"/>
      <w:lvlJc w:val="left"/>
      <w:pPr>
        <w:tabs>
          <w:tab w:val="num" w:pos="510"/>
        </w:tabs>
        <w:ind w:left="510" w:hanging="284"/>
      </w:pPr>
      <w:rPr>
        <w:rFonts w:ascii="Times New Roman" w:hAnsi="Times New Roman" w:cs="Times New Roman" w:hint="default"/>
        <w:b w:val="0"/>
        <w:i w:val="0"/>
        <w:color w:val="000000"/>
      </w:rPr>
    </w:lvl>
    <w:lvl w:ilvl="2">
      <w:start w:val="1"/>
      <w:numFmt w:val="bullet"/>
      <w:lvlText w:val=":"/>
      <w:lvlJc w:val="left"/>
      <w:pPr>
        <w:tabs>
          <w:tab w:val="num" w:pos="793"/>
        </w:tabs>
        <w:ind w:left="793" w:hanging="283"/>
      </w:pPr>
      <w:rPr>
        <w:rFonts w:ascii="Times New Roman" w:hAnsi="Times New Roman" w:cs="Times New Roman" w:hint="default"/>
        <w:b w:val="0"/>
        <w:i w:val="0"/>
        <w:color w:val="000000"/>
      </w:rPr>
    </w:lvl>
    <w:lvl w:ilvl="3">
      <w:start w:val="1"/>
      <w:numFmt w:val="decimal"/>
      <w:lvlText w:val="%4"/>
      <w:lvlJc w:val="left"/>
      <w:pPr>
        <w:tabs>
          <w:tab w:val="num" w:pos="2211"/>
        </w:tabs>
        <w:ind w:left="2211" w:hanging="567"/>
      </w:pPr>
      <w:rPr>
        <w:rFonts w:ascii="Times New Roman" w:hAnsi="Times New Roman" w:cs="Times New Roman" w:hint="default"/>
        <w:b w:val="0"/>
        <w:i w:val="0"/>
        <w:color w:val="000000"/>
      </w:rPr>
    </w:lvl>
    <w:lvl w:ilvl="4">
      <w:start w:val="1"/>
      <w:numFmt w:val="decimal"/>
      <w:lvlText w:val="%5"/>
      <w:lvlJc w:val="left"/>
      <w:pPr>
        <w:tabs>
          <w:tab w:val="num" w:pos="2778"/>
        </w:tabs>
        <w:ind w:left="2778" w:hanging="567"/>
      </w:pPr>
      <w:rPr>
        <w:rFonts w:ascii="Times New Roman" w:hAnsi="Times New Roman" w:cs="Times New Roman" w:hint="default"/>
        <w:b w:val="0"/>
        <w:i w:val="0"/>
        <w:color w:val="000000"/>
      </w:rPr>
    </w:lvl>
    <w:lvl w:ilvl="5">
      <w:start w:val="1"/>
      <w:numFmt w:val="decimal"/>
      <w:lvlText w:val="%6"/>
      <w:lvlJc w:val="left"/>
      <w:pPr>
        <w:tabs>
          <w:tab w:val="num" w:pos="3345"/>
        </w:tabs>
        <w:ind w:left="3345" w:hanging="567"/>
      </w:pPr>
      <w:rPr>
        <w:rFonts w:ascii="Times New Roman" w:hAnsi="Times New Roman" w:cs="Times New Roman" w:hint="default"/>
        <w:b w:val="0"/>
        <w:i w:val="0"/>
        <w:color w:val="000000"/>
      </w:rPr>
    </w:lvl>
    <w:lvl w:ilvl="6">
      <w:start w:val="1"/>
      <w:numFmt w:val="decimal"/>
      <w:lvlText w:val="%7"/>
      <w:lvlJc w:val="left"/>
      <w:pPr>
        <w:tabs>
          <w:tab w:val="num" w:pos="3912"/>
        </w:tabs>
        <w:ind w:left="3912" w:hanging="567"/>
      </w:pPr>
      <w:rPr>
        <w:rFonts w:ascii="Times New Roman" w:hAnsi="Times New Roman" w:cs="Times New Roman" w:hint="default"/>
        <w:b w:val="0"/>
        <w:i w:val="0"/>
        <w:color w:val="000000"/>
      </w:rPr>
    </w:lvl>
    <w:lvl w:ilvl="7">
      <w:start w:val="1"/>
      <w:numFmt w:val="decimal"/>
      <w:lvlText w:val="%8"/>
      <w:lvlJc w:val="left"/>
      <w:pPr>
        <w:tabs>
          <w:tab w:val="num" w:pos="4479"/>
        </w:tabs>
        <w:ind w:left="4479" w:hanging="567"/>
      </w:pPr>
      <w:rPr>
        <w:rFonts w:ascii="Times New Roman" w:hAnsi="Times New Roman" w:cs="Times New Roman" w:hint="default"/>
        <w:b w:val="0"/>
        <w:i w:val="0"/>
        <w:color w:val="000000"/>
      </w:rPr>
    </w:lvl>
    <w:lvl w:ilvl="8">
      <w:start w:val="1"/>
      <w:numFmt w:val="decimal"/>
      <w:lvlText w:val="%9"/>
      <w:lvlJc w:val="left"/>
      <w:pPr>
        <w:tabs>
          <w:tab w:val="num" w:pos="5046"/>
        </w:tabs>
        <w:ind w:left="5046" w:hanging="567"/>
      </w:pPr>
      <w:rPr>
        <w:rFonts w:ascii="Times New Roman" w:hAnsi="Times New Roman" w:cs="Times New Roman" w:hint="default"/>
        <w:b w:val="0"/>
        <w:i w:val="0"/>
        <w:color w:val="000000"/>
      </w:rPr>
    </w:lvl>
  </w:abstractNum>
  <w:abstractNum w:abstractNumId="12" w15:restartNumberingAfterBreak="0">
    <w:nsid w:val="08747C41"/>
    <w:multiLevelType w:val="multilevel"/>
    <w:tmpl w:val="DB6444EE"/>
    <w:lvl w:ilvl="0">
      <w:start w:val="1"/>
      <w:numFmt w:val="bullet"/>
      <w:lvlRestart w:val="0"/>
      <w:pStyle w:val="Bullet"/>
      <w:lvlText w:val="•"/>
      <w:lvlJc w:val="left"/>
      <w:pPr>
        <w:tabs>
          <w:tab w:val="num" w:pos="283"/>
        </w:tabs>
        <w:ind w:left="283" w:hanging="283"/>
      </w:pPr>
      <w:rPr>
        <w:rFonts w:ascii="Times New Roman" w:hAnsi="Times New Roman" w:cs="Times New Roman"/>
        <w:b w:val="0"/>
        <w:i w:val="0"/>
        <w:color w:val="000000"/>
        <w:sz w:val="20"/>
      </w:rPr>
    </w:lvl>
    <w:lvl w:ilvl="1">
      <w:start w:val="1"/>
      <w:numFmt w:val="bullet"/>
      <w:pStyle w:val="Dash"/>
      <w:lvlText w:val="–"/>
      <w:lvlJc w:val="left"/>
      <w:pPr>
        <w:tabs>
          <w:tab w:val="num" w:pos="567"/>
        </w:tabs>
        <w:ind w:left="567" w:hanging="284"/>
      </w:pPr>
      <w:rPr>
        <w:rFonts w:ascii="Times New Roman" w:hAnsi="Times New Roman" w:cs="Times New Roman"/>
        <w:b w:val="0"/>
        <w:i w:val="0"/>
        <w:color w:val="000000"/>
      </w:rPr>
    </w:lvl>
    <w:lvl w:ilvl="2">
      <w:start w:val="1"/>
      <w:numFmt w:val="bullet"/>
      <w:pStyle w:val="DoubleDot"/>
      <w:lvlText w:val=":"/>
      <w:lvlJc w:val="left"/>
      <w:pPr>
        <w:tabs>
          <w:tab w:val="num" w:pos="850"/>
        </w:tabs>
        <w:ind w:left="850" w:hanging="283"/>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abstractNum w:abstractNumId="13" w15:restartNumberingAfterBreak="0">
    <w:nsid w:val="15FF79E4"/>
    <w:multiLevelType w:val="multilevel"/>
    <w:tmpl w:val="97FAD1C6"/>
    <w:lvl w:ilvl="0">
      <w:start w:val="1"/>
      <w:numFmt w:val="bullet"/>
      <w:lvlText w:val=""/>
      <w:lvlJc w:val="left"/>
      <w:pPr>
        <w:tabs>
          <w:tab w:val="num" w:pos="567"/>
        </w:tabs>
        <w:ind w:left="567" w:hanging="567"/>
      </w:pPr>
      <w:rPr>
        <w:rFonts w:ascii="Book Antiqua" w:hAnsi="Book Antiqua"/>
      </w:rPr>
    </w:lvl>
    <w:lvl w:ilvl="1">
      <w:start w:val="1"/>
      <w:numFmt w:val="bullet"/>
      <w:lvlText w:val="-"/>
      <w:lvlJc w:val="left"/>
      <w:pPr>
        <w:tabs>
          <w:tab w:val="num" w:pos="1134"/>
        </w:tabs>
        <w:ind w:left="1134" w:hanging="567"/>
      </w:pPr>
      <w:rPr>
        <w:rFonts w:ascii="Book Antiqua" w:hAnsi="Book Antiqua"/>
      </w:rPr>
    </w:lvl>
    <w:lvl w:ilvl="2">
      <w:start w:val="1"/>
      <w:numFmt w:val="bullet"/>
      <w:lvlText w:val=":"/>
      <w:lvlJc w:val="left"/>
      <w:pPr>
        <w:tabs>
          <w:tab w:val="num" w:pos="1701"/>
        </w:tabs>
        <w:ind w:left="1701" w:hanging="567"/>
      </w:pPr>
      <w:rPr>
        <w:rFonts w:ascii="Book Antiqua" w:hAnsi="Book Antiqua"/>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4" w15:restartNumberingAfterBreak="0">
    <w:nsid w:val="171F44F2"/>
    <w:multiLevelType w:val="singleLevel"/>
    <w:tmpl w:val="B9D0F448"/>
    <w:name w:val="AlphaChartTableFootnoteSmallList"/>
    <w:lvl w:ilvl="0">
      <w:start w:val="1"/>
      <w:numFmt w:val="lowerLetter"/>
      <w:lvlRestart w:val="0"/>
      <w:lvlText w:val="(%1)"/>
      <w:lvlJc w:val="left"/>
      <w:pPr>
        <w:tabs>
          <w:tab w:val="num" w:pos="283"/>
        </w:tabs>
        <w:ind w:left="283" w:hanging="283"/>
      </w:pPr>
      <w:rPr>
        <w:rFonts w:ascii="Arial" w:hAnsi="Arial"/>
        <w:sz w:val="15"/>
      </w:rPr>
    </w:lvl>
  </w:abstractNum>
  <w:abstractNum w:abstractNumId="15" w15:restartNumberingAfterBreak="0">
    <w:nsid w:val="3A5F1653"/>
    <w:multiLevelType w:val="multilevel"/>
    <w:tmpl w:val="655E41D0"/>
    <w:lvl w:ilvl="0">
      <w:start w:val="1"/>
      <w:numFmt w:val="bullet"/>
      <w:lvlRestart w:val="0"/>
      <w:lvlText w:val=""/>
      <w:lvlJc w:val="left"/>
      <w:pPr>
        <w:tabs>
          <w:tab w:val="num" w:pos="283"/>
        </w:tabs>
        <w:ind w:left="360" w:hanging="360"/>
      </w:pPr>
      <w:rPr>
        <w:rFonts w:ascii="Symbol" w:hAnsi="Symbol" w:hint="default"/>
        <w:sz w:val="16"/>
      </w:rPr>
    </w:lvl>
    <w:lvl w:ilvl="1">
      <w:start w:val="1"/>
      <w:numFmt w:val="bullet"/>
      <w:lvlText w:val="–"/>
      <w:lvlJc w:val="left"/>
      <w:pPr>
        <w:tabs>
          <w:tab w:val="num" w:pos="567"/>
        </w:tabs>
        <w:ind w:left="567" w:hanging="284"/>
      </w:pPr>
      <w:rPr>
        <w:rFonts w:ascii="Arial" w:hAnsi="Arial"/>
      </w:rPr>
    </w:lvl>
    <w:lvl w:ilvl="2">
      <w:start w:val="1"/>
      <w:numFmt w:val="bullet"/>
      <w:lvlText w:val=":"/>
      <w:lvlJc w:val="left"/>
      <w:pPr>
        <w:tabs>
          <w:tab w:val="num" w:pos="850"/>
        </w:tabs>
        <w:ind w:left="850" w:hanging="283"/>
      </w:pPr>
      <w:rPr>
        <w:rFonts w:ascii="Arial" w:hAnsi="Arial"/>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8463CDB"/>
    <w:multiLevelType w:val="singleLevel"/>
    <w:tmpl w:val="C5525D34"/>
    <w:name w:val="AlphaChartTableFootnoteList"/>
    <w:lvl w:ilvl="0">
      <w:start w:val="1"/>
      <w:numFmt w:val="lowerLetter"/>
      <w:lvlRestart w:val="0"/>
      <w:lvlText w:val="(%1)"/>
      <w:lvlJc w:val="left"/>
      <w:pPr>
        <w:tabs>
          <w:tab w:val="num" w:pos="283"/>
        </w:tabs>
        <w:ind w:left="283" w:hanging="283"/>
      </w:pPr>
      <w:rPr>
        <w:rFonts w:ascii="Arial" w:hAnsi="Arial"/>
      </w:rPr>
    </w:lvl>
  </w:abstractNum>
  <w:abstractNum w:abstractNumId="17" w15:restartNumberingAfterBreak="0">
    <w:nsid w:val="66022277"/>
    <w:multiLevelType w:val="multilevel"/>
    <w:tmpl w:val="6144C322"/>
    <w:lvl w:ilvl="0">
      <w:start w:val="1"/>
      <w:numFmt w:val="lowerLetter"/>
      <w:pStyle w:val="ChartandTableFootnoteAlpha"/>
      <w:lvlText w:val="(%1)"/>
      <w:lvlJc w:val="left"/>
      <w:pPr>
        <w:ind w:left="360" w:hanging="360"/>
      </w:pPr>
      <w:rPr>
        <w:rFonts w:ascii="Arial" w:hAnsi="Aria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6FD20A93"/>
    <w:multiLevelType w:val="singleLevel"/>
    <w:tmpl w:val="1B3897BC"/>
    <w:lvl w:ilvl="0">
      <w:start w:val="1"/>
      <w:numFmt w:val="lowerLetter"/>
      <w:lvlRestart w:val="0"/>
      <w:lvlText w:val="(%1)"/>
      <w:lvlJc w:val="left"/>
      <w:pPr>
        <w:tabs>
          <w:tab w:val="num" w:pos="283"/>
        </w:tabs>
        <w:ind w:left="283" w:hanging="283"/>
      </w:pPr>
      <w:rPr>
        <w:rFonts w:ascii="Arial" w:hAnsi="Arial"/>
        <w:sz w:val="15"/>
      </w:rPr>
    </w:lvl>
  </w:abstractNum>
  <w:abstractNum w:abstractNumId="19" w15:restartNumberingAfterBreak="0">
    <w:nsid w:val="72945F08"/>
    <w:multiLevelType w:val="multilevel"/>
    <w:tmpl w:val="EC6EED50"/>
    <w:lvl w:ilvl="0">
      <w:start w:val="1"/>
      <w:numFmt w:val="bullet"/>
      <w:lvlText w:val=""/>
      <w:lvlJc w:val="left"/>
      <w:pPr>
        <w:tabs>
          <w:tab w:val="num" w:pos="567"/>
        </w:tabs>
        <w:ind w:left="567" w:hanging="567"/>
      </w:pPr>
      <w:rPr>
        <w:rFonts w:ascii="Symbol" w:hAnsi="Symbol"/>
      </w:rPr>
    </w:lvl>
    <w:lvl w:ilvl="1">
      <w:start w:val="1"/>
      <w:numFmt w:val="bullet"/>
      <w:lvlText w:val="-"/>
      <w:lvlJc w:val="left"/>
      <w:pPr>
        <w:tabs>
          <w:tab w:val="num" w:pos="1134"/>
        </w:tabs>
        <w:ind w:left="1134" w:hanging="567"/>
      </w:pPr>
      <w:rPr>
        <w:rFonts w:ascii="Times New Roman" w:hAnsi="Times New Roman"/>
      </w:rPr>
    </w:lvl>
    <w:lvl w:ilvl="2">
      <w:start w:val="1"/>
      <w:numFmt w:val="bullet"/>
      <w:lvlText w:val=":"/>
      <w:lvlJc w:val="left"/>
      <w:pPr>
        <w:tabs>
          <w:tab w:val="num" w:pos="1701"/>
        </w:tabs>
        <w:ind w:left="1701" w:hanging="567"/>
      </w:pPr>
      <w:rPr>
        <w:rFonts w:ascii="Times New Roman" w:hAnsi="Times New Roman"/>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7FBF04E9"/>
    <w:multiLevelType w:val="multilevel"/>
    <w:tmpl w:val="97FAD1C6"/>
    <w:lvl w:ilvl="0">
      <w:start w:val="1"/>
      <w:numFmt w:val="bullet"/>
      <w:lvlText w:val=""/>
      <w:lvlJc w:val="left"/>
      <w:pPr>
        <w:tabs>
          <w:tab w:val="num" w:pos="567"/>
        </w:tabs>
        <w:ind w:left="567" w:hanging="567"/>
      </w:pPr>
      <w:rPr>
        <w:rFonts w:ascii="Book Antiqua" w:hAnsi="Book Antiqua"/>
      </w:rPr>
    </w:lvl>
    <w:lvl w:ilvl="1">
      <w:start w:val="1"/>
      <w:numFmt w:val="bullet"/>
      <w:lvlText w:val="-"/>
      <w:lvlJc w:val="left"/>
      <w:pPr>
        <w:tabs>
          <w:tab w:val="num" w:pos="1134"/>
        </w:tabs>
        <w:ind w:left="1134" w:hanging="567"/>
      </w:pPr>
      <w:rPr>
        <w:rFonts w:ascii="Book Antiqua" w:hAnsi="Book Antiqua"/>
      </w:rPr>
    </w:lvl>
    <w:lvl w:ilvl="2">
      <w:start w:val="1"/>
      <w:numFmt w:val="bullet"/>
      <w:lvlText w:val=":"/>
      <w:lvlJc w:val="left"/>
      <w:pPr>
        <w:tabs>
          <w:tab w:val="num" w:pos="1701"/>
        </w:tabs>
        <w:ind w:left="1701" w:hanging="567"/>
      </w:pPr>
      <w:rPr>
        <w:rFonts w:ascii="Book Antiqua" w:hAnsi="Book Antiqua"/>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num w:numId="1" w16cid:durableId="491339963">
    <w:abstractNumId w:val="15"/>
  </w:num>
  <w:num w:numId="2" w16cid:durableId="2135976535">
    <w:abstractNumId w:val="9"/>
  </w:num>
  <w:num w:numId="3" w16cid:durableId="1234315786">
    <w:abstractNumId w:val="7"/>
  </w:num>
  <w:num w:numId="4" w16cid:durableId="1975986510">
    <w:abstractNumId w:val="6"/>
  </w:num>
  <w:num w:numId="5" w16cid:durableId="1755659447">
    <w:abstractNumId w:val="5"/>
  </w:num>
  <w:num w:numId="6" w16cid:durableId="1536232927">
    <w:abstractNumId w:val="4"/>
  </w:num>
  <w:num w:numId="7" w16cid:durableId="74137114">
    <w:abstractNumId w:val="8"/>
  </w:num>
  <w:num w:numId="8" w16cid:durableId="1309018933">
    <w:abstractNumId w:val="3"/>
  </w:num>
  <w:num w:numId="9" w16cid:durableId="348023817">
    <w:abstractNumId w:val="2"/>
  </w:num>
  <w:num w:numId="10" w16cid:durableId="547649477">
    <w:abstractNumId w:val="1"/>
  </w:num>
  <w:num w:numId="11" w16cid:durableId="693044991">
    <w:abstractNumId w:val="0"/>
  </w:num>
  <w:num w:numId="12" w16cid:durableId="374623659">
    <w:abstractNumId w:val="13"/>
  </w:num>
  <w:num w:numId="13" w16cid:durableId="420951664">
    <w:abstractNumId w:val="20"/>
  </w:num>
  <w:num w:numId="14" w16cid:durableId="1618295433">
    <w:abstractNumId w:val="16"/>
  </w:num>
  <w:num w:numId="15" w16cid:durableId="1058360533">
    <w:abstractNumId w:val="19"/>
  </w:num>
  <w:num w:numId="16" w16cid:durableId="1740440874">
    <w:abstractNumId w:val="10"/>
  </w:num>
  <w:num w:numId="17" w16cid:durableId="866793786">
    <w:abstractNumId w:val="10"/>
  </w:num>
  <w:num w:numId="18" w16cid:durableId="1978872444">
    <w:abstractNumId w:val="10"/>
  </w:num>
  <w:num w:numId="19" w16cid:durableId="118842058">
    <w:abstractNumId w:val="10"/>
  </w:num>
  <w:num w:numId="20" w16cid:durableId="659621560">
    <w:abstractNumId w:val="17"/>
  </w:num>
  <w:num w:numId="21" w16cid:durableId="1802259867">
    <w:abstractNumId w:val="14"/>
  </w:num>
  <w:num w:numId="22" w16cid:durableId="1341271411">
    <w:abstractNumId w:val="18"/>
  </w:num>
  <w:num w:numId="23" w16cid:durableId="990133246">
    <w:abstractNumId w:val="15"/>
  </w:num>
  <w:num w:numId="24" w16cid:durableId="1021201227">
    <w:abstractNumId w:val="18"/>
  </w:num>
  <w:num w:numId="25" w16cid:durableId="184877670">
    <w:abstractNumId w:val="15"/>
  </w:num>
  <w:num w:numId="26" w16cid:durableId="1220441400">
    <w:abstractNumId w:val="15"/>
  </w:num>
  <w:num w:numId="27" w16cid:durableId="1012411445">
    <w:abstractNumId w:val="12"/>
  </w:num>
  <w:num w:numId="28" w16cid:durableId="1320622569">
    <w:abstractNumId w:val="17"/>
  </w:num>
  <w:num w:numId="29" w16cid:durableId="1314020682">
    <w:abstractNumId w:val="11"/>
  </w:num>
  <w:num w:numId="30" w16cid:durableId="1359042937">
    <w:abstractNumId w:val="12"/>
  </w:num>
  <w:num w:numId="31" w16cid:durableId="634603679">
    <w:abstractNumId w:val="17"/>
  </w:num>
  <w:num w:numId="32" w16cid:durableId="1693189282">
    <w:abstractNumId w:val="12"/>
  </w:num>
  <w:num w:numId="33" w16cid:durableId="1976832986">
    <w:abstractNumId w:val="12"/>
  </w:num>
  <w:num w:numId="34" w16cid:durableId="1371107808">
    <w:abstractNumId w:val="11"/>
  </w:num>
  <w:num w:numId="35" w16cid:durableId="207835758">
    <w:abstractNumId w:val="12"/>
  </w:num>
  <w:num w:numId="36" w16cid:durableId="2112629349">
    <w:abstractNumId w:val="17"/>
  </w:num>
  <w:num w:numId="37" w16cid:durableId="310132728">
    <w:abstractNumId w:val="12"/>
  </w:num>
  <w:num w:numId="38" w16cid:durableId="235358802">
    <w:abstractNumId w:val="12"/>
  </w:num>
  <w:num w:numId="39" w16cid:durableId="783352267">
    <w:abstractNumId w:val="11"/>
  </w:num>
  <w:num w:numId="40" w16cid:durableId="112449728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177508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pos w:val="sectEnd"/>
    <w:numFmt w:val="lowerLetter"/>
    <w:numRestart w:val="eachSect"/>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BFA"/>
    <w:rsid w:val="00001308"/>
    <w:rsid w:val="00003965"/>
    <w:rsid w:val="00003B38"/>
    <w:rsid w:val="00004960"/>
    <w:rsid w:val="00005CB1"/>
    <w:rsid w:val="00006F95"/>
    <w:rsid w:val="000131D7"/>
    <w:rsid w:val="00021558"/>
    <w:rsid w:val="000228D6"/>
    <w:rsid w:val="00023788"/>
    <w:rsid w:val="0002386D"/>
    <w:rsid w:val="000244D1"/>
    <w:rsid w:val="00025A64"/>
    <w:rsid w:val="00030677"/>
    <w:rsid w:val="00031112"/>
    <w:rsid w:val="000359BA"/>
    <w:rsid w:val="00036451"/>
    <w:rsid w:val="0004309E"/>
    <w:rsid w:val="000459A9"/>
    <w:rsid w:val="0005020B"/>
    <w:rsid w:val="000644C4"/>
    <w:rsid w:val="000653EF"/>
    <w:rsid w:val="000661CD"/>
    <w:rsid w:val="0007132A"/>
    <w:rsid w:val="00074210"/>
    <w:rsid w:val="0007483F"/>
    <w:rsid w:val="00074931"/>
    <w:rsid w:val="00075563"/>
    <w:rsid w:val="00075B6C"/>
    <w:rsid w:val="00077522"/>
    <w:rsid w:val="0008428C"/>
    <w:rsid w:val="0008563A"/>
    <w:rsid w:val="00091BBB"/>
    <w:rsid w:val="000967E3"/>
    <w:rsid w:val="0009718C"/>
    <w:rsid w:val="00097EFF"/>
    <w:rsid w:val="000A6553"/>
    <w:rsid w:val="000A6679"/>
    <w:rsid w:val="000B5F29"/>
    <w:rsid w:val="000B64DE"/>
    <w:rsid w:val="000C0468"/>
    <w:rsid w:val="000C202F"/>
    <w:rsid w:val="000C294D"/>
    <w:rsid w:val="000C2AB6"/>
    <w:rsid w:val="000C2B6F"/>
    <w:rsid w:val="000C4DCC"/>
    <w:rsid w:val="000D0644"/>
    <w:rsid w:val="000D0DD5"/>
    <w:rsid w:val="000D2B05"/>
    <w:rsid w:val="000D33C7"/>
    <w:rsid w:val="000D6B27"/>
    <w:rsid w:val="000D7DC1"/>
    <w:rsid w:val="000E02E2"/>
    <w:rsid w:val="000E32FC"/>
    <w:rsid w:val="000E42A7"/>
    <w:rsid w:val="000E4823"/>
    <w:rsid w:val="000E56E4"/>
    <w:rsid w:val="000F64D1"/>
    <w:rsid w:val="000F6C6D"/>
    <w:rsid w:val="001001B5"/>
    <w:rsid w:val="001007CC"/>
    <w:rsid w:val="001038AA"/>
    <w:rsid w:val="00104FA4"/>
    <w:rsid w:val="0010683F"/>
    <w:rsid w:val="0010720A"/>
    <w:rsid w:val="001107E5"/>
    <w:rsid w:val="00110E3A"/>
    <w:rsid w:val="00111D42"/>
    <w:rsid w:val="00111FF8"/>
    <w:rsid w:val="00113647"/>
    <w:rsid w:val="001149DA"/>
    <w:rsid w:val="00115A86"/>
    <w:rsid w:val="00115C73"/>
    <w:rsid w:val="0012054F"/>
    <w:rsid w:val="00122713"/>
    <w:rsid w:val="00123268"/>
    <w:rsid w:val="00125AEB"/>
    <w:rsid w:val="0013270D"/>
    <w:rsid w:val="00134681"/>
    <w:rsid w:val="00135C93"/>
    <w:rsid w:val="00147A53"/>
    <w:rsid w:val="00150C34"/>
    <w:rsid w:val="0015285F"/>
    <w:rsid w:val="001534F8"/>
    <w:rsid w:val="00154BE3"/>
    <w:rsid w:val="00154E44"/>
    <w:rsid w:val="00156BDA"/>
    <w:rsid w:val="00162D7A"/>
    <w:rsid w:val="00164149"/>
    <w:rsid w:val="00164A13"/>
    <w:rsid w:val="0016595F"/>
    <w:rsid w:val="00170CDB"/>
    <w:rsid w:val="001733AB"/>
    <w:rsid w:val="00173487"/>
    <w:rsid w:val="00173E64"/>
    <w:rsid w:val="00176DED"/>
    <w:rsid w:val="00176F80"/>
    <w:rsid w:val="00180230"/>
    <w:rsid w:val="00180639"/>
    <w:rsid w:val="00181789"/>
    <w:rsid w:val="00182A1C"/>
    <w:rsid w:val="00184E92"/>
    <w:rsid w:val="00185B8B"/>
    <w:rsid w:val="00190950"/>
    <w:rsid w:val="00190FC0"/>
    <w:rsid w:val="00192F3F"/>
    <w:rsid w:val="001967FD"/>
    <w:rsid w:val="001A08F2"/>
    <w:rsid w:val="001A19C5"/>
    <w:rsid w:val="001A20B2"/>
    <w:rsid w:val="001B1CFF"/>
    <w:rsid w:val="001B3587"/>
    <w:rsid w:val="001B5E1D"/>
    <w:rsid w:val="001C00E0"/>
    <w:rsid w:val="001C00F5"/>
    <w:rsid w:val="001C2678"/>
    <w:rsid w:val="001C2B93"/>
    <w:rsid w:val="001C31BA"/>
    <w:rsid w:val="001C3692"/>
    <w:rsid w:val="001C3B76"/>
    <w:rsid w:val="001C3EEB"/>
    <w:rsid w:val="001C42A9"/>
    <w:rsid w:val="001D021D"/>
    <w:rsid w:val="001D2975"/>
    <w:rsid w:val="001D2F68"/>
    <w:rsid w:val="001D3E95"/>
    <w:rsid w:val="001D5069"/>
    <w:rsid w:val="001D61F6"/>
    <w:rsid w:val="001D63B3"/>
    <w:rsid w:val="001E306D"/>
    <w:rsid w:val="001E451B"/>
    <w:rsid w:val="001F2D13"/>
    <w:rsid w:val="00201FC3"/>
    <w:rsid w:val="00202CA3"/>
    <w:rsid w:val="00204D97"/>
    <w:rsid w:val="00206047"/>
    <w:rsid w:val="002128B3"/>
    <w:rsid w:val="002147BA"/>
    <w:rsid w:val="00215A02"/>
    <w:rsid w:val="00222AA5"/>
    <w:rsid w:val="00224C05"/>
    <w:rsid w:val="00226E08"/>
    <w:rsid w:val="00227830"/>
    <w:rsid w:val="00230979"/>
    <w:rsid w:val="002325E7"/>
    <w:rsid w:val="0023341A"/>
    <w:rsid w:val="00234158"/>
    <w:rsid w:val="00235170"/>
    <w:rsid w:val="002400C8"/>
    <w:rsid w:val="00240867"/>
    <w:rsid w:val="0024372B"/>
    <w:rsid w:val="00245C01"/>
    <w:rsid w:val="00253FCC"/>
    <w:rsid w:val="00254599"/>
    <w:rsid w:val="00262BE4"/>
    <w:rsid w:val="0026339C"/>
    <w:rsid w:val="00266D2D"/>
    <w:rsid w:val="00270ABA"/>
    <w:rsid w:val="00271EEA"/>
    <w:rsid w:val="00284C8F"/>
    <w:rsid w:val="00286F2F"/>
    <w:rsid w:val="002903D4"/>
    <w:rsid w:val="00294042"/>
    <w:rsid w:val="00297124"/>
    <w:rsid w:val="002974D8"/>
    <w:rsid w:val="002A517C"/>
    <w:rsid w:val="002A5593"/>
    <w:rsid w:val="002A73D4"/>
    <w:rsid w:val="002B0FA6"/>
    <w:rsid w:val="002B482C"/>
    <w:rsid w:val="002C1A34"/>
    <w:rsid w:val="002C7351"/>
    <w:rsid w:val="002D0D3E"/>
    <w:rsid w:val="002D31A7"/>
    <w:rsid w:val="002D524A"/>
    <w:rsid w:val="002D7488"/>
    <w:rsid w:val="002E4F2F"/>
    <w:rsid w:val="002E6D67"/>
    <w:rsid w:val="002E6D7C"/>
    <w:rsid w:val="002F13C3"/>
    <w:rsid w:val="002F180F"/>
    <w:rsid w:val="002F4C69"/>
    <w:rsid w:val="002F5280"/>
    <w:rsid w:val="002F5566"/>
    <w:rsid w:val="002F5826"/>
    <w:rsid w:val="002F784B"/>
    <w:rsid w:val="003074BE"/>
    <w:rsid w:val="00307A68"/>
    <w:rsid w:val="00312DDC"/>
    <w:rsid w:val="00313AD5"/>
    <w:rsid w:val="0031462C"/>
    <w:rsid w:val="003228A6"/>
    <w:rsid w:val="003236C6"/>
    <w:rsid w:val="003259C2"/>
    <w:rsid w:val="00326791"/>
    <w:rsid w:val="0032732C"/>
    <w:rsid w:val="00327DB0"/>
    <w:rsid w:val="00330F86"/>
    <w:rsid w:val="003312CC"/>
    <w:rsid w:val="003314D2"/>
    <w:rsid w:val="00335C0D"/>
    <w:rsid w:val="00336820"/>
    <w:rsid w:val="003408A7"/>
    <w:rsid w:val="00342343"/>
    <w:rsid w:val="00342E8D"/>
    <w:rsid w:val="003431CA"/>
    <w:rsid w:val="0034538F"/>
    <w:rsid w:val="003469EE"/>
    <w:rsid w:val="003526C2"/>
    <w:rsid w:val="00352A16"/>
    <w:rsid w:val="0036610C"/>
    <w:rsid w:val="00370012"/>
    <w:rsid w:val="00371436"/>
    <w:rsid w:val="0037221A"/>
    <w:rsid w:val="00372DB1"/>
    <w:rsid w:val="0037408A"/>
    <w:rsid w:val="00376CD6"/>
    <w:rsid w:val="00376D70"/>
    <w:rsid w:val="00377691"/>
    <w:rsid w:val="003856D7"/>
    <w:rsid w:val="00386029"/>
    <w:rsid w:val="003860E6"/>
    <w:rsid w:val="00390DF7"/>
    <w:rsid w:val="003913A8"/>
    <w:rsid w:val="0039267B"/>
    <w:rsid w:val="00393070"/>
    <w:rsid w:val="00394E74"/>
    <w:rsid w:val="003A1861"/>
    <w:rsid w:val="003A1B74"/>
    <w:rsid w:val="003A768E"/>
    <w:rsid w:val="003B0FD5"/>
    <w:rsid w:val="003B2A37"/>
    <w:rsid w:val="003B392F"/>
    <w:rsid w:val="003B6D54"/>
    <w:rsid w:val="003B71A5"/>
    <w:rsid w:val="003C0060"/>
    <w:rsid w:val="003C167E"/>
    <w:rsid w:val="003C3E34"/>
    <w:rsid w:val="003D36AB"/>
    <w:rsid w:val="003D561A"/>
    <w:rsid w:val="003D6C52"/>
    <w:rsid w:val="003E523B"/>
    <w:rsid w:val="003F0265"/>
    <w:rsid w:val="003F0C4C"/>
    <w:rsid w:val="003F581E"/>
    <w:rsid w:val="003F5E39"/>
    <w:rsid w:val="003F6C65"/>
    <w:rsid w:val="003F722F"/>
    <w:rsid w:val="003F7DDA"/>
    <w:rsid w:val="00401721"/>
    <w:rsid w:val="00402122"/>
    <w:rsid w:val="004077E0"/>
    <w:rsid w:val="00410D5D"/>
    <w:rsid w:val="00410E84"/>
    <w:rsid w:val="004111C2"/>
    <w:rsid w:val="00412853"/>
    <w:rsid w:val="00414835"/>
    <w:rsid w:val="004153D5"/>
    <w:rsid w:val="00415AFC"/>
    <w:rsid w:val="0041603E"/>
    <w:rsid w:val="00416139"/>
    <w:rsid w:val="00416AF4"/>
    <w:rsid w:val="00416D84"/>
    <w:rsid w:val="00417830"/>
    <w:rsid w:val="00420E7D"/>
    <w:rsid w:val="00421F9C"/>
    <w:rsid w:val="00422A9E"/>
    <w:rsid w:val="00424526"/>
    <w:rsid w:val="0043022E"/>
    <w:rsid w:val="004340B5"/>
    <w:rsid w:val="00434D7D"/>
    <w:rsid w:val="004365E8"/>
    <w:rsid w:val="0043692C"/>
    <w:rsid w:val="00440098"/>
    <w:rsid w:val="004405BC"/>
    <w:rsid w:val="0044153A"/>
    <w:rsid w:val="00442DF4"/>
    <w:rsid w:val="004436C2"/>
    <w:rsid w:val="004506BD"/>
    <w:rsid w:val="00450C6E"/>
    <w:rsid w:val="0046005E"/>
    <w:rsid w:val="00460419"/>
    <w:rsid w:val="0046211A"/>
    <w:rsid w:val="0046623B"/>
    <w:rsid w:val="0047078F"/>
    <w:rsid w:val="00470F23"/>
    <w:rsid w:val="00473052"/>
    <w:rsid w:val="00477179"/>
    <w:rsid w:val="0048115B"/>
    <w:rsid w:val="0048244C"/>
    <w:rsid w:val="00483200"/>
    <w:rsid w:val="00484999"/>
    <w:rsid w:val="0049046F"/>
    <w:rsid w:val="0049217C"/>
    <w:rsid w:val="00492E5F"/>
    <w:rsid w:val="00493083"/>
    <w:rsid w:val="0049375D"/>
    <w:rsid w:val="00493CD9"/>
    <w:rsid w:val="00494012"/>
    <w:rsid w:val="00496C25"/>
    <w:rsid w:val="00496FA3"/>
    <w:rsid w:val="004A1D1A"/>
    <w:rsid w:val="004A2D82"/>
    <w:rsid w:val="004B1FE1"/>
    <w:rsid w:val="004B40B5"/>
    <w:rsid w:val="004B4C34"/>
    <w:rsid w:val="004B59BF"/>
    <w:rsid w:val="004B5DDB"/>
    <w:rsid w:val="004C0CFF"/>
    <w:rsid w:val="004D3D97"/>
    <w:rsid w:val="004D4292"/>
    <w:rsid w:val="004D59D8"/>
    <w:rsid w:val="004D7213"/>
    <w:rsid w:val="004D79A3"/>
    <w:rsid w:val="004E09A6"/>
    <w:rsid w:val="004E1908"/>
    <w:rsid w:val="004E2636"/>
    <w:rsid w:val="004F02B2"/>
    <w:rsid w:val="004F65A0"/>
    <w:rsid w:val="004F6829"/>
    <w:rsid w:val="004F6E48"/>
    <w:rsid w:val="004F7C30"/>
    <w:rsid w:val="00501879"/>
    <w:rsid w:val="00504D7F"/>
    <w:rsid w:val="0051233B"/>
    <w:rsid w:val="005152B4"/>
    <w:rsid w:val="00517EAD"/>
    <w:rsid w:val="005231CD"/>
    <w:rsid w:val="00525682"/>
    <w:rsid w:val="005300FC"/>
    <w:rsid w:val="005334FE"/>
    <w:rsid w:val="00535948"/>
    <w:rsid w:val="00535B1B"/>
    <w:rsid w:val="00536CF8"/>
    <w:rsid w:val="00536D8F"/>
    <w:rsid w:val="00543E3C"/>
    <w:rsid w:val="00551697"/>
    <w:rsid w:val="00551BB4"/>
    <w:rsid w:val="0055210A"/>
    <w:rsid w:val="00557689"/>
    <w:rsid w:val="00566E26"/>
    <w:rsid w:val="0057041B"/>
    <w:rsid w:val="00572400"/>
    <w:rsid w:val="0057478E"/>
    <w:rsid w:val="00574C82"/>
    <w:rsid w:val="005759A9"/>
    <w:rsid w:val="0057702D"/>
    <w:rsid w:val="005828E9"/>
    <w:rsid w:val="005829B5"/>
    <w:rsid w:val="00583BE5"/>
    <w:rsid w:val="00584CAE"/>
    <w:rsid w:val="005855A8"/>
    <w:rsid w:val="0059355A"/>
    <w:rsid w:val="00593D96"/>
    <w:rsid w:val="00596BB2"/>
    <w:rsid w:val="005A0100"/>
    <w:rsid w:val="005A0ADB"/>
    <w:rsid w:val="005A63E7"/>
    <w:rsid w:val="005B2D2F"/>
    <w:rsid w:val="005B3516"/>
    <w:rsid w:val="005B3E32"/>
    <w:rsid w:val="005B7549"/>
    <w:rsid w:val="005C08B6"/>
    <w:rsid w:val="005C230D"/>
    <w:rsid w:val="005C2850"/>
    <w:rsid w:val="005C34D0"/>
    <w:rsid w:val="005C377B"/>
    <w:rsid w:val="005D11F6"/>
    <w:rsid w:val="005D26AE"/>
    <w:rsid w:val="005D3A7D"/>
    <w:rsid w:val="005D3D2D"/>
    <w:rsid w:val="005D3DDA"/>
    <w:rsid w:val="005D73D8"/>
    <w:rsid w:val="005E1E75"/>
    <w:rsid w:val="005E2191"/>
    <w:rsid w:val="005E4BA3"/>
    <w:rsid w:val="005E535F"/>
    <w:rsid w:val="005F06FD"/>
    <w:rsid w:val="005F0DFA"/>
    <w:rsid w:val="005F2918"/>
    <w:rsid w:val="005F3087"/>
    <w:rsid w:val="005F3E13"/>
    <w:rsid w:val="005F7D94"/>
    <w:rsid w:val="0060082E"/>
    <w:rsid w:val="0060197E"/>
    <w:rsid w:val="00601E93"/>
    <w:rsid w:val="006031B8"/>
    <w:rsid w:val="00606468"/>
    <w:rsid w:val="006174D4"/>
    <w:rsid w:val="00620716"/>
    <w:rsid w:val="006253FC"/>
    <w:rsid w:val="0062584A"/>
    <w:rsid w:val="00625BA8"/>
    <w:rsid w:val="00626591"/>
    <w:rsid w:val="00627581"/>
    <w:rsid w:val="006372B1"/>
    <w:rsid w:val="00641DC8"/>
    <w:rsid w:val="00641EAF"/>
    <w:rsid w:val="0064378C"/>
    <w:rsid w:val="00644A55"/>
    <w:rsid w:val="00650CC7"/>
    <w:rsid w:val="006512D0"/>
    <w:rsid w:val="006525B8"/>
    <w:rsid w:val="006555FC"/>
    <w:rsid w:val="00657378"/>
    <w:rsid w:val="00657384"/>
    <w:rsid w:val="00657E13"/>
    <w:rsid w:val="00660487"/>
    <w:rsid w:val="0066170A"/>
    <w:rsid w:val="006629DF"/>
    <w:rsid w:val="00662DAF"/>
    <w:rsid w:val="00665D89"/>
    <w:rsid w:val="00670304"/>
    <w:rsid w:val="00673D5B"/>
    <w:rsid w:val="00674761"/>
    <w:rsid w:val="006753A8"/>
    <w:rsid w:val="006753EC"/>
    <w:rsid w:val="0067582B"/>
    <w:rsid w:val="00675A4B"/>
    <w:rsid w:val="00675F1E"/>
    <w:rsid w:val="00681A1F"/>
    <w:rsid w:val="00684B25"/>
    <w:rsid w:val="00690522"/>
    <w:rsid w:val="00691D23"/>
    <w:rsid w:val="006A21BC"/>
    <w:rsid w:val="006A3CBA"/>
    <w:rsid w:val="006A47FC"/>
    <w:rsid w:val="006A69CC"/>
    <w:rsid w:val="006B1C9C"/>
    <w:rsid w:val="006B710E"/>
    <w:rsid w:val="006C2BF5"/>
    <w:rsid w:val="006C35C8"/>
    <w:rsid w:val="006C3D6A"/>
    <w:rsid w:val="006C4AE6"/>
    <w:rsid w:val="006C5271"/>
    <w:rsid w:val="006C5EE3"/>
    <w:rsid w:val="006C6B1B"/>
    <w:rsid w:val="006D2F1C"/>
    <w:rsid w:val="006D45EE"/>
    <w:rsid w:val="006D7CC2"/>
    <w:rsid w:val="006E0F81"/>
    <w:rsid w:val="006E22A8"/>
    <w:rsid w:val="006E240A"/>
    <w:rsid w:val="006E37BF"/>
    <w:rsid w:val="006F05C0"/>
    <w:rsid w:val="006F1880"/>
    <w:rsid w:val="006F26E8"/>
    <w:rsid w:val="006F4200"/>
    <w:rsid w:val="006F4E35"/>
    <w:rsid w:val="006F7108"/>
    <w:rsid w:val="006F7762"/>
    <w:rsid w:val="007001E6"/>
    <w:rsid w:val="0070115F"/>
    <w:rsid w:val="00705E65"/>
    <w:rsid w:val="00720D23"/>
    <w:rsid w:val="00725A46"/>
    <w:rsid w:val="0072757F"/>
    <w:rsid w:val="007354ED"/>
    <w:rsid w:val="00735F4B"/>
    <w:rsid w:val="007372A5"/>
    <w:rsid w:val="00745D5C"/>
    <w:rsid w:val="0074712C"/>
    <w:rsid w:val="007520E0"/>
    <w:rsid w:val="00752B06"/>
    <w:rsid w:val="00753660"/>
    <w:rsid w:val="00754964"/>
    <w:rsid w:val="00760520"/>
    <w:rsid w:val="00764FF4"/>
    <w:rsid w:val="00771860"/>
    <w:rsid w:val="00771953"/>
    <w:rsid w:val="0077529D"/>
    <w:rsid w:val="00780A67"/>
    <w:rsid w:val="00780C90"/>
    <w:rsid w:val="00786556"/>
    <w:rsid w:val="00790374"/>
    <w:rsid w:val="007936BB"/>
    <w:rsid w:val="00793AC1"/>
    <w:rsid w:val="00795DD2"/>
    <w:rsid w:val="00796C01"/>
    <w:rsid w:val="007A0B7C"/>
    <w:rsid w:val="007A66DA"/>
    <w:rsid w:val="007A78EC"/>
    <w:rsid w:val="007B2F61"/>
    <w:rsid w:val="007B3095"/>
    <w:rsid w:val="007B3B08"/>
    <w:rsid w:val="007B5092"/>
    <w:rsid w:val="007B5E30"/>
    <w:rsid w:val="007B6189"/>
    <w:rsid w:val="007C06B9"/>
    <w:rsid w:val="007C1246"/>
    <w:rsid w:val="007C2A33"/>
    <w:rsid w:val="007C471B"/>
    <w:rsid w:val="007C5B7A"/>
    <w:rsid w:val="007C6B0C"/>
    <w:rsid w:val="007C76FA"/>
    <w:rsid w:val="007D10FB"/>
    <w:rsid w:val="007D3958"/>
    <w:rsid w:val="007D4C4A"/>
    <w:rsid w:val="007D69AD"/>
    <w:rsid w:val="007E058C"/>
    <w:rsid w:val="007E6B94"/>
    <w:rsid w:val="007F0B22"/>
    <w:rsid w:val="007F0EE4"/>
    <w:rsid w:val="007F1CD7"/>
    <w:rsid w:val="007F3A49"/>
    <w:rsid w:val="007F3B86"/>
    <w:rsid w:val="00804F23"/>
    <w:rsid w:val="0080680A"/>
    <w:rsid w:val="00806CBC"/>
    <w:rsid w:val="00813DCF"/>
    <w:rsid w:val="00814195"/>
    <w:rsid w:val="0081530C"/>
    <w:rsid w:val="00815845"/>
    <w:rsid w:val="00815E79"/>
    <w:rsid w:val="00820D31"/>
    <w:rsid w:val="00821E14"/>
    <w:rsid w:val="008222EE"/>
    <w:rsid w:val="00824CB3"/>
    <w:rsid w:val="00826790"/>
    <w:rsid w:val="00826C38"/>
    <w:rsid w:val="0083225B"/>
    <w:rsid w:val="0083265E"/>
    <w:rsid w:val="00842491"/>
    <w:rsid w:val="008442E0"/>
    <w:rsid w:val="00846465"/>
    <w:rsid w:val="00851412"/>
    <w:rsid w:val="00851492"/>
    <w:rsid w:val="00853070"/>
    <w:rsid w:val="00853453"/>
    <w:rsid w:val="0085385F"/>
    <w:rsid w:val="00857672"/>
    <w:rsid w:val="00857D2C"/>
    <w:rsid w:val="00861856"/>
    <w:rsid w:val="008636DD"/>
    <w:rsid w:val="00864052"/>
    <w:rsid w:val="008657C6"/>
    <w:rsid w:val="00866585"/>
    <w:rsid w:val="00867551"/>
    <w:rsid w:val="00872007"/>
    <w:rsid w:val="00874388"/>
    <w:rsid w:val="00880034"/>
    <w:rsid w:val="00882BA1"/>
    <w:rsid w:val="008845B2"/>
    <w:rsid w:val="00887ED4"/>
    <w:rsid w:val="008952F5"/>
    <w:rsid w:val="00896B8D"/>
    <w:rsid w:val="008974B0"/>
    <w:rsid w:val="008A072B"/>
    <w:rsid w:val="008A1052"/>
    <w:rsid w:val="008A1BB8"/>
    <w:rsid w:val="008A2A18"/>
    <w:rsid w:val="008A2A59"/>
    <w:rsid w:val="008A6B48"/>
    <w:rsid w:val="008A7428"/>
    <w:rsid w:val="008B26BF"/>
    <w:rsid w:val="008B45E1"/>
    <w:rsid w:val="008B4A64"/>
    <w:rsid w:val="008B6C93"/>
    <w:rsid w:val="008C3478"/>
    <w:rsid w:val="008C472C"/>
    <w:rsid w:val="008C51D7"/>
    <w:rsid w:val="008C54E2"/>
    <w:rsid w:val="008C64A3"/>
    <w:rsid w:val="008D1225"/>
    <w:rsid w:val="008E0BB9"/>
    <w:rsid w:val="008E5520"/>
    <w:rsid w:val="008F1143"/>
    <w:rsid w:val="008F1989"/>
    <w:rsid w:val="008F1AC2"/>
    <w:rsid w:val="008F1C9E"/>
    <w:rsid w:val="008F1DF2"/>
    <w:rsid w:val="008F1F2C"/>
    <w:rsid w:val="008F797B"/>
    <w:rsid w:val="009037E5"/>
    <w:rsid w:val="009075DB"/>
    <w:rsid w:val="00907810"/>
    <w:rsid w:val="009102E8"/>
    <w:rsid w:val="00911C60"/>
    <w:rsid w:val="00914E8F"/>
    <w:rsid w:val="00915315"/>
    <w:rsid w:val="009156A4"/>
    <w:rsid w:val="009163F5"/>
    <w:rsid w:val="00917F79"/>
    <w:rsid w:val="0092094F"/>
    <w:rsid w:val="00921405"/>
    <w:rsid w:val="009239CE"/>
    <w:rsid w:val="00924D9D"/>
    <w:rsid w:val="009275F0"/>
    <w:rsid w:val="0093165B"/>
    <w:rsid w:val="0093231C"/>
    <w:rsid w:val="009327F1"/>
    <w:rsid w:val="0093342F"/>
    <w:rsid w:val="009454F7"/>
    <w:rsid w:val="0094589B"/>
    <w:rsid w:val="0094617F"/>
    <w:rsid w:val="00946F45"/>
    <w:rsid w:val="00954441"/>
    <w:rsid w:val="00960327"/>
    <w:rsid w:val="00961B70"/>
    <w:rsid w:val="00961D20"/>
    <w:rsid w:val="009623A9"/>
    <w:rsid w:val="00964EE9"/>
    <w:rsid w:val="00965486"/>
    <w:rsid w:val="0096604A"/>
    <w:rsid w:val="0097144E"/>
    <w:rsid w:val="00973917"/>
    <w:rsid w:val="00974DFA"/>
    <w:rsid w:val="00975331"/>
    <w:rsid w:val="00977806"/>
    <w:rsid w:val="009837EF"/>
    <w:rsid w:val="009856AE"/>
    <w:rsid w:val="00985FBD"/>
    <w:rsid w:val="00986508"/>
    <w:rsid w:val="009907B2"/>
    <w:rsid w:val="00991467"/>
    <w:rsid w:val="0099272C"/>
    <w:rsid w:val="00994320"/>
    <w:rsid w:val="00997AF2"/>
    <w:rsid w:val="009A1FB4"/>
    <w:rsid w:val="009A69FF"/>
    <w:rsid w:val="009B022A"/>
    <w:rsid w:val="009B1A9E"/>
    <w:rsid w:val="009B399B"/>
    <w:rsid w:val="009B4581"/>
    <w:rsid w:val="009B57D9"/>
    <w:rsid w:val="009B59C6"/>
    <w:rsid w:val="009B6F55"/>
    <w:rsid w:val="009B7792"/>
    <w:rsid w:val="009B7BBA"/>
    <w:rsid w:val="009C04A9"/>
    <w:rsid w:val="009D1CCC"/>
    <w:rsid w:val="009D2B24"/>
    <w:rsid w:val="009D31C8"/>
    <w:rsid w:val="009D3775"/>
    <w:rsid w:val="009E261C"/>
    <w:rsid w:val="009E3647"/>
    <w:rsid w:val="009E3D03"/>
    <w:rsid w:val="009E40CB"/>
    <w:rsid w:val="009E4741"/>
    <w:rsid w:val="009F355A"/>
    <w:rsid w:val="00A01601"/>
    <w:rsid w:val="00A06F82"/>
    <w:rsid w:val="00A1457D"/>
    <w:rsid w:val="00A20A9C"/>
    <w:rsid w:val="00A20F82"/>
    <w:rsid w:val="00A21298"/>
    <w:rsid w:val="00A219E1"/>
    <w:rsid w:val="00A257E4"/>
    <w:rsid w:val="00A25F9C"/>
    <w:rsid w:val="00A320F8"/>
    <w:rsid w:val="00A336ED"/>
    <w:rsid w:val="00A371F8"/>
    <w:rsid w:val="00A3774E"/>
    <w:rsid w:val="00A41213"/>
    <w:rsid w:val="00A41CE0"/>
    <w:rsid w:val="00A4529C"/>
    <w:rsid w:val="00A45D38"/>
    <w:rsid w:val="00A46324"/>
    <w:rsid w:val="00A47086"/>
    <w:rsid w:val="00A47106"/>
    <w:rsid w:val="00A51754"/>
    <w:rsid w:val="00A537F1"/>
    <w:rsid w:val="00A570A1"/>
    <w:rsid w:val="00A57E06"/>
    <w:rsid w:val="00A60689"/>
    <w:rsid w:val="00A61A9E"/>
    <w:rsid w:val="00A6738E"/>
    <w:rsid w:val="00A71B42"/>
    <w:rsid w:val="00A7462F"/>
    <w:rsid w:val="00A747B9"/>
    <w:rsid w:val="00A81306"/>
    <w:rsid w:val="00A81D73"/>
    <w:rsid w:val="00A83624"/>
    <w:rsid w:val="00A83C74"/>
    <w:rsid w:val="00A848E5"/>
    <w:rsid w:val="00A91B7A"/>
    <w:rsid w:val="00A9783C"/>
    <w:rsid w:val="00AA13E3"/>
    <w:rsid w:val="00AA29ED"/>
    <w:rsid w:val="00AA6286"/>
    <w:rsid w:val="00AA7784"/>
    <w:rsid w:val="00AA7C76"/>
    <w:rsid w:val="00AB04A6"/>
    <w:rsid w:val="00AB1066"/>
    <w:rsid w:val="00AB421C"/>
    <w:rsid w:val="00AB5F28"/>
    <w:rsid w:val="00AC3FB0"/>
    <w:rsid w:val="00AD0810"/>
    <w:rsid w:val="00AD1495"/>
    <w:rsid w:val="00AE102C"/>
    <w:rsid w:val="00AE29FF"/>
    <w:rsid w:val="00AE47DC"/>
    <w:rsid w:val="00AE4A63"/>
    <w:rsid w:val="00AE7DBC"/>
    <w:rsid w:val="00AF0685"/>
    <w:rsid w:val="00AF37C9"/>
    <w:rsid w:val="00AF39AE"/>
    <w:rsid w:val="00AF3A71"/>
    <w:rsid w:val="00AF478C"/>
    <w:rsid w:val="00B01FA1"/>
    <w:rsid w:val="00B02994"/>
    <w:rsid w:val="00B03263"/>
    <w:rsid w:val="00B076B5"/>
    <w:rsid w:val="00B10E08"/>
    <w:rsid w:val="00B12E29"/>
    <w:rsid w:val="00B137DA"/>
    <w:rsid w:val="00B173ED"/>
    <w:rsid w:val="00B2087D"/>
    <w:rsid w:val="00B228DC"/>
    <w:rsid w:val="00B237CD"/>
    <w:rsid w:val="00B26478"/>
    <w:rsid w:val="00B31777"/>
    <w:rsid w:val="00B318A9"/>
    <w:rsid w:val="00B31B37"/>
    <w:rsid w:val="00B33179"/>
    <w:rsid w:val="00B332B9"/>
    <w:rsid w:val="00B34B6C"/>
    <w:rsid w:val="00B3500F"/>
    <w:rsid w:val="00B37C9E"/>
    <w:rsid w:val="00B37D03"/>
    <w:rsid w:val="00B415FC"/>
    <w:rsid w:val="00B41888"/>
    <w:rsid w:val="00B4389D"/>
    <w:rsid w:val="00B43D7F"/>
    <w:rsid w:val="00B44DA2"/>
    <w:rsid w:val="00B479F3"/>
    <w:rsid w:val="00B5277F"/>
    <w:rsid w:val="00B52E9E"/>
    <w:rsid w:val="00B5707F"/>
    <w:rsid w:val="00B602DA"/>
    <w:rsid w:val="00B608AD"/>
    <w:rsid w:val="00B628FF"/>
    <w:rsid w:val="00B62A92"/>
    <w:rsid w:val="00B644D4"/>
    <w:rsid w:val="00B64EA7"/>
    <w:rsid w:val="00B70008"/>
    <w:rsid w:val="00B7303C"/>
    <w:rsid w:val="00B73090"/>
    <w:rsid w:val="00B75E7B"/>
    <w:rsid w:val="00B76FF1"/>
    <w:rsid w:val="00B77024"/>
    <w:rsid w:val="00B801FA"/>
    <w:rsid w:val="00B839D5"/>
    <w:rsid w:val="00B85B2A"/>
    <w:rsid w:val="00B8643D"/>
    <w:rsid w:val="00B86A4F"/>
    <w:rsid w:val="00B8750F"/>
    <w:rsid w:val="00B925AA"/>
    <w:rsid w:val="00BA0F20"/>
    <w:rsid w:val="00BA139C"/>
    <w:rsid w:val="00BA1520"/>
    <w:rsid w:val="00BA708E"/>
    <w:rsid w:val="00BA72BF"/>
    <w:rsid w:val="00BB23AC"/>
    <w:rsid w:val="00BB57E9"/>
    <w:rsid w:val="00BB722C"/>
    <w:rsid w:val="00BC2A1E"/>
    <w:rsid w:val="00BC5F4A"/>
    <w:rsid w:val="00BC62DD"/>
    <w:rsid w:val="00BC783D"/>
    <w:rsid w:val="00BD0C12"/>
    <w:rsid w:val="00BD1119"/>
    <w:rsid w:val="00BF5544"/>
    <w:rsid w:val="00BF6158"/>
    <w:rsid w:val="00C05724"/>
    <w:rsid w:val="00C063C4"/>
    <w:rsid w:val="00C06921"/>
    <w:rsid w:val="00C07515"/>
    <w:rsid w:val="00C11216"/>
    <w:rsid w:val="00C15BAE"/>
    <w:rsid w:val="00C21E9A"/>
    <w:rsid w:val="00C22E74"/>
    <w:rsid w:val="00C26792"/>
    <w:rsid w:val="00C27E15"/>
    <w:rsid w:val="00C30E49"/>
    <w:rsid w:val="00C32EF9"/>
    <w:rsid w:val="00C36B7B"/>
    <w:rsid w:val="00C37829"/>
    <w:rsid w:val="00C42206"/>
    <w:rsid w:val="00C4383F"/>
    <w:rsid w:val="00C443D0"/>
    <w:rsid w:val="00C503CF"/>
    <w:rsid w:val="00C518EA"/>
    <w:rsid w:val="00C53A34"/>
    <w:rsid w:val="00C54816"/>
    <w:rsid w:val="00C56949"/>
    <w:rsid w:val="00C62D1F"/>
    <w:rsid w:val="00C6696B"/>
    <w:rsid w:val="00C67066"/>
    <w:rsid w:val="00C75E29"/>
    <w:rsid w:val="00C77D54"/>
    <w:rsid w:val="00C8050F"/>
    <w:rsid w:val="00C83DEF"/>
    <w:rsid w:val="00C84A58"/>
    <w:rsid w:val="00C84D1E"/>
    <w:rsid w:val="00C91DCD"/>
    <w:rsid w:val="00C927B2"/>
    <w:rsid w:val="00C9524D"/>
    <w:rsid w:val="00CA4BD9"/>
    <w:rsid w:val="00CB1471"/>
    <w:rsid w:val="00CB1836"/>
    <w:rsid w:val="00CB189A"/>
    <w:rsid w:val="00CB4539"/>
    <w:rsid w:val="00CB5357"/>
    <w:rsid w:val="00CC1864"/>
    <w:rsid w:val="00CC1FA3"/>
    <w:rsid w:val="00CC4D5F"/>
    <w:rsid w:val="00CD0C24"/>
    <w:rsid w:val="00CD14BE"/>
    <w:rsid w:val="00CD6C87"/>
    <w:rsid w:val="00CD7545"/>
    <w:rsid w:val="00CD7AC9"/>
    <w:rsid w:val="00CE0936"/>
    <w:rsid w:val="00CE32A5"/>
    <w:rsid w:val="00CE50F9"/>
    <w:rsid w:val="00CE5C1E"/>
    <w:rsid w:val="00CE6FFA"/>
    <w:rsid w:val="00CE76B1"/>
    <w:rsid w:val="00CF1B2B"/>
    <w:rsid w:val="00CF233C"/>
    <w:rsid w:val="00CF2AD7"/>
    <w:rsid w:val="00CF4E63"/>
    <w:rsid w:val="00D000CD"/>
    <w:rsid w:val="00D02506"/>
    <w:rsid w:val="00D036CE"/>
    <w:rsid w:val="00D045C1"/>
    <w:rsid w:val="00D04B12"/>
    <w:rsid w:val="00D0602C"/>
    <w:rsid w:val="00D12EBF"/>
    <w:rsid w:val="00D14B9C"/>
    <w:rsid w:val="00D2150D"/>
    <w:rsid w:val="00D23CF1"/>
    <w:rsid w:val="00D249F3"/>
    <w:rsid w:val="00D2521D"/>
    <w:rsid w:val="00D32321"/>
    <w:rsid w:val="00D3392B"/>
    <w:rsid w:val="00D36813"/>
    <w:rsid w:val="00D376E0"/>
    <w:rsid w:val="00D408F6"/>
    <w:rsid w:val="00D42EE1"/>
    <w:rsid w:val="00D4416E"/>
    <w:rsid w:val="00D448FF"/>
    <w:rsid w:val="00D44F8F"/>
    <w:rsid w:val="00D46B94"/>
    <w:rsid w:val="00D51D9D"/>
    <w:rsid w:val="00D52050"/>
    <w:rsid w:val="00D55731"/>
    <w:rsid w:val="00D5672F"/>
    <w:rsid w:val="00D6014D"/>
    <w:rsid w:val="00D604A2"/>
    <w:rsid w:val="00D6153C"/>
    <w:rsid w:val="00D63ECF"/>
    <w:rsid w:val="00D647B7"/>
    <w:rsid w:val="00D65076"/>
    <w:rsid w:val="00D658A5"/>
    <w:rsid w:val="00D703F6"/>
    <w:rsid w:val="00D73523"/>
    <w:rsid w:val="00D73B13"/>
    <w:rsid w:val="00D75424"/>
    <w:rsid w:val="00D777FD"/>
    <w:rsid w:val="00D90248"/>
    <w:rsid w:val="00D91D04"/>
    <w:rsid w:val="00D93933"/>
    <w:rsid w:val="00D9689F"/>
    <w:rsid w:val="00DA0A00"/>
    <w:rsid w:val="00DB179E"/>
    <w:rsid w:val="00DB28B8"/>
    <w:rsid w:val="00DB750E"/>
    <w:rsid w:val="00DC1E3C"/>
    <w:rsid w:val="00DC28AC"/>
    <w:rsid w:val="00DC5E5F"/>
    <w:rsid w:val="00DC61B4"/>
    <w:rsid w:val="00DD34CD"/>
    <w:rsid w:val="00DD3DA0"/>
    <w:rsid w:val="00DD51CD"/>
    <w:rsid w:val="00DD63C6"/>
    <w:rsid w:val="00DE2F7B"/>
    <w:rsid w:val="00DE3D72"/>
    <w:rsid w:val="00DE4DAD"/>
    <w:rsid w:val="00DE687D"/>
    <w:rsid w:val="00DF047C"/>
    <w:rsid w:val="00DF3F2E"/>
    <w:rsid w:val="00DF559E"/>
    <w:rsid w:val="00DF782F"/>
    <w:rsid w:val="00DF7B6E"/>
    <w:rsid w:val="00E00861"/>
    <w:rsid w:val="00E01587"/>
    <w:rsid w:val="00E01C55"/>
    <w:rsid w:val="00E036C9"/>
    <w:rsid w:val="00E14228"/>
    <w:rsid w:val="00E16C11"/>
    <w:rsid w:val="00E22EAD"/>
    <w:rsid w:val="00E23D33"/>
    <w:rsid w:val="00E26334"/>
    <w:rsid w:val="00E32D52"/>
    <w:rsid w:val="00E35F50"/>
    <w:rsid w:val="00E4183E"/>
    <w:rsid w:val="00E41E18"/>
    <w:rsid w:val="00E45809"/>
    <w:rsid w:val="00E473DA"/>
    <w:rsid w:val="00E51240"/>
    <w:rsid w:val="00E518C6"/>
    <w:rsid w:val="00E520FB"/>
    <w:rsid w:val="00E529B8"/>
    <w:rsid w:val="00E576CF"/>
    <w:rsid w:val="00E57A3A"/>
    <w:rsid w:val="00E60477"/>
    <w:rsid w:val="00E606BB"/>
    <w:rsid w:val="00E60E94"/>
    <w:rsid w:val="00E62BFD"/>
    <w:rsid w:val="00E652A9"/>
    <w:rsid w:val="00E66499"/>
    <w:rsid w:val="00E703BA"/>
    <w:rsid w:val="00E73C9B"/>
    <w:rsid w:val="00E763AA"/>
    <w:rsid w:val="00E82884"/>
    <w:rsid w:val="00E86DE0"/>
    <w:rsid w:val="00E87C0B"/>
    <w:rsid w:val="00E931CD"/>
    <w:rsid w:val="00EA0EDB"/>
    <w:rsid w:val="00EA68C9"/>
    <w:rsid w:val="00EB0FE6"/>
    <w:rsid w:val="00EB3D10"/>
    <w:rsid w:val="00EB6864"/>
    <w:rsid w:val="00EB700A"/>
    <w:rsid w:val="00EC011F"/>
    <w:rsid w:val="00EC0522"/>
    <w:rsid w:val="00EC1B60"/>
    <w:rsid w:val="00EC4DA1"/>
    <w:rsid w:val="00EC527B"/>
    <w:rsid w:val="00EC5830"/>
    <w:rsid w:val="00EC6601"/>
    <w:rsid w:val="00ED0847"/>
    <w:rsid w:val="00ED5DCB"/>
    <w:rsid w:val="00EE1093"/>
    <w:rsid w:val="00EE405E"/>
    <w:rsid w:val="00EE576A"/>
    <w:rsid w:val="00EE606D"/>
    <w:rsid w:val="00EE62A1"/>
    <w:rsid w:val="00EE70EF"/>
    <w:rsid w:val="00EF299B"/>
    <w:rsid w:val="00EF2ECF"/>
    <w:rsid w:val="00EF5E8A"/>
    <w:rsid w:val="00F02DF1"/>
    <w:rsid w:val="00F02E1B"/>
    <w:rsid w:val="00F039FD"/>
    <w:rsid w:val="00F0485C"/>
    <w:rsid w:val="00F0641C"/>
    <w:rsid w:val="00F06751"/>
    <w:rsid w:val="00F108E7"/>
    <w:rsid w:val="00F118CB"/>
    <w:rsid w:val="00F11EED"/>
    <w:rsid w:val="00F133CD"/>
    <w:rsid w:val="00F13D73"/>
    <w:rsid w:val="00F14586"/>
    <w:rsid w:val="00F15B1C"/>
    <w:rsid w:val="00F24D09"/>
    <w:rsid w:val="00F25941"/>
    <w:rsid w:val="00F27A4D"/>
    <w:rsid w:val="00F27F95"/>
    <w:rsid w:val="00F30A9E"/>
    <w:rsid w:val="00F32D9D"/>
    <w:rsid w:val="00F408A4"/>
    <w:rsid w:val="00F410E2"/>
    <w:rsid w:val="00F43E7A"/>
    <w:rsid w:val="00F46907"/>
    <w:rsid w:val="00F5017E"/>
    <w:rsid w:val="00F53294"/>
    <w:rsid w:val="00F565F2"/>
    <w:rsid w:val="00F567B5"/>
    <w:rsid w:val="00F5771D"/>
    <w:rsid w:val="00F6019F"/>
    <w:rsid w:val="00F6155C"/>
    <w:rsid w:val="00F640B3"/>
    <w:rsid w:val="00F649BF"/>
    <w:rsid w:val="00F6577A"/>
    <w:rsid w:val="00F67EB7"/>
    <w:rsid w:val="00F70E4C"/>
    <w:rsid w:val="00F76224"/>
    <w:rsid w:val="00F804F2"/>
    <w:rsid w:val="00F80D6C"/>
    <w:rsid w:val="00F84606"/>
    <w:rsid w:val="00F84F77"/>
    <w:rsid w:val="00F87F62"/>
    <w:rsid w:val="00F92113"/>
    <w:rsid w:val="00F93BFA"/>
    <w:rsid w:val="00F943E3"/>
    <w:rsid w:val="00F97639"/>
    <w:rsid w:val="00F97DE1"/>
    <w:rsid w:val="00FA0176"/>
    <w:rsid w:val="00FB289A"/>
    <w:rsid w:val="00FB3589"/>
    <w:rsid w:val="00FB3BF0"/>
    <w:rsid w:val="00FC5306"/>
    <w:rsid w:val="00FC70AE"/>
    <w:rsid w:val="00FD1007"/>
    <w:rsid w:val="00FD2A1A"/>
    <w:rsid w:val="00FD2F4E"/>
    <w:rsid w:val="00FD2F6E"/>
    <w:rsid w:val="00FD4C10"/>
    <w:rsid w:val="00FE047D"/>
    <w:rsid w:val="00FE0DD6"/>
    <w:rsid w:val="00FE3F55"/>
    <w:rsid w:val="00FE7A29"/>
    <w:rsid w:val="00FF211C"/>
    <w:rsid w:val="00FF21ED"/>
    <w:rsid w:val="00FF3181"/>
    <w:rsid w:val="00FF3656"/>
    <w:rsid w:val="00FF3726"/>
    <w:rsid w:val="00FF56F6"/>
    <w:rsid w:val="00FF6B52"/>
    <w:rsid w:val="00FF740E"/>
    <w:rsid w:val="53C5BB3A"/>
    <w:rsid w:val="5FA307DC"/>
    <w:rsid w:val="6BC96CA7"/>
    <w:rsid w:val="77B708A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7D4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478C"/>
    <w:pPr>
      <w:autoSpaceDE w:val="0"/>
      <w:autoSpaceDN w:val="0"/>
      <w:adjustRightInd w:val="0"/>
    </w:pPr>
    <w:rPr>
      <w:rFonts w:ascii="Arial" w:hAnsi="Arial" w:cs="Arial"/>
      <w:lang w:val="en-US"/>
    </w:rPr>
  </w:style>
  <w:style w:type="paragraph" w:styleId="Heading1">
    <w:name w:val="heading 1"/>
    <w:basedOn w:val="HeadingBase"/>
    <w:next w:val="Normal"/>
    <w:link w:val="Heading1Char"/>
    <w:qFormat/>
    <w:rsid w:val="00AF39AE"/>
    <w:pPr>
      <w:spacing w:after="240"/>
      <w:outlineLvl w:val="0"/>
    </w:pPr>
    <w:rPr>
      <w:b/>
      <w:kern w:val="28"/>
      <w:sz w:val="36"/>
    </w:rPr>
  </w:style>
  <w:style w:type="paragraph" w:styleId="Heading2">
    <w:name w:val="heading 2"/>
    <w:basedOn w:val="HeadingBase"/>
    <w:next w:val="Normal"/>
    <w:link w:val="Heading2Char"/>
    <w:qFormat/>
    <w:rsid w:val="00BA0F20"/>
    <w:pPr>
      <w:keepNext/>
      <w:spacing w:before="240" w:after="240"/>
      <w:outlineLvl w:val="1"/>
    </w:pPr>
    <w:rPr>
      <w:b/>
      <w:color w:val="000000"/>
      <w:sz w:val="26"/>
    </w:rPr>
  </w:style>
  <w:style w:type="paragraph" w:styleId="Heading3">
    <w:name w:val="heading 3"/>
    <w:basedOn w:val="HeadingBase"/>
    <w:next w:val="Normal"/>
    <w:link w:val="Heading3Char"/>
    <w:qFormat/>
    <w:rsid w:val="00BA0F20"/>
    <w:pPr>
      <w:keepNext/>
      <w:spacing w:before="120" w:after="120"/>
      <w:outlineLvl w:val="2"/>
    </w:pPr>
    <w:rPr>
      <w:rFonts w:ascii="Arial Bold" w:hAnsi="Arial Bold"/>
      <w:b/>
      <w:color w:val="000000"/>
      <w:sz w:val="22"/>
    </w:rPr>
  </w:style>
  <w:style w:type="paragraph" w:styleId="Heading4">
    <w:name w:val="heading 4"/>
    <w:basedOn w:val="HeadingBase"/>
    <w:next w:val="Normal"/>
    <w:link w:val="Heading4Char"/>
    <w:qFormat/>
    <w:rsid w:val="00D75424"/>
    <w:pPr>
      <w:keepNext/>
      <w:spacing w:before="120" w:after="120"/>
      <w:outlineLvl w:val="3"/>
    </w:pPr>
    <w:rPr>
      <w:b/>
      <w:color w:val="000000"/>
      <w:sz w:val="22"/>
    </w:rPr>
  </w:style>
  <w:style w:type="paragraph" w:styleId="Heading5">
    <w:name w:val="heading 5"/>
    <w:basedOn w:val="HeadingBase"/>
    <w:next w:val="Normal"/>
    <w:link w:val="Heading5Char"/>
    <w:qFormat/>
    <w:rsid w:val="00D75424"/>
    <w:pPr>
      <w:keepNext/>
      <w:spacing w:before="240" w:after="120"/>
      <w:outlineLvl w:val="4"/>
    </w:pPr>
    <w:rPr>
      <w:b/>
      <w:color w:val="000000"/>
      <w:sz w:val="20"/>
    </w:rPr>
  </w:style>
  <w:style w:type="paragraph" w:styleId="Heading6">
    <w:name w:val="heading 6"/>
    <w:basedOn w:val="HeadingBase"/>
    <w:next w:val="Normal"/>
    <w:link w:val="Heading6Char"/>
    <w:qFormat/>
    <w:rsid w:val="00D75424"/>
    <w:pPr>
      <w:keepNext/>
      <w:spacing w:after="120"/>
      <w:outlineLvl w:val="5"/>
    </w:pPr>
    <w:rPr>
      <w:color w:val="000000"/>
      <w:sz w:val="20"/>
    </w:rPr>
  </w:style>
  <w:style w:type="paragraph" w:styleId="Heading7">
    <w:name w:val="heading 7"/>
    <w:basedOn w:val="HeadingBase"/>
    <w:next w:val="Normal"/>
    <w:link w:val="Heading7Char"/>
    <w:qFormat/>
    <w:rsid w:val="00D75424"/>
    <w:pPr>
      <w:spacing w:after="100"/>
      <w:outlineLvl w:val="6"/>
    </w:pPr>
    <w:rPr>
      <w:color w:val="000000"/>
      <w:sz w:val="18"/>
    </w:rPr>
  </w:style>
  <w:style w:type="paragraph" w:styleId="Heading8">
    <w:name w:val="heading 8"/>
    <w:basedOn w:val="Normal"/>
    <w:next w:val="Normal"/>
    <w:link w:val="Heading8Char"/>
    <w:qFormat/>
    <w:rsid w:val="00D75424"/>
    <w:pPr>
      <w:keepLines/>
      <w:autoSpaceDE/>
      <w:autoSpaceDN/>
      <w:adjustRightInd/>
      <w:spacing w:before="240" w:after="60" w:line="260" w:lineRule="exact"/>
      <w:jc w:val="both"/>
      <w:outlineLvl w:val="7"/>
    </w:pPr>
    <w:rPr>
      <w:rFonts w:cs="Times New Roman"/>
      <w:i/>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Heading">
    <w:name w:val="Box Heading"/>
    <w:basedOn w:val="HeadingBase"/>
    <w:next w:val="Normal"/>
    <w:rsid w:val="00D75424"/>
    <w:pPr>
      <w:spacing w:before="240" w:after="120"/>
    </w:pPr>
    <w:rPr>
      <w:rFonts w:ascii="Arial Bold" w:hAnsi="Arial Bold"/>
      <w:b/>
      <w:sz w:val="20"/>
    </w:rPr>
  </w:style>
  <w:style w:type="paragraph" w:customStyle="1" w:styleId="HeaderBase">
    <w:name w:val="Header Base"/>
    <w:rsid w:val="00C9524D"/>
    <w:rPr>
      <w:rFonts w:ascii="Arial" w:hAnsi="Arial"/>
      <w:color w:val="002B54"/>
      <w:sz w:val="18"/>
    </w:rPr>
  </w:style>
  <w:style w:type="paragraph" w:customStyle="1" w:styleId="FooterBase">
    <w:name w:val="Footer Base"/>
    <w:rsid w:val="00C9524D"/>
    <w:rPr>
      <w:rFonts w:ascii="Arial" w:hAnsi="Arial"/>
      <w:color w:val="002B54"/>
      <w:sz w:val="18"/>
    </w:rPr>
  </w:style>
  <w:style w:type="paragraph" w:customStyle="1" w:styleId="HeadingBase">
    <w:name w:val="Heading Base"/>
    <w:rsid w:val="00D75424"/>
    <w:rPr>
      <w:rFonts w:ascii="Arial" w:hAnsi="Arial"/>
      <w:sz w:val="24"/>
    </w:rPr>
  </w:style>
  <w:style w:type="paragraph" w:customStyle="1" w:styleId="ChartandTableFootnote">
    <w:name w:val="Chart and Table Footnote"/>
    <w:basedOn w:val="HeadingBase"/>
    <w:next w:val="Normal"/>
    <w:rsid w:val="00D000CD"/>
    <w:pPr>
      <w:ind w:left="357" w:hanging="357"/>
      <w:jc w:val="both"/>
    </w:pPr>
    <w:rPr>
      <w:color w:val="000000"/>
      <w:sz w:val="16"/>
    </w:rPr>
  </w:style>
  <w:style w:type="paragraph" w:customStyle="1" w:styleId="ChartGraphic">
    <w:name w:val="Chart Graphic"/>
    <w:basedOn w:val="HeadingBase"/>
    <w:next w:val="Normal"/>
    <w:rsid w:val="00D75424"/>
    <w:pPr>
      <w:jc w:val="center"/>
    </w:pPr>
    <w:rPr>
      <w:color w:val="000000"/>
      <w:sz w:val="20"/>
    </w:rPr>
  </w:style>
  <w:style w:type="paragraph" w:customStyle="1" w:styleId="ChartHeading">
    <w:name w:val="Chart Heading"/>
    <w:basedOn w:val="HeadingBase"/>
    <w:next w:val="ChartGraphic"/>
    <w:rsid w:val="00D75424"/>
    <w:pPr>
      <w:keepNext/>
      <w:spacing w:before="120"/>
      <w:jc w:val="center"/>
    </w:pPr>
    <w:rPr>
      <w:b/>
      <w:color w:val="000000"/>
      <w:sz w:val="20"/>
    </w:rPr>
  </w:style>
  <w:style w:type="paragraph" w:customStyle="1" w:styleId="ChartSecondHeading">
    <w:name w:val="Chart Second Heading"/>
    <w:basedOn w:val="ChartHeading"/>
    <w:next w:val="ChartGraphic"/>
    <w:rsid w:val="00D75424"/>
    <w:pPr>
      <w:spacing w:before="60"/>
    </w:pPr>
    <w:rPr>
      <w:b w:val="0"/>
    </w:rPr>
  </w:style>
  <w:style w:type="paragraph" w:customStyle="1" w:styleId="Classification">
    <w:name w:val="Classification"/>
    <w:basedOn w:val="HeadingBase"/>
    <w:rsid w:val="00294042"/>
    <w:pPr>
      <w:jc w:val="center"/>
    </w:pPr>
    <w:rPr>
      <w:rFonts w:ascii="Arial Bold" w:hAnsi="Arial Bold"/>
      <w:b/>
      <w:caps/>
      <w:color w:val="000000"/>
    </w:rPr>
  </w:style>
  <w:style w:type="paragraph" w:customStyle="1" w:styleId="ContentsHeading">
    <w:name w:val="Contents Heading"/>
    <w:basedOn w:val="HeadingBase"/>
    <w:next w:val="Normal"/>
    <w:rsid w:val="006C3D6A"/>
    <w:pPr>
      <w:spacing w:after="720"/>
      <w:jc w:val="center"/>
    </w:pPr>
    <w:rPr>
      <w:rFonts w:ascii="Arial Bold" w:hAnsi="Arial Bold"/>
      <w:b/>
      <w:sz w:val="36"/>
      <w:lang w:val="en-US"/>
    </w:rPr>
  </w:style>
  <w:style w:type="paragraph" w:customStyle="1" w:styleId="ContentsSecondHeading">
    <w:name w:val="Contents Second Heading"/>
    <w:basedOn w:val="HeadingBase"/>
    <w:next w:val="Normal"/>
    <w:rsid w:val="00D75424"/>
    <w:pPr>
      <w:spacing w:after="360"/>
      <w:jc w:val="center"/>
    </w:pPr>
    <w:rPr>
      <w:color w:val="000000"/>
      <w:sz w:val="30"/>
    </w:rPr>
  </w:style>
  <w:style w:type="paragraph" w:styleId="Footer">
    <w:name w:val="footer"/>
    <w:basedOn w:val="FooterBase"/>
    <w:link w:val="FooterChar"/>
    <w:rsid w:val="00D75424"/>
    <w:pPr>
      <w:jc w:val="center"/>
    </w:pPr>
    <w:rPr>
      <w:color w:val="000000"/>
    </w:rPr>
  </w:style>
  <w:style w:type="character" w:styleId="FootnoteReference">
    <w:name w:val="footnote reference"/>
    <w:semiHidden/>
    <w:rsid w:val="00D75424"/>
    <w:rPr>
      <w:rFonts w:ascii="Book Antiqua" w:hAnsi="Book Antiqua"/>
      <w:noProof w:val="0"/>
      <w:sz w:val="20"/>
      <w:vertAlign w:val="superscript"/>
      <w:lang w:val="en-AU"/>
    </w:rPr>
  </w:style>
  <w:style w:type="paragraph" w:styleId="FootnoteText">
    <w:name w:val="footnote text"/>
    <w:basedOn w:val="Normal"/>
    <w:link w:val="FootnoteTextChar"/>
    <w:semiHidden/>
    <w:rsid w:val="00D75424"/>
    <w:pPr>
      <w:keepLines/>
      <w:tabs>
        <w:tab w:val="left" w:pos="283"/>
      </w:tabs>
      <w:autoSpaceDE/>
      <w:autoSpaceDN/>
      <w:adjustRightInd/>
      <w:ind w:left="284" w:hanging="284"/>
      <w:jc w:val="both"/>
    </w:pPr>
    <w:rPr>
      <w:rFonts w:ascii="Book Antiqua" w:hAnsi="Book Antiqua" w:cs="Times New Roman"/>
      <w:color w:val="000000"/>
      <w:sz w:val="18"/>
      <w:lang w:val="en-AU"/>
    </w:rPr>
  </w:style>
  <w:style w:type="paragraph" w:styleId="Header">
    <w:name w:val="header"/>
    <w:basedOn w:val="HeaderBase"/>
    <w:link w:val="HeaderChar"/>
    <w:rsid w:val="00D75424"/>
  </w:style>
  <w:style w:type="paragraph" w:styleId="Index1">
    <w:name w:val="index 1"/>
    <w:basedOn w:val="Normal"/>
    <w:next w:val="Normal"/>
    <w:autoRedefine/>
    <w:semiHidden/>
    <w:rsid w:val="00D75424"/>
    <w:pPr>
      <w:keepLines/>
      <w:autoSpaceDE/>
      <w:autoSpaceDN/>
      <w:adjustRightInd/>
      <w:spacing w:after="240" w:line="260" w:lineRule="exact"/>
      <w:ind w:left="198" w:hanging="198"/>
      <w:jc w:val="both"/>
    </w:pPr>
    <w:rPr>
      <w:rFonts w:ascii="Book Antiqua" w:hAnsi="Book Antiqua" w:cs="Times New Roman"/>
      <w:color w:val="000000"/>
      <w:sz w:val="18"/>
      <w:lang w:val="en-AU"/>
    </w:rPr>
  </w:style>
  <w:style w:type="paragraph" w:styleId="Index2">
    <w:name w:val="index 2"/>
    <w:basedOn w:val="Normal"/>
    <w:next w:val="Normal"/>
    <w:autoRedefine/>
    <w:semiHidden/>
    <w:rsid w:val="00D75424"/>
    <w:pPr>
      <w:keepLines/>
      <w:autoSpaceDE/>
      <w:autoSpaceDN/>
      <w:adjustRightInd/>
      <w:spacing w:after="240" w:line="260" w:lineRule="exact"/>
      <w:ind w:left="396" w:hanging="198"/>
      <w:jc w:val="both"/>
    </w:pPr>
    <w:rPr>
      <w:rFonts w:ascii="Book Antiqua" w:hAnsi="Book Antiqua" w:cs="Times New Roman"/>
      <w:color w:val="000000"/>
      <w:sz w:val="18"/>
      <w:lang w:val="en-AU"/>
    </w:rPr>
  </w:style>
  <w:style w:type="paragraph" w:styleId="Index3">
    <w:name w:val="index 3"/>
    <w:basedOn w:val="Normal"/>
    <w:next w:val="Normal"/>
    <w:autoRedefine/>
    <w:semiHidden/>
    <w:rsid w:val="00D75424"/>
    <w:pPr>
      <w:keepLines/>
      <w:autoSpaceDE/>
      <w:autoSpaceDN/>
      <w:adjustRightInd/>
      <w:spacing w:after="240" w:line="260" w:lineRule="exact"/>
      <w:ind w:left="601" w:hanging="198"/>
      <w:jc w:val="both"/>
    </w:pPr>
    <w:rPr>
      <w:rFonts w:ascii="Book Antiqua" w:hAnsi="Book Antiqua" w:cs="Times New Roman"/>
      <w:color w:val="000000"/>
      <w:sz w:val="18"/>
      <w:lang w:val="en-AU"/>
    </w:rPr>
  </w:style>
  <w:style w:type="paragraph" w:styleId="IndexHeading">
    <w:name w:val="index heading"/>
    <w:basedOn w:val="Normal"/>
    <w:next w:val="Index1"/>
    <w:semiHidden/>
    <w:rsid w:val="00D75424"/>
    <w:pPr>
      <w:keepLines/>
      <w:autoSpaceDE/>
      <w:autoSpaceDN/>
      <w:adjustRightInd/>
      <w:spacing w:before="240" w:after="120" w:line="260" w:lineRule="exact"/>
      <w:jc w:val="center"/>
    </w:pPr>
    <w:rPr>
      <w:rFonts w:cs="Times New Roman"/>
      <w:b/>
      <w:color w:val="000000"/>
      <w:sz w:val="24"/>
      <w:lang w:val="en-AU"/>
    </w:rPr>
  </w:style>
  <w:style w:type="character" w:styleId="PageNumber">
    <w:name w:val="page number"/>
    <w:rsid w:val="00D75424"/>
  </w:style>
  <w:style w:type="paragraph" w:customStyle="1" w:styleId="TableHeading">
    <w:name w:val="Table Heading"/>
    <w:basedOn w:val="HeadingBase"/>
    <w:next w:val="Normal"/>
    <w:rsid w:val="00D75424"/>
    <w:pPr>
      <w:keepNext/>
      <w:spacing w:before="120" w:after="20"/>
    </w:pPr>
    <w:rPr>
      <w:b/>
      <w:color w:val="000000"/>
      <w:sz w:val="20"/>
    </w:rPr>
  </w:style>
  <w:style w:type="paragraph" w:customStyle="1" w:styleId="TableHeadingcontinued">
    <w:name w:val="Table Heading continued"/>
    <w:basedOn w:val="HeadingBase"/>
    <w:next w:val="TableGraphic"/>
    <w:rsid w:val="00D75424"/>
    <w:pPr>
      <w:keepNext/>
      <w:spacing w:before="120" w:after="20"/>
    </w:pPr>
    <w:rPr>
      <w:b/>
      <w:color w:val="000000"/>
      <w:sz w:val="20"/>
    </w:rPr>
  </w:style>
  <w:style w:type="paragraph" w:customStyle="1" w:styleId="TableGraphic">
    <w:name w:val="Table Graphic"/>
    <w:basedOn w:val="TableHeading"/>
    <w:next w:val="Normal"/>
    <w:rsid w:val="00D75424"/>
    <w:pPr>
      <w:keepNext w:val="0"/>
      <w:spacing w:before="0"/>
      <w:ind w:right="-113"/>
    </w:pPr>
    <w:rPr>
      <w:b w:val="0"/>
    </w:rPr>
  </w:style>
  <w:style w:type="paragraph" w:styleId="TOC1">
    <w:name w:val="toc 1"/>
    <w:basedOn w:val="HeadingBase"/>
    <w:next w:val="Normal"/>
    <w:autoRedefine/>
    <w:rsid w:val="00D75424"/>
    <w:pPr>
      <w:tabs>
        <w:tab w:val="right" w:leader="dot" w:pos="7699"/>
      </w:tabs>
      <w:spacing w:before="180"/>
      <w:ind w:right="851"/>
    </w:pPr>
    <w:rPr>
      <w:b/>
      <w:color w:val="000000"/>
      <w:sz w:val="20"/>
    </w:rPr>
  </w:style>
  <w:style w:type="paragraph" w:styleId="TOC2">
    <w:name w:val="toc 2"/>
    <w:basedOn w:val="Normal"/>
    <w:next w:val="Normal"/>
    <w:autoRedefine/>
    <w:rsid w:val="00D75424"/>
    <w:pPr>
      <w:keepLines/>
      <w:tabs>
        <w:tab w:val="right" w:leader="dot" w:pos="7699"/>
      </w:tabs>
      <w:autoSpaceDE/>
      <w:autoSpaceDN/>
      <w:adjustRightInd/>
      <w:spacing w:before="40"/>
      <w:ind w:right="851"/>
    </w:pPr>
    <w:rPr>
      <w:rFonts w:cs="Times New Roman"/>
      <w:lang w:val="en-AU"/>
    </w:rPr>
  </w:style>
  <w:style w:type="paragraph" w:styleId="TOC3">
    <w:name w:val="toc 3"/>
    <w:basedOn w:val="HeadingBase"/>
    <w:next w:val="Normal"/>
    <w:autoRedefine/>
    <w:rsid w:val="00D75424"/>
    <w:pPr>
      <w:tabs>
        <w:tab w:val="right" w:leader="dot" w:pos="7699"/>
      </w:tabs>
      <w:spacing w:before="180"/>
      <w:ind w:right="851"/>
    </w:pPr>
    <w:rPr>
      <w:b/>
      <w:color w:val="000000"/>
      <w:sz w:val="20"/>
    </w:rPr>
  </w:style>
  <w:style w:type="paragraph" w:customStyle="1" w:styleId="HeaderOdd">
    <w:name w:val="Header Odd"/>
    <w:basedOn w:val="HeaderBase"/>
    <w:rsid w:val="00D75424"/>
    <w:pPr>
      <w:jc w:val="right"/>
    </w:pPr>
  </w:style>
  <w:style w:type="paragraph" w:customStyle="1" w:styleId="HeaderEven">
    <w:name w:val="Header Even"/>
    <w:basedOn w:val="HeaderBase"/>
    <w:rsid w:val="00D75424"/>
  </w:style>
  <w:style w:type="paragraph" w:customStyle="1" w:styleId="FileProperties">
    <w:name w:val="File Properties"/>
    <w:basedOn w:val="Normal"/>
    <w:rsid w:val="00D75424"/>
    <w:pPr>
      <w:keepLines/>
      <w:autoSpaceDE/>
      <w:autoSpaceDN/>
      <w:adjustRightInd/>
      <w:spacing w:after="240" w:line="260" w:lineRule="exact"/>
      <w:jc w:val="both"/>
    </w:pPr>
    <w:rPr>
      <w:rFonts w:ascii="Book Antiqua" w:hAnsi="Book Antiqua" w:cs="Times New Roman"/>
      <w:i/>
      <w:color w:val="000000"/>
      <w:lang w:val="en-AU"/>
    </w:rPr>
  </w:style>
  <w:style w:type="character" w:customStyle="1" w:styleId="FramedHeader">
    <w:name w:val="Framed Header"/>
    <w:rsid w:val="00D75424"/>
    <w:rPr>
      <w:rFonts w:ascii="Book Antiqua" w:hAnsi="Book Antiqua"/>
      <w:i/>
      <w:dstrike w:val="0"/>
      <w:sz w:val="20"/>
      <w:szCs w:val="20"/>
      <w:vertAlign w:val="baseline"/>
    </w:rPr>
  </w:style>
  <w:style w:type="paragraph" w:styleId="TOC4">
    <w:name w:val="toc 4"/>
    <w:basedOn w:val="Normal"/>
    <w:next w:val="Normal"/>
    <w:autoRedefine/>
    <w:semiHidden/>
    <w:rsid w:val="00D75424"/>
    <w:pPr>
      <w:keepLines/>
      <w:tabs>
        <w:tab w:val="right" w:leader="dot" w:pos="7699"/>
      </w:tabs>
      <w:autoSpaceDE/>
      <w:autoSpaceDN/>
      <w:adjustRightInd/>
      <w:spacing w:before="40"/>
    </w:pPr>
    <w:rPr>
      <w:rFonts w:cs="Times New Roman"/>
      <w:lang w:val="en-AU"/>
    </w:rPr>
  </w:style>
  <w:style w:type="paragraph" w:customStyle="1" w:styleId="Bullet">
    <w:name w:val="Bullet"/>
    <w:basedOn w:val="Normal"/>
    <w:rsid w:val="00657384"/>
    <w:pPr>
      <w:keepLines/>
      <w:numPr>
        <w:numId w:val="38"/>
      </w:numPr>
      <w:autoSpaceDE/>
      <w:autoSpaceDN/>
      <w:adjustRightInd/>
      <w:spacing w:before="120" w:after="120" w:line="240" w:lineRule="exact"/>
      <w:ind w:left="284" w:hanging="284"/>
    </w:pPr>
    <w:rPr>
      <w:rFonts w:ascii="Book Antiqua" w:hAnsi="Book Antiqua" w:cs="Times New Roman"/>
      <w:sz w:val="19"/>
      <w:lang w:val="en-AU"/>
    </w:rPr>
  </w:style>
  <w:style w:type="paragraph" w:customStyle="1" w:styleId="OverviewParagraph">
    <w:name w:val="Overview Paragraph"/>
    <w:basedOn w:val="Normal"/>
    <w:rsid w:val="00D75424"/>
    <w:pPr>
      <w:keepLines/>
      <w:autoSpaceDE/>
      <w:autoSpaceDN/>
      <w:adjustRightInd/>
      <w:spacing w:before="120" w:after="120" w:line="260" w:lineRule="exact"/>
      <w:jc w:val="both"/>
    </w:pPr>
    <w:rPr>
      <w:rFonts w:ascii="Book Antiqua" w:hAnsi="Book Antiqua" w:cs="Times New Roman"/>
      <w:lang w:val="en-AU"/>
    </w:rPr>
  </w:style>
  <w:style w:type="paragraph" w:customStyle="1" w:styleId="AppendixHeading">
    <w:name w:val="Appendix Heading"/>
    <w:basedOn w:val="HeadingBase"/>
    <w:next w:val="Normal"/>
    <w:rsid w:val="00FF3726"/>
    <w:pPr>
      <w:spacing w:before="240" w:after="240"/>
      <w:jc w:val="center"/>
    </w:pPr>
    <w:rPr>
      <w:b/>
      <w:bCs/>
      <w:sz w:val="26"/>
      <w:szCs w:val="26"/>
    </w:rPr>
  </w:style>
  <w:style w:type="paragraph" w:customStyle="1" w:styleId="DoubleDot">
    <w:name w:val="Double Dot"/>
    <w:basedOn w:val="Bullet"/>
    <w:rsid w:val="00D75424"/>
    <w:pPr>
      <w:numPr>
        <w:ilvl w:val="2"/>
      </w:numPr>
    </w:pPr>
  </w:style>
  <w:style w:type="paragraph" w:customStyle="1" w:styleId="Dash">
    <w:name w:val="Dash"/>
    <w:basedOn w:val="Bullet"/>
    <w:rsid w:val="00D75424"/>
    <w:pPr>
      <w:numPr>
        <w:ilvl w:val="1"/>
      </w:numPr>
    </w:pPr>
  </w:style>
  <w:style w:type="paragraph" w:customStyle="1" w:styleId="SingleParagraph">
    <w:name w:val="SingleParagraph"/>
    <w:basedOn w:val="Normal"/>
    <w:next w:val="Normal"/>
    <w:rsid w:val="00D75424"/>
    <w:pPr>
      <w:keepNext/>
      <w:keepLines/>
      <w:autoSpaceDE/>
      <w:autoSpaceDN/>
      <w:adjustRightInd/>
      <w:jc w:val="both"/>
    </w:pPr>
    <w:rPr>
      <w:rFonts w:ascii="Book Antiqua" w:hAnsi="Book Antiqua" w:cs="Times New Roman"/>
      <w:color w:val="000000"/>
      <w:lang w:val="en-AU"/>
    </w:rPr>
  </w:style>
  <w:style w:type="paragraph" w:customStyle="1" w:styleId="MeasureTableTextLeftAligned">
    <w:name w:val="Measure Table Text Left Aligned"/>
    <w:basedOn w:val="Normal"/>
    <w:rsid w:val="00D75424"/>
    <w:pPr>
      <w:keepNext/>
      <w:keepLines/>
      <w:autoSpaceDE/>
      <w:autoSpaceDN/>
      <w:adjustRightInd/>
      <w:spacing w:before="60" w:after="60"/>
    </w:pPr>
    <w:rPr>
      <w:rFonts w:cs="Times New Roman"/>
      <w:color w:val="000000"/>
      <w:sz w:val="16"/>
      <w:lang w:val="en-AU"/>
    </w:rPr>
  </w:style>
  <w:style w:type="paragraph" w:customStyle="1" w:styleId="ChartandTableFootnoteAlpha">
    <w:name w:val="Chart and Table Footnote Alpha"/>
    <w:basedOn w:val="ChartandTableFootnote"/>
    <w:next w:val="Normal"/>
    <w:rsid w:val="00657378"/>
    <w:pPr>
      <w:numPr>
        <w:numId w:val="36"/>
      </w:numPr>
    </w:pPr>
    <w:rPr>
      <w:rFonts w:cs="Arial"/>
      <w:bCs/>
      <w:szCs w:val="24"/>
      <w:lang w:val="en-US" w:eastAsia="en-US"/>
    </w:rPr>
  </w:style>
  <w:style w:type="paragraph" w:customStyle="1" w:styleId="MeasureTableHeading">
    <w:name w:val="Measure Table Heading"/>
    <w:basedOn w:val="HeadingBase"/>
    <w:rsid w:val="00D75424"/>
    <w:pPr>
      <w:keepNext/>
    </w:pPr>
    <w:rPr>
      <w:sz w:val="16"/>
    </w:rPr>
  </w:style>
  <w:style w:type="paragraph" w:customStyle="1" w:styleId="MeasureTableTextRightAligned">
    <w:name w:val="Measure Table Text Right Aligned"/>
    <w:basedOn w:val="HeadingBase"/>
    <w:rsid w:val="00D75424"/>
    <w:pPr>
      <w:keepNext/>
      <w:spacing w:before="60" w:after="60"/>
      <w:ind w:right="57"/>
      <w:jc w:val="right"/>
    </w:pPr>
    <w:rPr>
      <w:sz w:val="16"/>
    </w:rPr>
  </w:style>
  <w:style w:type="paragraph" w:styleId="TOC5">
    <w:name w:val="toc 5"/>
    <w:basedOn w:val="Normal"/>
    <w:next w:val="Normal"/>
    <w:autoRedefine/>
    <w:semiHidden/>
    <w:rsid w:val="00D75424"/>
    <w:pPr>
      <w:keepLines/>
      <w:tabs>
        <w:tab w:val="right" w:leader="dot" w:pos="7700"/>
      </w:tabs>
      <w:autoSpaceDE/>
      <w:autoSpaceDN/>
      <w:adjustRightInd/>
      <w:spacing w:before="60"/>
      <w:ind w:left="567" w:right="851"/>
    </w:pPr>
    <w:rPr>
      <w:rFonts w:ascii="Book Antiqua" w:hAnsi="Book Antiqua" w:cs="Times New Roman"/>
      <w:lang w:val="en-AU"/>
    </w:rPr>
  </w:style>
  <w:style w:type="paragraph" w:styleId="TOC6">
    <w:name w:val="toc 6"/>
    <w:basedOn w:val="Normal"/>
    <w:next w:val="Normal"/>
    <w:autoRedefine/>
    <w:semiHidden/>
    <w:rsid w:val="00D75424"/>
    <w:pPr>
      <w:keepLines/>
      <w:autoSpaceDE/>
      <w:autoSpaceDN/>
      <w:adjustRightInd/>
      <w:spacing w:after="240" w:line="260" w:lineRule="exact"/>
      <w:ind w:left="1000"/>
      <w:jc w:val="both"/>
    </w:pPr>
    <w:rPr>
      <w:rFonts w:ascii="Book Antiqua" w:hAnsi="Book Antiqua" w:cs="Times New Roman"/>
      <w:lang w:val="en-AU"/>
    </w:rPr>
  </w:style>
  <w:style w:type="paragraph" w:styleId="TOC7">
    <w:name w:val="toc 7"/>
    <w:basedOn w:val="Normal"/>
    <w:next w:val="Normal"/>
    <w:autoRedefine/>
    <w:semiHidden/>
    <w:rsid w:val="00D75424"/>
    <w:pPr>
      <w:keepLines/>
      <w:autoSpaceDE/>
      <w:autoSpaceDN/>
      <w:adjustRightInd/>
      <w:spacing w:after="240" w:line="260" w:lineRule="exact"/>
      <w:ind w:left="1200"/>
      <w:jc w:val="both"/>
    </w:pPr>
    <w:rPr>
      <w:rFonts w:ascii="Book Antiqua" w:hAnsi="Book Antiqua" w:cs="Times New Roman"/>
      <w:lang w:val="en-AU"/>
    </w:rPr>
  </w:style>
  <w:style w:type="paragraph" w:styleId="TOC8">
    <w:name w:val="toc 8"/>
    <w:basedOn w:val="Normal"/>
    <w:next w:val="Normal"/>
    <w:autoRedefine/>
    <w:semiHidden/>
    <w:rsid w:val="00D75424"/>
    <w:pPr>
      <w:keepLines/>
      <w:autoSpaceDE/>
      <w:autoSpaceDN/>
      <w:adjustRightInd/>
      <w:spacing w:after="240" w:line="260" w:lineRule="exact"/>
      <w:ind w:left="1400"/>
      <w:jc w:val="both"/>
    </w:pPr>
    <w:rPr>
      <w:rFonts w:ascii="Book Antiqua" w:hAnsi="Book Antiqua" w:cs="Times New Roman"/>
      <w:lang w:val="en-AU"/>
    </w:rPr>
  </w:style>
  <w:style w:type="paragraph" w:styleId="TOC9">
    <w:name w:val="toc 9"/>
    <w:basedOn w:val="Normal"/>
    <w:next w:val="Normal"/>
    <w:autoRedefine/>
    <w:semiHidden/>
    <w:rsid w:val="00D75424"/>
    <w:pPr>
      <w:keepLines/>
      <w:autoSpaceDE/>
      <w:autoSpaceDN/>
      <w:adjustRightInd/>
      <w:spacing w:after="240" w:line="260" w:lineRule="exact"/>
      <w:ind w:left="1600"/>
      <w:jc w:val="both"/>
    </w:pPr>
    <w:rPr>
      <w:rFonts w:ascii="Book Antiqua" w:hAnsi="Book Antiqua" w:cs="Times New Roman"/>
      <w:lang w:val="en-AU"/>
    </w:rPr>
  </w:style>
  <w:style w:type="paragraph" w:customStyle="1" w:styleId="FigureHeading">
    <w:name w:val="Figure Heading"/>
    <w:basedOn w:val="HeadingBase"/>
    <w:next w:val="Normal"/>
    <w:rsid w:val="00D75424"/>
    <w:pPr>
      <w:keepNext/>
      <w:spacing w:before="120" w:after="20"/>
    </w:pPr>
    <w:rPr>
      <w:b/>
      <w:color w:val="000000"/>
      <w:sz w:val="20"/>
    </w:rPr>
  </w:style>
  <w:style w:type="paragraph" w:styleId="Closing">
    <w:name w:val="Closing"/>
    <w:basedOn w:val="Normal"/>
    <w:link w:val="ClosingChar"/>
    <w:rsid w:val="00D75424"/>
    <w:pPr>
      <w:keepLines/>
      <w:autoSpaceDE/>
      <w:autoSpaceDN/>
      <w:adjustRightInd/>
      <w:spacing w:after="240" w:line="260" w:lineRule="exact"/>
      <w:ind w:left="4252"/>
      <w:jc w:val="both"/>
    </w:pPr>
    <w:rPr>
      <w:rFonts w:ascii="Book Antiqua" w:hAnsi="Book Antiqua" w:cs="Times New Roman"/>
      <w:lang w:val="en-AU"/>
    </w:rPr>
  </w:style>
  <w:style w:type="paragraph" w:customStyle="1" w:styleId="NoteTableHeading">
    <w:name w:val="Note Table Heading"/>
    <w:basedOn w:val="HeadingBase"/>
    <w:next w:val="Normal"/>
    <w:rsid w:val="00D75424"/>
    <w:pPr>
      <w:keepNext/>
      <w:spacing w:before="480"/>
    </w:pPr>
    <w:rPr>
      <w:b/>
      <w:color w:val="000000"/>
      <w:sz w:val="20"/>
    </w:rPr>
  </w:style>
  <w:style w:type="paragraph" w:customStyle="1" w:styleId="ChartandTableFootnoteSmall">
    <w:name w:val="Chart and Table Footnote Small"/>
    <w:basedOn w:val="ChartandTableFootnote"/>
    <w:rsid w:val="00D75424"/>
    <w:rPr>
      <w:sz w:val="15"/>
    </w:rPr>
  </w:style>
  <w:style w:type="paragraph" w:customStyle="1" w:styleId="ChartandTableFootnoteAlphaSmall">
    <w:name w:val="Chart and Table Footnote Alpha Small"/>
    <w:basedOn w:val="ChartandTableFootnoteAlpha"/>
    <w:rsid w:val="00D75424"/>
    <w:pPr>
      <w:numPr>
        <w:numId w:val="0"/>
      </w:numPr>
    </w:pPr>
    <w:rPr>
      <w:sz w:val="15"/>
    </w:rPr>
  </w:style>
  <w:style w:type="paragraph" w:customStyle="1" w:styleId="Source">
    <w:name w:val="Source"/>
    <w:basedOn w:val="HeadingBase"/>
    <w:next w:val="Normal"/>
    <w:rsid w:val="00D75424"/>
    <w:pPr>
      <w:jc w:val="both"/>
    </w:pPr>
    <w:rPr>
      <w:sz w:val="16"/>
    </w:rPr>
  </w:style>
  <w:style w:type="paragraph" w:customStyle="1" w:styleId="BlockedQuotation">
    <w:name w:val="Blocked Quotation"/>
    <w:basedOn w:val="Normal"/>
    <w:rsid w:val="00D75424"/>
    <w:pPr>
      <w:keepLines/>
      <w:autoSpaceDE/>
      <w:autoSpaceDN/>
      <w:adjustRightInd/>
      <w:spacing w:after="240" w:line="260" w:lineRule="exact"/>
      <w:ind w:left="567"/>
      <w:jc w:val="both"/>
    </w:pPr>
    <w:rPr>
      <w:rFonts w:ascii="Book Antiqua" w:hAnsi="Book Antiqua" w:cs="Times New Roman"/>
      <w:lang w:val="en-AU"/>
    </w:rPr>
  </w:style>
  <w:style w:type="paragraph" w:customStyle="1" w:styleId="Exactly">
    <w:name w:val="Exactly"/>
    <w:basedOn w:val="Normal"/>
    <w:next w:val="Normal"/>
    <w:rsid w:val="00D75424"/>
    <w:pPr>
      <w:keepLines/>
      <w:autoSpaceDE/>
      <w:autoSpaceDN/>
      <w:adjustRightInd/>
      <w:spacing w:after="240"/>
      <w:jc w:val="both"/>
    </w:pPr>
    <w:rPr>
      <w:rFonts w:ascii="Book Antiqua" w:hAnsi="Book Antiqua" w:cs="Times New Roman"/>
      <w:lang w:val="en-AU"/>
    </w:rPr>
  </w:style>
  <w:style w:type="paragraph" w:customStyle="1" w:styleId="TPHeading1">
    <w:name w:val="TP Heading 1"/>
    <w:basedOn w:val="HeadingBase"/>
    <w:rsid w:val="00D75424"/>
    <w:pPr>
      <w:keepNext/>
      <w:spacing w:before="60" w:after="60"/>
      <w:ind w:left="1134"/>
    </w:pPr>
    <w:rPr>
      <w:rFonts w:ascii="Arial Bold" w:hAnsi="Arial Bold"/>
      <w:b/>
      <w:caps/>
      <w:spacing w:val="-10"/>
      <w:sz w:val="28"/>
    </w:rPr>
  </w:style>
  <w:style w:type="paragraph" w:customStyle="1" w:styleId="TPHeading2">
    <w:name w:val="TP Heading 2"/>
    <w:basedOn w:val="HeadingBase"/>
    <w:rsid w:val="00D75424"/>
    <w:pPr>
      <w:keepNext/>
      <w:ind w:left="1134"/>
    </w:pPr>
    <w:rPr>
      <w:caps/>
      <w:spacing w:val="-10"/>
      <w:sz w:val="28"/>
    </w:rPr>
  </w:style>
  <w:style w:type="paragraph" w:customStyle="1" w:styleId="TPHeading3">
    <w:name w:val="TP Heading 3"/>
    <w:basedOn w:val="HeadingBase"/>
    <w:rsid w:val="00D75424"/>
    <w:pPr>
      <w:keepNext/>
      <w:ind w:left="1134"/>
    </w:pPr>
    <w:rPr>
      <w:caps/>
      <w:spacing w:val="-10"/>
    </w:rPr>
  </w:style>
  <w:style w:type="paragraph" w:customStyle="1" w:styleId="Table">
    <w:name w:val="Table"/>
    <w:basedOn w:val="Normal"/>
    <w:rsid w:val="00D75424"/>
    <w:pPr>
      <w:keepLines/>
      <w:autoSpaceDE/>
      <w:autoSpaceDN/>
      <w:adjustRightInd/>
      <w:spacing w:before="40" w:after="40"/>
    </w:pPr>
    <w:rPr>
      <w:rFonts w:cs="Times New Roman"/>
      <w:sz w:val="16"/>
      <w:lang w:val="en-AU"/>
    </w:rPr>
  </w:style>
  <w:style w:type="paragraph" w:customStyle="1" w:styleId="AgencyNamewith2ptsspacing">
    <w:name w:val="AgencyName with 2 pts spacing"/>
    <w:basedOn w:val="AgencyName"/>
    <w:rsid w:val="00D75424"/>
    <w:pPr>
      <w:spacing w:before="40" w:after="40"/>
    </w:pPr>
  </w:style>
  <w:style w:type="paragraph" w:customStyle="1" w:styleId="Summarytabletextleftaligned">
    <w:name w:val="Summary table text left aligned"/>
    <w:basedOn w:val="MeasureTableTextLeftAligned"/>
    <w:rsid w:val="00D75424"/>
    <w:pPr>
      <w:keepNext w:val="0"/>
      <w:keepLines w:val="0"/>
      <w:tabs>
        <w:tab w:val="left" w:pos="285"/>
      </w:tabs>
      <w:spacing w:before="20" w:after="20"/>
    </w:pPr>
    <w:rPr>
      <w:noProof/>
      <w:szCs w:val="16"/>
    </w:rPr>
  </w:style>
  <w:style w:type="paragraph" w:customStyle="1" w:styleId="SummaryThemeTitle-Election">
    <w:name w:val="Summary Theme Title - Election"/>
    <w:basedOn w:val="Summarytabletextleftaligned"/>
    <w:rsid w:val="00D75424"/>
    <w:pPr>
      <w:ind w:left="340" w:right="57" w:hanging="113"/>
    </w:pPr>
  </w:style>
  <w:style w:type="paragraph" w:customStyle="1" w:styleId="SummaryMeasureTitlewithTheme">
    <w:name w:val="Summary Measure Title with Theme"/>
    <w:basedOn w:val="Summarytabletextleftaligned"/>
    <w:rsid w:val="00D75424"/>
    <w:pPr>
      <w:ind w:left="340" w:right="57" w:hanging="113"/>
    </w:pPr>
  </w:style>
  <w:style w:type="paragraph" w:customStyle="1" w:styleId="Summarytabletextrightaligned">
    <w:name w:val="Summary table text right aligned"/>
    <w:basedOn w:val="MeasureTableTextRightAligned"/>
    <w:rsid w:val="00D75424"/>
    <w:pPr>
      <w:keepNext w:val="0"/>
      <w:spacing w:before="20" w:after="20"/>
    </w:pPr>
  </w:style>
  <w:style w:type="paragraph" w:customStyle="1" w:styleId="Summarytabletextrightalignedbold">
    <w:name w:val="Summary table text right aligned bold"/>
    <w:basedOn w:val="Normal"/>
    <w:rsid w:val="00D75424"/>
    <w:pPr>
      <w:autoSpaceDE/>
      <w:autoSpaceDN/>
      <w:adjustRightInd/>
      <w:spacing w:before="20" w:after="20"/>
      <w:ind w:right="57"/>
      <w:jc w:val="right"/>
    </w:pPr>
    <w:rPr>
      <w:rFonts w:cs="Times New Roman"/>
      <w:b/>
      <w:sz w:val="16"/>
      <w:lang w:val="en-AU"/>
    </w:rPr>
  </w:style>
  <w:style w:type="paragraph" w:customStyle="1" w:styleId="AgencyName">
    <w:name w:val="AgencyName"/>
    <w:basedOn w:val="Table"/>
    <w:rsid w:val="00D75424"/>
    <w:pPr>
      <w:spacing w:before="20" w:after="20"/>
      <w:ind w:right="113"/>
    </w:pPr>
    <w:rPr>
      <w:rFonts w:cs="Arial"/>
      <w:i/>
      <w:szCs w:val="16"/>
    </w:rPr>
  </w:style>
  <w:style w:type="paragraph" w:customStyle="1" w:styleId="MeasureType">
    <w:name w:val="MeasureType"/>
    <w:basedOn w:val="SummaryPortfolioTitle-BP2"/>
    <w:rsid w:val="00D75424"/>
  </w:style>
  <w:style w:type="paragraph" w:customStyle="1" w:styleId="SummaryAgencyTitle-BP2Theme">
    <w:name w:val="Summary Agency Title - BP2 Theme"/>
    <w:basedOn w:val="Normal"/>
    <w:rsid w:val="00D75424"/>
    <w:pPr>
      <w:keepLines/>
      <w:autoSpaceDE/>
      <w:autoSpaceDN/>
      <w:adjustRightInd/>
      <w:spacing w:before="20" w:after="20"/>
      <w:ind w:left="113" w:right="57" w:hanging="113"/>
    </w:pPr>
    <w:rPr>
      <w:i/>
      <w:sz w:val="16"/>
      <w:szCs w:val="16"/>
      <w:lang w:val="en-AU"/>
    </w:rPr>
  </w:style>
  <w:style w:type="paragraph" w:customStyle="1" w:styleId="SummaryMeasureTitle-BP2Theme">
    <w:name w:val="Summary Measure Title - BP2 Theme"/>
    <w:basedOn w:val="Summarytabletextleftaligned"/>
    <w:rsid w:val="00D75424"/>
    <w:pPr>
      <w:ind w:left="226" w:right="57" w:hanging="113"/>
    </w:pPr>
  </w:style>
  <w:style w:type="paragraph" w:customStyle="1" w:styleId="MeasureTableYearHeadings">
    <w:name w:val="Measure Table Year Headings"/>
    <w:basedOn w:val="Table"/>
    <w:rsid w:val="00D75424"/>
    <w:pPr>
      <w:jc w:val="right"/>
    </w:pPr>
  </w:style>
  <w:style w:type="paragraph" w:customStyle="1" w:styleId="SummaryThemeTotal">
    <w:name w:val="Summary Theme Total"/>
    <w:basedOn w:val="Summarytabletextleftaligned"/>
    <w:rsid w:val="00D75424"/>
    <w:rPr>
      <w:b/>
      <w:i/>
    </w:rPr>
  </w:style>
  <w:style w:type="paragraph" w:customStyle="1" w:styleId="MeasureTableHeadingleftalignedwith2ptsspacing">
    <w:name w:val="Measure Table Heading left aligned with 2 pts spacing"/>
    <w:basedOn w:val="MeasureTableYearHeadings"/>
    <w:rsid w:val="00D75424"/>
    <w:pPr>
      <w:jc w:val="left"/>
    </w:pPr>
  </w:style>
  <w:style w:type="paragraph" w:customStyle="1" w:styleId="MeasureTableYearHeadingsitalics">
    <w:name w:val="Measure Table Year Headings italics"/>
    <w:basedOn w:val="MeasureTableYearHeadings"/>
    <w:rsid w:val="00D75424"/>
    <w:rPr>
      <w:i/>
    </w:rPr>
  </w:style>
  <w:style w:type="paragraph" w:customStyle="1" w:styleId="Summarytabletextleftalignedbold">
    <w:name w:val="Summary table text left aligned bold"/>
    <w:basedOn w:val="Summarytabletextleftaligned"/>
    <w:rsid w:val="00D75424"/>
    <w:rPr>
      <w:b/>
    </w:rPr>
  </w:style>
  <w:style w:type="paragraph" w:customStyle="1" w:styleId="Summarytabletextleftalignedboldwith6ptsbefore">
    <w:name w:val="Summary table text left aligned bold with 6 pts before"/>
    <w:basedOn w:val="Summarytabletextleftaligned"/>
    <w:rsid w:val="00D75424"/>
    <w:pPr>
      <w:spacing w:before="120"/>
    </w:pPr>
    <w:rPr>
      <w:rFonts w:ascii="Helvetica" w:hAnsi="Helvetica"/>
      <w:b/>
    </w:rPr>
  </w:style>
  <w:style w:type="paragraph" w:customStyle="1" w:styleId="SummaryPortfolioTitle-BP2">
    <w:name w:val="Summary Portfolio Title - BP2"/>
    <w:aliases w:val="Theme"/>
    <w:basedOn w:val="Normal"/>
    <w:rsid w:val="00D75424"/>
    <w:pPr>
      <w:autoSpaceDE/>
      <w:autoSpaceDN/>
      <w:adjustRightInd/>
      <w:spacing w:before="120" w:after="20"/>
      <w:ind w:right="113"/>
    </w:pPr>
    <w:rPr>
      <w:rFonts w:cs="Times New Roman"/>
      <w:b/>
      <w:caps/>
      <w:sz w:val="16"/>
      <w:lang w:val="en-AU"/>
    </w:rPr>
  </w:style>
  <w:style w:type="paragraph" w:customStyle="1" w:styleId="Summarytabletotalsrightalignedbolditalic">
    <w:name w:val="Summary table totals right aligned bold italic"/>
    <w:basedOn w:val="Summarytabletextrightalignedbold"/>
    <w:rsid w:val="00D75424"/>
    <w:pPr>
      <w:keepNext/>
    </w:pPr>
    <w:rPr>
      <w:i/>
    </w:rPr>
  </w:style>
  <w:style w:type="paragraph" w:customStyle="1" w:styleId="SummaryTabletextrightalignedkwn">
    <w:name w:val="Summary Table text right aligned kwn"/>
    <w:basedOn w:val="Summarytabletextrightaligned"/>
    <w:rsid w:val="00D75424"/>
    <w:pPr>
      <w:keepNext/>
    </w:pPr>
  </w:style>
  <w:style w:type="paragraph" w:customStyle="1" w:styleId="MeasureTableFootnote">
    <w:name w:val="MeasureTableFootnote"/>
    <w:basedOn w:val="SingleParagraph"/>
    <w:next w:val="Normal"/>
    <w:rsid w:val="00D75424"/>
    <w:rPr>
      <w:rFonts w:ascii="Arial" w:hAnsi="Arial"/>
      <w:sz w:val="16"/>
      <w:szCs w:val="16"/>
    </w:rPr>
  </w:style>
  <w:style w:type="paragraph" w:customStyle="1" w:styleId="MeasureTableDataRightAlignedwith2ptsspacing">
    <w:name w:val="MeasureTableDataRightAligned with 2 pts spacing"/>
    <w:basedOn w:val="MeasureTableYearHeadings"/>
    <w:rsid w:val="00D75424"/>
  </w:style>
  <w:style w:type="paragraph" w:customStyle="1" w:styleId="Measuretabledatarightaligneditalics">
    <w:name w:val="Measure table data right aligned italics"/>
    <w:basedOn w:val="MeasureTableYearHeadingsitalics"/>
    <w:rsid w:val="00D75424"/>
  </w:style>
  <w:style w:type="paragraph" w:customStyle="1" w:styleId="Totalrowrightaligned">
    <w:name w:val="Total row right aligned"/>
    <w:basedOn w:val="MeasureTableDataRightAlignedwith2ptsspacing"/>
    <w:rsid w:val="00D75424"/>
  </w:style>
  <w:style w:type="paragraph" w:customStyle="1" w:styleId="Totalrowleftaligned">
    <w:name w:val="Total row left aligned"/>
    <w:basedOn w:val="MeasureTableHeadingleftalignedwith2ptsspacing"/>
    <w:rsid w:val="00D75424"/>
  </w:style>
  <w:style w:type="paragraph" w:customStyle="1" w:styleId="Totalrowitalicsrightaligned">
    <w:name w:val="Total row italics right aligned"/>
    <w:basedOn w:val="Measuretabledatarightaligneditalics"/>
    <w:rsid w:val="00D75424"/>
  </w:style>
  <w:style w:type="paragraph" w:customStyle="1" w:styleId="Totalrowitalicsleftaligned">
    <w:name w:val="Total row italics left aligned"/>
    <w:basedOn w:val="AgencyNamewith2ptsspacing"/>
    <w:rsid w:val="00D75424"/>
  </w:style>
  <w:style w:type="paragraph" w:customStyle="1" w:styleId="Totaldatarowrightaligned">
    <w:name w:val="Total data row right aligned"/>
    <w:basedOn w:val="MeasureTableDataRightAlignedwith2ptsspacing"/>
    <w:rsid w:val="00D75424"/>
  </w:style>
  <w:style w:type="paragraph" w:customStyle="1" w:styleId="Totaldatarowleftaligned">
    <w:name w:val="Total data row left aligned"/>
    <w:basedOn w:val="MeasureTableHeadingleftalignedwith2ptsspacing"/>
    <w:rsid w:val="00D75424"/>
  </w:style>
  <w:style w:type="paragraph" w:customStyle="1" w:styleId="MeasureTitle">
    <w:name w:val="MeasureTitle"/>
    <w:basedOn w:val="Heading5"/>
    <w:rsid w:val="0010683F"/>
    <w:pPr>
      <w:spacing w:before="360"/>
      <w:outlineLvl w:val="2"/>
    </w:pPr>
  </w:style>
  <w:style w:type="paragraph" w:customStyle="1" w:styleId="PortfolioName">
    <w:name w:val="PortfolioName"/>
    <w:basedOn w:val="Heading3"/>
    <w:rsid w:val="0010683F"/>
    <w:pPr>
      <w:spacing w:before="240" w:after="240"/>
      <w:outlineLvl w:val="1"/>
    </w:pPr>
    <w:rPr>
      <w:sz w:val="26"/>
    </w:rPr>
  </w:style>
  <w:style w:type="paragraph" w:customStyle="1" w:styleId="SummaryTableEndnoteSeparator">
    <w:name w:val="Summary Table Endnote Separator"/>
    <w:basedOn w:val="Normal"/>
    <w:rsid w:val="00D75424"/>
    <w:pPr>
      <w:keepLines/>
      <w:autoSpaceDE/>
      <w:autoSpaceDN/>
      <w:adjustRightInd/>
      <w:spacing w:line="20" w:lineRule="exact"/>
      <w:jc w:val="both"/>
    </w:pPr>
    <w:rPr>
      <w:rFonts w:ascii="Book Antiqua" w:hAnsi="Book Antiqua" w:cs="Times New Roman"/>
      <w:sz w:val="2"/>
      <w:lang w:val="en-AU"/>
    </w:rPr>
  </w:style>
  <w:style w:type="paragraph" w:customStyle="1" w:styleId="SubthemeTitle">
    <w:name w:val="Subtheme Title"/>
    <w:basedOn w:val="SummaryAgencyTitle-BP2Theme"/>
    <w:rsid w:val="00D75424"/>
    <w:pPr>
      <w:spacing w:before="120"/>
    </w:pPr>
    <w:rPr>
      <w:b/>
    </w:rPr>
  </w:style>
  <w:style w:type="paragraph" w:customStyle="1" w:styleId="SubthemeSubtotal">
    <w:name w:val="Subtheme Subtotal"/>
    <w:basedOn w:val="Summarytabletextleftalignedbold"/>
    <w:rsid w:val="00D75424"/>
  </w:style>
  <w:style w:type="paragraph" w:styleId="EndnoteText">
    <w:name w:val="endnote text"/>
    <w:basedOn w:val="ChartandTableFootnote"/>
    <w:link w:val="EndnoteTextChar"/>
    <w:rsid w:val="00641EAF"/>
    <w:pPr>
      <w:spacing w:before="30"/>
      <w:ind w:left="397" w:hanging="284"/>
    </w:pPr>
  </w:style>
  <w:style w:type="paragraph" w:customStyle="1" w:styleId="AgencyNameContinued">
    <w:name w:val="AgencyNameContinued"/>
    <w:basedOn w:val="SummaryPortfolioTitle-BP2"/>
    <w:next w:val="Normal"/>
    <w:rsid w:val="00D75424"/>
    <w:rPr>
      <w:rFonts w:ascii="Helvetica" w:hAnsi="Helvetica"/>
      <w:caps w:val="0"/>
      <w:szCs w:val="16"/>
    </w:rPr>
  </w:style>
  <w:style w:type="paragraph" w:customStyle="1" w:styleId="MeasureTypeHeading">
    <w:name w:val="MeasureTypeHeading"/>
    <w:basedOn w:val="MeasureType"/>
    <w:rsid w:val="00D75424"/>
  </w:style>
  <w:style w:type="paragraph" w:customStyle="1" w:styleId="TableSummaryHeading">
    <w:name w:val="TableSummaryHeading"/>
    <w:basedOn w:val="PortfolioName"/>
    <w:rsid w:val="00D75424"/>
  </w:style>
  <w:style w:type="character" w:styleId="EndnoteReference">
    <w:name w:val="endnote reference"/>
    <w:rsid w:val="00D75424"/>
    <w:rPr>
      <w:vertAlign w:val="baseline"/>
    </w:rPr>
  </w:style>
  <w:style w:type="paragraph" w:customStyle="1" w:styleId="SummaryAgencyTitle-BP2">
    <w:name w:val="Summary Agency Title - BP2"/>
    <w:aliases w:val="The"/>
    <w:basedOn w:val="Normal"/>
    <w:rsid w:val="00D75424"/>
    <w:pPr>
      <w:keepLines/>
      <w:autoSpaceDE/>
      <w:autoSpaceDN/>
      <w:adjustRightInd/>
      <w:spacing w:before="20" w:after="20"/>
      <w:ind w:left="113" w:right="113" w:hanging="113"/>
    </w:pPr>
    <w:rPr>
      <w:i/>
      <w:sz w:val="16"/>
      <w:szCs w:val="16"/>
      <w:lang w:val="en-AU"/>
    </w:rPr>
  </w:style>
  <w:style w:type="paragraph" w:customStyle="1" w:styleId="FootnoteBullet">
    <w:name w:val="Footnote Bullet"/>
    <w:basedOn w:val="Bullet"/>
    <w:rsid w:val="00D75424"/>
    <w:pPr>
      <w:numPr>
        <w:numId w:val="39"/>
      </w:numPr>
      <w:spacing w:after="0" w:line="240" w:lineRule="auto"/>
    </w:pPr>
    <w:rPr>
      <w:rFonts w:ascii="Arial" w:hAnsi="Arial"/>
      <w:i/>
      <w:sz w:val="16"/>
    </w:rPr>
  </w:style>
  <w:style w:type="paragraph" w:customStyle="1" w:styleId="MeasureTypeCont">
    <w:name w:val="MeasureTypeCont"/>
    <w:basedOn w:val="Normal"/>
    <w:rsid w:val="00D75424"/>
    <w:pPr>
      <w:autoSpaceDE/>
      <w:autoSpaceDN/>
      <w:adjustRightInd/>
      <w:spacing w:before="120" w:after="20"/>
      <w:ind w:right="113"/>
    </w:pPr>
    <w:rPr>
      <w:rFonts w:cs="Times New Roman"/>
      <w:b/>
      <w:caps/>
      <w:sz w:val="16"/>
      <w:lang w:val="en-AU"/>
    </w:rPr>
  </w:style>
  <w:style w:type="paragraph" w:customStyle="1" w:styleId="TPHeading3bold">
    <w:name w:val="TP Heading 3 bold"/>
    <w:basedOn w:val="TPHeading3"/>
    <w:rsid w:val="00D75424"/>
    <w:rPr>
      <w:rFonts w:cs="Arial"/>
      <w:b/>
      <w:sz w:val="22"/>
      <w:szCs w:val="22"/>
    </w:rPr>
  </w:style>
  <w:style w:type="paragraph" w:customStyle="1" w:styleId="TPHEADING3boldspace">
    <w:name w:val="TP HEADING 3 bold space"/>
    <w:basedOn w:val="TPHeading3bold"/>
    <w:rsid w:val="00D75424"/>
    <w:pPr>
      <w:spacing w:after="120"/>
    </w:pPr>
  </w:style>
  <w:style w:type="paragraph" w:customStyle="1" w:styleId="TPHEADING3space">
    <w:name w:val="TP HEADING 3 space"/>
    <w:basedOn w:val="TPHeading3"/>
    <w:rsid w:val="00D75424"/>
    <w:pPr>
      <w:spacing w:before="120" w:after="120"/>
    </w:pPr>
    <w:rPr>
      <w:rFonts w:cs="Arial"/>
      <w:sz w:val="22"/>
      <w:szCs w:val="22"/>
    </w:rPr>
  </w:style>
  <w:style w:type="paragraph" w:customStyle="1" w:styleId="TPHeading4">
    <w:name w:val="TP Heading 4"/>
    <w:basedOn w:val="TPHeading3"/>
    <w:rsid w:val="00D75424"/>
    <w:rPr>
      <w:sz w:val="20"/>
    </w:rPr>
  </w:style>
  <w:style w:type="paragraph" w:customStyle="1" w:styleId="TPHEADING4space">
    <w:name w:val="TP HEADING 4 space"/>
    <w:basedOn w:val="TPHEADING3space"/>
    <w:rsid w:val="00D75424"/>
  </w:style>
  <w:style w:type="paragraph" w:customStyle="1" w:styleId="SourceBox">
    <w:name w:val="Source Box"/>
    <w:basedOn w:val="Source"/>
    <w:rsid w:val="00D75424"/>
    <w:pPr>
      <w:tabs>
        <w:tab w:val="left" w:pos="284"/>
      </w:tabs>
      <w:spacing w:after="120"/>
    </w:pPr>
  </w:style>
  <w:style w:type="character" w:customStyle="1" w:styleId="A5">
    <w:name w:val="A5"/>
    <w:uiPriority w:val="99"/>
    <w:rsid w:val="00D75424"/>
    <w:rPr>
      <w:rFonts w:cs="Swiss 721 BT"/>
      <w:color w:val="000000"/>
      <w:sz w:val="20"/>
      <w:szCs w:val="20"/>
    </w:rPr>
  </w:style>
  <w:style w:type="character" w:styleId="Hyperlink">
    <w:name w:val="Hyperlink"/>
    <w:uiPriority w:val="99"/>
    <w:unhideWhenUsed/>
    <w:rsid w:val="00D75424"/>
    <w:rPr>
      <w:color w:val="0000FF"/>
      <w:u w:val="single"/>
    </w:rPr>
  </w:style>
  <w:style w:type="paragraph" w:styleId="BalloonText">
    <w:name w:val="Balloon Text"/>
    <w:basedOn w:val="Normal"/>
    <w:link w:val="BalloonTextChar"/>
    <w:rsid w:val="00D75424"/>
    <w:pPr>
      <w:autoSpaceDE/>
      <w:autoSpaceDN/>
      <w:adjustRightInd/>
      <w:jc w:val="both"/>
    </w:pPr>
    <w:rPr>
      <w:rFonts w:ascii="Tahoma" w:hAnsi="Tahoma" w:cs="Tahoma"/>
      <w:sz w:val="16"/>
      <w:szCs w:val="16"/>
      <w:lang w:val="en-AU"/>
    </w:rPr>
  </w:style>
  <w:style w:type="character" w:customStyle="1" w:styleId="BalloonTextChar">
    <w:name w:val="Balloon Text Char"/>
    <w:link w:val="BalloonText"/>
    <w:rsid w:val="00D75424"/>
    <w:rPr>
      <w:rFonts w:ascii="Tahoma" w:hAnsi="Tahoma" w:cs="Tahoma"/>
      <w:sz w:val="16"/>
      <w:szCs w:val="16"/>
    </w:rPr>
  </w:style>
  <w:style w:type="paragraph" w:styleId="NormalWeb">
    <w:name w:val="Normal (Web)"/>
    <w:basedOn w:val="Normal"/>
    <w:rsid w:val="00D75424"/>
    <w:pPr>
      <w:keepLines/>
      <w:autoSpaceDE/>
      <w:autoSpaceDN/>
      <w:adjustRightInd/>
      <w:spacing w:after="240" w:line="260" w:lineRule="exact"/>
      <w:jc w:val="both"/>
    </w:pPr>
    <w:rPr>
      <w:rFonts w:ascii="Times New Roman" w:hAnsi="Times New Roman" w:cs="Times New Roman"/>
      <w:sz w:val="24"/>
      <w:szCs w:val="24"/>
      <w:lang w:val="en-AU"/>
    </w:rPr>
  </w:style>
  <w:style w:type="paragraph" w:customStyle="1" w:styleId="AgencyNameContinuedAllcaps">
    <w:name w:val="AgencyNameContinued + All caps"/>
    <w:basedOn w:val="AgencyNameContinued"/>
    <w:qFormat/>
    <w:rsid w:val="00D75424"/>
  </w:style>
  <w:style w:type="character" w:customStyle="1" w:styleId="ClosingChar">
    <w:name w:val="Closing Char"/>
    <w:link w:val="Closing"/>
    <w:rsid w:val="00D75424"/>
    <w:rPr>
      <w:rFonts w:ascii="Book Antiqua" w:hAnsi="Book Antiqua"/>
    </w:rPr>
  </w:style>
  <w:style w:type="character" w:customStyle="1" w:styleId="EndnoteTextChar">
    <w:name w:val="Endnote Text Char"/>
    <w:link w:val="EndnoteText"/>
    <w:rsid w:val="00641EAF"/>
    <w:rPr>
      <w:rFonts w:ascii="Arial" w:hAnsi="Arial"/>
      <w:color w:val="000000"/>
      <w:sz w:val="16"/>
    </w:rPr>
  </w:style>
  <w:style w:type="character" w:customStyle="1" w:styleId="FooterChar">
    <w:name w:val="Footer Char"/>
    <w:link w:val="Footer"/>
    <w:rsid w:val="00D75424"/>
    <w:rPr>
      <w:rFonts w:ascii="Arial" w:hAnsi="Arial"/>
      <w:color w:val="000000"/>
    </w:rPr>
  </w:style>
  <w:style w:type="character" w:customStyle="1" w:styleId="FootnoteTextChar">
    <w:name w:val="Footnote Text Char"/>
    <w:link w:val="FootnoteText"/>
    <w:semiHidden/>
    <w:rsid w:val="00D75424"/>
    <w:rPr>
      <w:rFonts w:ascii="Book Antiqua" w:hAnsi="Book Antiqua"/>
      <w:color w:val="000000"/>
      <w:sz w:val="18"/>
    </w:rPr>
  </w:style>
  <w:style w:type="character" w:customStyle="1" w:styleId="HeaderChar">
    <w:name w:val="Header Char"/>
    <w:link w:val="Header"/>
    <w:rsid w:val="00D75424"/>
    <w:rPr>
      <w:rFonts w:ascii="Book Antiqua" w:hAnsi="Book Antiqua"/>
      <w:i/>
    </w:rPr>
  </w:style>
  <w:style w:type="character" w:customStyle="1" w:styleId="Heading1Char">
    <w:name w:val="Heading 1 Char"/>
    <w:link w:val="Heading1"/>
    <w:rsid w:val="00AF39AE"/>
    <w:rPr>
      <w:rFonts w:ascii="Arial" w:hAnsi="Arial"/>
      <w:b/>
      <w:kern w:val="28"/>
      <w:sz w:val="36"/>
    </w:rPr>
  </w:style>
  <w:style w:type="character" w:customStyle="1" w:styleId="Heading2Char">
    <w:name w:val="Heading 2 Char"/>
    <w:link w:val="Heading2"/>
    <w:rsid w:val="00BA0F20"/>
    <w:rPr>
      <w:rFonts w:ascii="Arial" w:hAnsi="Arial"/>
      <w:b/>
      <w:color w:val="000000"/>
      <w:sz w:val="26"/>
    </w:rPr>
  </w:style>
  <w:style w:type="character" w:customStyle="1" w:styleId="Heading3Char">
    <w:name w:val="Heading 3 Char"/>
    <w:link w:val="Heading3"/>
    <w:rsid w:val="00BA0F20"/>
    <w:rPr>
      <w:rFonts w:ascii="Arial Bold" w:hAnsi="Arial Bold"/>
      <w:b/>
      <w:color w:val="000000"/>
      <w:sz w:val="22"/>
    </w:rPr>
  </w:style>
  <w:style w:type="character" w:customStyle="1" w:styleId="Heading4Char">
    <w:name w:val="Heading 4 Char"/>
    <w:link w:val="Heading4"/>
    <w:rsid w:val="00D75424"/>
    <w:rPr>
      <w:rFonts w:ascii="Arial" w:hAnsi="Arial"/>
      <w:b/>
      <w:color w:val="000000"/>
      <w:sz w:val="22"/>
    </w:rPr>
  </w:style>
  <w:style w:type="character" w:customStyle="1" w:styleId="Heading5Char">
    <w:name w:val="Heading 5 Char"/>
    <w:link w:val="Heading5"/>
    <w:rsid w:val="00D75424"/>
    <w:rPr>
      <w:rFonts w:ascii="Arial" w:hAnsi="Arial"/>
      <w:b/>
      <w:color w:val="000000"/>
    </w:rPr>
  </w:style>
  <w:style w:type="character" w:customStyle="1" w:styleId="Heading6Char">
    <w:name w:val="Heading 6 Char"/>
    <w:link w:val="Heading6"/>
    <w:rsid w:val="00D75424"/>
    <w:rPr>
      <w:rFonts w:ascii="Arial" w:hAnsi="Arial"/>
      <w:color w:val="000000"/>
    </w:rPr>
  </w:style>
  <w:style w:type="character" w:customStyle="1" w:styleId="Heading7Char">
    <w:name w:val="Heading 7 Char"/>
    <w:link w:val="Heading7"/>
    <w:rsid w:val="00D75424"/>
    <w:rPr>
      <w:rFonts w:ascii="Arial" w:hAnsi="Arial"/>
      <w:color w:val="000000"/>
      <w:sz w:val="18"/>
    </w:rPr>
  </w:style>
  <w:style w:type="character" w:customStyle="1" w:styleId="Heading8Char">
    <w:name w:val="Heading 8 Char"/>
    <w:link w:val="Heading8"/>
    <w:rsid w:val="00D75424"/>
    <w:rPr>
      <w:rFonts w:ascii="Arial" w:hAnsi="Arial"/>
      <w:i/>
    </w:rPr>
  </w:style>
  <w:style w:type="paragraph" w:customStyle="1" w:styleId="MeasureTableTextRightAlignedBefore6ptAfter1pt">
    <w:name w:val="Measure Table Text Right Aligned + Before:  6 pt After:  1 pt"/>
    <w:basedOn w:val="MeasureTableTextRightAligned"/>
    <w:rsid w:val="00D75424"/>
    <w:pPr>
      <w:spacing w:before="120" w:after="20"/>
    </w:pPr>
    <w:rPr>
      <w:iCs/>
      <w:noProof/>
      <w:color w:val="000000"/>
      <w:szCs w:val="16"/>
    </w:rPr>
  </w:style>
  <w:style w:type="paragraph" w:customStyle="1" w:styleId="Style15">
    <w:name w:val="Style15"/>
    <w:basedOn w:val="Normal"/>
    <w:uiPriority w:val="99"/>
    <w:rsid w:val="00D75424"/>
    <w:pPr>
      <w:widowControl w:val="0"/>
      <w:tabs>
        <w:tab w:val="center" w:pos="3854"/>
      </w:tabs>
    </w:pPr>
  </w:style>
  <w:style w:type="paragraph" w:customStyle="1" w:styleId="SummarytabletextleftalignedHelveticaBoldAllcaps">
    <w:name w:val="Summary table text left aligned + Helvetica Bold All caps ..."/>
    <w:basedOn w:val="Summarytabletextleftaligned"/>
    <w:rsid w:val="00D75424"/>
    <w:pPr>
      <w:spacing w:before="120"/>
    </w:pPr>
    <w:rPr>
      <w:b/>
      <w:iCs/>
    </w:rPr>
  </w:style>
  <w:style w:type="paragraph" w:customStyle="1" w:styleId="SummarytabletextleftalignedRightRight01cm">
    <w:name w:val="Summary table text left aligned + Right Right:  0.1 cm"/>
    <w:basedOn w:val="Summarytabletextleftaligned"/>
    <w:rsid w:val="00D75424"/>
    <w:pPr>
      <w:ind w:right="57"/>
      <w:jc w:val="right"/>
    </w:pPr>
    <w:rPr>
      <w:iCs/>
    </w:rPr>
  </w:style>
  <w:style w:type="paragraph" w:customStyle="1" w:styleId="SummarytabletextleftalignedRight01cm">
    <w:name w:val="Summary table text left aligned + Right:  0.1 cm"/>
    <w:basedOn w:val="Summarytabletextleftaligned"/>
    <w:qFormat/>
    <w:rsid w:val="00D75424"/>
    <w:pPr>
      <w:widowControl w:val="0"/>
      <w:tabs>
        <w:tab w:val="center" w:pos="3853"/>
      </w:tabs>
    </w:pPr>
  </w:style>
  <w:style w:type="paragraph" w:customStyle="1" w:styleId="Normal2">
    <w:name w:val="Normal2"/>
    <w:qFormat/>
    <w:rsid w:val="00657384"/>
    <w:pPr>
      <w:spacing w:before="120" w:after="120" w:line="240" w:lineRule="exact"/>
    </w:pPr>
    <w:rPr>
      <w:rFonts w:ascii="Book Antiqua" w:hAnsi="Book Antiqua"/>
      <w:sz w:val="19"/>
    </w:rPr>
  </w:style>
  <w:style w:type="paragraph" w:customStyle="1" w:styleId="FooterOdd">
    <w:name w:val="Footer Odd"/>
    <w:basedOn w:val="FooterBase"/>
    <w:qFormat/>
    <w:rsid w:val="00EA0EDB"/>
    <w:pPr>
      <w:pBdr>
        <w:top w:val="single" w:sz="4" w:space="10" w:color="293F5B"/>
      </w:pBdr>
      <w:tabs>
        <w:tab w:val="center" w:pos="4153"/>
        <w:tab w:val="right" w:pos="8306"/>
      </w:tabs>
      <w:jc w:val="right"/>
    </w:pPr>
  </w:style>
  <w:style w:type="paragraph" w:customStyle="1" w:styleId="FooterEven">
    <w:name w:val="Footer Even"/>
    <w:basedOn w:val="FooterOdd"/>
    <w:qFormat/>
    <w:rsid w:val="00EA0EDB"/>
    <w:pPr>
      <w:jc w:val="left"/>
    </w:pPr>
  </w:style>
  <w:style w:type="paragraph" w:styleId="Revision">
    <w:name w:val="Revision"/>
    <w:hidden/>
    <w:uiPriority w:val="99"/>
    <w:semiHidden/>
    <w:rsid w:val="00422A9E"/>
    <w:rPr>
      <w:rFonts w:ascii="Arial" w:hAnsi="Arial" w:cs="Arial"/>
      <w:lang w:val="en-US"/>
    </w:rPr>
  </w:style>
  <w:style w:type="paragraph" w:customStyle="1" w:styleId="TableLine">
    <w:name w:val="Table Line"/>
    <w:basedOn w:val="Normal"/>
    <w:rsid w:val="001733AB"/>
    <w:pPr>
      <w:pBdr>
        <w:bottom w:val="single" w:sz="4" w:space="2" w:color="626A77"/>
      </w:pBdr>
      <w:spacing w:after="240"/>
    </w:pPr>
    <w:rPr>
      <w:rFonts w:ascii="Book Antiqua" w:hAnsi="Book Antiqua" w:cs="Times New Roman"/>
      <w:sz w:val="4"/>
    </w:rPr>
  </w:style>
  <w:style w:type="character" w:styleId="CommentReference">
    <w:name w:val="annotation reference"/>
    <w:basedOn w:val="DefaultParagraphFont"/>
    <w:semiHidden/>
    <w:unhideWhenUsed/>
    <w:rsid w:val="001D021D"/>
    <w:rPr>
      <w:sz w:val="16"/>
      <w:szCs w:val="16"/>
    </w:rPr>
  </w:style>
  <w:style w:type="paragraph" w:styleId="CommentText">
    <w:name w:val="annotation text"/>
    <w:basedOn w:val="Normal"/>
    <w:link w:val="CommentTextChar"/>
    <w:unhideWhenUsed/>
    <w:rsid w:val="001D021D"/>
  </w:style>
  <w:style w:type="character" w:customStyle="1" w:styleId="CommentTextChar">
    <w:name w:val="Comment Text Char"/>
    <w:basedOn w:val="DefaultParagraphFont"/>
    <w:link w:val="CommentText"/>
    <w:rsid w:val="001D021D"/>
    <w:rPr>
      <w:rFonts w:ascii="Arial" w:hAnsi="Arial" w:cs="Arial"/>
      <w:lang w:val="en-US"/>
    </w:rPr>
  </w:style>
  <w:style w:type="paragraph" w:styleId="CommentSubject">
    <w:name w:val="annotation subject"/>
    <w:basedOn w:val="CommentText"/>
    <w:next w:val="CommentText"/>
    <w:link w:val="CommentSubjectChar"/>
    <w:semiHidden/>
    <w:unhideWhenUsed/>
    <w:rsid w:val="001D021D"/>
    <w:rPr>
      <w:b/>
      <w:bCs/>
    </w:rPr>
  </w:style>
  <w:style w:type="character" w:customStyle="1" w:styleId="CommentSubjectChar">
    <w:name w:val="Comment Subject Char"/>
    <w:basedOn w:val="CommentTextChar"/>
    <w:link w:val="CommentSubject"/>
    <w:semiHidden/>
    <w:rsid w:val="001D021D"/>
    <w:rPr>
      <w:rFonts w:ascii="Arial" w:hAnsi="Arial" w:cs="Arial"/>
      <w:b/>
      <w:bCs/>
      <w:lang w:val="en-US"/>
    </w:rPr>
  </w:style>
  <w:style w:type="table" w:styleId="TableGrid">
    <w:name w:val="Table Grid"/>
    <w:basedOn w:val="TableNormal"/>
    <w:rsid w:val="00880034"/>
    <w:pPr>
      <w:spacing w:after="240" w:line="260" w:lineRule="exac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3081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9.xml"/><Relationship Id="rId117" Type="http://schemas.openxmlformats.org/officeDocument/2006/relationships/header" Target="header54.xml"/><Relationship Id="rId21" Type="http://schemas.openxmlformats.org/officeDocument/2006/relationships/header" Target="header6.xml"/><Relationship Id="rId42" Type="http://schemas.openxmlformats.org/officeDocument/2006/relationships/footer" Target="footer17.xml"/><Relationship Id="rId47" Type="http://schemas.openxmlformats.org/officeDocument/2006/relationships/footer" Target="footer19.xml"/><Relationship Id="rId63" Type="http://schemas.openxmlformats.org/officeDocument/2006/relationships/header" Target="header27.xml"/><Relationship Id="rId68" Type="http://schemas.openxmlformats.org/officeDocument/2006/relationships/footer" Target="footer30.xml"/><Relationship Id="rId84" Type="http://schemas.openxmlformats.org/officeDocument/2006/relationships/footer" Target="footer38.xml"/><Relationship Id="rId89" Type="http://schemas.openxmlformats.org/officeDocument/2006/relationships/footer" Target="footer40.xml"/><Relationship Id="rId112" Type="http://schemas.openxmlformats.org/officeDocument/2006/relationships/header" Target="header52.xml"/><Relationship Id="rId16" Type="http://schemas.openxmlformats.org/officeDocument/2006/relationships/header" Target="header4.xml"/><Relationship Id="rId107" Type="http://schemas.openxmlformats.org/officeDocument/2006/relationships/footer" Target="footer49.xml"/><Relationship Id="rId11" Type="http://schemas.openxmlformats.org/officeDocument/2006/relationships/header" Target="header2.xml"/><Relationship Id="rId32" Type="http://schemas.openxmlformats.org/officeDocument/2006/relationships/footer" Target="footer12.xml"/><Relationship Id="rId37" Type="http://schemas.openxmlformats.org/officeDocument/2006/relationships/header" Target="header14.xml"/><Relationship Id="rId53" Type="http://schemas.openxmlformats.org/officeDocument/2006/relationships/footer" Target="footer22.xml"/><Relationship Id="rId58" Type="http://schemas.openxmlformats.org/officeDocument/2006/relationships/header" Target="header25.xml"/><Relationship Id="rId74" Type="http://schemas.openxmlformats.org/officeDocument/2006/relationships/footer" Target="footer33.xml"/><Relationship Id="rId79" Type="http://schemas.openxmlformats.org/officeDocument/2006/relationships/header" Target="header35.xml"/><Relationship Id="rId102" Type="http://schemas.openxmlformats.org/officeDocument/2006/relationships/footer" Target="footer47.xml"/><Relationship Id="rId123" Type="http://schemas.openxmlformats.org/officeDocument/2006/relationships/fontTable" Target="fontTable.xml"/><Relationship Id="rId5" Type="http://schemas.openxmlformats.org/officeDocument/2006/relationships/styles" Target="styles.xml"/><Relationship Id="rId90" Type="http://schemas.openxmlformats.org/officeDocument/2006/relationships/footer" Target="footer41.xml"/><Relationship Id="rId95" Type="http://schemas.openxmlformats.org/officeDocument/2006/relationships/footer" Target="footer43.xml"/><Relationship Id="rId22" Type="http://schemas.openxmlformats.org/officeDocument/2006/relationships/header" Target="header7.xml"/><Relationship Id="rId27" Type="http://schemas.openxmlformats.org/officeDocument/2006/relationships/header" Target="header9.xml"/><Relationship Id="rId43" Type="http://schemas.openxmlformats.org/officeDocument/2006/relationships/header" Target="header17.xml"/><Relationship Id="rId48" Type="http://schemas.openxmlformats.org/officeDocument/2006/relationships/footer" Target="footer20.xml"/><Relationship Id="rId64" Type="http://schemas.openxmlformats.org/officeDocument/2006/relationships/header" Target="header28.xml"/><Relationship Id="rId69" Type="http://schemas.openxmlformats.org/officeDocument/2006/relationships/header" Target="header30.xml"/><Relationship Id="rId113" Type="http://schemas.openxmlformats.org/officeDocument/2006/relationships/footer" Target="footer52.xml"/><Relationship Id="rId118" Type="http://schemas.openxmlformats.org/officeDocument/2006/relationships/header" Target="header55.xml"/><Relationship Id="rId80" Type="http://schemas.openxmlformats.org/officeDocument/2006/relationships/footer" Target="footer36.xml"/><Relationship Id="rId85" Type="http://schemas.openxmlformats.org/officeDocument/2006/relationships/header" Target="header38.xml"/><Relationship Id="rId12" Type="http://schemas.openxmlformats.org/officeDocument/2006/relationships/footer" Target="footer1.xml"/><Relationship Id="rId17" Type="http://schemas.openxmlformats.org/officeDocument/2006/relationships/footer" Target="footer4.xml"/><Relationship Id="rId33" Type="http://schemas.openxmlformats.org/officeDocument/2006/relationships/header" Target="header12.xml"/><Relationship Id="rId38" Type="http://schemas.openxmlformats.org/officeDocument/2006/relationships/footer" Target="footer15.xml"/><Relationship Id="rId59" Type="http://schemas.openxmlformats.org/officeDocument/2006/relationships/footer" Target="footer25.xml"/><Relationship Id="rId103" Type="http://schemas.openxmlformats.org/officeDocument/2006/relationships/header" Target="header47.xml"/><Relationship Id="rId108" Type="http://schemas.openxmlformats.org/officeDocument/2006/relationships/footer" Target="footer50.xml"/><Relationship Id="rId124" Type="http://schemas.openxmlformats.org/officeDocument/2006/relationships/theme" Target="theme/theme1.xml"/><Relationship Id="rId54" Type="http://schemas.openxmlformats.org/officeDocument/2006/relationships/footer" Target="footer23.xml"/><Relationship Id="rId70" Type="http://schemas.openxmlformats.org/officeDocument/2006/relationships/header" Target="header31.xml"/><Relationship Id="rId75" Type="http://schemas.openxmlformats.org/officeDocument/2006/relationships/header" Target="header33.xml"/><Relationship Id="rId91" Type="http://schemas.openxmlformats.org/officeDocument/2006/relationships/header" Target="header41.xml"/><Relationship Id="rId96" Type="http://schemas.openxmlformats.org/officeDocument/2006/relationships/footer" Target="footer44.xml"/><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footer" Target="footer7.xml"/><Relationship Id="rId28" Type="http://schemas.openxmlformats.org/officeDocument/2006/relationships/header" Target="header10.xml"/><Relationship Id="rId49" Type="http://schemas.openxmlformats.org/officeDocument/2006/relationships/header" Target="header20.xml"/><Relationship Id="rId114" Type="http://schemas.openxmlformats.org/officeDocument/2006/relationships/footer" Target="footer53.xml"/><Relationship Id="rId119" Type="http://schemas.openxmlformats.org/officeDocument/2006/relationships/footer" Target="footer55.xml"/><Relationship Id="rId44" Type="http://schemas.openxmlformats.org/officeDocument/2006/relationships/footer" Target="footer18.xml"/><Relationship Id="rId60" Type="http://schemas.openxmlformats.org/officeDocument/2006/relationships/footer" Target="footer26.xml"/><Relationship Id="rId65" Type="http://schemas.openxmlformats.org/officeDocument/2006/relationships/footer" Target="footer28.xml"/><Relationship Id="rId81" Type="http://schemas.openxmlformats.org/officeDocument/2006/relationships/header" Target="header36.xml"/><Relationship Id="rId86" Type="http://schemas.openxmlformats.org/officeDocument/2006/relationships/footer" Target="footer39.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39" Type="http://schemas.openxmlformats.org/officeDocument/2006/relationships/header" Target="header15.xml"/><Relationship Id="rId109" Type="http://schemas.openxmlformats.org/officeDocument/2006/relationships/header" Target="header50.xml"/><Relationship Id="rId34" Type="http://schemas.openxmlformats.org/officeDocument/2006/relationships/header" Target="header13.xml"/><Relationship Id="rId50" Type="http://schemas.openxmlformats.org/officeDocument/2006/relationships/footer" Target="footer21.xml"/><Relationship Id="rId55" Type="http://schemas.openxmlformats.org/officeDocument/2006/relationships/header" Target="header23.xml"/><Relationship Id="rId76" Type="http://schemas.openxmlformats.org/officeDocument/2006/relationships/header" Target="header34.xml"/><Relationship Id="rId97" Type="http://schemas.openxmlformats.org/officeDocument/2006/relationships/header" Target="header44.xml"/><Relationship Id="rId104" Type="http://schemas.openxmlformats.org/officeDocument/2006/relationships/footer" Target="footer48.xml"/><Relationship Id="rId120" Type="http://schemas.openxmlformats.org/officeDocument/2006/relationships/footer" Target="footer56.xml"/><Relationship Id="rId7" Type="http://schemas.openxmlformats.org/officeDocument/2006/relationships/webSettings" Target="webSettings.xml"/><Relationship Id="rId71" Type="http://schemas.openxmlformats.org/officeDocument/2006/relationships/footer" Target="footer31.xml"/><Relationship Id="rId92" Type="http://schemas.openxmlformats.org/officeDocument/2006/relationships/footer" Target="footer42.xml"/><Relationship Id="rId2" Type="http://schemas.openxmlformats.org/officeDocument/2006/relationships/customXml" Target="../customXml/item2.xml"/><Relationship Id="rId29" Type="http://schemas.openxmlformats.org/officeDocument/2006/relationships/footer" Target="footer10.xml"/><Relationship Id="rId24" Type="http://schemas.openxmlformats.org/officeDocument/2006/relationships/footer" Target="footer8.xml"/><Relationship Id="rId40" Type="http://schemas.openxmlformats.org/officeDocument/2006/relationships/header" Target="header16.xml"/><Relationship Id="rId45" Type="http://schemas.openxmlformats.org/officeDocument/2006/relationships/header" Target="header18.xml"/><Relationship Id="rId66" Type="http://schemas.openxmlformats.org/officeDocument/2006/relationships/footer" Target="footer29.xml"/><Relationship Id="rId87" Type="http://schemas.openxmlformats.org/officeDocument/2006/relationships/header" Target="header39.xml"/><Relationship Id="rId110" Type="http://schemas.openxmlformats.org/officeDocument/2006/relationships/footer" Target="footer51.xml"/><Relationship Id="rId115" Type="http://schemas.openxmlformats.org/officeDocument/2006/relationships/header" Target="header53.xml"/><Relationship Id="rId61" Type="http://schemas.openxmlformats.org/officeDocument/2006/relationships/header" Target="header26.xml"/><Relationship Id="rId82" Type="http://schemas.openxmlformats.org/officeDocument/2006/relationships/header" Target="header37.xml"/><Relationship Id="rId19" Type="http://schemas.openxmlformats.org/officeDocument/2006/relationships/header" Target="header5.xml"/><Relationship Id="rId14" Type="http://schemas.openxmlformats.org/officeDocument/2006/relationships/footer" Target="footer3.xml"/><Relationship Id="rId30" Type="http://schemas.openxmlformats.org/officeDocument/2006/relationships/footer" Target="footer11.xml"/><Relationship Id="rId35" Type="http://schemas.openxmlformats.org/officeDocument/2006/relationships/footer" Target="footer13.xml"/><Relationship Id="rId56" Type="http://schemas.openxmlformats.org/officeDocument/2006/relationships/footer" Target="footer24.xml"/><Relationship Id="rId77" Type="http://schemas.openxmlformats.org/officeDocument/2006/relationships/footer" Target="footer34.xml"/><Relationship Id="rId100" Type="http://schemas.openxmlformats.org/officeDocument/2006/relationships/header" Target="header46.xml"/><Relationship Id="rId105" Type="http://schemas.openxmlformats.org/officeDocument/2006/relationships/header" Target="header48.xml"/><Relationship Id="rId8" Type="http://schemas.openxmlformats.org/officeDocument/2006/relationships/footnotes" Target="footnotes.xml"/><Relationship Id="rId51" Type="http://schemas.openxmlformats.org/officeDocument/2006/relationships/header" Target="header21.xml"/><Relationship Id="rId72" Type="http://schemas.openxmlformats.org/officeDocument/2006/relationships/footer" Target="footer32.xml"/><Relationship Id="rId93" Type="http://schemas.openxmlformats.org/officeDocument/2006/relationships/header" Target="header42.xml"/><Relationship Id="rId98" Type="http://schemas.openxmlformats.org/officeDocument/2006/relationships/footer" Target="footer45.xml"/><Relationship Id="rId121" Type="http://schemas.openxmlformats.org/officeDocument/2006/relationships/header" Target="header56.xml"/><Relationship Id="rId3" Type="http://schemas.openxmlformats.org/officeDocument/2006/relationships/customXml" Target="../customXml/item3.xml"/><Relationship Id="rId25" Type="http://schemas.openxmlformats.org/officeDocument/2006/relationships/header" Target="header8.xml"/><Relationship Id="rId46" Type="http://schemas.openxmlformats.org/officeDocument/2006/relationships/header" Target="header19.xml"/><Relationship Id="rId67" Type="http://schemas.openxmlformats.org/officeDocument/2006/relationships/header" Target="header29.xml"/><Relationship Id="rId116" Type="http://schemas.openxmlformats.org/officeDocument/2006/relationships/footer" Target="footer54.xml"/><Relationship Id="rId20" Type="http://schemas.openxmlformats.org/officeDocument/2006/relationships/footer" Target="footer6.xml"/><Relationship Id="rId41" Type="http://schemas.openxmlformats.org/officeDocument/2006/relationships/footer" Target="footer16.xml"/><Relationship Id="rId62" Type="http://schemas.openxmlformats.org/officeDocument/2006/relationships/footer" Target="footer27.xml"/><Relationship Id="rId83" Type="http://schemas.openxmlformats.org/officeDocument/2006/relationships/footer" Target="footer37.xml"/><Relationship Id="rId88" Type="http://schemas.openxmlformats.org/officeDocument/2006/relationships/header" Target="header40.xml"/><Relationship Id="rId111" Type="http://schemas.openxmlformats.org/officeDocument/2006/relationships/header" Target="header51.xml"/><Relationship Id="rId15" Type="http://schemas.openxmlformats.org/officeDocument/2006/relationships/header" Target="header3.xml"/><Relationship Id="rId36" Type="http://schemas.openxmlformats.org/officeDocument/2006/relationships/footer" Target="footer14.xml"/><Relationship Id="rId57" Type="http://schemas.openxmlformats.org/officeDocument/2006/relationships/header" Target="header24.xml"/><Relationship Id="rId106" Type="http://schemas.openxmlformats.org/officeDocument/2006/relationships/header" Target="header49.xml"/><Relationship Id="rId10" Type="http://schemas.openxmlformats.org/officeDocument/2006/relationships/header" Target="header1.xml"/><Relationship Id="rId31" Type="http://schemas.openxmlformats.org/officeDocument/2006/relationships/header" Target="header11.xml"/><Relationship Id="rId52" Type="http://schemas.openxmlformats.org/officeDocument/2006/relationships/header" Target="header22.xml"/><Relationship Id="rId73" Type="http://schemas.openxmlformats.org/officeDocument/2006/relationships/header" Target="header32.xml"/><Relationship Id="rId78" Type="http://schemas.openxmlformats.org/officeDocument/2006/relationships/footer" Target="footer35.xml"/><Relationship Id="rId94" Type="http://schemas.openxmlformats.org/officeDocument/2006/relationships/header" Target="header43.xml"/><Relationship Id="rId99" Type="http://schemas.openxmlformats.org/officeDocument/2006/relationships/header" Target="header45.xml"/><Relationship Id="rId101" Type="http://schemas.openxmlformats.org/officeDocument/2006/relationships/footer" Target="footer46.xml"/><Relationship Id="rId122" Type="http://schemas.openxmlformats.org/officeDocument/2006/relationships/footer" Target="footer57.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1" Type="http://schemas.openxmlformats.org/officeDocument/2006/relationships/image" Target="media/image2.png"/></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s>
</file>

<file path=word/_rels/header16.xml.rels><?xml version="1.0" encoding="UTF-8" standalone="yes"?>
<Relationships xmlns="http://schemas.openxmlformats.org/package/2006/relationships"><Relationship Id="rId1" Type="http://schemas.openxmlformats.org/officeDocument/2006/relationships/image" Target="media/image1.png"/></Relationships>
</file>

<file path=word/_rels/header18.xml.rels><?xml version="1.0" encoding="UTF-8" standalone="yes"?>
<Relationships xmlns="http://schemas.openxmlformats.org/package/2006/relationships"><Relationship Id="rId1" Type="http://schemas.openxmlformats.org/officeDocument/2006/relationships/image" Target="media/image1.png"/></Relationships>
</file>

<file path=word/_rels/header19.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21.xml.rels><?xml version="1.0" encoding="UTF-8" standalone="yes"?>
<Relationships xmlns="http://schemas.openxmlformats.org/package/2006/relationships"><Relationship Id="rId1" Type="http://schemas.openxmlformats.org/officeDocument/2006/relationships/image" Target="media/image1.png"/></Relationships>
</file>

<file path=word/_rels/header22.xml.rels><?xml version="1.0" encoding="UTF-8" standalone="yes"?>
<Relationships xmlns="http://schemas.openxmlformats.org/package/2006/relationships"><Relationship Id="rId1" Type="http://schemas.openxmlformats.org/officeDocument/2006/relationships/image" Target="media/image1.png"/></Relationships>
</file>

<file path=word/_rels/header24.xml.rels><?xml version="1.0" encoding="UTF-8" standalone="yes"?>
<Relationships xmlns="http://schemas.openxmlformats.org/package/2006/relationships"><Relationship Id="rId1" Type="http://schemas.openxmlformats.org/officeDocument/2006/relationships/image" Target="media/image1.png"/></Relationships>
</file>

<file path=word/_rels/header25.xml.rels><?xml version="1.0" encoding="UTF-8" standalone="yes"?>
<Relationships xmlns="http://schemas.openxmlformats.org/package/2006/relationships"><Relationship Id="rId1" Type="http://schemas.openxmlformats.org/officeDocument/2006/relationships/image" Target="media/image1.png"/></Relationships>
</file>

<file path=word/_rels/header27.xml.rels><?xml version="1.0" encoding="UTF-8" standalone="yes"?>
<Relationships xmlns="http://schemas.openxmlformats.org/package/2006/relationships"><Relationship Id="rId1" Type="http://schemas.openxmlformats.org/officeDocument/2006/relationships/image" Target="media/image1.png"/></Relationships>
</file>

<file path=word/_rels/header28.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30.xml.rels><?xml version="1.0" encoding="UTF-8" standalone="yes"?>
<Relationships xmlns="http://schemas.openxmlformats.org/package/2006/relationships"><Relationship Id="rId1" Type="http://schemas.openxmlformats.org/officeDocument/2006/relationships/image" Target="media/image1.png"/></Relationships>
</file>

<file path=word/_rels/header31.xml.rels><?xml version="1.0" encoding="UTF-8" standalone="yes"?>
<Relationships xmlns="http://schemas.openxmlformats.org/package/2006/relationships"><Relationship Id="rId1" Type="http://schemas.openxmlformats.org/officeDocument/2006/relationships/image" Target="media/image1.png"/></Relationships>
</file>

<file path=word/_rels/header33.xml.rels><?xml version="1.0" encoding="UTF-8" standalone="yes"?>
<Relationships xmlns="http://schemas.openxmlformats.org/package/2006/relationships"><Relationship Id="rId1" Type="http://schemas.openxmlformats.org/officeDocument/2006/relationships/image" Target="media/image1.png"/></Relationships>
</file>

<file path=word/_rels/header34.xml.rels><?xml version="1.0" encoding="UTF-8" standalone="yes"?>
<Relationships xmlns="http://schemas.openxmlformats.org/package/2006/relationships"><Relationship Id="rId1" Type="http://schemas.openxmlformats.org/officeDocument/2006/relationships/image" Target="media/image1.png"/></Relationships>
</file>

<file path=word/_rels/header36.xml.rels><?xml version="1.0" encoding="UTF-8" standalone="yes"?>
<Relationships xmlns="http://schemas.openxmlformats.org/package/2006/relationships"><Relationship Id="rId1" Type="http://schemas.openxmlformats.org/officeDocument/2006/relationships/image" Target="media/image1.png"/></Relationships>
</file>

<file path=word/_rels/header37.xml.rels><?xml version="1.0" encoding="UTF-8" standalone="yes"?>
<Relationships xmlns="http://schemas.openxmlformats.org/package/2006/relationships"><Relationship Id="rId1" Type="http://schemas.openxmlformats.org/officeDocument/2006/relationships/image" Target="media/image1.png"/></Relationships>
</file>

<file path=word/_rels/header39.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40.xml.rels><?xml version="1.0" encoding="UTF-8" standalone="yes"?>
<Relationships xmlns="http://schemas.openxmlformats.org/package/2006/relationships"><Relationship Id="rId1" Type="http://schemas.openxmlformats.org/officeDocument/2006/relationships/image" Target="media/image1.png"/></Relationships>
</file>

<file path=word/_rels/header42.xml.rels><?xml version="1.0" encoding="UTF-8" standalone="yes"?>
<Relationships xmlns="http://schemas.openxmlformats.org/package/2006/relationships"><Relationship Id="rId1" Type="http://schemas.openxmlformats.org/officeDocument/2006/relationships/image" Target="media/image1.png"/></Relationships>
</file>

<file path=word/_rels/header43.xml.rels><?xml version="1.0" encoding="UTF-8" standalone="yes"?>
<Relationships xmlns="http://schemas.openxmlformats.org/package/2006/relationships"><Relationship Id="rId1" Type="http://schemas.openxmlformats.org/officeDocument/2006/relationships/image" Target="media/image1.png"/></Relationships>
</file>

<file path=word/_rels/header45.xml.rels><?xml version="1.0" encoding="UTF-8" standalone="yes"?>
<Relationships xmlns="http://schemas.openxmlformats.org/package/2006/relationships"><Relationship Id="rId1" Type="http://schemas.openxmlformats.org/officeDocument/2006/relationships/image" Target="media/image1.png"/></Relationships>
</file>

<file path=word/_rels/header46.xml.rels><?xml version="1.0" encoding="UTF-8" standalone="yes"?>
<Relationships xmlns="http://schemas.openxmlformats.org/package/2006/relationships"><Relationship Id="rId1" Type="http://schemas.openxmlformats.org/officeDocument/2006/relationships/image" Target="media/image1.png"/></Relationships>
</file>

<file path=word/_rels/header48.xml.rels><?xml version="1.0" encoding="UTF-8" standalone="yes"?>
<Relationships xmlns="http://schemas.openxmlformats.org/package/2006/relationships"><Relationship Id="rId1" Type="http://schemas.openxmlformats.org/officeDocument/2006/relationships/image" Target="media/image1.png"/></Relationships>
</file>

<file path=word/_rels/header49.xml.rels><?xml version="1.0" encoding="UTF-8" standalone="yes"?>
<Relationships xmlns="http://schemas.openxmlformats.org/package/2006/relationships"><Relationship Id="rId1" Type="http://schemas.openxmlformats.org/officeDocument/2006/relationships/image" Target="media/image1.png"/></Relationships>
</file>

<file path=word/_rels/header51.xml.rels><?xml version="1.0" encoding="UTF-8" standalone="yes"?>
<Relationships xmlns="http://schemas.openxmlformats.org/package/2006/relationships"><Relationship Id="rId1" Type="http://schemas.openxmlformats.org/officeDocument/2006/relationships/image" Target="media/image1.png"/></Relationships>
</file>

<file path=word/_rels/header52.xml.rels><?xml version="1.0" encoding="UTF-8" standalone="yes"?>
<Relationships xmlns="http://schemas.openxmlformats.org/package/2006/relationships"><Relationship Id="rId1" Type="http://schemas.openxmlformats.org/officeDocument/2006/relationships/image" Target="media/image1.png"/></Relationships>
</file>

<file path=word/_rels/header54.xml.rels><?xml version="1.0" encoding="UTF-8" standalone="yes"?>
<Relationships xmlns="http://schemas.openxmlformats.org/package/2006/relationships"><Relationship Id="rId1" Type="http://schemas.openxmlformats.org/officeDocument/2006/relationships/image" Target="media/image1.png"/></Relationships>
</file>

<file path=word/_rels/header5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udget">
      <a:dk1>
        <a:sysClr val="windowText" lastClr="000000"/>
      </a:dk1>
      <a:lt1>
        <a:sysClr val="window" lastClr="FFFFFF"/>
      </a:lt1>
      <a:dk2>
        <a:srgbClr val="002A54"/>
      </a:dk2>
      <a:lt2>
        <a:srgbClr val="6D7684"/>
      </a:lt2>
      <a:accent1>
        <a:srgbClr val="0364C3"/>
      </a:accent1>
      <a:accent2>
        <a:srgbClr val="BE5154"/>
      </a:accent2>
      <a:accent3>
        <a:srgbClr val="844D9E"/>
      </a:accent3>
      <a:accent4>
        <a:srgbClr val="00818F"/>
      </a:accent4>
      <a:accent5>
        <a:srgbClr val="213657"/>
      </a:accent5>
      <a:accent6>
        <a:srgbClr val="02843D"/>
      </a:accent6>
      <a:hlink>
        <a:srgbClr val="3A6FAF"/>
      </a:hlink>
      <a:folHlink>
        <a:srgbClr val="E61E2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Flow_SignoffStatus xmlns="9115ddca-c623-419f-a3c0-6a1c58c4dac8" xsi:nil="true"/>
    <MudmapEVID xmlns="9115ddca-c623-419f-a3c0-6a1c58c4dac8" xsi:nil="true"/>
    <_ip_UnifiedCompliancePolicyProperties xmlns="http://schemas.microsoft.com/sharepoint/v3" xsi:nil="true"/>
    <TaxCatchAll xmlns="244fe85f-b655-4145-9b20-543b75dc1c24" xsi:nil="true"/>
    <Status xmlns="9115ddca-c623-419f-a3c0-6a1c58c4dac8" xsi:nil="true"/>
    <lcf76f155ced4ddcb4097134ff3c332f xmlns="9115ddca-c623-419f-a3c0-6a1c58c4dac8">
      <Terms xmlns="http://schemas.microsoft.com/office/infopath/2007/PartnerControls"/>
    </lcf76f155ced4ddcb4097134ff3c332f>
    <LetterID xmlns="9115ddca-c623-419f-a3c0-6a1c58c4dac8" xsi:nil="true"/>
    <Notes xmlns="9115ddca-c623-419f-a3c0-6a1c58c4dac8" xsi:nil="true"/>
    <Date_x005f_x0020_of_x005f_x0020_Creation xmlns="244fe85f-b655-4145-9b20-543b75dc1c24" xsi:nil="true"/>
    <Image xmlns="9115ddca-c623-419f-a3c0-6a1c58c4dac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4EFA3CD0C9384883E202483A01CFD0" ma:contentTypeVersion="29" ma:contentTypeDescription="Create a new document." ma:contentTypeScope="" ma:versionID="802b58b1da4c87c67cb8f13d07b747fd">
  <xsd:schema xmlns:xsd="http://www.w3.org/2001/XMLSchema" xmlns:xs="http://www.w3.org/2001/XMLSchema" xmlns:p="http://schemas.microsoft.com/office/2006/metadata/properties" xmlns:ns1="http://schemas.microsoft.com/sharepoint/v3" xmlns:ns2="9115ddca-c623-419f-a3c0-6a1c58c4dac8" xmlns:ns3="244fe85f-b655-4145-9b20-543b75dc1c24" targetNamespace="http://schemas.microsoft.com/office/2006/metadata/properties" ma:root="true" ma:fieldsID="1fcf1c21f49c808727b3a378cd86067a" ns1:_="" ns2:_="" ns3:_="">
    <xsd:import namespace="http://schemas.microsoft.com/sharepoint/v3"/>
    <xsd:import namespace="9115ddca-c623-419f-a3c0-6a1c58c4dac8"/>
    <xsd:import namespace="244fe85f-b655-4145-9b20-543b75dc1c24"/>
    <xsd:element name="properties">
      <xsd:complexType>
        <xsd:sequence>
          <xsd:element name="documentManagement">
            <xsd:complexType>
              <xsd:all>
                <xsd:element ref="ns2:Image" minOccurs="0"/>
                <xsd:element ref="ns2:Status" minOccurs="0"/>
                <xsd:element ref="ns2:Notes" minOccurs="0"/>
                <xsd:element ref="ns2:_Flow_SignoffStatus" minOccurs="0"/>
                <xsd:element ref="ns3:Date_x005f_x0020_of_x005f_x0020_Creation" minOccurs="0"/>
                <xsd:element ref="ns2:MudmapEVID" minOccurs="0"/>
                <xsd:element ref="ns2:LetterID"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ma:readOnly="false">
      <xsd:simpleType>
        <xsd:restriction base="dms:Note"/>
      </xsd:simpleType>
    </xsd:element>
    <xsd:element name="_ip_UnifiedCompliancePolicyUIAction" ma:index="17"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15ddca-c623-419f-a3c0-6a1c58c4dac8" elementFormDefault="qualified">
    <xsd:import namespace="http://schemas.microsoft.com/office/2006/documentManagement/types"/>
    <xsd:import namespace="http://schemas.microsoft.com/office/infopath/2007/PartnerControls"/>
    <xsd:element name="Image" ma:index="3" nillable="true" ma:displayName="Image" ma:format="Thumbnail" ma:internalName="Image" ma:readOnly="false">
      <xsd:simpleType>
        <xsd:restriction base="dms:Unknown"/>
      </xsd:simpleType>
    </xsd:element>
    <xsd:element name="Status" ma:index="4" nillable="true" ma:displayName="Status" ma:format="Dropdown" ma:internalName="Status" ma:readOnly="false">
      <xsd:simpleType>
        <xsd:restriction base="dms:Choice">
          <xsd:enumeration value="With drafter"/>
          <xsd:enumeration value="With EB for comment"/>
          <xsd:enumeration value="With TO for comment"/>
          <xsd:enumeration value="With EB for final review"/>
          <xsd:enumeration value="With TO for final review"/>
          <xsd:enumeration value="With Treasurer for final review"/>
          <xsd:enumeration value="In sandy"/>
          <xsd:enumeration value="In hard close"/>
        </xsd:restriction>
      </xsd:simpleType>
    </xsd:element>
    <xsd:element name="Notes" ma:index="5" nillable="true" ma:displayName="Notes" ma:format="Dropdown" ma:internalName="Notes" ma:readOnly="false">
      <xsd:simpleType>
        <xsd:restriction base="dms:Note">
          <xsd:maxLength value="255"/>
        </xsd:restriction>
      </xsd:simpleType>
    </xsd:element>
    <xsd:element name="_Flow_SignoffStatus" ma:index="6" nillable="true" ma:displayName="Sign-off status" ma:format="Dropdown" ma:internalName="Sign_x002d_off_x0020_status" ma:readOnly="false">
      <xsd:simpleType>
        <xsd:restriction base="dms:Text">
          <xsd:maxLength value="255"/>
        </xsd:restriction>
      </xsd:simpleType>
    </xsd:element>
    <xsd:element name="MudmapEVID" ma:index="8" nillable="true" ma:displayName="Mudmap ID" ma:description="This is the ID in column A of the live Mudmap" ma:format="Dropdown" ma:internalName="MudmapEVID" ma:readOnly="false">
      <xsd:simpleType>
        <xsd:restriction base="dms:Text">
          <xsd:maxLength value="255"/>
        </xsd:restriction>
      </xsd:simpleType>
    </xsd:element>
    <xsd:element name="LetterID" ma:index="9" nillable="true" ma:displayName="Letter ID" ma:format="Dropdown" ma:internalName="LetterID" ma:readOnly="false">
      <xsd:simpleType>
        <xsd:restriction base="dms:Text">
          <xsd:maxLength value="255"/>
        </xsd:restriction>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8" nillable="true" ma:displayName="Tags" ma:hidden="true"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OCR" ma:index="22" nillable="true" ma:displayName="Extracted Text" ma:hidden="true" ma:internalName="MediaServiceOCR" ma:readOnly="true">
      <xsd:simpleType>
        <xsd:restriction base="dms:Note"/>
      </xsd:simpleType>
    </xsd:element>
    <xsd:element name="MediaServiceLocation" ma:index="23" nillable="true" ma:displayName="Location" ma:hidden="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4fe85f-b655-4145-9b20-543b75dc1c24" elementFormDefault="qualified">
    <xsd:import namespace="http://schemas.microsoft.com/office/2006/documentManagement/types"/>
    <xsd:import namespace="http://schemas.microsoft.com/office/infopath/2007/PartnerControls"/>
    <xsd:element name="Date_x005f_x0020_of_x005f_x0020_Creation" ma:index="7" nillable="true" ma:displayName="Date of Creation" ma:format="DateOnly" ma:internalName="Date_x0020_of_x0020_Creation" ma:readOnly="false">
      <xsd:simpleType>
        <xsd:restriction base="dms:DateTime"/>
      </xsd:simpleType>
    </xsd:element>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8" nillable="true" ma:displayName="Taxonomy Catch All Column" ma:hidden="true" ma:list="{eed413a1-1c23-4ed2-af48-854dd5cd0a31}" ma:internalName="TaxCatchAll" ma:readOnly="false" ma:showField="CatchAllData" ma:web="244fe85f-b655-4145-9b20-543b75dc1c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DC8FA2-EF14-4647-92E2-ED89376D1A2F}">
  <ds:schemaRefs>
    <ds:schemaRef ds:uri="http://schemas.microsoft.com/sharepoint/v3/contenttype/forms"/>
  </ds:schemaRefs>
</ds:datastoreItem>
</file>

<file path=customXml/itemProps2.xml><?xml version="1.0" encoding="utf-8"?>
<ds:datastoreItem xmlns:ds="http://schemas.openxmlformats.org/officeDocument/2006/customXml" ds:itemID="{A731C69C-E64C-4FB2-8A93-6CBB1B6E943A}">
  <ds:schemaRefs>
    <ds:schemaRef ds:uri="244fe85f-b655-4145-9b20-543b75dc1c24"/>
    <ds:schemaRef ds:uri="http://schemas.openxmlformats.org/package/2006/metadata/core-properties"/>
    <ds:schemaRef ds:uri="http://purl.org/dc/terms/"/>
    <ds:schemaRef ds:uri="http://schemas.microsoft.com/office/2006/documentManagement/types"/>
    <ds:schemaRef ds:uri="http://purl.org/dc/dcmitype/"/>
    <ds:schemaRef ds:uri="http://purl.org/dc/elements/1.1/"/>
    <ds:schemaRef ds:uri="http://schemas.microsoft.com/office/2006/metadata/properties"/>
    <ds:schemaRef ds:uri="http://schemas.microsoft.com/office/infopath/2007/PartnerControls"/>
    <ds:schemaRef ds:uri="9115ddca-c623-419f-a3c0-6a1c58c4dac8"/>
    <ds:schemaRef ds:uri="http://schemas.microsoft.com/sharepoint/v3"/>
    <ds:schemaRef ds:uri="http://www.w3.org/XML/1998/namespace"/>
  </ds:schemaRefs>
</ds:datastoreItem>
</file>

<file path=customXml/itemProps3.xml><?xml version="1.0" encoding="utf-8"?>
<ds:datastoreItem xmlns:ds="http://schemas.openxmlformats.org/officeDocument/2006/customXml" ds:itemID="{46C409AA-E64C-46E7-9097-65F21652FD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15ddca-c623-419f-a3c0-6a1c58c4dac8"/>
    <ds:schemaRef ds:uri="244fe85f-b655-4145-9b20-543b75dc1c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21700</Words>
  <Characters>118928</Characters>
  <Application>Microsoft Office Word</Application>
  <DocSecurity>0</DocSecurity>
  <Lines>6435</Lines>
  <Paragraphs>4448</Paragraphs>
  <ScaleCrop>false</ScaleCrop>
  <HeadingPairs>
    <vt:vector size="2" baseType="variant">
      <vt:variant>
        <vt:lpstr>Title</vt:lpstr>
      </vt:variant>
      <vt:variant>
        <vt:i4>1</vt:i4>
      </vt:variant>
    </vt:vector>
  </HeadingPairs>
  <TitlesOfParts>
    <vt:vector size="1" baseType="lpstr">
      <vt:lpstr>Budget Paper No. 2</vt:lpstr>
    </vt:vector>
  </TitlesOfParts>
  <Company/>
  <LinksUpToDate>false</LinksUpToDate>
  <CharactersWithSpaces>136200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Paper No. 2</dc:title>
  <dc:subject/>
  <dc:creator/>
  <cp:keywords/>
  <cp:lastModifiedBy/>
  <cp:revision>1</cp:revision>
  <dcterms:created xsi:type="dcterms:W3CDTF">2025-03-23T06:43:00Z</dcterms:created>
  <dcterms:modified xsi:type="dcterms:W3CDTF">2025-03-24T02:20:00Z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2025-03-23T06:43:56Z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760ee328-b096-411a-8e99-33a9821dbbb0</vt:lpwstr>
  </property>
  <property fmtid="{D5CDD505-2E9C-101B-9397-08002B2CF9AE}" pid="8" name="MSIP_Label_4f932d64-9ab1-4d9b-81d2-a3a8b82dd47d_ContentBits">
    <vt:lpwstr>0</vt:lpwstr>
  </property>
  <property fmtid="{D5CDD505-2E9C-101B-9397-08002B2CF9AE}" pid="9" name="ContentTypeId">
    <vt:lpwstr>0x010100DA4EFA3CD0C9384883E202483A01CFD0</vt:lpwstr>
  </property>
</Properties>
</file>