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168F4" w14:textId="1CB0CC25" w:rsidR="00B51775" w:rsidRPr="00C94004" w:rsidRDefault="00B51775" w:rsidP="00B51775">
      <w:pPr>
        <w:pStyle w:val="Heading1"/>
      </w:pPr>
      <w:r w:rsidRPr="00C94004">
        <w:t>Part 1: Australia</w:t>
      </w:r>
      <w:r w:rsidR="009B6F84">
        <w:t>’</w:t>
      </w:r>
      <w:r w:rsidRPr="00C94004">
        <w:t>s Federal Relations</w:t>
      </w:r>
    </w:p>
    <w:p w14:paraId="3F64224C" w14:textId="77777777" w:rsidR="00B51775" w:rsidRPr="00C94004" w:rsidRDefault="00B51775" w:rsidP="00B51775">
      <w:pPr>
        <w:pStyle w:val="Heading2"/>
      </w:pPr>
      <w:bookmarkStart w:id="0" w:name="_Toc4765132"/>
      <w:r w:rsidRPr="00C94004">
        <w:t>Overview</w:t>
      </w:r>
      <w:bookmarkEnd w:id="0"/>
      <w:r w:rsidRPr="00C94004">
        <w:t xml:space="preserve"> </w:t>
      </w:r>
    </w:p>
    <w:p w14:paraId="7F848649" w14:textId="1F0AE7A7" w:rsidR="00B51775" w:rsidRPr="00C94004" w:rsidRDefault="00B51775" w:rsidP="00B51775">
      <w:r w:rsidRPr="00C94004">
        <w:t>In 202</w:t>
      </w:r>
      <w:r w:rsidR="00ED0234">
        <w:t>5</w:t>
      </w:r>
      <w:r w:rsidRPr="00C94004">
        <w:t>–2</w:t>
      </w:r>
      <w:r w:rsidR="00ED0234">
        <w:t>6</w:t>
      </w:r>
      <w:r w:rsidRPr="00C94004">
        <w:t xml:space="preserve">, the Australian Government will provide state and territory governments (states) with </w:t>
      </w:r>
      <w:r w:rsidR="00ED0234" w:rsidRPr="008A60D9">
        <w:t>$</w:t>
      </w:r>
      <w:r w:rsidR="008A60D9">
        <w:t>196.5</w:t>
      </w:r>
      <w:r w:rsidRPr="00C94004">
        <w:t xml:space="preserve"> billion in total payments, estimated to be </w:t>
      </w:r>
      <w:r w:rsidR="00D73A18">
        <w:t>25.0</w:t>
      </w:r>
      <w:r w:rsidRPr="00C94004">
        <w:t xml:space="preserve"> per cent of total Australian Government expenditure. This includes payments of </w:t>
      </w:r>
      <w:r w:rsidR="00DA1C91" w:rsidRPr="00BB7C4F">
        <w:t>$</w:t>
      </w:r>
      <w:r w:rsidR="00BB7C4F">
        <w:t>95.9</w:t>
      </w:r>
      <w:r w:rsidRPr="00C94004">
        <w:t xml:space="preserve"> billion for specific purposes including for schools and hospitals, and general revenue assistance of </w:t>
      </w:r>
      <w:r w:rsidRPr="00F53CFC">
        <w:t>$</w:t>
      </w:r>
      <w:r w:rsidR="00F53CFC">
        <w:t>100.6</w:t>
      </w:r>
      <w:r w:rsidRPr="00C94004">
        <w:t> billion.</w:t>
      </w:r>
      <w:r w:rsidR="00721C9C">
        <w:t xml:space="preserve"> </w:t>
      </w:r>
    </w:p>
    <w:p w14:paraId="1A20A611" w14:textId="2E750AEE" w:rsidR="00B51775" w:rsidRPr="00C94004" w:rsidRDefault="00B51775" w:rsidP="00B51775">
      <w:r w:rsidRPr="00C94004">
        <w:t>Through its payments to the states, the Australian Government is:</w:t>
      </w:r>
    </w:p>
    <w:p w14:paraId="718FA447" w14:textId="43B6CBFE" w:rsidR="00B51775" w:rsidRPr="00C94004" w:rsidRDefault="00B51775" w:rsidP="08A77C46">
      <w:pPr>
        <w:pStyle w:val="Bullet"/>
      </w:pPr>
      <w:r w:rsidRPr="00C94004">
        <w:t xml:space="preserve">contributing </w:t>
      </w:r>
      <w:r w:rsidRPr="002836D2">
        <w:t>$</w:t>
      </w:r>
      <w:r w:rsidR="00C9575B" w:rsidRPr="002836D2">
        <w:t>141.8</w:t>
      </w:r>
      <w:r w:rsidRPr="00C94004">
        <w:t> billion from 202</w:t>
      </w:r>
      <w:r w:rsidR="00DC5BCD">
        <w:t>5</w:t>
      </w:r>
      <w:r w:rsidRPr="00C94004">
        <w:t>–2</w:t>
      </w:r>
      <w:r w:rsidR="00DC5BCD">
        <w:t>6</w:t>
      </w:r>
      <w:r w:rsidRPr="00C94004">
        <w:t xml:space="preserve"> to </w:t>
      </w:r>
      <w:r w:rsidRPr="00847885">
        <w:t>202</w:t>
      </w:r>
      <w:r w:rsidR="00A5084A" w:rsidRPr="00847885">
        <w:t>8</w:t>
      </w:r>
      <w:r w:rsidRPr="00847885">
        <w:t>–2</w:t>
      </w:r>
      <w:r w:rsidR="00A5084A" w:rsidRPr="00847885">
        <w:t>9</w:t>
      </w:r>
      <w:r w:rsidRPr="00C94004">
        <w:t xml:space="preserve"> for public health and</w:t>
      </w:r>
      <w:r w:rsidR="005F6EA9">
        <w:t xml:space="preserve"> </w:t>
      </w:r>
      <w:r w:rsidRPr="00C94004">
        <w:t xml:space="preserve">hospital services </w:t>
      </w:r>
      <w:r w:rsidR="002D2B82">
        <w:t>under the National Health Reform Agreement</w:t>
      </w:r>
    </w:p>
    <w:p w14:paraId="2E9E2A49" w14:textId="514FB1D7" w:rsidR="00B51775" w:rsidRPr="00C94004" w:rsidRDefault="00B51775" w:rsidP="00B51775">
      <w:pPr>
        <w:pStyle w:val="Bullet"/>
        <w:numPr>
          <w:ilvl w:val="0"/>
          <w:numId w:val="3"/>
        </w:numPr>
        <w:ind w:left="284" w:hanging="284"/>
      </w:pPr>
      <w:r w:rsidRPr="00C94004">
        <w:t xml:space="preserve">investing </w:t>
      </w:r>
      <w:r w:rsidRPr="002836D2">
        <w:t>$</w:t>
      </w:r>
      <w:r w:rsidR="00871C85" w:rsidRPr="002836D2">
        <w:t>137.3</w:t>
      </w:r>
      <w:r w:rsidRPr="00C94004">
        <w:t xml:space="preserve"> billion </w:t>
      </w:r>
      <w:r w:rsidR="00544F86" w:rsidRPr="00C94004">
        <w:t>from 202</w:t>
      </w:r>
      <w:r w:rsidR="00544F86">
        <w:t>5</w:t>
      </w:r>
      <w:r w:rsidR="00544F86" w:rsidRPr="00C94004">
        <w:t>–2</w:t>
      </w:r>
      <w:r w:rsidR="00544F86">
        <w:t>6</w:t>
      </w:r>
      <w:r w:rsidR="00544F86" w:rsidRPr="00C94004">
        <w:t xml:space="preserve"> to 202</w:t>
      </w:r>
      <w:r w:rsidR="00544F86">
        <w:t>8</w:t>
      </w:r>
      <w:r w:rsidR="00544F86" w:rsidRPr="00C94004">
        <w:t>–2</w:t>
      </w:r>
      <w:r w:rsidR="00544F86">
        <w:t>9</w:t>
      </w:r>
      <w:r w:rsidRPr="00C94004">
        <w:t xml:space="preserve"> in </w:t>
      </w:r>
      <w:r w:rsidR="00F11EB4">
        <w:t>Better and Fairer Schools</w:t>
      </w:r>
      <w:r w:rsidRPr="00C94004">
        <w:t xml:space="preserve"> funding </w:t>
      </w:r>
    </w:p>
    <w:p w14:paraId="04C8FAFB" w14:textId="1C598FB7" w:rsidR="00B51775" w:rsidRPr="00C94004" w:rsidRDefault="00B51775" w:rsidP="00B51775">
      <w:pPr>
        <w:pStyle w:val="Bullet"/>
        <w:numPr>
          <w:ilvl w:val="0"/>
          <w:numId w:val="3"/>
        </w:numPr>
        <w:ind w:left="284" w:hanging="284"/>
      </w:pPr>
      <w:r w:rsidRPr="00C94004">
        <w:t xml:space="preserve">committing </w:t>
      </w:r>
      <w:r w:rsidR="00D947C0" w:rsidRPr="00A32A7C">
        <w:t>$</w:t>
      </w:r>
      <w:r w:rsidR="00356B9D" w:rsidRPr="00A32A7C">
        <w:t>58.5</w:t>
      </w:r>
      <w:r w:rsidRPr="00C94004">
        <w:t> billion from 202</w:t>
      </w:r>
      <w:r w:rsidR="006F34C2">
        <w:t>5</w:t>
      </w:r>
      <w:r w:rsidRPr="00C94004">
        <w:t>–2</w:t>
      </w:r>
      <w:r w:rsidR="006F34C2">
        <w:t>6</w:t>
      </w:r>
      <w:r w:rsidRPr="00C94004">
        <w:t xml:space="preserve"> to 202</w:t>
      </w:r>
      <w:r w:rsidR="002F04B7">
        <w:t>8</w:t>
      </w:r>
      <w:r w:rsidRPr="00C94004">
        <w:t>–2</w:t>
      </w:r>
      <w:r w:rsidR="002F04B7">
        <w:t>9</w:t>
      </w:r>
      <w:r w:rsidRPr="00C94004">
        <w:t xml:space="preserve"> to invest in nation</w:t>
      </w:r>
      <w:r w:rsidR="009B6F84">
        <w:noBreakHyphen/>
      </w:r>
      <w:r w:rsidRPr="00C94004">
        <w:t>building infrastructure</w:t>
      </w:r>
    </w:p>
    <w:p w14:paraId="6E0EB10E" w14:textId="2FAF12B3" w:rsidR="00A66AEE" w:rsidRPr="00C94004" w:rsidRDefault="00A66AEE" w:rsidP="00A66AEE">
      <w:pPr>
        <w:pStyle w:val="Bullet"/>
        <w:numPr>
          <w:ilvl w:val="0"/>
          <w:numId w:val="3"/>
        </w:numPr>
        <w:ind w:left="284" w:hanging="284"/>
      </w:pPr>
      <w:r>
        <w:t>contributing $</w:t>
      </w:r>
      <w:r w:rsidR="00871C85">
        <w:t>9.8</w:t>
      </w:r>
      <w:r>
        <w:t xml:space="preserve"> billion </w:t>
      </w:r>
      <w:r w:rsidRPr="00C94004">
        <w:t>from 202</w:t>
      </w:r>
      <w:r>
        <w:t>5</w:t>
      </w:r>
      <w:r w:rsidRPr="00C94004">
        <w:t>–2</w:t>
      </w:r>
      <w:r>
        <w:t>6</w:t>
      </w:r>
      <w:r w:rsidRPr="00C94004">
        <w:t xml:space="preserve"> to 202</w:t>
      </w:r>
      <w:r>
        <w:t>8</w:t>
      </w:r>
      <w:r w:rsidRPr="00C94004">
        <w:t>–2</w:t>
      </w:r>
      <w:r>
        <w:t xml:space="preserve">9 for </w:t>
      </w:r>
      <w:r w:rsidR="00897CB3">
        <w:t>the National Skills Agreement</w:t>
      </w:r>
    </w:p>
    <w:p w14:paraId="4132EA04" w14:textId="77BFEA90" w:rsidR="00A66AEE" w:rsidRDefault="00A66AEE" w:rsidP="00A66AEE">
      <w:pPr>
        <w:pStyle w:val="Bullet"/>
        <w:numPr>
          <w:ilvl w:val="0"/>
          <w:numId w:val="3"/>
        </w:numPr>
        <w:ind w:left="284" w:hanging="284"/>
      </w:pPr>
      <w:r w:rsidRPr="00C94004">
        <w:t xml:space="preserve">making available </w:t>
      </w:r>
      <w:r>
        <w:t>$</w:t>
      </w:r>
      <w:r w:rsidR="00871C85">
        <w:t>7.5</w:t>
      </w:r>
      <w:r>
        <w:t xml:space="preserve"> billion </w:t>
      </w:r>
      <w:r w:rsidRPr="00C94004">
        <w:t>from 202</w:t>
      </w:r>
      <w:r>
        <w:t>5</w:t>
      </w:r>
      <w:r w:rsidRPr="00C94004">
        <w:t>–2</w:t>
      </w:r>
      <w:r>
        <w:t>6</w:t>
      </w:r>
      <w:r w:rsidRPr="00C94004">
        <w:t xml:space="preserve"> to 202</w:t>
      </w:r>
      <w:r>
        <w:t>8</w:t>
      </w:r>
      <w:r w:rsidRPr="00C94004">
        <w:t>–2</w:t>
      </w:r>
      <w:r>
        <w:t>9</w:t>
      </w:r>
      <w:r w:rsidRPr="00C94004">
        <w:t xml:space="preserve"> </w:t>
      </w:r>
      <w:r>
        <w:t xml:space="preserve">for </w:t>
      </w:r>
      <w:r w:rsidR="00897CB3">
        <w:t>the National Agreement on</w:t>
      </w:r>
      <w:r w:rsidR="008B5EEF">
        <w:t> </w:t>
      </w:r>
      <w:r w:rsidR="00897CB3">
        <w:t>Social Housing and Homelessness</w:t>
      </w:r>
    </w:p>
    <w:p w14:paraId="2D511519" w14:textId="28AB6D76" w:rsidR="00B51775" w:rsidRPr="00C94004" w:rsidRDefault="006C4384" w:rsidP="00B51775">
      <w:pPr>
        <w:pStyle w:val="Bullet"/>
        <w:numPr>
          <w:ilvl w:val="0"/>
          <w:numId w:val="3"/>
        </w:numPr>
        <w:ind w:left="284" w:hanging="284"/>
      </w:pPr>
      <w:r w:rsidRPr="006C4384">
        <w:t>committing an additional $1.8 billion to extend energy bill relief rebates to 31</w:t>
      </w:r>
      <w:r w:rsidR="00E842B3">
        <w:t> </w:t>
      </w:r>
      <w:r w:rsidRPr="006C4384">
        <w:t>December</w:t>
      </w:r>
      <w:r w:rsidR="00E842B3">
        <w:t> </w:t>
      </w:r>
      <w:r w:rsidRPr="006C4384">
        <w:t xml:space="preserve">2025 </w:t>
      </w:r>
    </w:p>
    <w:p w14:paraId="2BBCA15E" w14:textId="6D3A395F" w:rsidR="00092EF7" w:rsidRPr="00C94004" w:rsidRDefault="00092EF7" w:rsidP="00092EF7">
      <w:pPr>
        <w:pStyle w:val="Bullet"/>
        <w:numPr>
          <w:ilvl w:val="0"/>
          <w:numId w:val="3"/>
        </w:numPr>
        <w:ind w:left="284" w:hanging="284"/>
      </w:pPr>
      <w:r>
        <w:t xml:space="preserve">making available $3.1 billion from </w:t>
      </w:r>
      <w:r w:rsidRPr="00C94004">
        <w:t>202</w:t>
      </w:r>
      <w:r>
        <w:t>5</w:t>
      </w:r>
      <w:r w:rsidRPr="00C94004">
        <w:t>–2</w:t>
      </w:r>
      <w:r>
        <w:t>6</w:t>
      </w:r>
      <w:r w:rsidRPr="00C94004">
        <w:t xml:space="preserve"> to 202</w:t>
      </w:r>
      <w:r>
        <w:t>8</w:t>
      </w:r>
      <w:r w:rsidRPr="00C94004">
        <w:t>–2</w:t>
      </w:r>
      <w:r>
        <w:t>9 for</w:t>
      </w:r>
      <w:r w:rsidR="0035157F">
        <w:t xml:space="preserve"> the </w:t>
      </w:r>
      <w:r w:rsidR="0035157F" w:rsidRPr="0035157F">
        <w:t>National Access to Justice</w:t>
      </w:r>
      <w:r w:rsidR="00A22B57">
        <w:t> </w:t>
      </w:r>
      <w:r w:rsidR="0035157F" w:rsidRPr="0035157F">
        <w:t xml:space="preserve">Partnership </w:t>
      </w:r>
    </w:p>
    <w:p w14:paraId="026DAA5C" w14:textId="31FC671C" w:rsidR="00B51775" w:rsidRPr="00C94004" w:rsidRDefault="00B51775" w:rsidP="00B51775">
      <w:pPr>
        <w:pStyle w:val="Bullet"/>
        <w:numPr>
          <w:ilvl w:val="0"/>
          <w:numId w:val="3"/>
        </w:numPr>
        <w:ind w:left="284" w:hanging="284"/>
      </w:pPr>
      <w:r w:rsidRPr="00C94004">
        <w:t xml:space="preserve">providing an estimated </w:t>
      </w:r>
      <w:r w:rsidRPr="004412BA">
        <w:t>$</w:t>
      </w:r>
      <w:r w:rsidR="00A9047D" w:rsidRPr="004412BA">
        <w:t>2</w:t>
      </w:r>
      <w:r w:rsidR="002E1444" w:rsidRPr="004412BA">
        <w:t>1</w:t>
      </w:r>
      <w:r w:rsidRPr="004412BA">
        <w:t>.</w:t>
      </w:r>
      <w:r w:rsidR="002E1444" w:rsidRPr="004412BA">
        <w:t>8</w:t>
      </w:r>
      <w:r w:rsidRPr="00C94004">
        <w:t xml:space="preserve"> billion </w:t>
      </w:r>
      <w:r w:rsidR="00C038BF" w:rsidRPr="00C94004">
        <w:t>from 202</w:t>
      </w:r>
      <w:r w:rsidR="00C038BF">
        <w:t>5</w:t>
      </w:r>
      <w:r w:rsidR="00C038BF" w:rsidRPr="00C94004">
        <w:t>–2</w:t>
      </w:r>
      <w:r w:rsidR="00C038BF">
        <w:t>6</w:t>
      </w:r>
      <w:r w:rsidR="00C038BF" w:rsidRPr="00C94004">
        <w:t xml:space="preserve"> to 202</w:t>
      </w:r>
      <w:r w:rsidR="00C038BF">
        <w:t>8</w:t>
      </w:r>
      <w:r w:rsidR="00C038BF" w:rsidRPr="00C94004">
        <w:t>–2</w:t>
      </w:r>
      <w:r w:rsidR="00C038BF">
        <w:t>9</w:t>
      </w:r>
      <w:r w:rsidR="00C038BF" w:rsidRPr="00C94004">
        <w:t xml:space="preserve"> </w:t>
      </w:r>
      <w:r w:rsidRPr="00C94004">
        <w:t xml:space="preserve">in horizontal fiscal equalisation (HFE) transition payments </w:t>
      </w:r>
      <w:r w:rsidRPr="00C94004">
        <w:rPr>
          <w:rStyle w:val="ui-provider"/>
        </w:rPr>
        <w:t>(also known as the No Worse Off guarantee)</w:t>
      </w:r>
      <w:r w:rsidRPr="00C94004">
        <w:t xml:space="preserve"> </w:t>
      </w:r>
    </w:p>
    <w:p w14:paraId="442D3C33" w14:textId="26CFE121" w:rsidR="00B51775" w:rsidRPr="00C179A5" w:rsidRDefault="001F3DCC" w:rsidP="00C42380">
      <w:pPr>
        <w:pStyle w:val="Bullet"/>
        <w:numPr>
          <w:ilvl w:val="0"/>
          <w:numId w:val="3"/>
        </w:numPr>
        <w:ind w:left="284" w:hanging="284"/>
      </w:pPr>
      <w:r w:rsidRPr="001F3DCC">
        <w:t>permanently boosting the size of the GST pool distributed among the states, including by $1.0 billion in 2025</w:t>
      </w:r>
      <w:r w:rsidR="007E1C56">
        <w:t>–</w:t>
      </w:r>
      <w:r w:rsidRPr="001F3DCC">
        <w:t>26 (with this pool boost growing annually in line with the underlying growth of the pool)</w:t>
      </w:r>
      <w:r w:rsidR="00B61D14">
        <w:t xml:space="preserve">. </w:t>
      </w:r>
    </w:p>
    <w:p w14:paraId="7C8E11B0" w14:textId="77777777" w:rsidR="00B51775" w:rsidRPr="00E849D7" w:rsidRDefault="00B51775" w:rsidP="00B51775">
      <w:bookmarkStart w:id="1" w:name="_Toc4765133"/>
      <w:r>
        <w:rPr>
          <w:rFonts w:ascii="Arial Bold" w:hAnsi="Arial Bold"/>
          <w:b/>
          <w:sz w:val="26"/>
        </w:rPr>
        <w:br w:type="page"/>
      </w:r>
    </w:p>
    <w:p w14:paraId="71498B0A" w14:textId="27A9C0DC" w:rsidR="00B51775" w:rsidRPr="00C94004" w:rsidRDefault="00B51775" w:rsidP="00B51775">
      <w:pPr>
        <w:pStyle w:val="Heading2"/>
      </w:pPr>
      <w:r w:rsidRPr="00C94004">
        <w:lastRenderedPageBreak/>
        <w:t>Australian Government funding to the states</w:t>
      </w:r>
      <w:bookmarkEnd w:id="1"/>
    </w:p>
    <w:p w14:paraId="2D67F373" w14:textId="01496CF8" w:rsidR="00B51775" w:rsidRPr="00C94004" w:rsidRDefault="00B51775" w:rsidP="00B51775">
      <w:r w:rsidRPr="00C94004">
        <w:t>The Australian Government provides substantial funding to the states in key sectors such</w:t>
      </w:r>
      <w:r w:rsidR="00F60884">
        <w:t> </w:t>
      </w:r>
      <w:r w:rsidRPr="00C94004">
        <w:t>as health, education and community services, and supports important productivity enhancing projects and reforms, such as investments in infrastructure</w:t>
      </w:r>
      <w:r w:rsidR="00287006">
        <w:t>,</w:t>
      </w:r>
      <w:r w:rsidRPr="00C94004">
        <w:t xml:space="preserve"> skills</w:t>
      </w:r>
      <w:r w:rsidR="00406055">
        <w:t xml:space="preserve"> and </w:t>
      </w:r>
      <w:r w:rsidR="00B27D0C">
        <w:t>n</w:t>
      </w:r>
      <w:r w:rsidR="00406055">
        <w:t>ational competition policy.</w:t>
      </w:r>
      <w:r w:rsidRPr="00C94004">
        <w:t xml:space="preserve"> In addition, the Australian Government provides general revenue assistance that states can spend according to their own budget priorities. </w:t>
      </w:r>
    </w:p>
    <w:p w14:paraId="07F33D26" w14:textId="0DA8CF58" w:rsidR="00B51775" w:rsidRPr="00C94004" w:rsidRDefault="00B51775" w:rsidP="00B51775">
      <w:r w:rsidRPr="00C94004">
        <w:t xml:space="preserve">The states are estimated to receive total Australian Government payments of </w:t>
      </w:r>
      <w:r w:rsidR="001A0DE3" w:rsidRPr="002836D2">
        <w:t>$</w:t>
      </w:r>
      <w:r w:rsidR="00CF5182" w:rsidRPr="00C915CA">
        <w:t>196</w:t>
      </w:r>
      <w:r w:rsidR="00CF5182">
        <w:t>.5</w:t>
      </w:r>
      <w:r w:rsidRPr="00C94004">
        <w:t> billion</w:t>
      </w:r>
      <w:r w:rsidR="00F60884">
        <w:t> </w:t>
      </w:r>
      <w:r w:rsidRPr="00C94004">
        <w:t>in 202</w:t>
      </w:r>
      <w:r w:rsidR="00F62F8C">
        <w:t>5</w:t>
      </w:r>
      <w:r w:rsidRPr="00C94004">
        <w:t>–2</w:t>
      </w:r>
      <w:r w:rsidR="00F62F8C">
        <w:t>6</w:t>
      </w:r>
      <w:r w:rsidRPr="00C94004">
        <w:t xml:space="preserve">. </w:t>
      </w:r>
    </w:p>
    <w:p w14:paraId="197DA164" w14:textId="518991F7" w:rsidR="00B51775" w:rsidRPr="00C94004" w:rsidRDefault="00B51775" w:rsidP="00B51775">
      <w:r w:rsidRPr="00C94004">
        <w:t>Payments to the states in 202</w:t>
      </w:r>
      <w:r w:rsidR="00F62F8C">
        <w:t>5</w:t>
      </w:r>
      <w:r w:rsidRPr="00C94004">
        <w:t>–2</w:t>
      </w:r>
      <w:r w:rsidR="00F62F8C">
        <w:t>6</w:t>
      </w:r>
      <w:r w:rsidRPr="00C94004">
        <w:t xml:space="preserve"> are estimated to be </w:t>
      </w:r>
      <w:r w:rsidR="00CF5182">
        <w:t>25.0</w:t>
      </w:r>
      <w:r w:rsidRPr="00C94004">
        <w:t xml:space="preserve"> per cent of total Australian Government expenditure and </w:t>
      </w:r>
      <w:r w:rsidR="00BA486A">
        <w:t>6.8</w:t>
      </w:r>
      <w:r w:rsidRPr="00C94004">
        <w:t xml:space="preserve"> per cent of GDP. </w:t>
      </w:r>
    </w:p>
    <w:p w14:paraId="03A530DB" w14:textId="1B73298B" w:rsidR="00894284" w:rsidRDefault="00894284">
      <w:pPr>
        <w:spacing w:before="0" w:after="160" w:line="259" w:lineRule="auto"/>
      </w:pPr>
      <w:r>
        <w:br w:type="page"/>
      </w:r>
    </w:p>
    <w:p w14:paraId="734FE585" w14:textId="08718B2A" w:rsidR="00B51775" w:rsidRPr="00C94004" w:rsidRDefault="00B51775" w:rsidP="00B51775">
      <w:pPr>
        <w:pStyle w:val="Heading3"/>
      </w:pPr>
      <w:r w:rsidRPr="00C94004">
        <w:lastRenderedPageBreak/>
        <w:t xml:space="preserve">Payments for specific purposes </w:t>
      </w:r>
    </w:p>
    <w:p w14:paraId="5B2526B6" w14:textId="031A2673" w:rsidR="00B51775" w:rsidRPr="00C94004" w:rsidRDefault="00B51775" w:rsidP="00B51775">
      <w:r w:rsidRPr="00C94004">
        <w:t>In 202</w:t>
      </w:r>
      <w:r w:rsidR="00FD7BA7">
        <w:t>5</w:t>
      </w:r>
      <w:r w:rsidRPr="00C94004">
        <w:t>–2</w:t>
      </w:r>
      <w:r w:rsidR="00FD7BA7">
        <w:t>6</w:t>
      </w:r>
      <w:r w:rsidRPr="00C94004">
        <w:t xml:space="preserve">, the Australian Government will provide the states with </w:t>
      </w:r>
      <w:r w:rsidRPr="002237BA">
        <w:t>$</w:t>
      </w:r>
      <w:r w:rsidR="001935BA">
        <w:t>95.9</w:t>
      </w:r>
      <w:r w:rsidRPr="00C94004">
        <w:t xml:space="preserve"> billion in payments for specific purposes. This represents an increase of </w:t>
      </w:r>
      <w:r w:rsidR="00BB01AE" w:rsidRPr="008F0185">
        <w:t>$</w:t>
      </w:r>
      <w:r w:rsidR="008F0185">
        <w:t>3.</w:t>
      </w:r>
      <w:r w:rsidR="005E4D9B">
        <w:t>5</w:t>
      </w:r>
      <w:r w:rsidR="003B5D37">
        <w:t xml:space="preserve"> </w:t>
      </w:r>
      <w:r w:rsidRPr="00C94004">
        <w:t xml:space="preserve">billion or </w:t>
      </w:r>
      <w:r w:rsidR="005E4D9B" w:rsidRPr="005E4D9B">
        <w:t>3</w:t>
      </w:r>
      <w:r w:rsidR="0085166C" w:rsidRPr="005E4D9B">
        <w:t>.</w:t>
      </w:r>
      <w:r w:rsidR="005E4D9B" w:rsidRPr="005E4D9B">
        <w:t>8</w:t>
      </w:r>
      <w:r w:rsidRPr="00C94004">
        <w:t> per cent compared with the 202</w:t>
      </w:r>
      <w:r w:rsidR="00D221E6">
        <w:t>4</w:t>
      </w:r>
      <w:r w:rsidRPr="00C94004">
        <w:t>–2</w:t>
      </w:r>
      <w:r w:rsidR="00D221E6">
        <w:t>5</w:t>
      </w:r>
      <w:r w:rsidRPr="00C94004">
        <w:t xml:space="preserve"> estimate</w:t>
      </w:r>
      <w:r w:rsidR="00F9680D">
        <w:t>. This is</w:t>
      </w:r>
      <w:r w:rsidRPr="00C94004">
        <w:t xml:space="preserve"> primarily due to increase</w:t>
      </w:r>
      <w:r w:rsidR="00376036">
        <w:t>d</w:t>
      </w:r>
      <w:r w:rsidRPr="00C94004">
        <w:t xml:space="preserve"> National Health Reform</w:t>
      </w:r>
      <w:r w:rsidR="00132DB4">
        <w:t xml:space="preserve"> funding</w:t>
      </w:r>
      <w:r w:rsidR="003848B0">
        <w:t>,</w:t>
      </w:r>
      <w:r w:rsidRPr="00C94004">
        <w:t xml:space="preserve"> </w:t>
      </w:r>
      <w:r w:rsidR="00CE5636">
        <w:t>additional o</w:t>
      </w:r>
      <w:r w:rsidR="00CE5636" w:rsidRPr="004004D3">
        <w:t>ne</w:t>
      </w:r>
      <w:r w:rsidR="009B6F84">
        <w:noBreakHyphen/>
      </w:r>
      <w:r w:rsidR="00CE5636" w:rsidRPr="004004D3">
        <w:t>time funding for hospital</w:t>
      </w:r>
      <w:r w:rsidRPr="00C94004">
        <w:t xml:space="preserve"> and </w:t>
      </w:r>
      <w:r w:rsidR="00CE5636" w:rsidRPr="004004D3">
        <w:t>related health services</w:t>
      </w:r>
      <w:r w:rsidR="003848B0">
        <w:t xml:space="preserve"> </w:t>
      </w:r>
      <w:r w:rsidRPr="00C94004">
        <w:t xml:space="preserve">and </w:t>
      </w:r>
      <w:r w:rsidR="00376036">
        <w:t xml:space="preserve">increased </w:t>
      </w:r>
      <w:r w:rsidR="006F4AB0">
        <w:t>Better and Fairer</w:t>
      </w:r>
      <w:r w:rsidR="006F4AB0" w:rsidRPr="00C94004">
        <w:t xml:space="preserve"> </w:t>
      </w:r>
      <w:r w:rsidRPr="00C94004">
        <w:t xml:space="preserve">Schools funding. Payments for specific purposes are estimated to make up </w:t>
      </w:r>
      <w:r w:rsidR="007900B7">
        <w:t>12.2</w:t>
      </w:r>
      <w:r w:rsidRPr="00C94004">
        <w:t> per cent of total Australian Government expenditure in 202</w:t>
      </w:r>
      <w:r w:rsidR="0077598D">
        <w:t>5</w:t>
      </w:r>
      <w:r w:rsidRPr="00C94004">
        <w:t>–2</w:t>
      </w:r>
      <w:r w:rsidR="0077598D">
        <w:t>6</w:t>
      </w:r>
      <w:r w:rsidRPr="00C94004">
        <w:t xml:space="preserve"> and </w:t>
      </w:r>
      <w:r w:rsidR="006C189E">
        <w:t>3.3</w:t>
      </w:r>
      <w:r w:rsidRPr="00C94004">
        <w:t> per cent of GDP.</w:t>
      </w:r>
    </w:p>
    <w:p w14:paraId="3B4AF6A6" w14:textId="4FE282BA" w:rsidR="00B51775" w:rsidRPr="00C94004" w:rsidRDefault="00B51775" w:rsidP="00B51775">
      <w:r w:rsidRPr="00C94004">
        <w:t>Payments for National Health Reform</w:t>
      </w:r>
      <w:r w:rsidR="00C656B7">
        <w:t xml:space="preserve"> funding</w:t>
      </w:r>
      <w:r w:rsidRPr="00C94004">
        <w:t xml:space="preserve">, </w:t>
      </w:r>
      <w:r w:rsidR="0007792E">
        <w:t>Better and Fairer Schools</w:t>
      </w:r>
      <w:r w:rsidR="0007792E" w:rsidRPr="00C94004">
        <w:t xml:space="preserve"> funding</w:t>
      </w:r>
      <w:r w:rsidR="0079134B">
        <w:t xml:space="preserve">, </w:t>
      </w:r>
      <w:r w:rsidR="00EB00DB">
        <w:t xml:space="preserve">the </w:t>
      </w:r>
      <w:r w:rsidR="0079134B">
        <w:t>N</w:t>
      </w:r>
      <w:r w:rsidR="00701654">
        <w:t xml:space="preserve">ational Skills Agreement, </w:t>
      </w:r>
      <w:r w:rsidRPr="00C94004">
        <w:t xml:space="preserve">the National Agreement on Social Housing and Homelessness, </w:t>
      </w:r>
      <w:r w:rsidR="002C74BC">
        <w:t>Energy Bill Relief</w:t>
      </w:r>
      <w:r w:rsidR="00875489">
        <w:t xml:space="preserve">, and </w:t>
      </w:r>
      <w:r w:rsidR="00091978">
        <w:t>the National Access to Justice Partnership</w:t>
      </w:r>
      <w:r w:rsidRPr="00C94004">
        <w:t xml:space="preserve"> are expected to total </w:t>
      </w:r>
      <w:r w:rsidR="00E5147C" w:rsidRPr="005E47A3">
        <w:t>$</w:t>
      </w:r>
      <w:r w:rsidR="00981DD9">
        <w:t>71</w:t>
      </w:r>
      <w:r w:rsidR="005E47A3">
        <w:t>.</w:t>
      </w:r>
      <w:r w:rsidR="00981DD9">
        <w:t>2</w:t>
      </w:r>
      <w:r w:rsidRPr="00C94004">
        <w:t> billion in 202</w:t>
      </w:r>
      <w:r w:rsidR="004965D9">
        <w:t>5</w:t>
      </w:r>
      <w:r w:rsidRPr="00C94004">
        <w:t>–2</w:t>
      </w:r>
      <w:r w:rsidR="004965D9">
        <w:t>6</w:t>
      </w:r>
      <w:r w:rsidRPr="00C94004">
        <w:t>.</w:t>
      </w:r>
    </w:p>
    <w:p w14:paraId="45E512AD" w14:textId="78EFE99E" w:rsidR="00B51775" w:rsidRPr="00C94004" w:rsidRDefault="00B51775" w:rsidP="00B51775">
      <w:r w:rsidRPr="00C94004">
        <w:t xml:space="preserve">National Partnership payments are expected to be </w:t>
      </w:r>
      <w:r w:rsidR="00167690" w:rsidRPr="00327C54">
        <w:t>$</w:t>
      </w:r>
      <w:r w:rsidR="00327C54" w:rsidRPr="00327C54">
        <w:t>2</w:t>
      </w:r>
      <w:r w:rsidR="00327C54">
        <w:t>4.7</w:t>
      </w:r>
      <w:r w:rsidR="00167690" w:rsidRPr="00C94004">
        <w:t> </w:t>
      </w:r>
      <w:r w:rsidRPr="00C94004">
        <w:t>billion in 202</w:t>
      </w:r>
      <w:r w:rsidR="00057AC6">
        <w:t>5</w:t>
      </w:r>
      <w:r w:rsidRPr="00C94004">
        <w:rPr>
          <w:rFonts w:ascii="Times New Roman" w:hAnsi="Times New Roman"/>
        </w:rPr>
        <w:t>‍</w:t>
      </w:r>
      <w:r w:rsidRPr="00C94004">
        <w:rPr>
          <w:rFonts w:cs="Book Antiqua"/>
        </w:rPr>
        <w:t>–</w:t>
      </w:r>
      <w:r w:rsidRPr="00C94004">
        <w:rPr>
          <w:rFonts w:ascii="Times New Roman" w:hAnsi="Times New Roman"/>
        </w:rPr>
        <w:t>‍</w:t>
      </w:r>
      <w:r w:rsidRPr="00C94004">
        <w:t>2</w:t>
      </w:r>
      <w:r w:rsidR="00057AC6">
        <w:t>6</w:t>
      </w:r>
      <w:r w:rsidRPr="00C94004">
        <w:t>.</w:t>
      </w:r>
    </w:p>
    <w:p w14:paraId="000A3E8F" w14:textId="26E256CC" w:rsidR="00B51775" w:rsidRPr="00C94004" w:rsidRDefault="00B51775" w:rsidP="00B51775">
      <w:r w:rsidRPr="00C94004">
        <w:t>Chart 1.</w:t>
      </w:r>
      <w:r w:rsidR="00457D5A">
        <w:t>1</w:t>
      </w:r>
      <w:r w:rsidRPr="00C94004">
        <w:t xml:space="preserve"> shows estimated specific purpose payments to the states in 202</w:t>
      </w:r>
      <w:r w:rsidR="00057AC6">
        <w:t>5</w:t>
      </w:r>
      <w:r w:rsidRPr="00C94004">
        <w:rPr>
          <w:rFonts w:ascii="Times New Roman" w:hAnsi="Times New Roman"/>
        </w:rPr>
        <w:t>‍</w:t>
      </w:r>
      <w:r w:rsidRPr="00C94004">
        <w:rPr>
          <w:rFonts w:cs="Book Antiqua"/>
        </w:rPr>
        <w:t>–</w:t>
      </w:r>
      <w:r w:rsidRPr="00C94004">
        <w:rPr>
          <w:rFonts w:ascii="Times New Roman" w:hAnsi="Times New Roman"/>
        </w:rPr>
        <w:t>‍</w:t>
      </w:r>
      <w:r w:rsidRPr="00C94004">
        <w:t>2</w:t>
      </w:r>
      <w:r w:rsidR="00057AC6">
        <w:t>6</w:t>
      </w:r>
      <w:r w:rsidRPr="00C94004">
        <w:t xml:space="preserve"> by sector.</w:t>
      </w:r>
    </w:p>
    <w:p w14:paraId="240EA0E9" w14:textId="77777777" w:rsidR="00B51775" w:rsidRPr="00C94004" w:rsidRDefault="00B51775" w:rsidP="00B51775">
      <w:r w:rsidRPr="00C94004">
        <w:t xml:space="preserve">Part 2 of this Budget Paper provides further information on payments to the states for specific purposes. </w:t>
      </w:r>
    </w:p>
    <w:p w14:paraId="603FBD85" w14:textId="77777777" w:rsidR="00B51775" w:rsidRPr="00C94004" w:rsidRDefault="00B51775" w:rsidP="00B757F0">
      <w:r w:rsidRPr="00C94004">
        <w:t xml:space="preserve">The conditions for payments to states for specific purposes are documented in agreements between the Commonwealth and the states. The Federation Funding Agreement (FFA) Framework sets out the governance arrangements for these agreements. Further information on the FFA Framework can be found on the Federal Financial Relations website at </w:t>
      </w:r>
      <w:hyperlink r:id="rId7" w:history="1">
        <w:r w:rsidRPr="00FC710F">
          <w:rPr>
            <w:rStyle w:val="Hyperlink"/>
          </w:rPr>
          <w:t>www.federalfinancialrelations.gov.au</w:t>
        </w:r>
      </w:hyperlink>
      <w:r w:rsidRPr="00FC710F">
        <w:t>.</w:t>
      </w:r>
      <w:r w:rsidRPr="00503EBD">
        <w:rPr>
          <w:rStyle w:val="Hyperlink"/>
        </w:rPr>
        <w:t xml:space="preserve"> </w:t>
      </w:r>
    </w:p>
    <w:p w14:paraId="62078808" w14:textId="77AC4A42" w:rsidR="002A7088" w:rsidRDefault="00B51775" w:rsidP="002A7088">
      <w:pPr>
        <w:pStyle w:val="ChartMainHeading"/>
      </w:pPr>
      <w:r w:rsidRPr="007009CC">
        <w:t>Chart 1.</w:t>
      </w:r>
      <w:r w:rsidR="00B86219">
        <w:t>1</w:t>
      </w:r>
      <w:r w:rsidR="00594F43">
        <w:t>:</w:t>
      </w:r>
      <w:r w:rsidRPr="007009CC">
        <w:t xml:space="preserve"> Payments for specific purposes 202</w:t>
      </w:r>
      <w:r w:rsidR="00D14606">
        <w:t>5</w:t>
      </w:r>
      <w:r w:rsidRPr="007009CC">
        <w:t>–2</w:t>
      </w:r>
      <w:r w:rsidR="00D14606">
        <w:t>6</w:t>
      </w:r>
      <w:r w:rsidRPr="007009CC">
        <w:t>, by sector</w:t>
      </w:r>
    </w:p>
    <w:p w14:paraId="6BF2F7F5" w14:textId="6A9D8577" w:rsidR="00875BFB" w:rsidRPr="00875BFB" w:rsidRDefault="000309FA" w:rsidP="00875BFB">
      <w:pPr>
        <w:pStyle w:val="ChartGraphic"/>
      </w:pPr>
      <w:bookmarkStart w:id="2" w:name="_1803886030"/>
      <w:bookmarkStart w:id="3" w:name="_1804078125"/>
      <w:bookmarkEnd w:id="2"/>
      <w:bookmarkEnd w:id="3"/>
      <w:r>
        <w:pict w14:anchorId="203D4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otal payments for specific purposes in 2025-26, by sector. Total payments are $95.9 billion, comprising $35.2 billion for Health, $32.8 billion for Education, $15.2 billion for Infrastructure, $4.4 billion for Other, $3.3 billion for Environment, energy and water, $2.7 billion for Skills and workforce development, $2.1 billion for Affordable housing and $0.2 billion for Community services. " style="width:367.5pt;height:201.5pt">
            <v:imagedata r:id="rId8" o:title=""/>
          </v:shape>
        </w:pict>
      </w:r>
    </w:p>
    <w:p w14:paraId="1BCBDC3C" w14:textId="317F129B" w:rsidR="00B51775" w:rsidRPr="002A7088" w:rsidRDefault="00B51775" w:rsidP="002D686B">
      <w:pPr>
        <w:pStyle w:val="ChartLine"/>
      </w:pPr>
      <w:bookmarkStart w:id="4" w:name="_1803737085"/>
      <w:bookmarkStart w:id="5" w:name="_1803815427"/>
      <w:bookmarkStart w:id="6" w:name="_1803816144"/>
      <w:bookmarkStart w:id="7" w:name="_1803829939"/>
      <w:bookmarkStart w:id="8" w:name="_1803821529"/>
      <w:bookmarkEnd w:id="4"/>
      <w:bookmarkEnd w:id="5"/>
      <w:bookmarkEnd w:id="6"/>
      <w:bookmarkEnd w:id="7"/>
      <w:bookmarkEnd w:id="8"/>
    </w:p>
    <w:p w14:paraId="533C816D" w14:textId="13483297" w:rsidR="00B51775" w:rsidRPr="00C94004" w:rsidRDefault="00B51775" w:rsidP="00B51775">
      <w:pPr>
        <w:pStyle w:val="Heading3"/>
      </w:pPr>
      <w:r w:rsidRPr="00C94004">
        <w:t xml:space="preserve">General revenue assistance </w:t>
      </w:r>
    </w:p>
    <w:p w14:paraId="533E0CA9" w14:textId="431A4EE8" w:rsidR="00B51775" w:rsidRPr="00C94004" w:rsidRDefault="00B51775" w:rsidP="00B51775">
      <w:r w:rsidRPr="00C94004">
        <w:t>General revenue assistance, which principally comprises the states</w:t>
      </w:r>
      <w:r w:rsidR="009B6F84">
        <w:t>’</w:t>
      </w:r>
      <w:r w:rsidRPr="00C94004">
        <w:t xml:space="preserve"> GST entitlement, provides untied funding to support the states</w:t>
      </w:r>
      <w:r w:rsidR="009B6F84">
        <w:t>’</w:t>
      </w:r>
      <w:r w:rsidRPr="00C94004">
        <w:t xml:space="preserve"> delivery of services.</w:t>
      </w:r>
    </w:p>
    <w:p w14:paraId="0E7895FA" w14:textId="625973A3" w:rsidR="00B51775" w:rsidRPr="00C94004" w:rsidRDefault="00B51775" w:rsidP="00B51775">
      <w:r w:rsidRPr="00C94004">
        <w:t>In 202</w:t>
      </w:r>
      <w:r w:rsidR="00517C9E">
        <w:t>5</w:t>
      </w:r>
      <w:r w:rsidRPr="00C94004">
        <w:t>–2</w:t>
      </w:r>
      <w:r w:rsidR="00517C9E">
        <w:t>6</w:t>
      </w:r>
      <w:r w:rsidRPr="00C94004">
        <w:t xml:space="preserve">, the states are expected to receive </w:t>
      </w:r>
      <w:r w:rsidR="001E3108">
        <w:t>$</w:t>
      </w:r>
      <w:r w:rsidR="00C73F58">
        <w:t>100.6</w:t>
      </w:r>
      <w:r w:rsidR="00861F6F">
        <w:t xml:space="preserve"> </w:t>
      </w:r>
      <w:r w:rsidRPr="00C94004">
        <w:t xml:space="preserve">billion in general revenue assistance, including </w:t>
      </w:r>
      <w:r w:rsidR="009145E0">
        <w:t>$95.</w:t>
      </w:r>
      <w:r w:rsidR="0024198F">
        <w:t>2</w:t>
      </w:r>
      <w:r w:rsidRPr="00C94004">
        <w:t xml:space="preserve"> billion for the GST entitlement. General revenue assistance to the states is estimated to represent </w:t>
      </w:r>
      <w:r w:rsidR="00167AA1">
        <w:t>12.8</w:t>
      </w:r>
      <w:r w:rsidRPr="00C94004">
        <w:t> per cent of total Australian Government expenditure in 202</w:t>
      </w:r>
      <w:r w:rsidR="00517C9E">
        <w:t>5</w:t>
      </w:r>
      <w:r w:rsidRPr="00C94004">
        <w:rPr>
          <w:rFonts w:ascii="Times New Roman" w:hAnsi="Times New Roman"/>
        </w:rPr>
        <w:t>‍</w:t>
      </w:r>
      <w:r w:rsidRPr="00C94004">
        <w:rPr>
          <w:rFonts w:cs="Book Antiqua"/>
        </w:rPr>
        <w:t>–</w:t>
      </w:r>
      <w:r w:rsidRPr="00C94004">
        <w:rPr>
          <w:rFonts w:ascii="Times New Roman" w:hAnsi="Times New Roman"/>
        </w:rPr>
        <w:t>‍</w:t>
      </w:r>
      <w:r w:rsidRPr="00C94004">
        <w:t>2</w:t>
      </w:r>
      <w:r w:rsidR="00517C9E">
        <w:t>6</w:t>
      </w:r>
      <w:r w:rsidRPr="00C94004">
        <w:t xml:space="preserve"> and </w:t>
      </w:r>
      <w:r w:rsidR="00C32B27">
        <w:t xml:space="preserve">3.5 </w:t>
      </w:r>
      <w:r w:rsidRPr="00C94004">
        <w:t>per cent of GDP.</w:t>
      </w:r>
    </w:p>
    <w:p w14:paraId="7A4FEA65" w14:textId="5C804FCB" w:rsidR="00B51775" w:rsidRPr="00C94004" w:rsidRDefault="00B51775" w:rsidP="00B51775">
      <w:r w:rsidRPr="00C94004">
        <w:t>Part 3 of this Budget Paper contains further details of general revenue assistance to the states.</w:t>
      </w:r>
      <w:r w:rsidRPr="00C94004">
        <w:br w:type="page"/>
      </w:r>
    </w:p>
    <w:p w14:paraId="66E00C3E" w14:textId="5A8E84E2" w:rsidR="00B51775" w:rsidRPr="00C94004" w:rsidRDefault="00B51775" w:rsidP="00B51775">
      <w:pPr>
        <w:pStyle w:val="Heading3"/>
      </w:pPr>
      <w:r w:rsidRPr="00C94004">
        <w:t xml:space="preserve">Payments to the states </w:t>
      </w:r>
    </w:p>
    <w:p w14:paraId="3C428190" w14:textId="2710E781" w:rsidR="00B51775" w:rsidRPr="00C94004" w:rsidRDefault="00B51775" w:rsidP="00B51775">
      <w:r w:rsidRPr="00C94004">
        <w:t>Total Australian Government payments to the states are shown in Table 1.1 and as a proportion of GDP in Table 1.2.</w:t>
      </w:r>
    </w:p>
    <w:p w14:paraId="44656724" w14:textId="6326EBEA" w:rsidR="00ED7B7D" w:rsidRDefault="00B51775" w:rsidP="00ED7B7D">
      <w:pPr>
        <w:pStyle w:val="TableHeading"/>
        <w:rPr>
          <w:rFonts w:asciiTheme="minorHAnsi" w:eastAsiaTheme="minorHAnsi" w:hAnsiTheme="minorHAnsi" w:cstheme="minorBidi"/>
          <w:b w:val="0"/>
          <w:sz w:val="22"/>
          <w:szCs w:val="22"/>
          <w:lang w:eastAsia="en-US"/>
        </w:rPr>
      </w:pPr>
      <w:bookmarkStart w:id="9" w:name="_1744639858"/>
      <w:bookmarkStart w:id="10" w:name="_1803815570"/>
      <w:bookmarkEnd w:id="9"/>
      <w:bookmarkEnd w:id="10"/>
      <w:r w:rsidRPr="00C94004">
        <w:t>Table 1.1: Australian Government payments to the states, 202</w:t>
      </w:r>
      <w:r w:rsidR="005E21F5">
        <w:t>4</w:t>
      </w:r>
      <w:r w:rsidRPr="00C94004">
        <w:t>‍–‍2</w:t>
      </w:r>
      <w:r w:rsidR="005E21F5">
        <w:t>5</w:t>
      </w:r>
      <w:r w:rsidRPr="00C94004">
        <w:t xml:space="preserve"> to 202</w:t>
      </w:r>
      <w:r w:rsidR="00827D10">
        <w:t>8</w:t>
      </w:r>
      <w:r w:rsidRPr="00C94004">
        <w:t>‍–‍2</w:t>
      </w:r>
      <w:r w:rsidR="00827D10">
        <w:t>9</w:t>
      </w:r>
      <w:bookmarkStart w:id="11" w:name="_1803831467"/>
      <w:bookmarkStart w:id="12" w:name="_1803890923"/>
      <w:bookmarkStart w:id="13" w:name="_1804078136"/>
      <w:bookmarkEnd w:id="11"/>
      <w:bookmarkEnd w:id="12"/>
      <w:bookmarkEnd w:id="13"/>
    </w:p>
    <w:tbl>
      <w:tblPr>
        <w:tblW w:w="5000" w:type="pct"/>
        <w:tblCellMar>
          <w:left w:w="0" w:type="dxa"/>
          <w:right w:w="28" w:type="dxa"/>
        </w:tblCellMar>
        <w:tblLook w:val="04A0" w:firstRow="1" w:lastRow="0" w:firstColumn="1" w:lastColumn="0" w:noHBand="0" w:noVBand="1"/>
      </w:tblPr>
      <w:tblGrid>
        <w:gridCol w:w="2215"/>
        <w:gridCol w:w="607"/>
        <w:gridCol w:w="607"/>
        <w:gridCol w:w="606"/>
        <w:gridCol w:w="606"/>
        <w:gridCol w:w="606"/>
        <w:gridCol w:w="564"/>
        <w:gridCol w:w="564"/>
        <w:gridCol w:w="564"/>
        <w:gridCol w:w="771"/>
      </w:tblGrid>
      <w:tr w:rsidR="00D3538A" w:rsidRPr="001C3592" w14:paraId="10683020" w14:textId="77777777" w:rsidTr="00451EA4">
        <w:trPr>
          <w:trHeight w:hRule="exact" w:val="226"/>
        </w:trPr>
        <w:tc>
          <w:tcPr>
            <w:tcW w:w="1436" w:type="pct"/>
            <w:tcBorders>
              <w:top w:val="single" w:sz="4" w:space="0" w:color="293F5B"/>
              <w:left w:val="nil"/>
              <w:bottom w:val="nil"/>
              <w:right w:val="nil"/>
            </w:tcBorders>
            <w:shd w:val="clear" w:color="000000" w:fill="FFFFFF"/>
            <w:noWrap/>
            <w:vAlign w:val="center"/>
            <w:hideMark/>
          </w:tcPr>
          <w:p w14:paraId="24F30B31" w14:textId="0C200B7D" w:rsidR="00D3538A" w:rsidRPr="00D3538A" w:rsidRDefault="00D3538A" w:rsidP="00451EA4">
            <w:pPr>
              <w:spacing w:before="0" w:after="0" w:line="240" w:lineRule="auto"/>
              <w:rPr>
                <w:rFonts w:ascii="Arial" w:hAnsi="Arial" w:cs="Arial"/>
                <w:sz w:val="16"/>
                <w:szCs w:val="16"/>
              </w:rPr>
            </w:pPr>
            <w:r w:rsidRPr="00D3538A">
              <w:rPr>
                <w:rFonts w:ascii="Arial" w:hAnsi="Arial" w:cs="Arial"/>
                <w:sz w:val="16"/>
                <w:szCs w:val="16"/>
              </w:rPr>
              <w:t>$million</w:t>
            </w:r>
          </w:p>
        </w:tc>
        <w:tc>
          <w:tcPr>
            <w:tcW w:w="393" w:type="pct"/>
            <w:tcBorders>
              <w:top w:val="single" w:sz="4" w:space="0" w:color="293F5B"/>
              <w:left w:val="nil"/>
              <w:bottom w:val="single" w:sz="4" w:space="0" w:color="293F5B"/>
              <w:right w:val="nil"/>
            </w:tcBorders>
            <w:shd w:val="clear" w:color="000000" w:fill="FFFFFF"/>
            <w:noWrap/>
            <w:vAlign w:val="center"/>
            <w:hideMark/>
          </w:tcPr>
          <w:p w14:paraId="1B01166B"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NSW</w:t>
            </w:r>
          </w:p>
        </w:tc>
        <w:tc>
          <w:tcPr>
            <w:tcW w:w="393" w:type="pct"/>
            <w:tcBorders>
              <w:top w:val="single" w:sz="4" w:space="0" w:color="293F5B"/>
              <w:left w:val="nil"/>
              <w:bottom w:val="single" w:sz="4" w:space="0" w:color="293F5B"/>
              <w:right w:val="nil"/>
            </w:tcBorders>
            <w:shd w:val="clear" w:color="000000" w:fill="FFFFFF"/>
            <w:noWrap/>
            <w:vAlign w:val="center"/>
            <w:hideMark/>
          </w:tcPr>
          <w:p w14:paraId="13C5C284"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VIC</w:t>
            </w:r>
          </w:p>
        </w:tc>
        <w:tc>
          <w:tcPr>
            <w:tcW w:w="393" w:type="pct"/>
            <w:tcBorders>
              <w:top w:val="single" w:sz="4" w:space="0" w:color="293F5B"/>
              <w:left w:val="nil"/>
              <w:bottom w:val="single" w:sz="4" w:space="0" w:color="293F5B"/>
              <w:right w:val="nil"/>
            </w:tcBorders>
            <w:shd w:val="clear" w:color="000000" w:fill="FFFFFF"/>
            <w:noWrap/>
            <w:vAlign w:val="center"/>
            <w:hideMark/>
          </w:tcPr>
          <w:p w14:paraId="24C40BE9"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QLD</w:t>
            </w:r>
          </w:p>
        </w:tc>
        <w:tc>
          <w:tcPr>
            <w:tcW w:w="393" w:type="pct"/>
            <w:tcBorders>
              <w:top w:val="single" w:sz="4" w:space="0" w:color="293F5B"/>
              <w:left w:val="nil"/>
              <w:bottom w:val="single" w:sz="4" w:space="0" w:color="293F5B"/>
              <w:right w:val="nil"/>
            </w:tcBorders>
            <w:shd w:val="clear" w:color="000000" w:fill="FFFFFF"/>
            <w:noWrap/>
            <w:vAlign w:val="center"/>
            <w:hideMark/>
          </w:tcPr>
          <w:p w14:paraId="1009A7D7"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WA</w:t>
            </w:r>
          </w:p>
        </w:tc>
        <w:tc>
          <w:tcPr>
            <w:tcW w:w="393" w:type="pct"/>
            <w:tcBorders>
              <w:top w:val="single" w:sz="4" w:space="0" w:color="293F5B"/>
              <w:left w:val="nil"/>
              <w:bottom w:val="single" w:sz="4" w:space="0" w:color="293F5B"/>
              <w:right w:val="nil"/>
            </w:tcBorders>
            <w:shd w:val="clear" w:color="000000" w:fill="FFFFFF"/>
            <w:noWrap/>
            <w:vAlign w:val="center"/>
            <w:hideMark/>
          </w:tcPr>
          <w:p w14:paraId="5D788D70"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SA</w:t>
            </w:r>
          </w:p>
        </w:tc>
        <w:tc>
          <w:tcPr>
            <w:tcW w:w="366" w:type="pct"/>
            <w:tcBorders>
              <w:top w:val="single" w:sz="4" w:space="0" w:color="293F5B"/>
              <w:left w:val="nil"/>
              <w:bottom w:val="single" w:sz="4" w:space="0" w:color="293F5B"/>
              <w:right w:val="nil"/>
            </w:tcBorders>
            <w:shd w:val="clear" w:color="000000" w:fill="FFFFFF"/>
            <w:noWrap/>
            <w:vAlign w:val="center"/>
            <w:hideMark/>
          </w:tcPr>
          <w:p w14:paraId="74D6F39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TAS</w:t>
            </w:r>
          </w:p>
        </w:tc>
        <w:tc>
          <w:tcPr>
            <w:tcW w:w="366" w:type="pct"/>
            <w:tcBorders>
              <w:top w:val="single" w:sz="4" w:space="0" w:color="293F5B"/>
              <w:left w:val="nil"/>
              <w:bottom w:val="single" w:sz="4" w:space="0" w:color="293F5B"/>
              <w:right w:val="nil"/>
            </w:tcBorders>
            <w:shd w:val="clear" w:color="000000" w:fill="FFFFFF"/>
            <w:noWrap/>
            <w:vAlign w:val="center"/>
            <w:hideMark/>
          </w:tcPr>
          <w:p w14:paraId="754B523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ACT</w:t>
            </w:r>
          </w:p>
        </w:tc>
        <w:tc>
          <w:tcPr>
            <w:tcW w:w="366" w:type="pct"/>
            <w:tcBorders>
              <w:top w:val="single" w:sz="4" w:space="0" w:color="293F5B"/>
              <w:left w:val="nil"/>
              <w:bottom w:val="single" w:sz="4" w:space="0" w:color="293F5B"/>
              <w:right w:val="nil"/>
            </w:tcBorders>
            <w:shd w:val="clear" w:color="000000" w:fill="FFFFFF"/>
            <w:noWrap/>
            <w:vAlign w:val="center"/>
            <w:hideMark/>
          </w:tcPr>
          <w:p w14:paraId="659D5BD9"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NT</w:t>
            </w:r>
          </w:p>
        </w:tc>
        <w:tc>
          <w:tcPr>
            <w:tcW w:w="500" w:type="pct"/>
            <w:tcBorders>
              <w:top w:val="single" w:sz="4" w:space="0" w:color="293F5B"/>
              <w:left w:val="nil"/>
              <w:bottom w:val="single" w:sz="4" w:space="0" w:color="293F5B"/>
              <w:right w:val="nil"/>
            </w:tcBorders>
            <w:shd w:val="clear" w:color="000000" w:fill="FFFFFF"/>
            <w:noWrap/>
            <w:vAlign w:val="center"/>
            <w:hideMark/>
          </w:tcPr>
          <w:p w14:paraId="60D96E45"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Total</w:t>
            </w:r>
          </w:p>
        </w:tc>
      </w:tr>
      <w:tr w:rsidR="00D3538A" w:rsidRPr="001C3592" w14:paraId="36347534"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080AF40D" w14:textId="7F7627BB" w:rsidR="00D3538A" w:rsidRPr="00451EA4" w:rsidRDefault="00D3538A" w:rsidP="00451EA4">
            <w:pPr>
              <w:spacing w:before="0" w:after="0" w:line="240" w:lineRule="auto"/>
              <w:rPr>
                <w:rFonts w:ascii="Arial" w:hAnsi="Arial" w:cs="Arial"/>
                <w:b/>
                <w:bCs/>
                <w:sz w:val="16"/>
                <w:szCs w:val="16"/>
              </w:rPr>
            </w:pPr>
            <w:r w:rsidRPr="00451EA4">
              <w:rPr>
                <w:rFonts w:ascii="Arial" w:hAnsi="Arial" w:cs="Arial"/>
                <w:b/>
                <w:bCs/>
                <w:sz w:val="16"/>
                <w:szCs w:val="16"/>
              </w:rPr>
              <w:t>2024</w:t>
            </w:r>
            <w:r w:rsidR="009B6F84">
              <w:rPr>
                <w:rFonts w:ascii="Arial" w:hAnsi="Arial" w:cs="Arial"/>
                <w:b/>
                <w:bCs/>
                <w:sz w:val="16"/>
                <w:szCs w:val="16"/>
              </w:rPr>
              <w:noBreakHyphen/>
            </w:r>
            <w:r w:rsidRPr="00451EA4">
              <w:rPr>
                <w:rFonts w:ascii="Arial" w:hAnsi="Arial" w:cs="Arial"/>
                <w:b/>
                <w:bCs/>
                <w:sz w:val="16"/>
                <w:szCs w:val="16"/>
              </w:rPr>
              <w:t>25</w:t>
            </w:r>
          </w:p>
        </w:tc>
        <w:tc>
          <w:tcPr>
            <w:tcW w:w="393" w:type="pct"/>
            <w:tcBorders>
              <w:top w:val="nil"/>
              <w:left w:val="nil"/>
              <w:bottom w:val="nil"/>
              <w:right w:val="nil"/>
            </w:tcBorders>
            <w:shd w:val="clear" w:color="000000" w:fill="FFFFFF"/>
            <w:noWrap/>
            <w:vAlign w:val="center"/>
            <w:hideMark/>
          </w:tcPr>
          <w:p w14:paraId="27414195"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0D7DC71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2D4AE47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2D2C7F4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1F1BA7E7"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03050BFC"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73A9657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44A6526F"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500" w:type="pct"/>
            <w:tcBorders>
              <w:top w:val="nil"/>
              <w:left w:val="nil"/>
              <w:bottom w:val="nil"/>
              <w:right w:val="nil"/>
            </w:tcBorders>
            <w:shd w:val="clear" w:color="000000" w:fill="FFFFFF"/>
            <w:noWrap/>
            <w:vAlign w:val="center"/>
            <w:hideMark/>
          </w:tcPr>
          <w:p w14:paraId="3BB552C0"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r>
      <w:tr w:rsidR="00D3538A" w:rsidRPr="001C3592" w14:paraId="44DB0666"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1581237C" w14:textId="77777777"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Payments for specific</w:t>
            </w:r>
          </w:p>
        </w:tc>
        <w:tc>
          <w:tcPr>
            <w:tcW w:w="393" w:type="pct"/>
            <w:tcBorders>
              <w:top w:val="nil"/>
              <w:left w:val="nil"/>
              <w:bottom w:val="nil"/>
              <w:right w:val="nil"/>
            </w:tcBorders>
            <w:shd w:val="clear" w:color="000000" w:fill="FFFFFF"/>
            <w:noWrap/>
            <w:vAlign w:val="center"/>
            <w:hideMark/>
          </w:tcPr>
          <w:p w14:paraId="163B0C7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725AD2FA"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215CAA2C"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7AF91C7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41C51FA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425CF6C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03751734"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3E07DB9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500" w:type="pct"/>
            <w:tcBorders>
              <w:top w:val="nil"/>
              <w:left w:val="nil"/>
              <w:bottom w:val="nil"/>
              <w:right w:val="nil"/>
            </w:tcBorders>
            <w:shd w:val="clear" w:color="000000" w:fill="FFFFFF"/>
            <w:noWrap/>
            <w:vAlign w:val="center"/>
            <w:hideMark/>
          </w:tcPr>
          <w:p w14:paraId="4E80F8F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r>
      <w:tr w:rsidR="00D3538A" w:rsidRPr="001C3592" w14:paraId="07FE1ABC"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21915085" w14:textId="77777777" w:rsidR="00D3538A" w:rsidRPr="0075215F" w:rsidRDefault="00D3538A" w:rsidP="00451EA4">
            <w:pPr>
              <w:spacing w:before="0" w:after="0" w:line="240" w:lineRule="auto"/>
              <w:ind w:left="170"/>
              <w:rPr>
                <w:rFonts w:ascii="Arial" w:hAnsi="Arial" w:cs="Arial"/>
                <w:sz w:val="16"/>
                <w:szCs w:val="16"/>
              </w:rPr>
            </w:pPr>
            <w:r w:rsidRPr="0075215F">
              <w:rPr>
                <w:rFonts w:ascii="Arial" w:hAnsi="Arial" w:cs="Arial"/>
                <w:sz w:val="16"/>
                <w:szCs w:val="16"/>
              </w:rPr>
              <w:t>purposes(a)</w:t>
            </w:r>
          </w:p>
        </w:tc>
        <w:tc>
          <w:tcPr>
            <w:tcW w:w="393" w:type="pct"/>
            <w:tcBorders>
              <w:top w:val="nil"/>
              <w:left w:val="nil"/>
              <w:bottom w:val="nil"/>
              <w:right w:val="nil"/>
            </w:tcBorders>
            <w:shd w:val="clear" w:color="000000" w:fill="FFFFFF"/>
            <w:noWrap/>
            <w:vAlign w:val="center"/>
            <w:hideMark/>
          </w:tcPr>
          <w:p w14:paraId="5ECAD382" w14:textId="77777777" w:rsidR="00D3538A" w:rsidRPr="0075215F" w:rsidRDefault="00D3538A" w:rsidP="00451EA4">
            <w:pPr>
              <w:spacing w:before="0" w:after="0" w:line="240" w:lineRule="auto"/>
              <w:jc w:val="right"/>
              <w:rPr>
                <w:rFonts w:ascii="Arial" w:hAnsi="Arial" w:cs="Arial"/>
                <w:sz w:val="16"/>
                <w:szCs w:val="16"/>
              </w:rPr>
            </w:pPr>
            <w:r w:rsidRPr="0075215F">
              <w:rPr>
                <w:rFonts w:ascii="Arial" w:hAnsi="Arial" w:cs="Arial"/>
                <w:sz w:val="16"/>
                <w:szCs w:val="16"/>
              </w:rPr>
              <w:t>26,468</w:t>
            </w:r>
          </w:p>
        </w:tc>
        <w:tc>
          <w:tcPr>
            <w:tcW w:w="393" w:type="pct"/>
            <w:tcBorders>
              <w:top w:val="nil"/>
              <w:left w:val="nil"/>
              <w:bottom w:val="nil"/>
              <w:right w:val="nil"/>
            </w:tcBorders>
            <w:shd w:val="clear" w:color="000000" w:fill="FFFFFF"/>
            <w:noWrap/>
            <w:vAlign w:val="center"/>
            <w:hideMark/>
          </w:tcPr>
          <w:p w14:paraId="26211039" w14:textId="77777777" w:rsidR="00D3538A" w:rsidRPr="0075215F" w:rsidRDefault="00D3538A" w:rsidP="00451EA4">
            <w:pPr>
              <w:spacing w:before="0" w:after="0" w:line="240" w:lineRule="auto"/>
              <w:jc w:val="right"/>
              <w:rPr>
                <w:rFonts w:ascii="Arial" w:hAnsi="Arial" w:cs="Arial"/>
                <w:sz w:val="16"/>
                <w:szCs w:val="16"/>
              </w:rPr>
            </w:pPr>
            <w:r w:rsidRPr="0075215F">
              <w:rPr>
                <w:rFonts w:ascii="Arial" w:hAnsi="Arial" w:cs="Arial"/>
                <w:sz w:val="16"/>
                <w:szCs w:val="16"/>
              </w:rPr>
              <w:t>20,305</w:t>
            </w:r>
          </w:p>
        </w:tc>
        <w:tc>
          <w:tcPr>
            <w:tcW w:w="393" w:type="pct"/>
            <w:tcBorders>
              <w:top w:val="nil"/>
              <w:left w:val="nil"/>
              <w:bottom w:val="nil"/>
              <w:right w:val="nil"/>
            </w:tcBorders>
            <w:shd w:val="clear" w:color="000000" w:fill="FFFFFF"/>
            <w:noWrap/>
            <w:vAlign w:val="center"/>
            <w:hideMark/>
          </w:tcPr>
          <w:p w14:paraId="5D78270F" w14:textId="77777777" w:rsidR="00D3538A" w:rsidRPr="0075215F" w:rsidRDefault="00D3538A" w:rsidP="00451EA4">
            <w:pPr>
              <w:spacing w:before="0" w:after="0" w:line="240" w:lineRule="auto"/>
              <w:jc w:val="right"/>
              <w:rPr>
                <w:rFonts w:ascii="Arial" w:hAnsi="Arial" w:cs="Arial"/>
                <w:sz w:val="16"/>
                <w:szCs w:val="16"/>
              </w:rPr>
            </w:pPr>
            <w:r w:rsidRPr="0075215F">
              <w:rPr>
                <w:rFonts w:ascii="Arial" w:hAnsi="Arial" w:cs="Arial"/>
                <w:sz w:val="16"/>
                <w:szCs w:val="16"/>
              </w:rPr>
              <w:t>19,847</w:t>
            </w:r>
          </w:p>
        </w:tc>
        <w:tc>
          <w:tcPr>
            <w:tcW w:w="393" w:type="pct"/>
            <w:tcBorders>
              <w:top w:val="nil"/>
              <w:left w:val="nil"/>
              <w:bottom w:val="nil"/>
              <w:right w:val="nil"/>
            </w:tcBorders>
            <w:shd w:val="clear" w:color="000000" w:fill="FFFFFF"/>
            <w:noWrap/>
            <w:vAlign w:val="center"/>
            <w:hideMark/>
          </w:tcPr>
          <w:p w14:paraId="657F47CF" w14:textId="77777777" w:rsidR="00D3538A" w:rsidRPr="0075215F" w:rsidRDefault="00D3538A" w:rsidP="00451EA4">
            <w:pPr>
              <w:spacing w:before="0" w:after="0" w:line="240" w:lineRule="auto"/>
              <w:jc w:val="right"/>
              <w:rPr>
                <w:rFonts w:ascii="Arial" w:hAnsi="Arial" w:cs="Arial"/>
                <w:sz w:val="16"/>
                <w:szCs w:val="16"/>
              </w:rPr>
            </w:pPr>
            <w:r w:rsidRPr="0075215F">
              <w:rPr>
                <w:rFonts w:ascii="Arial" w:hAnsi="Arial" w:cs="Arial"/>
                <w:sz w:val="16"/>
                <w:szCs w:val="16"/>
              </w:rPr>
              <w:t>12,356</w:t>
            </w:r>
          </w:p>
        </w:tc>
        <w:tc>
          <w:tcPr>
            <w:tcW w:w="393" w:type="pct"/>
            <w:tcBorders>
              <w:top w:val="nil"/>
              <w:left w:val="nil"/>
              <w:bottom w:val="nil"/>
              <w:right w:val="nil"/>
            </w:tcBorders>
            <w:shd w:val="clear" w:color="000000" w:fill="FFFFFF"/>
            <w:noWrap/>
            <w:vAlign w:val="center"/>
            <w:hideMark/>
          </w:tcPr>
          <w:p w14:paraId="5EF2B67A" w14:textId="77777777" w:rsidR="00D3538A" w:rsidRPr="0075215F" w:rsidRDefault="00D3538A" w:rsidP="00451EA4">
            <w:pPr>
              <w:spacing w:before="0" w:after="0" w:line="240" w:lineRule="auto"/>
              <w:jc w:val="right"/>
              <w:rPr>
                <w:rFonts w:ascii="Arial" w:hAnsi="Arial" w:cs="Arial"/>
                <w:sz w:val="16"/>
                <w:szCs w:val="16"/>
              </w:rPr>
            </w:pPr>
            <w:r w:rsidRPr="0075215F">
              <w:rPr>
                <w:rFonts w:ascii="Arial" w:hAnsi="Arial" w:cs="Arial"/>
                <w:sz w:val="16"/>
                <w:szCs w:val="16"/>
              </w:rPr>
              <w:t>7,048</w:t>
            </w:r>
          </w:p>
        </w:tc>
        <w:tc>
          <w:tcPr>
            <w:tcW w:w="366" w:type="pct"/>
            <w:tcBorders>
              <w:top w:val="nil"/>
              <w:left w:val="nil"/>
              <w:bottom w:val="nil"/>
              <w:right w:val="nil"/>
            </w:tcBorders>
            <w:shd w:val="clear" w:color="000000" w:fill="FFFFFF"/>
            <w:noWrap/>
            <w:vAlign w:val="center"/>
            <w:hideMark/>
          </w:tcPr>
          <w:p w14:paraId="204F3DD7" w14:textId="77777777" w:rsidR="00D3538A" w:rsidRPr="0075215F" w:rsidRDefault="00D3538A" w:rsidP="00451EA4">
            <w:pPr>
              <w:spacing w:before="0" w:after="0" w:line="240" w:lineRule="auto"/>
              <w:jc w:val="right"/>
              <w:rPr>
                <w:rFonts w:ascii="Arial" w:hAnsi="Arial" w:cs="Arial"/>
                <w:sz w:val="16"/>
                <w:szCs w:val="16"/>
              </w:rPr>
            </w:pPr>
            <w:r w:rsidRPr="0075215F">
              <w:rPr>
                <w:rFonts w:ascii="Arial" w:hAnsi="Arial" w:cs="Arial"/>
                <w:sz w:val="16"/>
                <w:szCs w:val="16"/>
              </w:rPr>
              <w:t>2,190</w:t>
            </w:r>
          </w:p>
        </w:tc>
        <w:tc>
          <w:tcPr>
            <w:tcW w:w="366" w:type="pct"/>
            <w:tcBorders>
              <w:top w:val="nil"/>
              <w:left w:val="nil"/>
              <w:bottom w:val="nil"/>
              <w:right w:val="nil"/>
            </w:tcBorders>
            <w:shd w:val="clear" w:color="000000" w:fill="FFFFFF"/>
            <w:noWrap/>
            <w:vAlign w:val="center"/>
            <w:hideMark/>
          </w:tcPr>
          <w:p w14:paraId="1B041A94" w14:textId="77777777" w:rsidR="00D3538A" w:rsidRPr="0075215F" w:rsidRDefault="00D3538A" w:rsidP="00451EA4">
            <w:pPr>
              <w:spacing w:before="0" w:after="0" w:line="240" w:lineRule="auto"/>
              <w:jc w:val="right"/>
              <w:rPr>
                <w:rFonts w:ascii="Arial" w:hAnsi="Arial" w:cs="Arial"/>
                <w:sz w:val="16"/>
                <w:szCs w:val="16"/>
              </w:rPr>
            </w:pPr>
            <w:r w:rsidRPr="0075215F">
              <w:rPr>
                <w:rFonts w:ascii="Arial" w:hAnsi="Arial" w:cs="Arial"/>
                <w:sz w:val="16"/>
                <w:szCs w:val="16"/>
              </w:rPr>
              <w:t>1,433</w:t>
            </w:r>
          </w:p>
        </w:tc>
        <w:tc>
          <w:tcPr>
            <w:tcW w:w="366" w:type="pct"/>
            <w:tcBorders>
              <w:top w:val="nil"/>
              <w:left w:val="nil"/>
              <w:bottom w:val="nil"/>
              <w:right w:val="nil"/>
            </w:tcBorders>
            <w:shd w:val="clear" w:color="000000" w:fill="FFFFFF"/>
            <w:noWrap/>
            <w:vAlign w:val="center"/>
            <w:hideMark/>
          </w:tcPr>
          <w:p w14:paraId="077C5F75" w14:textId="77777777" w:rsidR="00D3538A" w:rsidRPr="0075215F" w:rsidRDefault="00D3538A" w:rsidP="00451EA4">
            <w:pPr>
              <w:spacing w:before="0" w:after="0" w:line="240" w:lineRule="auto"/>
              <w:jc w:val="right"/>
              <w:rPr>
                <w:rFonts w:ascii="Arial" w:hAnsi="Arial" w:cs="Arial"/>
                <w:sz w:val="16"/>
                <w:szCs w:val="16"/>
              </w:rPr>
            </w:pPr>
            <w:r w:rsidRPr="0075215F">
              <w:rPr>
                <w:rFonts w:ascii="Arial" w:hAnsi="Arial" w:cs="Arial"/>
                <w:sz w:val="16"/>
                <w:szCs w:val="16"/>
              </w:rPr>
              <w:t>2,279</w:t>
            </w:r>
          </w:p>
        </w:tc>
        <w:tc>
          <w:tcPr>
            <w:tcW w:w="500" w:type="pct"/>
            <w:tcBorders>
              <w:top w:val="nil"/>
              <w:left w:val="nil"/>
              <w:bottom w:val="nil"/>
              <w:right w:val="nil"/>
            </w:tcBorders>
            <w:shd w:val="clear" w:color="000000" w:fill="FFFFFF"/>
            <w:noWrap/>
            <w:vAlign w:val="center"/>
            <w:hideMark/>
          </w:tcPr>
          <w:p w14:paraId="4966CE1D" w14:textId="77777777" w:rsidR="00D3538A" w:rsidRPr="0075215F" w:rsidRDefault="00D3538A" w:rsidP="00451EA4">
            <w:pPr>
              <w:spacing w:before="0" w:after="0" w:line="240" w:lineRule="auto"/>
              <w:jc w:val="right"/>
              <w:rPr>
                <w:rFonts w:ascii="Arial" w:hAnsi="Arial" w:cs="Arial"/>
                <w:sz w:val="16"/>
                <w:szCs w:val="16"/>
              </w:rPr>
            </w:pPr>
            <w:r w:rsidRPr="0075215F">
              <w:rPr>
                <w:rFonts w:ascii="Arial" w:hAnsi="Arial" w:cs="Arial"/>
                <w:sz w:val="16"/>
                <w:szCs w:val="16"/>
              </w:rPr>
              <w:t>92,343</w:t>
            </w:r>
          </w:p>
        </w:tc>
      </w:tr>
      <w:tr w:rsidR="00D3538A" w:rsidRPr="001C3592" w14:paraId="63161F44"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3A545CDD" w14:textId="767E481E"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GST</w:t>
            </w:r>
            <w:r w:rsidR="009B6F84">
              <w:rPr>
                <w:rFonts w:ascii="Arial" w:hAnsi="Arial" w:cs="Arial"/>
                <w:sz w:val="16"/>
                <w:szCs w:val="16"/>
              </w:rPr>
              <w:noBreakHyphen/>
            </w:r>
            <w:r w:rsidRPr="00451EA4">
              <w:rPr>
                <w:rFonts w:ascii="Arial" w:hAnsi="Arial" w:cs="Arial"/>
                <w:sz w:val="16"/>
                <w:szCs w:val="16"/>
              </w:rPr>
              <w:t>related payments(b)</w:t>
            </w:r>
          </w:p>
        </w:tc>
        <w:tc>
          <w:tcPr>
            <w:tcW w:w="393" w:type="pct"/>
            <w:tcBorders>
              <w:top w:val="nil"/>
              <w:left w:val="nil"/>
              <w:bottom w:val="nil"/>
              <w:right w:val="nil"/>
            </w:tcBorders>
            <w:shd w:val="clear" w:color="000000" w:fill="FFFFFF"/>
            <w:noWrap/>
            <w:vAlign w:val="center"/>
            <w:hideMark/>
          </w:tcPr>
          <w:p w14:paraId="517B577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26,280</w:t>
            </w:r>
          </w:p>
        </w:tc>
        <w:tc>
          <w:tcPr>
            <w:tcW w:w="393" w:type="pct"/>
            <w:tcBorders>
              <w:top w:val="nil"/>
              <w:left w:val="nil"/>
              <w:bottom w:val="nil"/>
              <w:right w:val="nil"/>
            </w:tcBorders>
            <w:shd w:val="clear" w:color="000000" w:fill="FFFFFF"/>
            <w:noWrap/>
            <w:vAlign w:val="center"/>
            <w:hideMark/>
          </w:tcPr>
          <w:p w14:paraId="03D7272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23,948</w:t>
            </w:r>
          </w:p>
        </w:tc>
        <w:tc>
          <w:tcPr>
            <w:tcW w:w="393" w:type="pct"/>
            <w:tcBorders>
              <w:top w:val="nil"/>
              <w:left w:val="nil"/>
              <w:bottom w:val="nil"/>
              <w:right w:val="nil"/>
            </w:tcBorders>
            <w:shd w:val="clear" w:color="000000" w:fill="FFFFFF"/>
            <w:noWrap/>
            <w:vAlign w:val="center"/>
            <w:hideMark/>
          </w:tcPr>
          <w:p w14:paraId="7005E279"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18,917</w:t>
            </w:r>
          </w:p>
        </w:tc>
        <w:tc>
          <w:tcPr>
            <w:tcW w:w="393" w:type="pct"/>
            <w:tcBorders>
              <w:top w:val="nil"/>
              <w:left w:val="nil"/>
              <w:bottom w:val="nil"/>
              <w:right w:val="nil"/>
            </w:tcBorders>
            <w:shd w:val="clear" w:color="000000" w:fill="FFFFFF"/>
            <w:noWrap/>
            <w:vAlign w:val="center"/>
            <w:hideMark/>
          </w:tcPr>
          <w:p w14:paraId="2CCE3DF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7,408</w:t>
            </w:r>
          </w:p>
        </w:tc>
        <w:tc>
          <w:tcPr>
            <w:tcW w:w="393" w:type="pct"/>
            <w:tcBorders>
              <w:top w:val="nil"/>
              <w:left w:val="nil"/>
              <w:bottom w:val="nil"/>
              <w:right w:val="nil"/>
            </w:tcBorders>
            <w:shd w:val="clear" w:color="000000" w:fill="FFFFFF"/>
            <w:noWrap/>
            <w:vAlign w:val="center"/>
            <w:hideMark/>
          </w:tcPr>
          <w:p w14:paraId="7F2BBF89"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9,129</w:t>
            </w:r>
          </w:p>
        </w:tc>
        <w:tc>
          <w:tcPr>
            <w:tcW w:w="366" w:type="pct"/>
            <w:tcBorders>
              <w:top w:val="nil"/>
              <w:left w:val="nil"/>
              <w:bottom w:val="nil"/>
              <w:right w:val="nil"/>
            </w:tcBorders>
            <w:shd w:val="clear" w:color="000000" w:fill="FFFFFF"/>
            <w:noWrap/>
            <w:vAlign w:val="center"/>
            <w:hideMark/>
          </w:tcPr>
          <w:p w14:paraId="4C5FDB50"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3,589</w:t>
            </w:r>
          </w:p>
        </w:tc>
        <w:tc>
          <w:tcPr>
            <w:tcW w:w="366" w:type="pct"/>
            <w:tcBorders>
              <w:top w:val="nil"/>
              <w:left w:val="nil"/>
              <w:bottom w:val="nil"/>
              <w:right w:val="nil"/>
            </w:tcBorders>
            <w:shd w:val="clear" w:color="000000" w:fill="FFFFFF"/>
            <w:noWrap/>
            <w:vAlign w:val="center"/>
            <w:hideMark/>
          </w:tcPr>
          <w:p w14:paraId="146D5F50"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1,997</w:t>
            </w:r>
          </w:p>
        </w:tc>
        <w:tc>
          <w:tcPr>
            <w:tcW w:w="366" w:type="pct"/>
            <w:tcBorders>
              <w:top w:val="nil"/>
              <w:left w:val="nil"/>
              <w:bottom w:val="nil"/>
              <w:right w:val="nil"/>
            </w:tcBorders>
            <w:shd w:val="clear" w:color="000000" w:fill="FFFFFF"/>
            <w:noWrap/>
            <w:vAlign w:val="center"/>
            <w:hideMark/>
          </w:tcPr>
          <w:p w14:paraId="42EE2BF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4,318</w:t>
            </w:r>
          </w:p>
        </w:tc>
        <w:tc>
          <w:tcPr>
            <w:tcW w:w="500" w:type="pct"/>
            <w:tcBorders>
              <w:top w:val="nil"/>
              <w:left w:val="nil"/>
              <w:bottom w:val="nil"/>
              <w:right w:val="nil"/>
            </w:tcBorders>
            <w:shd w:val="clear" w:color="000000" w:fill="FFFFFF"/>
            <w:noWrap/>
            <w:vAlign w:val="center"/>
            <w:hideMark/>
          </w:tcPr>
          <w:p w14:paraId="4619B3D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95,587</w:t>
            </w:r>
          </w:p>
        </w:tc>
      </w:tr>
      <w:tr w:rsidR="00D3538A" w:rsidRPr="001C3592" w14:paraId="1F98DAFE"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62BA68D0" w14:textId="77777777"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Other general revenue</w:t>
            </w:r>
          </w:p>
        </w:tc>
        <w:tc>
          <w:tcPr>
            <w:tcW w:w="393" w:type="pct"/>
            <w:tcBorders>
              <w:top w:val="nil"/>
              <w:left w:val="nil"/>
              <w:bottom w:val="nil"/>
              <w:right w:val="nil"/>
            </w:tcBorders>
            <w:shd w:val="clear" w:color="000000" w:fill="FFFFFF"/>
            <w:noWrap/>
            <w:vAlign w:val="center"/>
            <w:hideMark/>
          </w:tcPr>
          <w:p w14:paraId="2453F01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432E9E3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6E78611F"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1B32C47F"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05A8F4B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3DC0A2EA"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2236B8B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2858DF75"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500" w:type="pct"/>
            <w:tcBorders>
              <w:top w:val="nil"/>
              <w:left w:val="nil"/>
              <w:bottom w:val="nil"/>
              <w:right w:val="nil"/>
            </w:tcBorders>
            <w:shd w:val="clear" w:color="000000" w:fill="FFFFFF"/>
            <w:noWrap/>
            <w:vAlign w:val="center"/>
            <w:hideMark/>
          </w:tcPr>
          <w:p w14:paraId="74814DF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r>
      <w:tr w:rsidR="00D3538A" w:rsidRPr="001C3592" w14:paraId="2854433F"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4616093B" w14:textId="77777777" w:rsidR="00D3538A" w:rsidRPr="00451EA4" w:rsidRDefault="00D3538A" w:rsidP="00451EA4">
            <w:pPr>
              <w:spacing w:before="0" w:after="0" w:line="240" w:lineRule="auto"/>
              <w:ind w:left="170"/>
              <w:rPr>
                <w:rFonts w:ascii="Arial" w:hAnsi="Arial" w:cs="Arial"/>
                <w:sz w:val="16"/>
                <w:szCs w:val="16"/>
              </w:rPr>
            </w:pPr>
            <w:r w:rsidRPr="00451EA4">
              <w:rPr>
                <w:rFonts w:ascii="Arial" w:hAnsi="Arial" w:cs="Arial"/>
                <w:sz w:val="16"/>
                <w:szCs w:val="16"/>
              </w:rPr>
              <w:t>assistance</w:t>
            </w:r>
          </w:p>
        </w:tc>
        <w:tc>
          <w:tcPr>
            <w:tcW w:w="393" w:type="pct"/>
            <w:tcBorders>
              <w:top w:val="nil"/>
              <w:left w:val="nil"/>
              <w:bottom w:val="nil"/>
              <w:right w:val="nil"/>
            </w:tcBorders>
            <w:shd w:val="clear" w:color="000000" w:fill="FFFFFF"/>
            <w:noWrap/>
            <w:vAlign w:val="center"/>
            <w:hideMark/>
          </w:tcPr>
          <w:p w14:paraId="566CF6CC" w14:textId="050A6867"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93" w:type="pct"/>
            <w:tcBorders>
              <w:top w:val="nil"/>
              <w:left w:val="nil"/>
              <w:bottom w:val="nil"/>
              <w:right w:val="nil"/>
            </w:tcBorders>
            <w:shd w:val="clear" w:color="000000" w:fill="FFFFFF"/>
            <w:noWrap/>
            <w:vAlign w:val="center"/>
            <w:hideMark/>
          </w:tcPr>
          <w:p w14:paraId="2D44CC33" w14:textId="5F472F44"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93" w:type="pct"/>
            <w:tcBorders>
              <w:top w:val="nil"/>
              <w:left w:val="nil"/>
              <w:bottom w:val="nil"/>
              <w:right w:val="nil"/>
            </w:tcBorders>
            <w:shd w:val="clear" w:color="000000" w:fill="FFFFFF"/>
            <w:noWrap/>
            <w:vAlign w:val="center"/>
            <w:hideMark/>
          </w:tcPr>
          <w:p w14:paraId="435A7D12" w14:textId="4BDDEBCE"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93" w:type="pct"/>
            <w:tcBorders>
              <w:top w:val="nil"/>
              <w:left w:val="nil"/>
              <w:bottom w:val="nil"/>
              <w:right w:val="nil"/>
            </w:tcBorders>
            <w:shd w:val="clear" w:color="000000" w:fill="FFFFFF"/>
            <w:noWrap/>
            <w:vAlign w:val="center"/>
            <w:hideMark/>
          </w:tcPr>
          <w:p w14:paraId="017CEC64"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648</w:t>
            </w:r>
          </w:p>
        </w:tc>
        <w:tc>
          <w:tcPr>
            <w:tcW w:w="393" w:type="pct"/>
            <w:tcBorders>
              <w:top w:val="nil"/>
              <w:left w:val="nil"/>
              <w:bottom w:val="nil"/>
              <w:right w:val="nil"/>
            </w:tcBorders>
            <w:shd w:val="clear" w:color="000000" w:fill="FFFFFF"/>
            <w:noWrap/>
            <w:vAlign w:val="center"/>
            <w:hideMark/>
          </w:tcPr>
          <w:p w14:paraId="30856B6E" w14:textId="35348C97"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66" w:type="pct"/>
            <w:tcBorders>
              <w:top w:val="nil"/>
              <w:left w:val="nil"/>
              <w:bottom w:val="nil"/>
              <w:right w:val="nil"/>
            </w:tcBorders>
            <w:shd w:val="clear" w:color="000000" w:fill="FFFFFF"/>
            <w:noWrap/>
            <w:vAlign w:val="center"/>
            <w:hideMark/>
          </w:tcPr>
          <w:p w14:paraId="09773029" w14:textId="3C6F2E42"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66" w:type="pct"/>
            <w:tcBorders>
              <w:top w:val="nil"/>
              <w:left w:val="nil"/>
              <w:bottom w:val="nil"/>
              <w:right w:val="nil"/>
            </w:tcBorders>
            <w:shd w:val="clear" w:color="000000" w:fill="FFFFFF"/>
            <w:noWrap/>
            <w:vAlign w:val="center"/>
            <w:hideMark/>
          </w:tcPr>
          <w:p w14:paraId="3C7F41AA"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45</w:t>
            </w:r>
          </w:p>
        </w:tc>
        <w:tc>
          <w:tcPr>
            <w:tcW w:w="366" w:type="pct"/>
            <w:tcBorders>
              <w:top w:val="nil"/>
              <w:left w:val="nil"/>
              <w:bottom w:val="nil"/>
              <w:right w:val="nil"/>
            </w:tcBorders>
            <w:shd w:val="clear" w:color="000000" w:fill="FFFFFF"/>
            <w:noWrap/>
            <w:vAlign w:val="center"/>
            <w:hideMark/>
          </w:tcPr>
          <w:p w14:paraId="7906F1C1" w14:textId="29990ED0"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500" w:type="pct"/>
            <w:tcBorders>
              <w:top w:val="nil"/>
              <w:left w:val="nil"/>
              <w:bottom w:val="nil"/>
              <w:right w:val="nil"/>
            </w:tcBorders>
            <w:shd w:val="clear" w:color="000000" w:fill="FFFFFF"/>
            <w:noWrap/>
            <w:vAlign w:val="center"/>
            <w:hideMark/>
          </w:tcPr>
          <w:p w14:paraId="1A757D4A"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694</w:t>
            </w:r>
          </w:p>
        </w:tc>
      </w:tr>
      <w:tr w:rsidR="00D3538A" w:rsidRPr="001C3592" w14:paraId="15B4C1EA"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43A486AD" w14:textId="77777777"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Total payments to the states</w:t>
            </w:r>
          </w:p>
        </w:tc>
        <w:tc>
          <w:tcPr>
            <w:tcW w:w="393" w:type="pct"/>
            <w:tcBorders>
              <w:top w:val="single" w:sz="4" w:space="0" w:color="293F5B"/>
              <w:left w:val="nil"/>
              <w:bottom w:val="single" w:sz="4" w:space="0" w:color="293F5B"/>
              <w:right w:val="nil"/>
            </w:tcBorders>
            <w:shd w:val="clear" w:color="000000" w:fill="FFFFFF"/>
            <w:noWrap/>
            <w:vAlign w:val="center"/>
            <w:hideMark/>
          </w:tcPr>
          <w:p w14:paraId="19CF7CE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52,748</w:t>
            </w:r>
          </w:p>
        </w:tc>
        <w:tc>
          <w:tcPr>
            <w:tcW w:w="393" w:type="pct"/>
            <w:tcBorders>
              <w:top w:val="single" w:sz="4" w:space="0" w:color="293F5B"/>
              <w:left w:val="nil"/>
              <w:bottom w:val="single" w:sz="4" w:space="0" w:color="293F5B"/>
              <w:right w:val="nil"/>
            </w:tcBorders>
            <w:shd w:val="clear" w:color="000000" w:fill="FFFFFF"/>
            <w:noWrap/>
            <w:vAlign w:val="center"/>
            <w:hideMark/>
          </w:tcPr>
          <w:p w14:paraId="47F8876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44,253</w:t>
            </w:r>
          </w:p>
        </w:tc>
        <w:tc>
          <w:tcPr>
            <w:tcW w:w="393" w:type="pct"/>
            <w:tcBorders>
              <w:top w:val="single" w:sz="4" w:space="0" w:color="293F5B"/>
              <w:left w:val="nil"/>
              <w:bottom w:val="single" w:sz="4" w:space="0" w:color="293F5B"/>
              <w:right w:val="nil"/>
            </w:tcBorders>
            <w:shd w:val="clear" w:color="000000" w:fill="FFFFFF"/>
            <w:noWrap/>
            <w:vAlign w:val="center"/>
            <w:hideMark/>
          </w:tcPr>
          <w:p w14:paraId="246E9B09"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38,764</w:t>
            </w:r>
          </w:p>
        </w:tc>
        <w:tc>
          <w:tcPr>
            <w:tcW w:w="393" w:type="pct"/>
            <w:tcBorders>
              <w:top w:val="single" w:sz="4" w:space="0" w:color="293F5B"/>
              <w:left w:val="nil"/>
              <w:bottom w:val="single" w:sz="4" w:space="0" w:color="293F5B"/>
              <w:right w:val="nil"/>
            </w:tcBorders>
            <w:shd w:val="clear" w:color="000000" w:fill="FFFFFF"/>
            <w:noWrap/>
            <w:vAlign w:val="center"/>
            <w:hideMark/>
          </w:tcPr>
          <w:p w14:paraId="423E795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20,412</w:t>
            </w:r>
          </w:p>
        </w:tc>
        <w:tc>
          <w:tcPr>
            <w:tcW w:w="393" w:type="pct"/>
            <w:tcBorders>
              <w:top w:val="single" w:sz="4" w:space="0" w:color="293F5B"/>
              <w:left w:val="nil"/>
              <w:bottom w:val="single" w:sz="4" w:space="0" w:color="293F5B"/>
              <w:right w:val="nil"/>
            </w:tcBorders>
            <w:shd w:val="clear" w:color="000000" w:fill="FFFFFF"/>
            <w:noWrap/>
            <w:vAlign w:val="center"/>
            <w:hideMark/>
          </w:tcPr>
          <w:p w14:paraId="71C1ECF9"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16,176</w:t>
            </w:r>
          </w:p>
        </w:tc>
        <w:tc>
          <w:tcPr>
            <w:tcW w:w="366" w:type="pct"/>
            <w:tcBorders>
              <w:top w:val="single" w:sz="4" w:space="0" w:color="293F5B"/>
              <w:left w:val="nil"/>
              <w:bottom w:val="single" w:sz="4" w:space="0" w:color="293F5B"/>
              <w:right w:val="nil"/>
            </w:tcBorders>
            <w:shd w:val="clear" w:color="000000" w:fill="FFFFFF"/>
            <w:noWrap/>
            <w:vAlign w:val="center"/>
            <w:hideMark/>
          </w:tcPr>
          <w:p w14:paraId="37ACFBA7"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5,779</w:t>
            </w:r>
          </w:p>
        </w:tc>
        <w:tc>
          <w:tcPr>
            <w:tcW w:w="366" w:type="pct"/>
            <w:tcBorders>
              <w:top w:val="single" w:sz="4" w:space="0" w:color="293F5B"/>
              <w:left w:val="nil"/>
              <w:bottom w:val="single" w:sz="4" w:space="0" w:color="293F5B"/>
              <w:right w:val="nil"/>
            </w:tcBorders>
            <w:shd w:val="clear" w:color="000000" w:fill="FFFFFF"/>
            <w:noWrap/>
            <w:vAlign w:val="center"/>
            <w:hideMark/>
          </w:tcPr>
          <w:p w14:paraId="023EFE6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3,475</w:t>
            </w:r>
          </w:p>
        </w:tc>
        <w:tc>
          <w:tcPr>
            <w:tcW w:w="366" w:type="pct"/>
            <w:tcBorders>
              <w:top w:val="single" w:sz="4" w:space="0" w:color="293F5B"/>
              <w:left w:val="nil"/>
              <w:bottom w:val="single" w:sz="4" w:space="0" w:color="293F5B"/>
              <w:right w:val="nil"/>
            </w:tcBorders>
            <w:shd w:val="clear" w:color="000000" w:fill="FFFFFF"/>
            <w:noWrap/>
            <w:vAlign w:val="center"/>
            <w:hideMark/>
          </w:tcPr>
          <w:p w14:paraId="45B35D6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6,597</w:t>
            </w:r>
          </w:p>
        </w:tc>
        <w:tc>
          <w:tcPr>
            <w:tcW w:w="500" w:type="pct"/>
            <w:tcBorders>
              <w:top w:val="single" w:sz="4" w:space="0" w:color="293F5B"/>
              <w:left w:val="nil"/>
              <w:bottom w:val="single" w:sz="4" w:space="0" w:color="293F5B"/>
              <w:right w:val="nil"/>
            </w:tcBorders>
            <w:shd w:val="clear" w:color="000000" w:fill="FFFFFF"/>
            <w:noWrap/>
            <w:vAlign w:val="center"/>
            <w:hideMark/>
          </w:tcPr>
          <w:p w14:paraId="0D1264E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188,624</w:t>
            </w:r>
          </w:p>
        </w:tc>
      </w:tr>
      <w:tr w:rsidR="00D3538A" w:rsidRPr="001C3592" w14:paraId="2E3E8AB9" w14:textId="77777777" w:rsidTr="00451EA4">
        <w:trPr>
          <w:trHeight w:hRule="exact" w:val="226"/>
        </w:trPr>
        <w:tc>
          <w:tcPr>
            <w:tcW w:w="1436" w:type="pct"/>
            <w:tcBorders>
              <w:top w:val="nil"/>
              <w:left w:val="nil"/>
              <w:bottom w:val="nil"/>
              <w:right w:val="nil"/>
            </w:tcBorders>
            <w:shd w:val="clear" w:color="000000" w:fill="E6F2FF"/>
            <w:noWrap/>
            <w:vAlign w:val="center"/>
            <w:hideMark/>
          </w:tcPr>
          <w:p w14:paraId="527FEDFF" w14:textId="17FC0DE9" w:rsidR="00D3538A" w:rsidRPr="00451EA4" w:rsidRDefault="00D3538A" w:rsidP="00451EA4">
            <w:pPr>
              <w:spacing w:before="0" w:after="0" w:line="240" w:lineRule="auto"/>
              <w:rPr>
                <w:rFonts w:ascii="Arial" w:hAnsi="Arial" w:cs="Arial"/>
                <w:b/>
                <w:bCs/>
                <w:sz w:val="16"/>
                <w:szCs w:val="16"/>
              </w:rPr>
            </w:pPr>
            <w:r w:rsidRPr="00451EA4">
              <w:rPr>
                <w:rFonts w:ascii="Arial" w:hAnsi="Arial" w:cs="Arial"/>
                <w:b/>
                <w:bCs/>
                <w:sz w:val="16"/>
                <w:szCs w:val="16"/>
              </w:rPr>
              <w:t>2025</w:t>
            </w:r>
            <w:r w:rsidR="009B6F84">
              <w:rPr>
                <w:rFonts w:ascii="Arial" w:hAnsi="Arial" w:cs="Arial"/>
                <w:b/>
                <w:bCs/>
                <w:sz w:val="16"/>
                <w:szCs w:val="16"/>
              </w:rPr>
              <w:noBreakHyphen/>
            </w:r>
            <w:r w:rsidRPr="00451EA4">
              <w:rPr>
                <w:rFonts w:ascii="Arial" w:hAnsi="Arial" w:cs="Arial"/>
                <w:b/>
                <w:bCs/>
                <w:sz w:val="16"/>
                <w:szCs w:val="16"/>
              </w:rPr>
              <w:t>26</w:t>
            </w:r>
          </w:p>
        </w:tc>
        <w:tc>
          <w:tcPr>
            <w:tcW w:w="393" w:type="pct"/>
            <w:tcBorders>
              <w:top w:val="nil"/>
              <w:left w:val="nil"/>
              <w:bottom w:val="nil"/>
              <w:right w:val="nil"/>
            </w:tcBorders>
            <w:shd w:val="clear" w:color="000000" w:fill="E6F2FF"/>
            <w:noWrap/>
            <w:vAlign w:val="center"/>
            <w:hideMark/>
          </w:tcPr>
          <w:p w14:paraId="10DA2E20"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E6F2FF"/>
            <w:noWrap/>
            <w:vAlign w:val="center"/>
            <w:hideMark/>
          </w:tcPr>
          <w:p w14:paraId="1D2836FA"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E6F2FF"/>
            <w:noWrap/>
            <w:vAlign w:val="center"/>
            <w:hideMark/>
          </w:tcPr>
          <w:p w14:paraId="2AD1D4E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E6F2FF"/>
            <w:noWrap/>
            <w:vAlign w:val="center"/>
            <w:hideMark/>
          </w:tcPr>
          <w:p w14:paraId="4EE0C78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E6F2FF"/>
            <w:noWrap/>
            <w:vAlign w:val="center"/>
            <w:hideMark/>
          </w:tcPr>
          <w:p w14:paraId="20546A2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E6F2FF"/>
            <w:noWrap/>
            <w:vAlign w:val="center"/>
            <w:hideMark/>
          </w:tcPr>
          <w:p w14:paraId="617A272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E6F2FF"/>
            <w:noWrap/>
            <w:vAlign w:val="center"/>
            <w:hideMark/>
          </w:tcPr>
          <w:p w14:paraId="263CBEB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E6F2FF"/>
            <w:noWrap/>
            <w:vAlign w:val="center"/>
            <w:hideMark/>
          </w:tcPr>
          <w:p w14:paraId="036E1BA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500" w:type="pct"/>
            <w:tcBorders>
              <w:top w:val="nil"/>
              <w:left w:val="nil"/>
              <w:bottom w:val="nil"/>
              <w:right w:val="nil"/>
            </w:tcBorders>
            <w:shd w:val="clear" w:color="000000" w:fill="E6F2FF"/>
            <w:noWrap/>
            <w:vAlign w:val="center"/>
            <w:hideMark/>
          </w:tcPr>
          <w:p w14:paraId="3227719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r>
      <w:tr w:rsidR="00D3538A" w:rsidRPr="001C3592" w14:paraId="0A72642B" w14:textId="77777777" w:rsidTr="00451EA4">
        <w:trPr>
          <w:trHeight w:hRule="exact" w:val="226"/>
        </w:trPr>
        <w:tc>
          <w:tcPr>
            <w:tcW w:w="1436" w:type="pct"/>
            <w:tcBorders>
              <w:top w:val="nil"/>
              <w:left w:val="nil"/>
              <w:bottom w:val="nil"/>
              <w:right w:val="nil"/>
            </w:tcBorders>
            <w:shd w:val="clear" w:color="000000" w:fill="E6F2FF"/>
            <w:noWrap/>
            <w:vAlign w:val="center"/>
            <w:hideMark/>
          </w:tcPr>
          <w:p w14:paraId="305CAA42" w14:textId="77777777"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Payments for specific</w:t>
            </w:r>
          </w:p>
        </w:tc>
        <w:tc>
          <w:tcPr>
            <w:tcW w:w="393" w:type="pct"/>
            <w:tcBorders>
              <w:top w:val="nil"/>
              <w:left w:val="nil"/>
              <w:bottom w:val="nil"/>
              <w:right w:val="nil"/>
            </w:tcBorders>
            <w:shd w:val="clear" w:color="000000" w:fill="E6F2FF"/>
            <w:noWrap/>
            <w:vAlign w:val="center"/>
            <w:hideMark/>
          </w:tcPr>
          <w:p w14:paraId="6DFC71A7"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E6F2FF"/>
            <w:noWrap/>
            <w:vAlign w:val="center"/>
            <w:hideMark/>
          </w:tcPr>
          <w:p w14:paraId="08A0FF0B"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E6F2FF"/>
            <w:noWrap/>
            <w:vAlign w:val="center"/>
            <w:hideMark/>
          </w:tcPr>
          <w:p w14:paraId="236507B7"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E6F2FF"/>
            <w:noWrap/>
            <w:vAlign w:val="center"/>
            <w:hideMark/>
          </w:tcPr>
          <w:p w14:paraId="75E5AC3A"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E6F2FF"/>
            <w:noWrap/>
            <w:vAlign w:val="center"/>
            <w:hideMark/>
          </w:tcPr>
          <w:p w14:paraId="070D287B"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E6F2FF"/>
            <w:noWrap/>
            <w:vAlign w:val="center"/>
            <w:hideMark/>
          </w:tcPr>
          <w:p w14:paraId="1ED6B075"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E6F2FF"/>
            <w:noWrap/>
            <w:vAlign w:val="center"/>
            <w:hideMark/>
          </w:tcPr>
          <w:p w14:paraId="2D3C2DB4"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E6F2FF"/>
            <w:noWrap/>
            <w:vAlign w:val="center"/>
            <w:hideMark/>
          </w:tcPr>
          <w:p w14:paraId="78B22AE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500" w:type="pct"/>
            <w:tcBorders>
              <w:top w:val="nil"/>
              <w:left w:val="nil"/>
              <w:bottom w:val="nil"/>
              <w:right w:val="nil"/>
            </w:tcBorders>
            <w:shd w:val="clear" w:color="000000" w:fill="E6F2FF"/>
            <w:noWrap/>
            <w:vAlign w:val="center"/>
            <w:hideMark/>
          </w:tcPr>
          <w:p w14:paraId="6623E76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r>
      <w:tr w:rsidR="00D3538A" w:rsidRPr="001C3592" w14:paraId="4DCE85BB" w14:textId="77777777" w:rsidTr="00451EA4">
        <w:trPr>
          <w:trHeight w:hRule="exact" w:val="226"/>
        </w:trPr>
        <w:tc>
          <w:tcPr>
            <w:tcW w:w="1436" w:type="pct"/>
            <w:tcBorders>
              <w:top w:val="nil"/>
              <w:left w:val="nil"/>
              <w:bottom w:val="nil"/>
              <w:right w:val="nil"/>
            </w:tcBorders>
            <w:shd w:val="clear" w:color="000000" w:fill="E6F2FF"/>
            <w:noWrap/>
            <w:vAlign w:val="center"/>
            <w:hideMark/>
          </w:tcPr>
          <w:p w14:paraId="61798D1A" w14:textId="77777777" w:rsidR="00D3538A" w:rsidRPr="00451EA4" w:rsidRDefault="00D3538A" w:rsidP="00451EA4">
            <w:pPr>
              <w:spacing w:before="0" w:after="0" w:line="240" w:lineRule="auto"/>
              <w:ind w:left="170"/>
              <w:rPr>
                <w:rFonts w:ascii="Arial" w:hAnsi="Arial" w:cs="Arial"/>
                <w:sz w:val="16"/>
                <w:szCs w:val="16"/>
              </w:rPr>
            </w:pPr>
            <w:r w:rsidRPr="00451EA4">
              <w:rPr>
                <w:rFonts w:ascii="Arial" w:hAnsi="Arial" w:cs="Arial"/>
                <w:sz w:val="16"/>
                <w:szCs w:val="16"/>
              </w:rPr>
              <w:t>purposes(a)</w:t>
            </w:r>
          </w:p>
        </w:tc>
        <w:tc>
          <w:tcPr>
            <w:tcW w:w="393" w:type="pct"/>
            <w:tcBorders>
              <w:top w:val="nil"/>
              <w:left w:val="nil"/>
              <w:bottom w:val="nil"/>
              <w:right w:val="nil"/>
            </w:tcBorders>
            <w:shd w:val="clear" w:color="000000" w:fill="E6F2FF"/>
            <w:noWrap/>
            <w:vAlign w:val="center"/>
            <w:hideMark/>
          </w:tcPr>
          <w:p w14:paraId="0F27033A"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27,511</w:t>
            </w:r>
          </w:p>
        </w:tc>
        <w:tc>
          <w:tcPr>
            <w:tcW w:w="393" w:type="pct"/>
            <w:tcBorders>
              <w:top w:val="nil"/>
              <w:left w:val="nil"/>
              <w:bottom w:val="nil"/>
              <w:right w:val="nil"/>
            </w:tcBorders>
            <w:shd w:val="clear" w:color="000000" w:fill="E6F2FF"/>
            <w:noWrap/>
            <w:vAlign w:val="center"/>
            <w:hideMark/>
          </w:tcPr>
          <w:p w14:paraId="66B3874F"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22,689</w:t>
            </w:r>
          </w:p>
        </w:tc>
        <w:tc>
          <w:tcPr>
            <w:tcW w:w="393" w:type="pct"/>
            <w:tcBorders>
              <w:top w:val="nil"/>
              <w:left w:val="nil"/>
              <w:bottom w:val="nil"/>
              <w:right w:val="nil"/>
            </w:tcBorders>
            <w:shd w:val="clear" w:color="000000" w:fill="E6F2FF"/>
            <w:noWrap/>
            <w:vAlign w:val="center"/>
            <w:hideMark/>
          </w:tcPr>
          <w:p w14:paraId="105AC73B"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20,985</w:t>
            </w:r>
          </w:p>
        </w:tc>
        <w:tc>
          <w:tcPr>
            <w:tcW w:w="393" w:type="pct"/>
            <w:tcBorders>
              <w:top w:val="nil"/>
              <w:left w:val="nil"/>
              <w:bottom w:val="nil"/>
              <w:right w:val="nil"/>
            </w:tcBorders>
            <w:shd w:val="clear" w:color="000000" w:fill="E6F2FF"/>
            <w:noWrap/>
            <w:vAlign w:val="center"/>
            <w:hideMark/>
          </w:tcPr>
          <w:p w14:paraId="0599DAA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10,991</w:t>
            </w:r>
          </w:p>
        </w:tc>
        <w:tc>
          <w:tcPr>
            <w:tcW w:w="393" w:type="pct"/>
            <w:tcBorders>
              <w:top w:val="nil"/>
              <w:left w:val="nil"/>
              <w:bottom w:val="nil"/>
              <w:right w:val="nil"/>
            </w:tcBorders>
            <w:shd w:val="clear" w:color="000000" w:fill="E6F2FF"/>
            <w:noWrap/>
            <w:vAlign w:val="center"/>
            <w:hideMark/>
          </w:tcPr>
          <w:p w14:paraId="7A65352A"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7,536</w:t>
            </w:r>
          </w:p>
        </w:tc>
        <w:tc>
          <w:tcPr>
            <w:tcW w:w="366" w:type="pct"/>
            <w:tcBorders>
              <w:top w:val="nil"/>
              <w:left w:val="nil"/>
              <w:bottom w:val="nil"/>
              <w:right w:val="nil"/>
            </w:tcBorders>
            <w:shd w:val="clear" w:color="000000" w:fill="E6F2FF"/>
            <w:noWrap/>
            <w:vAlign w:val="center"/>
            <w:hideMark/>
          </w:tcPr>
          <w:p w14:paraId="17B594E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2,530</w:t>
            </w:r>
          </w:p>
        </w:tc>
        <w:tc>
          <w:tcPr>
            <w:tcW w:w="366" w:type="pct"/>
            <w:tcBorders>
              <w:top w:val="nil"/>
              <w:left w:val="nil"/>
              <w:bottom w:val="nil"/>
              <w:right w:val="nil"/>
            </w:tcBorders>
            <w:shd w:val="clear" w:color="000000" w:fill="E6F2FF"/>
            <w:noWrap/>
            <w:vAlign w:val="center"/>
            <w:hideMark/>
          </w:tcPr>
          <w:p w14:paraId="2C1F2DE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1,636</w:t>
            </w:r>
          </w:p>
        </w:tc>
        <w:tc>
          <w:tcPr>
            <w:tcW w:w="366" w:type="pct"/>
            <w:tcBorders>
              <w:top w:val="nil"/>
              <w:left w:val="nil"/>
              <w:bottom w:val="nil"/>
              <w:right w:val="nil"/>
            </w:tcBorders>
            <w:shd w:val="clear" w:color="000000" w:fill="E6F2FF"/>
            <w:noWrap/>
            <w:vAlign w:val="center"/>
            <w:hideMark/>
          </w:tcPr>
          <w:p w14:paraId="4331B12B"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2,551</w:t>
            </w:r>
          </w:p>
        </w:tc>
        <w:tc>
          <w:tcPr>
            <w:tcW w:w="500" w:type="pct"/>
            <w:tcBorders>
              <w:top w:val="nil"/>
              <w:left w:val="nil"/>
              <w:bottom w:val="nil"/>
              <w:right w:val="nil"/>
            </w:tcBorders>
            <w:shd w:val="clear" w:color="000000" w:fill="E6F2FF"/>
            <w:noWrap/>
            <w:vAlign w:val="center"/>
            <w:hideMark/>
          </w:tcPr>
          <w:p w14:paraId="646690D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95,881</w:t>
            </w:r>
          </w:p>
        </w:tc>
      </w:tr>
      <w:tr w:rsidR="00D3538A" w:rsidRPr="001C3592" w14:paraId="1276DD95" w14:textId="77777777" w:rsidTr="00451EA4">
        <w:trPr>
          <w:trHeight w:hRule="exact" w:val="226"/>
        </w:trPr>
        <w:tc>
          <w:tcPr>
            <w:tcW w:w="1436" w:type="pct"/>
            <w:tcBorders>
              <w:top w:val="nil"/>
              <w:left w:val="nil"/>
              <w:bottom w:val="nil"/>
              <w:right w:val="nil"/>
            </w:tcBorders>
            <w:shd w:val="clear" w:color="000000" w:fill="E6F2FF"/>
            <w:noWrap/>
            <w:vAlign w:val="center"/>
            <w:hideMark/>
          </w:tcPr>
          <w:p w14:paraId="06ED2EAE" w14:textId="2C3F7BB1"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GST</w:t>
            </w:r>
            <w:r w:rsidR="009B6F84">
              <w:rPr>
                <w:rFonts w:ascii="Arial" w:hAnsi="Arial" w:cs="Arial"/>
                <w:sz w:val="16"/>
                <w:szCs w:val="16"/>
              </w:rPr>
              <w:noBreakHyphen/>
            </w:r>
            <w:r w:rsidRPr="00451EA4">
              <w:rPr>
                <w:rFonts w:ascii="Arial" w:hAnsi="Arial" w:cs="Arial"/>
                <w:sz w:val="16"/>
                <w:szCs w:val="16"/>
              </w:rPr>
              <w:t>related payments(b)</w:t>
            </w:r>
          </w:p>
        </w:tc>
        <w:tc>
          <w:tcPr>
            <w:tcW w:w="393" w:type="pct"/>
            <w:tcBorders>
              <w:top w:val="nil"/>
              <w:left w:val="nil"/>
              <w:bottom w:val="nil"/>
              <w:right w:val="nil"/>
            </w:tcBorders>
            <w:shd w:val="clear" w:color="000000" w:fill="E6F2FF"/>
            <w:noWrap/>
            <w:vAlign w:val="center"/>
            <w:hideMark/>
          </w:tcPr>
          <w:p w14:paraId="54247139"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27,668</w:t>
            </w:r>
          </w:p>
        </w:tc>
        <w:tc>
          <w:tcPr>
            <w:tcW w:w="393" w:type="pct"/>
            <w:tcBorders>
              <w:top w:val="nil"/>
              <w:left w:val="nil"/>
              <w:bottom w:val="nil"/>
              <w:right w:val="nil"/>
            </w:tcBorders>
            <w:shd w:val="clear" w:color="000000" w:fill="E6F2FF"/>
            <w:noWrap/>
            <w:vAlign w:val="center"/>
            <w:hideMark/>
          </w:tcPr>
          <w:p w14:paraId="1518716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27,989</w:t>
            </w:r>
          </w:p>
        </w:tc>
        <w:tc>
          <w:tcPr>
            <w:tcW w:w="393" w:type="pct"/>
            <w:tcBorders>
              <w:top w:val="nil"/>
              <w:left w:val="nil"/>
              <w:bottom w:val="nil"/>
              <w:right w:val="nil"/>
            </w:tcBorders>
            <w:shd w:val="clear" w:color="000000" w:fill="E6F2FF"/>
            <w:noWrap/>
            <w:vAlign w:val="center"/>
            <w:hideMark/>
          </w:tcPr>
          <w:p w14:paraId="65C319CA"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16,625</w:t>
            </w:r>
          </w:p>
        </w:tc>
        <w:tc>
          <w:tcPr>
            <w:tcW w:w="393" w:type="pct"/>
            <w:tcBorders>
              <w:top w:val="nil"/>
              <w:left w:val="nil"/>
              <w:bottom w:val="nil"/>
              <w:right w:val="nil"/>
            </w:tcBorders>
            <w:shd w:val="clear" w:color="000000" w:fill="E6F2FF"/>
            <w:noWrap/>
            <w:vAlign w:val="center"/>
            <w:hideMark/>
          </w:tcPr>
          <w:p w14:paraId="08C13C05"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7,835</w:t>
            </w:r>
          </w:p>
        </w:tc>
        <w:tc>
          <w:tcPr>
            <w:tcW w:w="393" w:type="pct"/>
            <w:tcBorders>
              <w:top w:val="nil"/>
              <w:left w:val="nil"/>
              <w:bottom w:val="nil"/>
              <w:right w:val="nil"/>
            </w:tcBorders>
            <w:shd w:val="clear" w:color="000000" w:fill="E6F2FF"/>
            <w:noWrap/>
            <w:vAlign w:val="center"/>
            <w:hideMark/>
          </w:tcPr>
          <w:p w14:paraId="782832E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9,529</w:t>
            </w:r>
          </w:p>
        </w:tc>
        <w:tc>
          <w:tcPr>
            <w:tcW w:w="366" w:type="pct"/>
            <w:tcBorders>
              <w:top w:val="nil"/>
              <w:left w:val="nil"/>
              <w:bottom w:val="nil"/>
              <w:right w:val="nil"/>
            </w:tcBorders>
            <w:shd w:val="clear" w:color="000000" w:fill="E6F2FF"/>
            <w:noWrap/>
            <w:vAlign w:val="center"/>
            <w:hideMark/>
          </w:tcPr>
          <w:p w14:paraId="3936A74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3,778</w:t>
            </w:r>
          </w:p>
        </w:tc>
        <w:tc>
          <w:tcPr>
            <w:tcW w:w="366" w:type="pct"/>
            <w:tcBorders>
              <w:top w:val="nil"/>
              <w:left w:val="nil"/>
              <w:bottom w:val="nil"/>
              <w:right w:val="nil"/>
            </w:tcBorders>
            <w:shd w:val="clear" w:color="000000" w:fill="E6F2FF"/>
            <w:noWrap/>
            <w:vAlign w:val="center"/>
            <w:hideMark/>
          </w:tcPr>
          <w:p w14:paraId="00BB5DE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2,064</w:t>
            </w:r>
          </w:p>
        </w:tc>
        <w:tc>
          <w:tcPr>
            <w:tcW w:w="366" w:type="pct"/>
            <w:tcBorders>
              <w:top w:val="nil"/>
              <w:left w:val="nil"/>
              <w:bottom w:val="nil"/>
              <w:right w:val="nil"/>
            </w:tcBorders>
            <w:shd w:val="clear" w:color="000000" w:fill="E6F2FF"/>
            <w:noWrap/>
            <w:vAlign w:val="center"/>
            <w:hideMark/>
          </w:tcPr>
          <w:p w14:paraId="2F0D3E7B"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4,603</w:t>
            </w:r>
          </w:p>
        </w:tc>
        <w:tc>
          <w:tcPr>
            <w:tcW w:w="500" w:type="pct"/>
            <w:tcBorders>
              <w:top w:val="nil"/>
              <w:left w:val="nil"/>
              <w:bottom w:val="nil"/>
              <w:right w:val="nil"/>
            </w:tcBorders>
            <w:shd w:val="clear" w:color="000000" w:fill="E6F2FF"/>
            <w:noWrap/>
            <w:vAlign w:val="center"/>
            <w:hideMark/>
          </w:tcPr>
          <w:p w14:paraId="2A22C1F0"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100,091</w:t>
            </w:r>
          </w:p>
        </w:tc>
      </w:tr>
      <w:tr w:rsidR="00D3538A" w:rsidRPr="001C3592" w14:paraId="0687A920" w14:textId="77777777" w:rsidTr="00451EA4">
        <w:trPr>
          <w:trHeight w:hRule="exact" w:val="226"/>
        </w:trPr>
        <w:tc>
          <w:tcPr>
            <w:tcW w:w="1436" w:type="pct"/>
            <w:tcBorders>
              <w:top w:val="nil"/>
              <w:left w:val="nil"/>
              <w:bottom w:val="nil"/>
              <w:right w:val="nil"/>
            </w:tcBorders>
            <w:shd w:val="clear" w:color="000000" w:fill="E6F2FF"/>
            <w:noWrap/>
            <w:vAlign w:val="center"/>
            <w:hideMark/>
          </w:tcPr>
          <w:p w14:paraId="751F6099" w14:textId="77777777"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Other general revenue</w:t>
            </w:r>
          </w:p>
        </w:tc>
        <w:tc>
          <w:tcPr>
            <w:tcW w:w="393" w:type="pct"/>
            <w:tcBorders>
              <w:top w:val="nil"/>
              <w:left w:val="nil"/>
              <w:bottom w:val="nil"/>
              <w:right w:val="nil"/>
            </w:tcBorders>
            <w:shd w:val="clear" w:color="000000" w:fill="E6F2FF"/>
            <w:noWrap/>
            <w:vAlign w:val="center"/>
            <w:hideMark/>
          </w:tcPr>
          <w:p w14:paraId="4FC9D05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E6F2FF"/>
            <w:noWrap/>
            <w:vAlign w:val="center"/>
            <w:hideMark/>
          </w:tcPr>
          <w:p w14:paraId="0C4B9545"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E6F2FF"/>
            <w:noWrap/>
            <w:vAlign w:val="center"/>
            <w:hideMark/>
          </w:tcPr>
          <w:p w14:paraId="4AAA39DA"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E6F2FF"/>
            <w:noWrap/>
            <w:vAlign w:val="center"/>
            <w:hideMark/>
          </w:tcPr>
          <w:p w14:paraId="7F7A4C77"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E6F2FF"/>
            <w:noWrap/>
            <w:vAlign w:val="center"/>
            <w:hideMark/>
          </w:tcPr>
          <w:p w14:paraId="11D45D2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E6F2FF"/>
            <w:noWrap/>
            <w:vAlign w:val="center"/>
            <w:hideMark/>
          </w:tcPr>
          <w:p w14:paraId="1B05840C"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E6F2FF"/>
            <w:noWrap/>
            <w:vAlign w:val="center"/>
            <w:hideMark/>
          </w:tcPr>
          <w:p w14:paraId="3DA777A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E6F2FF"/>
            <w:noWrap/>
            <w:vAlign w:val="center"/>
            <w:hideMark/>
          </w:tcPr>
          <w:p w14:paraId="5CA643D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500" w:type="pct"/>
            <w:tcBorders>
              <w:top w:val="nil"/>
              <w:left w:val="nil"/>
              <w:bottom w:val="nil"/>
              <w:right w:val="nil"/>
            </w:tcBorders>
            <w:shd w:val="clear" w:color="000000" w:fill="E6F2FF"/>
            <w:noWrap/>
            <w:vAlign w:val="center"/>
            <w:hideMark/>
          </w:tcPr>
          <w:p w14:paraId="7184965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r>
      <w:tr w:rsidR="00D3538A" w:rsidRPr="001C3592" w14:paraId="7DAF0F38" w14:textId="77777777" w:rsidTr="00451EA4">
        <w:trPr>
          <w:trHeight w:hRule="exact" w:val="226"/>
        </w:trPr>
        <w:tc>
          <w:tcPr>
            <w:tcW w:w="1436" w:type="pct"/>
            <w:tcBorders>
              <w:top w:val="nil"/>
              <w:left w:val="nil"/>
              <w:bottom w:val="nil"/>
              <w:right w:val="nil"/>
            </w:tcBorders>
            <w:shd w:val="clear" w:color="000000" w:fill="E6F2FF"/>
            <w:noWrap/>
            <w:vAlign w:val="center"/>
            <w:hideMark/>
          </w:tcPr>
          <w:p w14:paraId="1D6FE24E" w14:textId="77777777" w:rsidR="00D3538A" w:rsidRPr="00451EA4" w:rsidRDefault="00D3538A" w:rsidP="00451EA4">
            <w:pPr>
              <w:spacing w:before="0" w:after="0" w:line="240" w:lineRule="auto"/>
              <w:ind w:left="170"/>
              <w:rPr>
                <w:rFonts w:ascii="Arial" w:hAnsi="Arial" w:cs="Arial"/>
                <w:sz w:val="16"/>
                <w:szCs w:val="16"/>
              </w:rPr>
            </w:pPr>
            <w:r w:rsidRPr="00451EA4">
              <w:rPr>
                <w:rFonts w:ascii="Arial" w:hAnsi="Arial" w:cs="Arial"/>
                <w:sz w:val="16"/>
                <w:szCs w:val="16"/>
              </w:rPr>
              <w:t>assistance</w:t>
            </w:r>
          </w:p>
        </w:tc>
        <w:tc>
          <w:tcPr>
            <w:tcW w:w="393" w:type="pct"/>
            <w:tcBorders>
              <w:top w:val="nil"/>
              <w:left w:val="nil"/>
              <w:bottom w:val="nil"/>
              <w:right w:val="nil"/>
            </w:tcBorders>
            <w:shd w:val="clear" w:color="000000" w:fill="E6F2FF"/>
            <w:noWrap/>
            <w:vAlign w:val="center"/>
            <w:hideMark/>
          </w:tcPr>
          <w:p w14:paraId="68498E38" w14:textId="2E780A15"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93" w:type="pct"/>
            <w:tcBorders>
              <w:top w:val="nil"/>
              <w:left w:val="nil"/>
              <w:bottom w:val="nil"/>
              <w:right w:val="nil"/>
            </w:tcBorders>
            <w:shd w:val="clear" w:color="000000" w:fill="E6F2FF"/>
            <w:noWrap/>
            <w:vAlign w:val="center"/>
            <w:hideMark/>
          </w:tcPr>
          <w:p w14:paraId="68E1E9E9" w14:textId="6084549C"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93" w:type="pct"/>
            <w:tcBorders>
              <w:top w:val="nil"/>
              <w:left w:val="nil"/>
              <w:bottom w:val="nil"/>
              <w:right w:val="nil"/>
            </w:tcBorders>
            <w:shd w:val="clear" w:color="000000" w:fill="E6F2FF"/>
            <w:noWrap/>
            <w:vAlign w:val="center"/>
            <w:hideMark/>
          </w:tcPr>
          <w:p w14:paraId="3DD77B3E" w14:textId="012812BA"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93" w:type="pct"/>
            <w:tcBorders>
              <w:top w:val="nil"/>
              <w:left w:val="nil"/>
              <w:bottom w:val="nil"/>
              <w:right w:val="nil"/>
            </w:tcBorders>
            <w:shd w:val="clear" w:color="000000" w:fill="E6F2FF"/>
            <w:noWrap/>
            <w:vAlign w:val="center"/>
            <w:hideMark/>
          </w:tcPr>
          <w:p w14:paraId="0E9FCD1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487</w:t>
            </w:r>
          </w:p>
        </w:tc>
        <w:tc>
          <w:tcPr>
            <w:tcW w:w="393" w:type="pct"/>
            <w:tcBorders>
              <w:top w:val="nil"/>
              <w:left w:val="nil"/>
              <w:bottom w:val="nil"/>
              <w:right w:val="nil"/>
            </w:tcBorders>
            <w:shd w:val="clear" w:color="000000" w:fill="E6F2FF"/>
            <w:noWrap/>
            <w:vAlign w:val="center"/>
            <w:hideMark/>
          </w:tcPr>
          <w:p w14:paraId="238AF353" w14:textId="6A3BA895"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66" w:type="pct"/>
            <w:tcBorders>
              <w:top w:val="nil"/>
              <w:left w:val="nil"/>
              <w:bottom w:val="nil"/>
              <w:right w:val="nil"/>
            </w:tcBorders>
            <w:shd w:val="clear" w:color="000000" w:fill="E6F2FF"/>
            <w:noWrap/>
            <w:vAlign w:val="center"/>
            <w:hideMark/>
          </w:tcPr>
          <w:p w14:paraId="24A56B14" w14:textId="7ED9167B"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66" w:type="pct"/>
            <w:tcBorders>
              <w:top w:val="nil"/>
              <w:left w:val="nil"/>
              <w:bottom w:val="nil"/>
              <w:right w:val="nil"/>
            </w:tcBorders>
            <w:shd w:val="clear" w:color="000000" w:fill="E6F2FF"/>
            <w:noWrap/>
            <w:vAlign w:val="center"/>
            <w:hideMark/>
          </w:tcPr>
          <w:p w14:paraId="7909B36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46</w:t>
            </w:r>
          </w:p>
        </w:tc>
        <w:tc>
          <w:tcPr>
            <w:tcW w:w="366" w:type="pct"/>
            <w:tcBorders>
              <w:top w:val="nil"/>
              <w:left w:val="nil"/>
              <w:bottom w:val="nil"/>
              <w:right w:val="nil"/>
            </w:tcBorders>
            <w:shd w:val="clear" w:color="000000" w:fill="E6F2FF"/>
            <w:noWrap/>
            <w:vAlign w:val="center"/>
            <w:hideMark/>
          </w:tcPr>
          <w:p w14:paraId="04339DA2" w14:textId="68B7C589"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500" w:type="pct"/>
            <w:tcBorders>
              <w:top w:val="nil"/>
              <w:left w:val="nil"/>
              <w:bottom w:val="nil"/>
              <w:right w:val="nil"/>
            </w:tcBorders>
            <w:shd w:val="clear" w:color="000000" w:fill="E6F2FF"/>
            <w:noWrap/>
            <w:vAlign w:val="center"/>
            <w:hideMark/>
          </w:tcPr>
          <w:p w14:paraId="4B32FA09"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534</w:t>
            </w:r>
          </w:p>
        </w:tc>
      </w:tr>
      <w:tr w:rsidR="00D3538A" w:rsidRPr="001C3592" w14:paraId="090152C8" w14:textId="77777777" w:rsidTr="00451EA4">
        <w:trPr>
          <w:trHeight w:hRule="exact" w:val="226"/>
        </w:trPr>
        <w:tc>
          <w:tcPr>
            <w:tcW w:w="1436" w:type="pct"/>
            <w:tcBorders>
              <w:top w:val="nil"/>
              <w:left w:val="nil"/>
              <w:bottom w:val="nil"/>
              <w:right w:val="nil"/>
            </w:tcBorders>
            <w:shd w:val="clear" w:color="000000" w:fill="E6F2FF"/>
            <w:noWrap/>
            <w:vAlign w:val="center"/>
            <w:hideMark/>
          </w:tcPr>
          <w:p w14:paraId="3FE7E363" w14:textId="77777777"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Total payments to the states</w:t>
            </w:r>
          </w:p>
        </w:tc>
        <w:tc>
          <w:tcPr>
            <w:tcW w:w="393" w:type="pct"/>
            <w:tcBorders>
              <w:top w:val="single" w:sz="4" w:space="0" w:color="293F5B"/>
              <w:left w:val="nil"/>
              <w:bottom w:val="single" w:sz="4" w:space="0" w:color="293F5B"/>
              <w:right w:val="nil"/>
            </w:tcBorders>
            <w:shd w:val="clear" w:color="000000" w:fill="E6F2FF"/>
            <w:noWrap/>
            <w:vAlign w:val="center"/>
            <w:hideMark/>
          </w:tcPr>
          <w:p w14:paraId="3E0B132C"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55,179</w:t>
            </w:r>
          </w:p>
        </w:tc>
        <w:tc>
          <w:tcPr>
            <w:tcW w:w="393" w:type="pct"/>
            <w:tcBorders>
              <w:top w:val="single" w:sz="4" w:space="0" w:color="293F5B"/>
              <w:left w:val="nil"/>
              <w:bottom w:val="single" w:sz="4" w:space="0" w:color="293F5B"/>
              <w:right w:val="nil"/>
            </w:tcBorders>
            <w:shd w:val="clear" w:color="000000" w:fill="E6F2FF"/>
            <w:noWrap/>
            <w:vAlign w:val="center"/>
            <w:hideMark/>
          </w:tcPr>
          <w:p w14:paraId="49EB6064"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50,678</w:t>
            </w:r>
          </w:p>
        </w:tc>
        <w:tc>
          <w:tcPr>
            <w:tcW w:w="393" w:type="pct"/>
            <w:tcBorders>
              <w:top w:val="single" w:sz="4" w:space="0" w:color="293F5B"/>
              <w:left w:val="nil"/>
              <w:bottom w:val="single" w:sz="4" w:space="0" w:color="293F5B"/>
              <w:right w:val="nil"/>
            </w:tcBorders>
            <w:shd w:val="clear" w:color="000000" w:fill="E6F2FF"/>
            <w:noWrap/>
            <w:vAlign w:val="center"/>
            <w:hideMark/>
          </w:tcPr>
          <w:p w14:paraId="65DDBB4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37,610</w:t>
            </w:r>
          </w:p>
        </w:tc>
        <w:tc>
          <w:tcPr>
            <w:tcW w:w="393" w:type="pct"/>
            <w:tcBorders>
              <w:top w:val="single" w:sz="4" w:space="0" w:color="293F5B"/>
              <w:left w:val="nil"/>
              <w:bottom w:val="single" w:sz="4" w:space="0" w:color="293F5B"/>
              <w:right w:val="nil"/>
            </w:tcBorders>
            <w:shd w:val="clear" w:color="000000" w:fill="E6F2FF"/>
            <w:noWrap/>
            <w:vAlign w:val="center"/>
            <w:hideMark/>
          </w:tcPr>
          <w:p w14:paraId="0665D88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19,313</w:t>
            </w:r>
          </w:p>
        </w:tc>
        <w:tc>
          <w:tcPr>
            <w:tcW w:w="393" w:type="pct"/>
            <w:tcBorders>
              <w:top w:val="single" w:sz="4" w:space="0" w:color="293F5B"/>
              <w:left w:val="nil"/>
              <w:bottom w:val="single" w:sz="4" w:space="0" w:color="293F5B"/>
              <w:right w:val="nil"/>
            </w:tcBorders>
            <w:shd w:val="clear" w:color="000000" w:fill="E6F2FF"/>
            <w:noWrap/>
            <w:vAlign w:val="center"/>
            <w:hideMark/>
          </w:tcPr>
          <w:p w14:paraId="0C2F7434"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17,065</w:t>
            </w:r>
          </w:p>
        </w:tc>
        <w:tc>
          <w:tcPr>
            <w:tcW w:w="366" w:type="pct"/>
            <w:tcBorders>
              <w:top w:val="single" w:sz="4" w:space="0" w:color="293F5B"/>
              <w:left w:val="nil"/>
              <w:bottom w:val="single" w:sz="4" w:space="0" w:color="293F5B"/>
              <w:right w:val="nil"/>
            </w:tcBorders>
            <w:shd w:val="clear" w:color="000000" w:fill="E6F2FF"/>
            <w:noWrap/>
            <w:vAlign w:val="center"/>
            <w:hideMark/>
          </w:tcPr>
          <w:p w14:paraId="1389B03B"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6,309</w:t>
            </w:r>
          </w:p>
        </w:tc>
        <w:tc>
          <w:tcPr>
            <w:tcW w:w="366" w:type="pct"/>
            <w:tcBorders>
              <w:top w:val="single" w:sz="4" w:space="0" w:color="293F5B"/>
              <w:left w:val="nil"/>
              <w:bottom w:val="single" w:sz="4" w:space="0" w:color="293F5B"/>
              <w:right w:val="nil"/>
            </w:tcBorders>
            <w:shd w:val="clear" w:color="000000" w:fill="E6F2FF"/>
            <w:noWrap/>
            <w:vAlign w:val="center"/>
            <w:hideMark/>
          </w:tcPr>
          <w:p w14:paraId="243A89E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3,746</w:t>
            </w:r>
          </w:p>
        </w:tc>
        <w:tc>
          <w:tcPr>
            <w:tcW w:w="366" w:type="pct"/>
            <w:tcBorders>
              <w:top w:val="single" w:sz="4" w:space="0" w:color="293F5B"/>
              <w:left w:val="nil"/>
              <w:bottom w:val="single" w:sz="4" w:space="0" w:color="293F5B"/>
              <w:right w:val="nil"/>
            </w:tcBorders>
            <w:shd w:val="clear" w:color="000000" w:fill="E6F2FF"/>
            <w:noWrap/>
            <w:vAlign w:val="center"/>
            <w:hideMark/>
          </w:tcPr>
          <w:p w14:paraId="74C8F47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7,154</w:t>
            </w:r>
          </w:p>
        </w:tc>
        <w:tc>
          <w:tcPr>
            <w:tcW w:w="500" w:type="pct"/>
            <w:tcBorders>
              <w:top w:val="single" w:sz="4" w:space="0" w:color="293F5B"/>
              <w:left w:val="nil"/>
              <w:bottom w:val="single" w:sz="4" w:space="0" w:color="293F5B"/>
              <w:right w:val="nil"/>
            </w:tcBorders>
            <w:shd w:val="clear" w:color="000000" w:fill="E6F2FF"/>
            <w:noWrap/>
            <w:vAlign w:val="center"/>
            <w:hideMark/>
          </w:tcPr>
          <w:p w14:paraId="5C56CCF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196,506</w:t>
            </w:r>
          </w:p>
        </w:tc>
      </w:tr>
      <w:tr w:rsidR="00D3538A" w:rsidRPr="001C3592" w14:paraId="05FC1793"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12D18798" w14:textId="4E16D1CC" w:rsidR="00D3538A" w:rsidRPr="00451EA4" w:rsidRDefault="00D3538A" w:rsidP="00451EA4">
            <w:pPr>
              <w:spacing w:before="0" w:after="0" w:line="240" w:lineRule="auto"/>
              <w:rPr>
                <w:rFonts w:ascii="Arial" w:hAnsi="Arial" w:cs="Arial"/>
                <w:b/>
                <w:bCs/>
                <w:sz w:val="16"/>
                <w:szCs w:val="16"/>
              </w:rPr>
            </w:pPr>
            <w:r w:rsidRPr="00451EA4">
              <w:rPr>
                <w:rFonts w:ascii="Arial" w:hAnsi="Arial" w:cs="Arial"/>
                <w:b/>
                <w:bCs/>
                <w:sz w:val="16"/>
                <w:szCs w:val="16"/>
              </w:rPr>
              <w:t>2026</w:t>
            </w:r>
            <w:r w:rsidR="009B6F84">
              <w:rPr>
                <w:rFonts w:ascii="Arial" w:hAnsi="Arial" w:cs="Arial"/>
                <w:b/>
                <w:bCs/>
                <w:sz w:val="16"/>
                <w:szCs w:val="16"/>
              </w:rPr>
              <w:noBreakHyphen/>
            </w:r>
            <w:r w:rsidRPr="00451EA4">
              <w:rPr>
                <w:rFonts w:ascii="Arial" w:hAnsi="Arial" w:cs="Arial"/>
                <w:b/>
                <w:bCs/>
                <w:sz w:val="16"/>
                <w:szCs w:val="16"/>
              </w:rPr>
              <w:t>27</w:t>
            </w:r>
          </w:p>
        </w:tc>
        <w:tc>
          <w:tcPr>
            <w:tcW w:w="393" w:type="pct"/>
            <w:tcBorders>
              <w:top w:val="nil"/>
              <w:left w:val="nil"/>
              <w:bottom w:val="nil"/>
              <w:right w:val="nil"/>
            </w:tcBorders>
            <w:shd w:val="clear" w:color="000000" w:fill="FFFFFF"/>
            <w:noWrap/>
            <w:vAlign w:val="center"/>
            <w:hideMark/>
          </w:tcPr>
          <w:p w14:paraId="0B4B89E5"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6BF5C817"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4F0A198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5181738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6E390F8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1E167F7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60240F8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62759DF0"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500" w:type="pct"/>
            <w:tcBorders>
              <w:top w:val="nil"/>
              <w:left w:val="nil"/>
              <w:bottom w:val="nil"/>
              <w:right w:val="nil"/>
            </w:tcBorders>
            <w:shd w:val="clear" w:color="000000" w:fill="FFFFFF"/>
            <w:noWrap/>
            <w:vAlign w:val="center"/>
            <w:hideMark/>
          </w:tcPr>
          <w:p w14:paraId="5538FAD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r>
      <w:tr w:rsidR="00D3538A" w:rsidRPr="001C3592" w14:paraId="2E730721"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3321137B" w14:textId="77777777"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Payments for specific</w:t>
            </w:r>
          </w:p>
        </w:tc>
        <w:tc>
          <w:tcPr>
            <w:tcW w:w="393" w:type="pct"/>
            <w:tcBorders>
              <w:top w:val="nil"/>
              <w:left w:val="nil"/>
              <w:bottom w:val="nil"/>
              <w:right w:val="nil"/>
            </w:tcBorders>
            <w:shd w:val="clear" w:color="000000" w:fill="FFFFFF"/>
            <w:noWrap/>
            <w:vAlign w:val="center"/>
            <w:hideMark/>
          </w:tcPr>
          <w:p w14:paraId="16F52E8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57079B0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59D36A8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1EA9C695"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7234154C"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5321F64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58F1CA6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4EEE8545"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500" w:type="pct"/>
            <w:tcBorders>
              <w:top w:val="nil"/>
              <w:left w:val="nil"/>
              <w:bottom w:val="nil"/>
              <w:right w:val="nil"/>
            </w:tcBorders>
            <w:shd w:val="clear" w:color="000000" w:fill="FFFFFF"/>
            <w:noWrap/>
            <w:vAlign w:val="center"/>
            <w:hideMark/>
          </w:tcPr>
          <w:p w14:paraId="2F7B763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r>
      <w:tr w:rsidR="00D3538A" w:rsidRPr="001C3592" w14:paraId="6915714C"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0DE54D17" w14:textId="77777777" w:rsidR="00D3538A" w:rsidRPr="00451EA4" w:rsidRDefault="00D3538A" w:rsidP="00451EA4">
            <w:pPr>
              <w:spacing w:before="0" w:after="0" w:line="240" w:lineRule="auto"/>
              <w:ind w:left="170"/>
              <w:rPr>
                <w:rFonts w:ascii="Arial" w:hAnsi="Arial" w:cs="Arial"/>
                <w:sz w:val="16"/>
                <w:szCs w:val="16"/>
              </w:rPr>
            </w:pPr>
            <w:r w:rsidRPr="00451EA4">
              <w:rPr>
                <w:rFonts w:ascii="Arial" w:hAnsi="Arial" w:cs="Arial"/>
                <w:sz w:val="16"/>
                <w:szCs w:val="16"/>
              </w:rPr>
              <w:t>purposes(a)</w:t>
            </w:r>
          </w:p>
        </w:tc>
        <w:tc>
          <w:tcPr>
            <w:tcW w:w="393" w:type="pct"/>
            <w:tcBorders>
              <w:top w:val="nil"/>
              <w:left w:val="nil"/>
              <w:bottom w:val="nil"/>
              <w:right w:val="nil"/>
            </w:tcBorders>
            <w:shd w:val="clear" w:color="000000" w:fill="FFFFFF"/>
            <w:noWrap/>
            <w:vAlign w:val="center"/>
            <w:hideMark/>
          </w:tcPr>
          <w:p w14:paraId="30CB2580"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26,646</w:t>
            </w:r>
          </w:p>
        </w:tc>
        <w:tc>
          <w:tcPr>
            <w:tcW w:w="393" w:type="pct"/>
            <w:tcBorders>
              <w:top w:val="nil"/>
              <w:left w:val="nil"/>
              <w:bottom w:val="nil"/>
              <w:right w:val="nil"/>
            </w:tcBorders>
            <w:shd w:val="clear" w:color="000000" w:fill="FFFFFF"/>
            <w:noWrap/>
            <w:vAlign w:val="center"/>
            <w:hideMark/>
          </w:tcPr>
          <w:p w14:paraId="7C6A778A"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22,877</w:t>
            </w:r>
          </w:p>
        </w:tc>
        <w:tc>
          <w:tcPr>
            <w:tcW w:w="393" w:type="pct"/>
            <w:tcBorders>
              <w:top w:val="nil"/>
              <w:left w:val="nil"/>
              <w:bottom w:val="nil"/>
              <w:right w:val="nil"/>
            </w:tcBorders>
            <w:shd w:val="clear" w:color="000000" w:fill="FFFFFF"/>
            <w:noWrap/>
            <w:vAlign w:val="center"/>
            <w:hideMark/>
          </w:tcPr>
          <w:p w14:paraId="1B78D36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21,419</w:t>
            </w:r>
          </w:p>
        </w:tc>
        <w:tc>
          <w:tcPr>
            <w:tcW w:w="393" w:type="pct"/>
            <w:tcBorders>
              <w:top w:val="nil"/>
              <w:left w:val="nil"/>
              <w:bottom w:val="nil"/>
              <w:right w:val="nil"/>
            </w:tcBorders>
            <w:shd w:val="clear" w:color="000000" w:fill="FFFFFF"/>
            <w:noWrap/>
            <w:vAlign w:val="center"/>
            <w:hideMark/>
          </w:tcPr>
          <w:p w14:paraId="05521FF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9,809</w:t>
            </w:r>
          </w:p>
        </w:tc>
        <w:tc>
          <w:tcPr>
            <w:tcW w:w="393" w:type="pct"/>
            <w:tcBorders>
              <w:top w:val="nil"/>
              <w:left w:val="nil"/>
              <w:bottom w:val="nil"/>
              <w:right w:val="nil"/>
            </w:tcBorders>
            <w:shd w:val="clear" w:color="000000" w:fill="FFFFFF"/>
            <w:noWrap/>
            <w:vAlign w:val="center"/>
            <w:hideMark/>
          </w:tcPr>
          <w:p w14:paraId="3AA0CD2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7,329</w:t>
            </w:r>
          </w:p>
        </w:tc>
        <w:tc>
          <w:tcPr>
            <w:tcW w:w="366" w:type="pct"/>
            <w:tcBorders>
              <w:top w:val="nil"/>
              <w:left w:val="nil"/>
              <w:bottom w:val="nil"/>
              <w:right w:val="nil"/>
            </w:tcBorders>
            <w:shd w:val="clear" w:color="000000" w:fill="FFFFFF"/>
            <w:noWrap/>
            <w:vAlign w:val="center"/>
            <w:hideMark/>
          </w:tcPr>
          <w:p w14:paraId="45EC02A7"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2,529</w:t>
            </w:r>
          </w:p>
        </w:tc>
        <w:tc>
          <w:tcPr>
            <w:tcW w:w="366" w:type="pct"/>
            <w:tcBorders>
              <w:top w:val="nil"/>
              <w:left w:val="nil"/>
              <w:bottom w:val="nil"/>
              <w:right w:val="nil"/>
            </w:tcBorders>
            <w:shd w:val="clear" w:color="000000" w:fill="FFFFFF"/>
            <w:noWrap/>
            <w:vAlign w:val="center"/>
            <w:hideMark/>
          </w:tcPr>
          <w:p w14:paraId="0A2E8934"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1,564</w:t>
            </w:r>
          </w:p>
        </w:tc>
        <w:tc>
          <w:tcPr>
            <w:tcW w:w="366" w:type="pct"/>
            <w:tcBorders>
              <w:top w:val="nil"/>
              <w:left w:val="nil"/>
              <w:bottom w:val="nil"/>
              <w:right w:val="nil"/>
            </w:tcBorders>
            <w:shd w:val="clear" w:color="000000" w:fill="FFFFFF"/>
            <w:noWrap/>
            <w:vAlign w:val="center"/>
            <w:hideMark/>
          </w:tcPr>
          <w:p w14:paraId="36523CC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2,370</w:t>
            </w:r>
          </w:p>
        </w:tc>
        <w:tc>
          <w:tcPr>
            <w:tcW w:w="500" w:type="pct"/>
            <w:tcBorders>
              <w:top w:val="nil"/>
              <w:left w:val="nil"/>
              <w:bottom w:val="nil"/>
              <w:right w:val="nil"/>
            </w:tcBorders>
            <w:shd w:val="clear" w:color="000000" w:fill="FFFFFF"/>
            <w:noWrap/>
            <w:vAlign w:val="center"/>
            <w:hideMark/>
          </w:tcPr>
          <w:p w14:paraId="0BF24A34"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94,617</w:t>
            </w:r>
          </w:p>
        </w:tc>
      </w:tr>
      <w:tr w:rsidR="00D3538A" w:rsidRPr="001C3592" w14:paraId="7C525AA3"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76A86A97" w14:textId="010ACB3B"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GST</w:t>
            </w:r>
            <w:r w:rsidR="009B6F84">
              <w:rPr>
                <w:rFonts w:ascii="Arial" w:hAnsi="Arial" w:cs="Arial"/>
                <w:sz w:val="16"/>
                <w:szCs w:val="16"/>
              </w:rPr>
              <w:noBreakHyphen/>
            </w:r>
            <w:r w:rsidRPr="00451EA4">
              <w:rPr>
                <w:rFonts w:ascii="Arial" w:hAnsi="Arial" w:cs="Arial"/>
                <w:sz w:val="16"/>
                <w:szCs w:val="16"/>
              </w:rPr>
              <w:t>related payments(b)</w:t>
            </w:r>
          </w:p>
        </w:tc>
        <w:tc>
          <w:tcPr>
            <w:tcW w:w="393" w:type="pct"/>
            <w:tcBorders>
              <w:top w:val="nil"/>
              <w:left w:val="nil"/>
              <w:bottom w:val="nil"/>
              <w:right w:val="nil"/>
            </w:tcBorders>
            <w:shd w:val="clear" w:color="000000" w:fill="FFFFFF"/>
            <w:noWrap/>
            <w:vAlign w:val="center"/>
            <w:hideMark/>
          </w:tcPr>
          <w:p w14:paraId="360E17F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28,843</w:t>
            </w:r>
          </w:p>
        </w:tc>
        <w:tc>
          <w:tcPr>
            <w:tcW w:w="393" w:type="pct"/>
            <w:tcBorders>
              <w:top w:val="nil"/>
              <w:left w:val="nil"/>
              <w:bottom w:val="nil"/>
              <w:right w:val="nil"/>
            </w:tcBorders>
            <w:shd w:val="clear" w:color="000000" w:fill="FFFFFF"/>
            <w:noWrap/>
            <w:vAlign w:val="center"/>
            <w:hideMark/>
          </w:tcPr>
          <w:p w14:paraId="55BA5B5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29,351</w:t>
            </w:r>
          </w:p>
        </w:tc>
        <w:tc>
          <w:tcPr>
            <w:tcW w:w="393" w:type="pct"/>
            <w:tcBorders>
              <w:top w:val="nil"/>
              <w:left w:val="nil"/>
              <w:bottom w:val="nil"/>
              <w:right w:val="nil"/>
            </w:tcBorders>
            <w:shd w:val="clear" w:color="000000" w:fill="FFFFFF"/>
            <w:noWrap/>
            <w:vAlign w:val="center"/>
            <w:hideMark/>
          </w:tcPr>
          <w:p w14:paraId="694ECEB4"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17,548</w:t>
            </w:r>
          </w:p>
        </w:tc>
        <w:tc>
          <w:tcPr>
            <w:tcW w:w="393" w:type="pct"/>
            <w:tcBorders>
              <w:top w:val="nil"/>
              <w:left w:val="nil"/>
              <w:bottom w:val="nil"/>
              <w:right w:val="nil"/>
            </w:tcBorders>
            <w:shd w:val="clear" w:color="000000" w:fill="FFFFFF"/>
            <w:noWrap/>
            <w:vAlign w:val="center"/>
            <w:hideMark/>
          </w:tcPr>
          <w:p w14:paraId="0F5CAEC7"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9,317</w:t>
            </w:r>
          </w:p>
        </w:tc>
        <w:tc>
          <w:tcPr>
            <w:tcW w:w="393" w:type="pct"/>
            <w:tcBorders>
              <w:top w:val="nil"/>
              <w:left w:val="nil"/>
              <w:bottom w:val="nil"/>
              <w:right w:val="nil"/>
            </w:tcBorders>
            <w:shd w:val="clear" w:color="000000" w:fill="FFFFFF"/>
            <w:noWrap/>
            <w:vAlign w:val="center"/>
            <w:hideMark/>
          </w:tcPr>
          <w:p w14:paraId="71A9C48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9,939</w:t>
            </w:r>
          </w:p>
        </w:tc>
        <w:tc>
          <w:tcPr>
            <w:tcW w:w="366" w:type="pct"/>
            <w:tcBorders>
              <w:top w:val="nil"/>
              <w:left w:val="nil"/>
              <w:bottom w:val="nil"/>
              <w:right w:val="nil"/>
            </w:tcBorders>
            <w:shd w:val="clear" w:color="000000" w:fill="FFFFFF"/>
            <w:noWrap/>
            <w:vAlign w:val="center"/>
            <w:hideMark/>
          </w:tcPr>
          <w:p w14:paraId="18E5971C"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3,930</w:t>
            </w:r>
          </w:p>
        </w:tc>
        <w:tc>
          <w:tcPr>
            <w:tcW w:w="366" w:type="pct"/>
            <w:tcBorders>
              <w:top w:val="nil"/>
              <w:left w:val="nil"/>
              <w:bottom w:val="nil"/>
              <w:right w:val="nil"/>
            </w:tcBorders>
            <w:shd w:val="clear" w:color="000000" w:fill="FFFFFF"/>
            <w:noWrap/>
            <w:vAlign w:val="center"/>
            <w:hideMark/>
          </w:tcPr>
          <w:p w14:paraId="3AE2D0D5"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2,162</w:t>
            </w:r>
          </w:p>
        </w:tc>
        <w:tc>
          <w:tcPr>
            <w:tcW w:w="366" w:type="pct"/>
            <w:tcBorders>
              <w:top w:val="nil"/>
              <w:left w:val="nil"/>
              <w:bottom w:val="nil"/>
              <w:right w:val="nil"/>
            </w:tcBorders>
            <w:shd w:val="clear" w:color="000000" w:fill="FFFFFF"/>
            <w:noWrap/>
            <w:vAlign w:val="center"/>
            <w:hideMark/>
          </w:tcPr>
          <w:p w14:paraId="2A72560B"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4,821</w:t>
            </w:r>
          </w:p>
        </w:tc>
        <w:tc>
          <w:tcPr>
            <w:tcW w:w="500" w:type="pct"/>
            <w:tcBorders>
              <w:top w:val="nil"/>
              <w:left w:val="nil"/>
              <w:bottom w:val="nil"/>
              <w:right w:val="nil"/>
            </w:tcBorders>
            <w:shd w:val="clear" w:color="000000" w:fill="FFFFFF"/>
            <w:noWrap/>
            <w:vAlign w:val="center"/>
            <w:hideMark/>
          </w:tcPr>
          <w:p w14:paraId="7F5BB597"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105,910</w:t>
            </w:r>
          </w:p>
        </w:tc>
      </w:tr>
      <w:tr w:rsidR="00D3538A" w:rsidRPr="001C3592" w14:paraId="6980AC61"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7E6C17EC" w14:textId="77777777"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Other general revenue</w:t>
            </w:r>
          </w:p>
        </w:tc>
        <w:tc>
          <w:tcPr>
            <w:tcW w:w="393" w:type="pct"/>
            <w:tcBorders>
              <w:top w:val="nil"/>
              <w:left w:val="nil"/>
              <w:bottom w:val="nil"/>
              <w:right w:val="nil"/>
            </w:tcBorders>
            <w:shd w:val="clear" w:color="000000" w:fill="FFFFFF"/>
            <w:noWrap/>
            <w:vAlign w:val="center"/>
            <w:hideMark/>
          </w:tcPr>
          <w:p w14:paraId="13DEAA8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6041B9C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5480662C"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5CDC9B3F"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163CA3F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2F6C1487"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605C3CEF"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4D9A780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500" w:type="pct"/>
            <w:tcBorders>
              <w:top w:val="nil"/>
              <w:left w:val="nil"/>
              <w:bottom w:val="nil"/>
              <w:right w:val="nil"/>
            </w:tcBorders>
            <w:shd w:val="clear" w:color="000000" w:fill="FFFFFF"/>
            <w:noWrap/>
            <w:vAlign w:val="center"/>
            <w:hideMark/>
          </w:tcPr>
          <w:p w14:paraId="39FAE71A"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r>
      <w:tr w:rsidR="00D3538A" w:rsidRPr="001C3592" w14:paraId="66102FC8"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08620093" w14:textId="77777777" w:rsidR="00D3538A" w:rsidRPr="00451EA4" w:rsidRDefault="00D3538A" w:rsidP="00451EA4">
            <w:pPr>
              <w:spacing w:before="0" w:after="0" w:line="240" w:lineRule="auto"/>
              <w:ind w:left="170"/>
              <w:rPr>
                <w:rFonts w:ascii="Arial" w:hAnsi="Arial" w:cs="Arial"/>
                <w:sz w:val="16"/>
                <w:szCs w:val="16"/>
              </w:rPr>
            </w:pPr>
            <w:r w:rsidRPr="00451EA4">
              <w:rPr>
                <w:rFonts w:ascii="Arial" w:hAnsi="Arial" w:cs="Arial"/>
                <w:sz w:val="16"/>
                <w:szCs w:val="16"/>
              </w:rPr>
              <w:t>assistance</w:t>
            </w:r>
          </w:p>
        </w:tc>
        <w:tc>
          <w:tcPr>
            <w:tcW w:w="393" w:type="pct"/>
            <w:tcBorders>
              <w:top w:val="nil"/>
              <w:left w:val="nil"/>
              <w:bottom w:val="nil"/>
              <w:right w:val="nil"/>
            </w:tcBorders>
            <w:shd w:val="clear" w:color="000000" w:fill="FFFFFF"/>
            <w:noWrap/>
            <w:vAlign w:val="center"/>
            <w:hideMark/>
          </w:tcPr>
          <w:p w14:paraId="32BCBA21" w14:textId="64B46BD9"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93" w:type="pct"/>
            <w:tcBorders>
              <w:top w:val="nil"/>
              <w:left w:val="nil"/>
              <w:bottom w:val="nil"/>
              <w:right w:val="nil"/>
            </w:tcBorders>
            <w:shd w:val="clear" w:color="000000" w:fill="FFFFFF"/>
            <w:noWrap/>
            <w:vAlign w:val="center"/>
            <w:hideMark/>
          </w:tcPr>
          <w:p w14:paraId="0D3D5CB5" w14:textId="52DBF2FF"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93" w:type="pct"/>
            <w:tcBorders>
              <w:top w:val="nil"/>
              <w:left w:val="nil"/>
              <w:bottom w:val="nil"/>
              <w:right w:val="nil"/>
            </w:tcBorders>
            <w:shd w:val="clear" w:color="000000" w:fill="FFFFFF"/>
            <w:noWrap/>
            <w:vAlign w:val="center"/>
            <w:hideMark/>
          </w:tcPr>
          <w:p w14:paraId="061A41A2" w14:textId="0F66EBFF"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93" w:type="pct"/>
            <w:tcBorders>
              <w:top w:val="nil"/>
              <w:left w:val="nil"/>
              <w:bottom w:val="nil"/>
              <w:right w:val="nil"/>
            </w:tcBorders>
            <w:shd w:val="clear" w:color="000000" w:fill="FFFFFF"/>
            <w:noWrap/>
            <w:vAlign w:val="center"/>
            <w:hideMark/>
          </w:tcPr>
          <w:p w14:paraId="385487F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400</w:t>
            </w:r>
          </w:p>
        </w:tc>
        <w:tc>
          <w:tcPr>
            <w:tcW w:w="393" w:type="pct"/>
            <w:tcBorders>
              <w:top w:val="nil"/>
              <w:left w:val="nil"/>
              <w:bottom w:val="nil"/>
              <w:right w:val="nil"/>
            </w:tcBorders>
            <w:shd w:val="clear" w:color="000000" w:fill="FFFFFF"/>
            <w:noWrap/>
            <w:vAlign w:val="center"/>
            <w:hideMark/>
          </w:tcPr>
          <w:p w14:paraId="1DF0FDB4" w14:textId="73886FFB"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66" w:type="pct"/>
            <w:tcBorders>
              <w:top w:val="nil"/>
              <w:left w:val="nil"/>
              <w:bottom w:val="nil"/>
              <w:right w:val="nil"/>
            </w:tcBorders>
            <w:shd w:val="clear" w:color="000000" w:fill="FFFFFF"/>
            <w:noWrap/>
            <w:vAlign w:val="center"/>
            <w:hideMark/>
          </w:tcPr>
          <w:p w14:paraId="4141963E" w14:textId="3EC27006"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66" w:type="pct"/>
            <w:tcBorders>
              <w:top w:val="nil"/>
              <w:left w:val="nil"/>
              <w:bottom w:val="nil"/>
              <w:right w:val="nil"/>
            </w:tcBorders>
            <w:shd w:val="clear" w:color="000000" w:fill="FFFFFF"/>
            <w:noWrap/>
            <w:vAlign w:val="center"/>
            <w:hideMark/>
          </w:tcPr>
          <w:p w14:paraId="0C2D96A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47</w:t>
            </w:r>
          </w:p>
        </w:tc>
        <w:tc>
          <w:tcPr>
            <w:tcW w:w="366" w:type="pct"/>
            <w:tcBorders>
              <w:top w:val="nil"/>
              <w:left w:val="nil"/>
              <w:bottom w:val="nil"/>
              <w:right w:val="nil"/>
            </w:tcBorders>
            <w:shd w:val="clear" w:color="000000" w:fill="FFFFFF"/>
            <w:noWrap/>
            <w:vAlign w:val="center"/>
            <w:hideMark/>
          </w:tcPr>
          <w:p w14:paraId="4BFA2FA2" w14:textId="5EFFC94E"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500" w:type="pct"/>
            <w:tcBorders>
              <w:top w:val="nil"/>
              <w:left w:val="nil"/>
              <w:bottom w:val="nil"/>
              <w:right w:val="nil"/>
            </w:tcBorders>
            <w:shd w:val="clear" w:color="000000" w:fill="FFFFFF"/>
            <w:noWrap/>
            <w:vAlign w:val="center"/>
            <w:hideMark/>
          </w:tcPr>
          <w:p w14:paraId="580229F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447</w:t>
            </w:r>
          </w:p>
        </w:tc>
      </w:tr>
      <w:tr w:rsidR="00D3538A" w:rsidRPr="001C3592" w14:paraId="5A3752EC"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16060A10" w14:textId="77777777"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Total payments to the states</w:t>
            </w:r>
          </w:p>
        </w:tc>
        <w:tc>
          <w:tcPr>
            <w:tcW w:w="393" w:type="pct"/>
            <w:tcBorders>
              <w:top w:val="single" w:sz="4" w:space="0" w:color="293F5B"/>
              <w:left w:val="nil"/>
              <w:bottom w:val="single" w:sz="4" w:space="0" w:color="293F5B"/>
              <w:right w:val="nil"/>
            </w:tcBorders>
            <w:shd w:val="clear" w:color="000000" w:fill="FFFFFF"/>
            <w:noWrap/>
            <w:vAlign w:val="center"/>
            <w:hideMark/>
          </w:tcPr>
          <w:p w14:paraId="00BCCBB4"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55,488</w:t>
            </w:r>
          </w:p>
        </w:tc>
        <w:tc>
          <w:tcPr>
            <w:tcW w:w="393" w:type="pct"/>
            <w:tcBorders>
              <w:top w:val="single" w:sz="4" w:space="0" w:color="293F5B"/>
              <w:left w:val="nil"/>
              <w:bottom w:val="single" w:sz="4" w:space="0" w:color="293F5B"/>
              <w:right w:val="nil"/>
            </w:tcBorders>
            <w:shd w:val="clear" w:color="000000" w:fill="FFFFFF"/>
            <w:noWrap/>
            <w:vAlign w:val="center"/>
            <w:hideMark/>
          </w:tcPr>
          <w:p w14:paraId="65DF5B3B"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52,228</w:t>
            </w:r>
          </w:p>
        </w:tc>
        <w:tc>
          <w:tcPr>
            <w:tcW w:w="393" w:type="pct"/>
            <w:tcBorders>
              <w:top w:val="single" w:sz="4" w:space="0" w:color="293F5B"/>
              <w:left w:val="nil"/>
              <w:bottom w:val="single" w:sz="4" w:space="0" w:color="293F5B"/>
              <w:right w:val="nil"/>
            </w:tcBorders>
            <w:shd w:val="clear" w:color="000000" w:fill="FFFFFF"/>
            <w:noWrap/>
            <w:vAlign w:val="center"/>
            <w:hideMark/>
          </w:tcPr>
          <w:p w14:paraId="44BBD20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38,967</w:t>
            </w:r>
          </w:p>
        </w:tc>
        <w:tc>
          <w:tcPr>
            <w:tcW w:w="393" w:type="pct"/>
            <w:tcBorders>
              <w:top w:val="single" w:sz="4" w:space="0" w:color="293F5B"/>
              <w:left w:val="nil"/>
              <w:bottom w:val="single" w:sz="4" w:space="0" w:color="293F5B"/>
              <w:right w:val="nil"/>
            </w:tcBorders>
            <w:shd w:val="clear" w:color="000000" w:fill="FFFFFF"/>
            <w:noWrap/>
            <w:vAlign w:val="center"/>
            <w:hideMark/>
          </w:tcPr>
          <w:p w14:paraId="74755BEA"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19,526</w:t>
            </w:r>
          </w:p>
        </w:tc>
        <w:tc>
          <w:tcPr>
            <w:tcW w:w="393" w:type="pct"/>
            <w:tcBorders>
              <w:top w:val="single" w:sz="4" w:space="0" w:color="293F5B"/>
              <w:left w:val="nil"/>
              <w:bottom w:val="single" w:sz="4" w:space="0" w:color="293F5B"/>
              <w:right w:val="nil"/>
            </w:tcBorders>
            <w:shd w:val="clear" w:color="000000" w:fill="FFFFFF"/>
            <w:noWrap/>
            <w:vAlign w:val="center"/>
            <w:hideMark/>
          </w:tcPr>
          <w:p w14:paraId="5554062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17,268</w:t>
            </w:r>
          </w:p>
        </w:tc>
        <w:tc>
          <w:tcPr>
            <w:tcW w:w="366" w:type="pct"/>
            <w:tcBorders>
              <w:top w:val="single" w:sz="4" w:space="0" w:color="293F5B"/>
              <w:left w:val="nil"/>
              <w:bottom w:val="single" w:sz="4" w:space="0" w:color="293F5B"/>
              <w:right w:val="nil"/>
            </w:tcBorders>
            <w:shd w:val="clear" w:color="000000" w:fill="FFFFFF"/>
            <w:noWrap/>
            <w:vAlign w:val="center"/>
            <w:hideMark/>
          </w:tcPr>
          <w:p w14:paraId="137C365F"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6,459</w:t>
            </w:r>
          </w:p>
        </w:tc>
        <w:tc>
          <w:tcPr>
            <w:tcW w:w="366" w:type="pct"/>
            <w:tcBorders>
              <w:top w:val="single" w:sz="4" w:space="0" w:color="293F5B"/>
              <w:left w:val="nil"/>
              <w:bottom w:val="single" w:sz="4" w:space="0" w:color="293F5B"/>
              <w:right w:val="nil"/>
            </w:tcBorders>
            <w:shd w:val="clear" w:color="000000" w:fill="FFFFFF"/>
            <w:noWrap/>
            <w:vAlign w:val="center"/>
            <w:hideMark/>
          </w:tcPr>
          <w:p w14:paraId="1F3EA33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3,774</w:t>
            </w:r>
          </w:p>
        </w:tc>
        <w:tc>
          <w:tcPr>
            <w:tcW w:w="366" w:type="pct"/>
            <w:tcBorders>
              <w:top w:val="single" w:sz="4" w:space="0" w:color="293F5B"/>
              <w:left w:val="nil"/>
              <w:bottom w:val="single" w:sz="4" w:space="0" w:color="293F5B"/>
              <w:right w:val="nil"/>
            </w:tcBorders>
            <w:shd w:val="clear" w:color="000000" w:fill="FFFFFF"/>
            <w:noWrap/>
            <w:vAlign w:val="center"/>
            <w:hideMark/>
          </w:tcPr>
          <w:p w14:paraId="41076FFC"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7,191</w:t>
            </w:r>
          </w:p>
        </w:tc>
        <w:tc>
          <w:tcPr>
            <w:tcW w:w="500" w:type="pct"/>
            <w:tcBorders>
              <w:top w:val="single" w:sz="4" w:space="0" w:color="293F5B"/>
              <w:left w:val="nil"/>
              <w:bottom w:val="single" w:sz="4" w:space="0" w:color="293F5B"/>
              <w:right w:val="nil"/>
            </w:tcBorders>
            <w:shd w:val="clear" w:color="000000" w:fill="FFFFFF"/>
            <w:noWrap/>
            <w:vAlign w:val="center"/>
            <w:hideMark/>
          </w:tcPr>
          <w:p w14:paraId="555FE09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200,975</w:t>
            </w:r>
          </w:p>
        </w:tc>
      </w:tr>
      <w:tr w:rsidR="00D3538A" w:rsidRPr="001C3592" w14:paraId="767B619A"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17751AAD" w14:textId="7C20E99D" w:rsidR="00D3538A" w:rsidRPr="00451EA4" w:rsidRDefault="00D3538A" w:rsidP="00451EA4">
            <w:pPr>
              <w:spacing w:before="0" w:after="0" w:line="240" w:lineRule="auto"/>
              <w:rPr>
                <w:rFonts w:ascii="Arial" w:hAnsi="Arial" w:cs="Arial"/>
                <w:b/>
                <w:bCs/>
                <w:sz w:val="16"/>
                <w:szCs w:val="16"/>
              </w:rPr>
            </w:pPr>
            <w:r w:rsidRPr="00451EA4">
              <w:rPr>
                <w:rFonts w:ascii="Arial" w:hAnsi="Arial" w:cs="Arial"/>
                <w:b/>
                <w:bCs/>
                <w:sz w:val="16"/>
                <w:szCs w:val="16"/>
              </w:rPr>
              <w:t>2027</w:t>
            </w:r>
            <w:r w:rsidR="009B6F84">
              <w:rPr>
                <w:rFonts w:ascii="Arial" w:hAnsi="Arial" w:cs="Arial"/>
                <w:b/>
                <w:bCs/>
                <w:sz w:val="16"/>
                <w:szCs w:val="16"/>
              </w:rPr>
              <w:noBreakHyphen/>
            </w:r>
            <w:r w:rsidRPr="00451EA4">
              <w:rPr>
                <w:rFonts w:ascii="Arial" w:hAnsi="Arial" w:cs="Arial"/>
                <w:b/>
                <w:bCs/>
                <w:sz w:val="16"/>
                <w:szCs w:val="16"/>
              </w:rPr>
              <w:t>28</w:t>
            </w:r>
          </w:p>
        </w:tc>
        <w:tc>
          <w:tcPr>
            <w:tcW w:w="393" w:type="pct"/>
            <w:tcBorders>
              <w:top w:val="nil"/>
              <w:left w:val="nil"/>
              <w:bottom w:val="nil"/>
              <w:right w:val="nil"/>
            </w:tcBorders>
            <w:shd w:val="clear" w:color="000000" w:fill="FFFFFF"/>
            <w:noWrap/>
            <w:vAlign w:val="center"/>
            <w:hideMark/>
          </w:tcPr>
          <w:p w14:paraId="028D2AC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7CADE1A9"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35B70F67"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4AD6A85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2804640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4B7F0FC7"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648D22F4"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1582C66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500" w:type="pct"/>
            <w:tcBorders>
              <w:top w:val="nil"/>
              <w:left w:val="nil"/>
              <w:bottom w:val="nil"/>
              <w:right w:val="nil"/>
            </w:tcBorders>
            <w:shd w:val="clear" w:color="000000" w:fill="FFFFFF"/>
            <w:noWrap/>
            <w:vAlign w:val="center"/>
            <w:hideMark/>
          </w:tcPr>
          <w:p w14:paraId="550330F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r>
      <w:tr w:rsidR="00D3538A" w:rsidRPr="001C3592" w14:paraId="33590D9A"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765C4F45" w14:textId="77777777"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Payments for specific</w:t>
            </w:r>
          </w:p>
        </w:tc>
        <w:tc>
          <w:tcPr>
            <w:tcW w:w="393" w:type="pct"/>
            <w:tcBorders>
              <w:top w:val="nil"/>
              <w:left w:val="nil"/>
              <w:bottom w:val="nil"/>
              <w:right w:val="nil"/>
            </w:tcBorders>
            <w:shd w:val="clear" w:color="000000" w:fill="FFFFFF"/>
            <w:noWrap/>
            <w:vAlign w:val="center"/>
            <w:hideMark/>
          </w:tcPr>
          <w:p w14:paraId="4E5A13DC"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70B8BA4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79CE5FEC"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7D42DAF0"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08D63349"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1C7A220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147759D5"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41BDEF3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500" w:type="pct"/>
            <w:tcBorders>
              <w:top w:val="nil"/>
              <w:left w:val="nil"/>
              <w:bottom w:val="nil"/>
              <w:right w:val="nil"/>
            </w:tcBorders>
            <w:shd w:val="clear" w:color="000000" w:fill="FFFFFF"/>
            <w:noWrap/>
            <w:vAlign w:val="center"/>
            <w:hideMark/>
          </w:tcPr>
          <w:p w14:paraId="2E8EB240"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r>
      <w:tr w:rsidR="00D3538A" w:rsidRPr="001C3592" w14:paraId="468A0B91"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7A6BAA4D" w14:textId="77777777" w:rsidR="00D3538A" w:rsidRPr="00451EA4" w:rsidRDefault="00D3538A" w:rsidP="00451EA4">
            <w:pPr>
              <w:spacing w:before="0" w:after="0" w:line="240" w:lineRule="auto"/>
              <w:ind w:left="170"/>
              <w:rPr>
                <w:rFonts w:ascii="Arial" w:hAnsi="Arial" w:cs="Arial"/>
                <w:sz w:val="16"/>
                <w:szCs w:val="16"/>
              </w:rPr>
            </w:pPr>
            <w:r w:rsidRPr="00451EA4">
              <w:rPr>
                <w:rFonts w:ascii="Arial" w:hAnsi="Arial" w:cs="Arial"/>
                <w:sz w:val="16"/>
                <w:szCs w:val="16"/>
              </w:rPr>
              <w:t>purposes(a)</w:t>
            </w:r>
          </w:p>
        </w:tc>
        <w:tc>
          <w:tcPr>
            <w:tcW w:w="393" w:type="pct"/>
            <w:tcBorders>
              <w:top w:val="nil"/>
              <w:left w:val="nil"/>
              <w:bottom w:val="nil"/>
              <w:right w:val="nil"/>
            </w:tcBorders>
            <w:shd w:val="clear" w:color="000000" w:fill="FFFFFF"/>
            <w:noWrap/>
            <w:vAlign w:val="center"/>
            <w:hideMark/>
          </w:tcPr>
          <w:p w14:paraId="0F71589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27,257</w:t>
            </w:r>
          </w:p>
        </w:tc>
        <w:tc>
          <w:tcPr>
            <w:tcW w:w="393" w:type="pct"/>
            <w:tcBorders>
              <w:top w:val="nil"/>
              <w:left w:val="nil"/>
              <w:bottom w:val="nil"/>
              <w:right w:val="nil"/>
            </w:tcBorders>
            <w:shd w:val="clear" w:color="000000" w:fill="FFFFFF"/>
            <w:noWrap/>
            <w:vAlign w:val="center"/>
            <w:hideMark/>
          </w:tcPr>
          <w:p w14:paraId="0A6156A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23,468</w:t>
            </w:r>
          </w:p>
        </w:tc>
        <w:tc>
          <w:tcPr>
            <w:tcW w:w="393" w:type="pct"/>
            <w:tcBorders>
              <w:top w:val="nil"/>
              <w:left w:val="nil"/>
              <w:bottom w:val="nil"/>
              <w:right w:val="nil"/>
            </w:tcBorders>
            <w:shd w:val="clear" w:color="000000" w:fill="FFFFFF"/>
            <w:noWrap/>
            <w:vAlign w:val="center"/>
            <w:hideMark/>
          </w:tcPr>
          <w:p w14:paraId="53451EE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22,389</w:t>
            </w:r>
          </w:p>
        </w:tc>
        <w:tc>
          <w:tcPr>
            <w:tcW w:w="393" w:type="pct"/>
            <w:tcBorders>
              <w:top w:val="nil"/>
              <w:left w:val="nil"/>
              <w:bottom w:val="nil"/>
              <w:right w:val="nil"/>
            </w:tcBorders>
            <w:shd w:val="clear" w:color="000000" w:fill="FFFFFF"/>
            <w:noWrap/>
            <w:vAlign w:val="center"/>
            <w:hideMark/>
          </w:tcPr>
          <w:p w14:paraId="1DC04C0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9,620</w:t>
            </w:r>
          </w:p>
        </w:tc>
        <w:tc>
          <w:tcPr>
            <w:tcW w:w="393" w:type="pct"/>
            <w:tcBorders>
              <w:top w:val="nil"/>
              <w:left w:val="nil"/>
              <w:bottom w:val="nil"/>
              <w:right w:val="nil"/>
            </w:tcBorders>
            <w:shd w:val="clear" w:color="000000" w:fill="FFFFFF"/>
            <w:noWrap/>
            <w:vAlign w:val="center"/>
            <w:hideMark/>
          </w:tcPr>
          <w:p w14:paraId="753191E4"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7,512</w:t>
            </w:r>
          </w:p>
        </w:tc>
        <w:tc>
          <w:tcPr>
            <w:tcW w:w="366" w:type="pct"/>
            <w:tcBorders>
              <w:top w:val="nil"/>
              <w:left w:val="nil"/>
              <w:bottom w:val="nil"/>
              <w:right w:val="nil"/>
            </w:tcBorders>
            <w:shd w:val="clear" w:color="000000" w:fill="FFFFFF"/>
            <w:noWrap/>
            <w:vAlign w:val="center"/>
            <w:hideMark/>
          </w:tcPr>
          <w:p w14:paraId="09B6C08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2,419</w:t>
            </w:r>
          </w:p>
        </w:tc>
        <w:tc>
          <w:tcPr>
            <w:tcW w:w="366" w:type="pct"/>
            <w:tcBorders>
              <w:top w:val="nil"/>
              <w:left w:val="nil"/>
              <w:bottom w:val="nil"/>
              <w:right w:val="nil"/>
            </w:tcBorders>
            <w:shd w:val="clear" w:color="000000" w:fill="FFFFFF"/>
            <w:noWrap/>
            <w:vAlign w:val="center"/>
            <w:hideMark/>
          </w:tcPr>
          <w:p w14:paraId="4303E54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1,487</w:t>
            </w:r>
          </w:p>
        </w:tc>
        <w:tc>
          <w:tcPr>
            <w:tcW w:w="366" w:type="pct"/>
            <w:tcBorders>
              <w:top w:val="nil"/>
              <w:left w:val="nil"/>
              <w:bottom w:val="nil"/>
              <w:right w:val="nil"/>
            </w:tcBorders>
            <w:shd w:val="clear" w:color="000000" w:fill="FFFFFF"/>
            <w:noWrap/>
            <w:vAlign w:val="center"/>
            <w:hideMark/>
          </w:tcPr>
          <w:p w14:paraId="077F115C"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2,069</w:t>
            </w:r>
          </w:p>
        </w:tc>
        <w:tc>
          <w:tcPr>
            <w:tcW w:w="500" w:type="pct"/>
            <w:tcBorders>
              <w:top w:val="nil"/>
              <w:left w:val="nil"/>
              <w:bottom w:val="nil"/>
              <w:right w:val="nil"/>
            </w:tcBorders>
            <w:shd w:val="clear" w:color="000000" w:fill="FFFFFF"/>
            <w:noWrap/>
            <w:vAlign w:val="center"/>
            <w:hideMark/>
          </w:tcPr>
          <w:p w14:paraId="30C9BDFB"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97,285</w:t>
            </w:r>
          </w:p>
        </w:tc>
      </w:tr>
      <w:tr w:rsidR="00D3538A" w:rsidRPr="001C3592" w14:paraId="7301DECE"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38EA9B29" w14:textId="79303549"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GST</w:t>
            </w:r>
            <w:r w:rsidR="009B6F84">
              <w:rPr>
                <w:rFonts w:ascii="Arial" w:hAnsi="Arial" w:cs="Arial"/>
                <w:sz w:val="16"/>
                <w:szCs w:val="16"/>
              </w:rPr>
              <w:noBreakHyphen/>
            </w:r>
            <w:r w:rsidRPr="00451EA4">
              <w:rPr>
                <w:rFonts w:ascii="Arial" w:hAnsi="Arial" w:cs="Arial"/>
                <w:sz w:val="16"/>
                <w:szCs w:val="16"/>
              </w:rPr>
              <w:t>related payments(b)</w:t>
            </w:r>
          </w:p>
        </w:tc>
        <w:tc>
          <w:tcPr>
            <w:tcW w:w="393" w:type="pct"/>
            <w:tcBorders>
              <w:top w:val="nil"/>
              <w:left w:val="nil"/>
              <w:bottom w:val="nil"/>
              <w:right w:val="nil"/>
            </w:tcBorders>
            <w:shd w:val="clear" w:color="000000" w:fill="FFFFFF"/>
            <w:noWrap/>
            <w:vAlign w:val="center"/>
            <w:hideMark/>
          </w:tcPr>
          <w:p w14:paraId="1B4F3370"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30,285</w:t>
            </w:r>
          </w:p>
        </w:tc>
        <w:tc>
          <w:tcPr>
            <w:tcW w:w="393" w:type="pct"/>
            <w:tcBorders>
              <w:top w:val="nil"/>
              <w:left w:val="nil"/>
              <w:bottom w:val="nil"/>
              <w:right w:val="nil"/>
            </w:tcBorders>
            <w:shd w:val="clear" w:color="000000" w:fill="FFFFFF"/>
            <w:noWrap/>
            <w:vAlign w:val="center"/>
            <w:hideMark/>
          </w:tcPr>
          <w:p w14:paraId="4875045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30,960</w:t>
            </w:r>
          </w:p>
        </w:tc>
        <w:tc>
          <w:tcPr>
            <w:tcW w:w="393" w:type="pct"/>
            <w:tcBorders>
              <w:top w:val="nil"/>
              <w:left w:val="nil"/>
              <w:bottom w:val="nil"/>
              <w:right w:val="nil"/>
            </w:tcBorders>
            <w:shd w:val="clear" w:color="000000" w:fill="FFFFFF"/>
            <w:noWrap/>
            <w:vAlign w:val="center"/>
            <w:hideMark/>
          </w:tcPr>
          <w:p w14:paraId="4C3531DC"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18,561</w:t>
            </w:r>
          </w:p>
        </w:tc>
        <w:tc>
          <w:tcPr>
            <w:tcW w:w="393" w:type="pct"/>
            <w:tcBorders>
              <w:top w:val="nil"/>
              <w:left w:val="nil"/>
              <w:bottom w:val="nil"/>
              <w:right w:val="nil"/>
            </w:tcBorders>
            <w:shd w:val="clear" w:color="000000" w:fill="FFFFFF"/>
            <w:noWrap/>
            <w:vAlign w:val="center"/>
            <w:hideMark/>
          </w:tcPr>
          <w:p w14:paraId="2FC6A91A"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9,863</w:t>
            </w:r>
          </w:p>
        </w:tc>
        <w:tc>
          <w:tcPr>
            <w:tcW w:w="393" w:type="pct"/>
            <w:tcBorders>
              <w:top w:val="nil"/>
              <w:left w:val="nil"/>
              <w:bottom w:val="nil"/>
              <w:right w:val="nil"/>
            </w:tcBorders>
            <w:shd w:val="clear" w:color="000000" w:fill="FFFFFF"/>
            <w:noWrap/>
            <w:vAlign w:val="center"/>
            <w:hideMark/>
          </w:tcPr>
          <w:p w14:paraId="73521EA9"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10,417</w:t>
            </w:r>
          </w:p>
        </w:tc>
        <w:tc>
          <w:tcPr>
            <w:tcW w:w="366" w:type="pct"/>
            <w:tcBorders>
              <w:top w:val="nil"/>
              <w:left w:val="nil"/>
              <w:bottom w:val="nil"/>
              <w:right w:val="nil"/>
            </w:tcBorders>
            <w:shd w:val="clear" w:color="000000" w:fill="FFFFFF"/>
            <w:noWrap/>
            <w:vAlign w:val="center"/>
            <w:hideMark/>
          </w:tcPr>
          <w:p w14:paraId="306F3FE4"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4,110</w:t>
            </w:r>
          </w:p>
        </w:tc>
        <w:tc>
          <w:tcPr>
            <w:tcW w:w="366" w:type="pct"/>
            <w:tcBorders>
              <w:top w:val="nil"/>
              <w:left w:val="nil"/>
              <w:bottom w:val="nil"/>
              <w:right w:val="nil"/>
            </w:tcBorders>
            <w:shd w:val="clear" w:color="000000" w:fill="FFFFFF"/>
            <w:noWrap/>
            <w:vAlign w:val="center"/>
            <w:hideMark/>
          </w:tcPr>
          <w:p w14:paraId="36F2E977"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2,278</w:t>
            </w:r>
          </w:p>
        </w:tc>
        <w:tc>
          <w:tcPr>
            <w:tcW w:w="366" w:type="pct"/>
            <w:tcBorders>
              <w:top w:val="nil"/>
              <w:left w:val="nil"/>
              <w:bottom w:val="nil"/>
              <w:right w:val="nil"/>
            </w:tcBorders>
            <w:shd w:val="clear" w:color="000000" w:fill="FFFFFF"/>
            <w:noWrap/>
            <w:vAlign w:val="center"/>
            <w:hideMark/>
          </w:tcPr>
          <w:p w14:paraId="1FF359B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5,068</w:t>
            </w:r>
          </w:p>
        </w:tc>
        <w:tc>
          <w:tcPr>
            <w:tcW w:w="500" w:type="pct"/>
            <w:tcBorders>
              <w:top w:val="nil"/>
              <w:left w:val="nil"/>
              <w:bottom w:val="nil"/>
              <w:right w:val="nil"/>
            </w:tcBorders>
            <w:shd w:val="clear" w:color="000000" w:fill="FFFFFF"/>
            <w:noWrap/>
            <w:vAlign w:val="center"/>
            <w:hideMark/>
          </w:tcPr>
          <w:p w14:paraId="55C49E8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111,542</w:t>
            </w:r>
          </w:p>
        </w:tc>
      </w:tr>
      <w:tr w:rsidR="00D3538A" w:rsidRPr="001C3592" w14:paraId="2BD406D1"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29CD6F29" w14:textId="77777777"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Other general revenue</w:t>
            </w:r>
          </w:p>
        </w:tc>
        <w:tc>
          <w:tcPr>
            <w:tcW w:w="393" w:type="pct"/>
            <w:tcBorders>
              <w:top w:val="nil"/>
              <w:left w:val="nil"/>
              <w:bottom w:val="nil"/>
              <w:right w:val="nil"/>
            </w:tcBorders>
            <w:shd w:val="clear" w:color="000000" w:fill="FFFFFF"/>
            <w:noWrap/>
            <w:vAlign w:val="center"/>
            <w:hideMark/>
          </w:tcPr>
          <w:p w14:paraId="492E4824"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0F927B87"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0199937C"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7BBB9A5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671BFDF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37EA47A4"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31CB3BCA"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5CC18CB9"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500" w:type="pct"/>
            <w:tcBorders>
              <w:top w:val="nil"/>
              <w:left w:val="nil"/>
              <w:bottom w:val="nil"/>
              <w:right w:val="nil"/>
            </w:tcBorders>
            <w:shd w:val="clear" w:color="000000" w:fill="FFFFFF"/>
            <w:noWrap/>
            <w:vAlign w:val="center"/>
            <w:hideMark/>
          </w:tcPr>
          <w:p w14:paraId="084074F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r>
      <w:tr w:rsidR="00D3538A" w:rsidRPr="001C3592" w14:paraId="5AC83367"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001646AA" w14:textId="77777777" w:rsidR="00D3538A" w:rsidRPr="00451EA4" w:rsidRDefault="00D3538A" w:rsidP="00451EA4">
            <w:pPr>
              <w:spacing w:before="0" w:after="0" w:line="240" w:lineRule="auto"/>
              <w:ind w:left="170"/>
              <w:rPr>
                <w:rFonts w:ascii="Arial" w:hAnsi="Arial" w:cs="Arial"/>
                <w:sz w:val="16"/>
                <w:szCs w:val="16"/>
              </w:rPr>
            </w:pPr>
            <w:r w:rsidRPr="00451EA4">
              <w:rPr>
                <w:rFonts w:ascii="Arial" w:hAnsi="Arial" w:cs="Arial"/>
                <w:sz w:val="16"/>
                <w:szCs w:val="16"/>
              </w:rPr>
              <w:t>assistance</w:t>
            </w:r>
          </w:p>
        </w:tc>
        <w:tc>
          <w:tcPr>
            <w:tcW w:w="393" w:type="pct"/>
            <w:tcBorders>
              <w:top w:val="nil"/>
              <w:left w:val="nil"/>
              <w:bottom w:val="nil"/>
              <w:right w:val="nil"/>
            </w:tcBorders>
            <w:shd w:val="clear" w:color="000000" w:fill="FFFFFF"/>
            <w:noWrap/>
            <w:vAlign w:val="center"/>
            <w:hideMark/>
          </w:tcPr>
          <w:p w14:paraId="71A186DA" w14:textId="479B0D5E"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93" w:type="pct"/>
            <w:tcBorders>
              <w:top w:val="nil"/>
              <w:left w:val="nil"/>
              <w:bottom w:val="nil"/>
              <w:right w:val="nil"/>
            </w:tcBorders>
            <w:shd w:val="clear" w:color="000000" w:fill="FFFFFF"/>
            <w:noWrap/>
            <w:vAlign w:val="center"/>
            <w:hideMark/>
          </w:tcPr>
          <w:p w14:paraId="5CBF41A5" w14:textId="583BDE8A"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93" w:type="pct"/>
            <w:tcBorders>
              <w:top w:val="nil"/>
              <w:left w:val="nil"/>
              <w:bottom w:val="nil"/>
              <w:right w:val="nil"/>
            </w:tcBorders>
            <w:shd w:val="clear" w:color="000000" w:fill="FFFFFF"/>
            <w:noWrap/>
            <w:vAlign w:val="center"/>
            <w:hideMark/>
          </w:tcPr>
          <w:p w14:paraId="30464683" w14:textId="0B296874"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93" w:type="pct"/>
            <w:tcBorders>
              <w:top w:val="nil"/>
              <w:left w:val="nil"/>
              <w:bottom w:val="nil"/>
              <w:right w:val="nil"/>
            </w:tcBorders>
            <w:shd w:val="clear" w:color="000000" w:fill="FFFFFF"/>
            <w:noWrap/>
            <w:vAlign w:val="center"/>
            <w:hideMark/>
          </w:tcPr>
          <w:p w14:paraId="130BD4D4"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369</w:t>
            </w:r>
          </w:p>
        </w:tc>
        <w:tc>
          <w:tcPr>
            <w:tcW w:w="393" w:type="pct"/>
            <w:tcBorders>
              <w:top w:val="nil"/>
              <w:left w:val="nil"/>
              <w:bottom w:val="nil"/>
              <w:right w:val="nil"/>
            </w:tcBorders>
            <w:shd w:val="clear" w:color="000000" w:fill="FFFFFF"/>
            <w:noWrap/>
            <w:vAlign w:val="center"/>
            <w:hideMark/>
          </w:tcPr>
          <w:p w14:paraId="47F07632" w14:textId="59C86494"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66" w:type="pct"/>
            <w:tcBorders>
              <w:top w:val="nil"/>
              <w:left w:val="nil"/>
              <w:bottom w:val="nil"/>
              <w:right w:val="nil"/>
            </w:tcBorders>
            <w:shd w:val="clear" w:color="000000" w:fill="FFFFFF"/>
            <w:noWrap/>
            <w:vAlign w:val="center"/>
            <w:hideMark/>
          </w:tcPr>
          <w:p w14:paraId="6EF34A4E" w14:textId="36937529"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66" w:type="pct"/>
            <w:tcBorders>
              <w:top w:val="nil"/>
              <w:left w:val="nil"/>
              <w:bottom w:val="nil"/>
              <w:right w:val="nil"/>
            </w:tcBorders>
            <w:shd w:val="clear" w:color="000000" w:fill="FFFFFF"/>
            <w:noWrap/>
            <w:vAlign w:val="center"/>
            <w:hideMark/>
          </w:tcPr>
          <w:p w14:paraId="067692F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48</w:t>
            </w:r>
          </w:p>
        </w:tc>
        <w:tc>
          <w:tcPr>
            <w:tcW w:w="366" w:type="pct"/>
            <w:tcBorders>
              <w:top w:val="nil"/>
              <w:left w:val="nil"/>
              <w:bottom w:val="nil"/>
              <w:right w:val="nil"/>
            </w:tcBorders>
            <w:shd w:val="clear" w:color="000000" w:fill="FFFFFF"/>
            <w:noWrap/>
            <w:vAlign w:val="center"/>
            <w:hideMark/>
          </w:tcPr>
          <w:p w14:paraId="0DF1C91B" w14:textId="45D1169F"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500" w:type="pct"/>
            <w:tcBorders>
              <w:top w:val="nil"/>
              <w:left w:val="nil"/>
              <w:bottom w:val="nil"/>
              <w:right w:val="nil"/>
            </w:tcBorders>
            <w:shd w:val="clear" w:color="000000" w:fill="FFFFFF"/>
            <w:noWrap/>
            <w:vAlign w:val="center"/>
            <w:hideMark/>
          </w:tcPr>
          <w:p w14:paraId="0FBCD87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418</w:t>
            </w:r>
          </w:p>
        </w:tc>
      </w:tr>
      <w:tr w:rsidR="00D3538A" w:rsidRPr="001C3592" w14:paraId="21ECB333"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4D68D3C7" w14:textId="77777777"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Total payments to the states</w:t>
            </w:r>
          </w:p>
        </w:tc>
        <w:tc>
          <w:tcPr>
            <w:tcW w:w="393" w:type="pct"/>
            <w:tcBorders>
              <w:top w:val="single" w:sz="4" w:space="0" w:color="293F5B"/>
              <w:left w:val="nil"/>
              <w:bottom w:val="single" w:sz="4" w:space="0" w:color="293F5B"/>
              <w:right w:val="nil"/>
            </w:tcBorders>
            <w:shd w:val="clear" w:color="000000" w:fill="FFFFFF"/>
            <w:noWrap/>
            <w:vAlign w:val="center"/>
            <w:hideMark/>
          </w:tcPr>
          <w:p w14:paraId="49915F9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57,542</w:t>
            </w:r>
          </w:p>
        </w:tc>
        <w:tc>
          <w:tcPr>
            <w:tcW w:w="393" w:type="pct"/>
            <w:tcBorders>
              <w:top w:val="single" w:sz="4" w:space="0" w:color="293F5B"/>
              <w:left w:val="nil"/>
              <w:bottom w:val="single" w:sz="4" w:space="0" w:color="293F5B"/>
              <w:right w:val="nil"/>
            </w:tcBorders>
            <w:shd w:val="clear" w:color="000000" w:fill="FFFFFF"/>
            <w:noWrap/>
            <w:vAlign w:val="center"/>
            <w:hideMark/>
          </w:tcPr>
          <w:p w14:paraId="690C3B8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54,428</w:t>
            </w:r>
          </w:p>
        </w:tc>
        <w:tc>
          <w:tcPr>
            <w:tcW w:w="393" w:type="pct"/>
            <w:tcBorders>
              <w:top w:val="single" w:sz="4" w:space="0" w:color="293F5B"/>
              <w:left w:val="nil"/>
              <w:bottom w:val="single" w:sz="4" w:space="0" w:color="293F5B"/>
              <w:right w:val="nil"/>
            </w:tcBorders>
            <w:shd w:val="clear" w:color="000000" w:fill="FFFFFF"/>
            <w:noWrap/>
            <w:vAlign w:val="center"/>
            <w:hideMark/>
          </w:tcPr>
          <w:p w14:paraId="1555966C"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40,950</w:t>
            </w:r>
          </w:p>
        </w:tc>
        <w:tc>
          <w:tcPr>
            <w:tcW w:w="393" w:type="pct"/>
            <w:tcBorders>
              <w:top w:val="single" w:sz="4" w:space="0" w:color="293F5B"/>
              <w:left w:val="nil"/>
              <w:bottom w:val="single" w:sz="4" w:space="0" w:color="293F5B"/>
              <w:right w:val="nil"/>
            </w:tcBorders>
            <w:shd w:val="clear" w:color="000000" w:fill="FFFFFF"/>
            <w:noWrap/>
            <w:vAlign w:val="center"/>
            <w:hideMark/>
          </w:tcPr>
          <w:p w14:paraId="0F786CE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19,852</w:t>
            </w:r>
          </w:p>
        </w:tc>
        <w:tc>
          <w:tcPr>
            <w:tcW w:w="393" w:type="pct"/>
            <w:tcBorders>
              <w:top w:val="single" w:sz="4" w:space="0" w:color="293F5B"/>
              <w:left w:val="nil"/>
              <w:bottom w:val="single" w:sz="4" w:space="0" w:color="293F5B"/>
              <w:right w:val="nil"/>
            </w:tcBorders>
            <w:shd w:val="clear" w:color="000000" w:fill="FFFFFF"/>
            <w:noWrap/>
            <w:vAlign w:val="center"/>
            <w:hideMark/>
          </w:tcPr>
          <w:p w14:paraId="19F782B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17,929</w:t>
            </w:r>
          </w:p>
        </w:tc>
        <w:tc>
          <w:tcPr>
            <w:tcW w:w="366" w:type="pct"/>
            <w:tcBorders>
              <w:top w:val="single" w:sz="4" w:space="0" w:color="293F5B"/>
              <w:left w:val="nil"/>
              <w:bottom w:val="single" w:sz="4" w:space="0" w:color="293F5B"/>
              <w:right w:val="nil"/>
            </w:tcBorders>
            <w:shd w:val="clear" w:color="000000" w:fill="FFFFFF"/>
            <w:noWrap/>
            <w:vAlign w:val="center"/>
            <w:hideMark/>
          </w:tcPr>
          <w:p w14:paraId="475E45F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6,529</w:t>
            </w:r>
          </w:p>
        </w:tc>
        <w:tc>
          <w:tcPr>
            <w:tcW w:w="366" w:type="pct"/>
            <w:tcBorders>
              <w:top w:val="single" w:sz="4" w:space="0" w:color="293F5B"/>
              <w:left w:val="nil"/>
              <w:bottom w:val="single" w:sz="4" w:space="0" w:color="293F5B"/>
              <w:right w:val="nil"/>
            </w:tcBorders>
            <w:shd w:val="clear" w:color="000000" w:fill="FFFFFF"/>
            <w:noWrap/>
            <w:vAlign w:val="center"/>
            <w:hideMark/>
          </w:tcPr>
          <w:p w14:paraId="06AE603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3,813</w:t>
            </w:r>
          </w:p>
        </w:tc>
        <w:tc>
          <w:tcPr>
            <w:tcW w:w="366" w:type="pct"/>
            <w:tcBorders>
              <w:top w:val="single" w:sz="4" w:space="0" w:color="293F5B"/>
              <w:left w:val="nil"/>
              <w:bottom w:val="single" w:sz="4" w:space="0" w:color="293F5B"/>
              <w:right w:val="nil"/>
            </w:tcBorders>
            <w:shd w:val="clear" w:color="000000" w:fill="FFFFFF"/>
            <w:noWrap/>
            <w:vAlign w:val="center"/>
            <w:hideMark/>
          </w:tcPr>
          <w:p w14:paraId="6AAD9E6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7,137</w:t>
            </w:r>
          </w:p>
        </w:tc>
        <w:tc>
          <w:tcPr>
            <w:tcW w:w="500" w:type="pct"/>
            <w:tcBorders>
              <w:top w:val="single" w:sz="4" w:space="0" w:color="293F5B"/>
              <w:left w:val="nil"/>
              <w:bottom w:val="single" w:sz="4" w:space="0" w:color="293F5B"/>
              <w:right w:val="nil"/>
            </w:tcBorders>
            <w:shd w:val="clear" w:color="000000" w:fill="FFFFFF"/>
            <w:noWrap/>
            <w:vAlign w:val="center"/>
            <w:hideMark/>
          </w:tcPr>
          <w:p w14:paraId="21A3BF40"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209,245</w:t>
            </w:r>
          </w:p>
        </w:tc>
      </w:tr>
      <w:tr w:rsidR="00D3538A" w:rsidRPr="001C3592" w14:paraId="57A1D04D"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10A360CE" w14:textId="03D1AA7F" w:rsidR="00D3538A" w:rsidRPr="00451EA4" w:rsidRDefault="00D3538A" w:rsidP="00451EA4">
            <w:pPr>
              <w:spacing w:before="0" w:after="0" w:line="240" w:lineRule="auto"/>
              <w:rPr>
                <w:rFonts w:ascii="Arial" w:hAnsi="Arial" w:cs="Arial"/>
                <w:b/>
                <w:bCs/>
                <w:sz w:val="16"/>
                <w:szCs w:val="16"/>
              </w:rPr>
            </w:pPr>
            <w:r w:rsidRPr="00451EA4">
              <w:rPr>
                <w:rFonts w:ascii="Arial" w:hAnsi="Arial" w:cs="Arial"/>
                <w:b/>
                <w:bCs/>
                <w:sz w:val="16"/>
                <w:szCs w:val="16"/>
              </w:rPr>
              <w:t>2028</w:t>
            </w:r>
            <w:r w:rsidR="009B6F84">
              <w:rPr>
                <w:rFonts w:ascii="Arial" w:hAnsi="Arial" w:cs="Arial"/>
                <w:b/>
                <w:bCs/>
                <w:sz w:val="16"/>
                <w:szCs w:val="16"/>
              </w:rPr>
              <w:noBreakHyphen/>
            </w:r>
            <w:r w:rsidRPr="00451EA4">
              <w:rPr>
                <w:rFonts w:ascii="Arial" w:hAnsi="Arial" w:cs="Arial"/>
                <w:b/>
                <w:bCs/>
                <w:sz w:val="16"/>
                <w:szCs w:val="16"/>
              </w:rPr>
              <w:t>29</w:t>
            </w:r>
          </w:p>
        </w:tc>
        <w:tc>
          <w:tcPr>
            <w:tcW w:w="393" w:type="pct"/>
            <w:tcBorders>
              <w:top w:val="nil"/>
              <w:left w:val="nil"/>
              <w:bottom w:val="nil"/>
              <w:right w:val="nil"/>
            </w:tcBorders>
            <w:shd w:val="clear" w:color="000000" w:fill="FFFFFF"/>
            <w:noWrap/>
            <w:vAlign w:val="center"/>
            <w:hideMark/>
          </w:tcPr>
          <w:p w14:paraId="66C577E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4096CF09"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7491637C"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08A27660"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5BA3EAC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3A7202EC"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42E6E78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2F4D376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500" w:type="pct"/>
            <w:tcBorders>
              <w:top w:val="nil"/>
              <w:left w:val="nil"/>
              <w:bottom w:val="nil"/>
              <w:right w:val="nil"/>
            </w:tcBorders>
            <w:shd w:val="clear" w:color="000000" w:fill="FFFFFF"/>
            <w:noWrap/>
            <w:vAlign w:val="center"/>
            <w:hideMark/>
          </w:tcPr>
          <w:p w14:paraId="405352F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r>
      <w:tr w:rsidR="00D3538A" w:rsidRPr="001C3592" w14:paraId="12303926"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75C0F143" w14:textId="77777777"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Payments for specific</w:t>
            </w:r>
          </w:p>
        </w:tc>
        <w:tc>
          <w:tcPr>
            <w:tcW w:w="393" w:type="pct"/>
            <w:tcBorders>
              <w:top w:val="nil"/>
              <w:left w:val="nil"/>
              <w:bottom w:val="nil"/>
              <w:right w:val="nil"/>
            </w:tcBorders>
            <w:shd w:val="clear" w:color="000000" w:fill="FFFFFF"/>
            <w:noWrap/>
            <w:vAlign w:val="center"/>
            <w:hideMark/>
          </w:tcPr>
          <w:p w14:paraId="05F488A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112A7AE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25B9D7C5"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659770F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7DD589BF"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0412524F"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4DEC662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0117F4FC"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500" w:type="pct"/>
            <w:tcBorders>
              <w:top w:val="nil"/>
              <w:left w:val="nil"/>
              <w:bottom w:val="nil"/>
              <w:right w:val="nil"/>
            </w:tcBorders>
            <w:shd w:val="clear" w:color="000000" w:fill="FFFFFF"/>
            <w:noWrap/>
            <w:vAlign w:val="center"/>
            <w:hideMark/>
          </w:tcPr>
          <w:p w14:paraId="0F1E22F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r>
      <w:tr w:rsidR="00D3538A" w:rsidRPr="001C3592" w14:paraId="13E5E8A9"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5F0D167F" w14:textId="77777777" w:rsidR="00D3538A" w:rsidRPr="00451EA4" w:rsidRDefault="00D3538A" w:rsidP="00451EA4">
            <w:pPr>
              <w:spacing w:before="0" w:after="0" w:line="240" w:lineRule="auto"/>
              <w:ind w:left="170"/>
              <w:rPr>
                <w:rFonts w:ascii="Arial" w:hAnsi="Arial" w:cs="Arial"/>
                <w:sz w:val="16"/>
                <w:szCs w:val="16"/>
              </w:rPr>
            </w:pPr>
            <w:r w:rsidRPr="00451EA4">
              <w:rPr>
                <w:rFonts w:ascii="Arial" w:hAnsi="Arial" w:cs="Arial"/>
                <w:sz w:val="16"/>
                <w:szCs w:val="16"/>
              </w:rPr>
              <w:t>purposes(a)</w:t>
            </w:r>
          </w:p>
        </w:tc>
        <w:tc>
          <w:tcPr>
            <w:tcW w:w="393" w:type="pct"/>
            <w:tcBorders>
              <w:top w:val="nil"/>
              <w:left w:val="nil"/>
              <w:bottom w:val="nil"/>
              <w:right w:val="nil"/>
            </w:tcBorders>
            <w:shd w:val="clear" w:color="000000" w:fill="FFFFFF"/>
            <w:noWrap/>
            <w:vAlign w:val="center"/>
            <w:hideMark/>
          </w:tcPr>
          <w:p w14:paraId="1424E45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28,752</w:t>
            </w:r>
          </w:p>
        </w:tc>
        <w:tc>
          <w:tcPr>
            <w:tcW w:w="393" w:type="pct"/>
            <w:tcBorders>
              <w:top w:val="nil"/>
              <w:left w:val="nil"/>
              <w:bottom w:val="nil"/>
              <w:right w:val="nil"/>
            </w:tcBorders>
            <w:shd w:val="clear" w:color="000000" w:fill="FFFFFF"/>
            <w:noWrap/>
            <w:vAlign w:val="center"/>
            <w:hideMark/>
          </w:tcPr>
          <w:p w14:paraId="665973E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23,254</w:t>
            </w:r>
          </w:p>
        </w:tc>
        <w:tc>
          <w:tcPr>
            <w:tcW w:w="393" w:type="pct"/>
            <w:tcBorders>
              <w:top w:val="nil"/>
              <w:left w:val="nil"/>
              <w:bottom w:val="nil"/>
              <w:right w:val="nil"/>
            </w:tcBorders>
            <w:shd w:val="clear" w:color="000000" w:fill="FFFFFF"/>
            <w:noWrap/>
            <w:vAlign w:val="center"/>
            <w:hideMark/>
          </w:tcPr>
          <w:p w14:paraId="10BFBCD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22,954</w:t>
            </w:r>
          </w:p>
        </w:tc>
        <w:tc>
          <w:tcPr>
            <w:tcW w:w="393" w:type="pct"/>
            <w:tcBorders>
              <w:top w:val="nil"/>
              <w:left w:val="nil"/>
              <w:bottom w:val="nil"/>
              <w:right w:val="nil"/>
            </w:tcBorders>
            <w:shd w:val="clear" w:color="000000" w:fill="FFFFFF"/>
            <w:noWrap/>
            <w:vAlign w:val="center"/>
            <w:hideMark/>
          </w:tcPr>
          <w:p w14:paraId="26BC0A67"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9,738</w:t>
            </w:r>
          </w:p>
        </w:tc>
        <w:tc>
          <w:tcPr>
            <w:tcW w:w="393" w:type="pct"/>
            <w:tcBorders>
              <w:top w:val="nil"/>
              <w:left w:val="nil"/>
              <w:bottom w:val="nil"/>
              <w:right w:val="nil"/>
            </w:tcBorders>
            <w:shd w:val="clear" w:color="000000" w:fill="FFFFFF"/>
            <w:noWrap/>
            <w:vAlign w:val="center"/>
            <w:hideMark/>
          </w:tcPr>
          <w:p w14:paraId="16E7CEC9"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7,251</w:t>
            </w:r>
          </w:p>
        </w:tc>
        <w:tc>
          <w:tcPr>
            <w:tcW w:w="366" w:type="pct"/>
            <w:tcBorders>
              <w:top w:val="nil"/>
              <w:left w:val="nil"/>
              <w:bottom w:val="nil"/>
              <w:right w:val="nil"/>
            </w:tcBorders>
            <w:shd w:val="clear" w:color="000000" w:fill="FFFFFF"/>
            <w:noWrap/>
            <w:vAlign w:val="center"/>
            <w:hideMark/>
          </w:tcPr>
          <w:p w14:paraId="55F4C5CB"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2,297</w:t>
            </w:r>
          </w:p>
        </w:tc>
        <w:tc>
          <w:tcPr>
            <w:tcW w:w="366" w:type="pct"/>
            <w:tcBorders>
              <w:top w:val="nil"/>
              <w:left w:val="nil"/>
              <w:bottom w:val="nil"/>
              <w:right w:val="nil"/>
            </w:tcBorders>
            <w:shd w:val="clear" w:color="000000" w:fill="FFFFFF"/>
            <w:noWrap/>
            <w:vAlign w:val="center"/>
            <w:hideMark/>
          </w:tcPr>
          <w:p w14:paraId="2A54CF3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1,454</w:t>
            </w:r>
          </w:p>
        </w:tc>
        <w:tc>
          <w:tcPr>
            <w:tcW w:w="366" w:type="pct"/>
            <w:tcBorders>
              <w:top w:val="nil"/>
              <w:left w:val="nil"/>
              <w:bottom w:val="nil"/>
              <w:right w:val="nil"/>
            </w:tcBorders>
            <w:shd w:val="clear" w:color="000000" w:fill="FFFFFF"/>
            <w:noWrap/>
            <w:vAlign w:val="center"/>
            <w:hideMark/>
          </w:tcPr>
          <w:p w14:paraId="129F56D7"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2,224</w:t>
            </w:r>
          </w:p>
        </w:tc>
        <w:tc>
          <w:tcPr>
            <w:tcW w:w="500" w:type="pct"/>
            <w:tcBorders>
              <w:top w:val="nil"/>
              <w:left w:val="nil"/>
              <w:bottom w:val="nil"/>
              <w:right w:val="nil"/>
            </w:tcBorders>
            <w:shd w:val="clear" w:color="000000" w:fill="FFFFFF"/>
            <w:noWrap/>
            <w:vAlign w:val="center"/>
            <w:hideMark/>
          </w:tcPr>
          <w:p w14:paraId="05D33D5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100,519</w:t>
            </w:r>
          </w:p>
        </w:tc>
      </w:tr>
      <w:tr w:rsidR="00D3538A" w:rsidRPr="001C3592" w14:paraId="45B24547"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761B66FF" w14:textId="4D373A10"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GST</w:t>
            </w:r>
            <w:r w:rsidR="009B6F84">
              <w:rPr>
                <w:rFonts w:ascii="Arial" w:hAnsi="Arial" w:cs="Arial"/>
                <w:sz w:val="16"/>
                <w:szCs w:val="16"/>
              </w:rPr>
              <w:noBreakHyphen/>
            </w:r>
            <w:r w:rsidRPr="00451EA4">
              <w:rPr>
                <w:rFonts w:ascii="Arial" w:hAnsi="Arial" w:cs="Arial"/>
                <w:sz w:val="16"/>
                <w:szCs w:val="16"/>
              </w:rPr>
              <w:t>related payments(b)</w:t>
            </w:r>
          </w:p>
        </w:tc>
        <w:tc>
          <w:tcPr>
            <w:tcW w:w="393" w:type="pct"/>
            <w:tcBorders>
              <w:top w:val="nil"/>
              <w:left w:val="nil"/>
              <w:bottom w:val="nil"/>
              <w:right w:val="nil"/>
            </w:tcBorders>
            <w:shd w:val="clear" w:color="000000" w:fill="FFFFFF"/>
            <w:noWrap/>
            <w:vAlign w:val="center"/>
            <w:hideMark/>
          </w:tcPr>
          <w:p w14:paraId="144B290B"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31,716</w:t>
            </w:r>
          </w:p>
        </w:tc>
        <w:tc>
          <w:tcPr>
            <w:tcW w:w="393" w:type="pct"/>
            <w:tcBorders>
              <w:top w:val="nil"/>
              <w:left w:val="nil"/>
              <w:bottom w:val="nil"/>
              <w:right w:val="nil"/>
            </w:tcBorders>
            <w:shd w:val="clear" w:color="000000" w:fill="FFFFFF"/>
            <w:noWrap/>
            <w:vAlign w:val="center"/>
            <w:hideMark/>
          </w:tcPr>
          <w:p w14:paraId="22724DC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32,569</w:t>
            </w:r>
          </w:p>
        </w:tc>
        <w:tc>
          <w:tcPr>
            <w:tcW w:w="393" w:type="pct"/>
            <w:tcBorders>
              <w:top w:val="nil"/>
              <w:left w:val="nil"/>
              <w:bottom w:val="nil"/>
              <w:right w:val="nil"/>
            </w:tcBorders>
            <w:shd w:val="clear" w:color="000000" w:fill="FFFFFF"/>
            <w:noWrap/>
            <w:vAlign w:val="center"/>
            <w:hideMark/>
          </w:tcPr>
          <w:p w14:paraId="161DDF40"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19,582</w:t>
            </w:r>
          </w:p>
        </w:tc>
        <w:tc>
          <w:tcPr>
            <w:tcW w:w="393" w:type="pct"/>
            <w:tcBorders>
              <w:top w:val="nil"/>
              <w:left w:val="nil"/>
              <w:bottom w:val="nil"/>
              <w:right w:val="nil"/>
            </w:tcBorders>
            <w:shd w:val="clear" w:color="000000" w:fill="FFFFFF"/>
            <w:noWrap/>
            <w:vAlign w:val="center"/>
            <w:hideMark/>
          </w:tcPr>
          <w:p w14:paraId="130A509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10,415</w:t>
            </w:r>
          </w:p>
        </w:tc>
        <w:tc>
          <w:tcPr>
            <w:tcW w:w="393" w:type="pct"/>
            <w:tcBorders>
              <w:top w:val="nil"/>
              <w:left w:val="nil"/>
              <w:bottom w:val="nil"/>
              <w:right w:val="nil"/>
            </w:tcBorders>
            <w:shd w:val="clear" w:color="000000" w:fill="FFFFFF"/>
            <w:noWrap/>
            <w:vAlign w:val="center"/>
            <w:hideMark/>
          </w:tcPr>
          <w:p w14:paraId="0DC1E555"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10,890</w:t>
            </w:r>
          </w:p>
        </w:tc>
        <w:tc>
          <w:tcPr>
            <w:tcW w:w="366" w:type="pct"/>
            <w:tcBorders>
              <w:top w:val="nil"/>
              <w:left w:val="nil"/>
              <w:bottom w:val="nil"/>
              <w:right w:val="nil"/>
            </w:tcBorders>
            <w:shd w:val="clear" w:color="000000" w:fill="FFFFFF"/>
            <w:noWrap/>
            <w:vAlign w:val="center"/>
            <w:hideMark/>
          </w:tcPr>
          <w:p w14:paraId="62879DC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4,287</w:t>
            </w:r>
          </w:p>
        </w:tc>
        <w:tc>
          <w:tcPr>
            <w:tcW w:w="366" w:type="pct"/>
            <w:tcBorders>
              <w:top w:val="nil"/>
              <w:left w:val="nil"/>
              <w:bottom w:val="nil"/>
              <w:right w:val="nil"/>
            </w:tcBorders>
            <w:shd w:val="clear" w:color="000000" w:fill="FFFFFF"/>
            <w:noWrap/>
            <w:vAlign w:val="center"/>
            <w:hideMark/>
          </w:tcPr>
          <w:p w14:paraId="07BBF7F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2,393</w:t>
            </w:r>
          </w:p>
        </w:tc>
        <w:tc>
          <w:tcPr>
            <w:tcW w:w="366" w:type="pct"/>
            <w:tcBorders>
              <w:top w:val="nil"/>
              <w:left w:val="nil"/>
              <w:bottom w:val="nil"/>
              <w:right w:val="nil"/>
            </w:tcBorders>
            <w:shd w:val="clear" w:color="000000" w:fill="FFFFFF"/>
            <w:noWrap/>
            <w:vAlign w:val="center"/>
            <w:hideMark/>
          </w:tcPr>
          <w:p w14:paraId="51239192"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5,317</w:t>
            </w:r>
          </w:p>
        </w:tc>
        <w:tc>
          <w:tcPr>
            <w:tcW w:w="500" w:type="pct"/>
            <w:tcBorders>
              <w:top w:val="nil"/>
              <w:left w:val="nil"/>
              <w:bottom w:val="nil"/>
              <w:right w:val="nil"/>
            </w:tcBorders>
            <w:shd w:val="clear" w:color="000000" w:fill="FFFFFF"/>
            <w:noWrap/>
            <w:vAlign w:val="center"/>
            <w:hideMark/>
          </w:tcPr>
          <w:p w14:paraId="5C9470A5"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117,171</w:t>
            </w:r>
          </w:p>
        </w:tc>
      </w:tr>
      <w:tr w:rsidR="00D3538A" w:rsidRPr="001C3592" w14:paraId="367E11C2"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63189EBD" w14:textId="77777777"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Other general revenue</w:t>
            </w:r>
          </w:p>
        </w:tc>
        <w:tc>
          <w:tcPr>
            <w:tcW w:w="393" w:type="pct"/>
            <w:tcBorders>
              <w:top w:val="nil"/>
              <w:left w:val="nil"/>
              <w:bottom w:val="nil"/>
              <w:right w:val="nil"/>
            </w:tcBorders>
            <w:shd w:val="clear" w:color="000000" w:fill="FFFFFF"/>
            <w:noWrap/>
            <w:vAlign w:val="center"/>
            <w:hideMark/>
          </w:tcPr>
          <w:p w14:paraId="428EB2B8"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776B128F"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61B3F05B"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4F18CF5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93" w:type="pct"/>
            <w:tcBorders>
              <w:top w:val="nil"/>
              <w:left w:val="nil"/>
              <w:bottom w:val="nil"/>
              <w:right w:val="nil"/>
            </w:tcBorders>
            <w:shd w:val="clear" w:color="000000" w:fill="FFFFFF"/>
            <w:noWrap/>
            <w:vAlign w:val="center"/>
            <w:hideMark/>
          </w:tcPr>
          <w:p w14:paraId="05D809B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4BFA612A"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5F6E695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366" w:type="pct"/>
            <w:tcBorders>
              <w:top w:val="nil"/>
              <w:left w:val="nil"/>
              <w:bottom w:val="nil"/>
              <w:right w:val="nil"/>
            </w:tcBorders>
            <w:shd w:val="clear" w:color="000000" w:fill="FFFFFF"/>
            <w:noWrap/>
            <w:vAlign w:val="center"/>
            <w:hideMark/>
          </w:tcPr>
          <w:p w14:paraId="29CCFE3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c>
          <w:tcPr>
            <w:tcW w:w="500" w:type="pct"/>
            <w:tcBorders>
              <w:top w:val="nil"/>
              <w:left w:val="nil"/>
              <w:bottom w:val="nil"/>
              <w:right w:val="nil"/>
            </w:tcBorders>
            <w:shd w:val="clear" w:color="000000" w:fill="FFFFFF"/>
            <w:noWrap/>
            <w:vAlign w:val="center"/>
            <w:hideMark/>
          </w:tcPr>
          <w:p w14:paraId="384126E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 </w:t>
            </w:r>
          </w:p>
        </w:tc>
      </w:tr>
      <w:tr w:rsidR="00D3538A" w:rsidRPr="001C3592" w14:paraId="6D6BF385" w14:textId="77777777" w:rsidTr="00451EA4">
        <w:trPr>
          <w:trHeight w:hRule="exact" w:val="226"/>
        </w:trPr>
        <w:tc>
          <w:tcPr>
            <w:tcW w:w="1436" w:type="pct"/>
            <w:tcBorders>
              <w:top w:val="nil"/>
              <w:left w:val="nil"/>
              <w:bottom w:val="nil"/>
              <w:right w:val="nil"/>
            </w:tcBorders>
            <w:shd w:val="clear" w:color="000000" w:fill="FFFFFF"/>
            <w:noWrap/>
            <w:vAlign w:val="center"/>
            <w:hideMark/>
          </w:tcPr>
          <w:p w14:paraId="1D7C0EE7" w14:textId="77777777" w:rsidR="00D3538A" w:rsidRPr="00451EA4" w:rsidRDefault="00D3538A" w:rsidP="00451EA4">
            <w:pPr>
              <w:spacing w:before="0" w:after="0" w:line="240" w:lineRule="auto"/>
              <w:ind w:left="170"/>
              <w:rPr>
                <w:rFonts w:ascii="Arial" w:hAnsi="Arial" w:cs="Arial"/>
                <w:sz w:val="16"/>
                <w:szCs w:val="16"/>
              </w:rPr>
            </w:pPr>
            <w:r w:rsidRPr="00451EA4">
              <w:rPr>
                <w:rFonts w:ascii="Arial" w:hAnsi="Arial" w:cs="Arial"/>
                <w:sz w:val="16"/>
                <w:szCs w:val="16"/>
              </w:rPr>
              <w:t>assistance</w:t>
            </w:r>
          </w:p>
        </w:tc>
        <w:tc>
          <w:tcPr>
            <w:tcW w:w="393" w:type="pct"/>
            <w:tcBorders>
              <w:top w:val="nil"/>
              <w:left w:val="nil"/>
              <w:bottom w:val="nil"/>
              <w:right w:val="nil"/>
            </w:tcBorders>
            <w:shd w:val="clear" w:color="000000" w:fill="FFFFFF"/>
            <w:noWrap/>
            <w:vAlign w:val="center"/>
            <w:hideMark/>
          </w:tcPr>
          <w:p w14:paraId="3B547C13" w14:textId="60C94356"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93" w:type="pct"/>
            <w:tcBorders>
              <w:top w:val="nil"/>
              <w:left w:val="nil"/>
              <w:bottom w:val="nil"/>
              <w:right w:val="nil"/>
            </w:tcBorders>
            <w:shd w:val="clear" w:color="000000" w:fill="FFFFFF"/>
            <w:noWrap/>
            <w:vAlign w:val="center"/>
            <w:hideMark/>
          </w:tcPr>
          <w:p w14:paraId="3328BBAC" w14:textId="577E3518"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93" w:type="pct"/>
            <w:tcBorders>
              <w:top w:val="nil"/>
              <w:left w:val="nil"/>
              <w:bottom w:val="nil"/>
              <w:right w:val="nil"/>
            </w:tcBorders>
            <w:shd w:val="clear" w:color="000000" w:fill="FFFFFF"/>
            <w:noWrap/>
            <w:vAlign w:val="center"/>
            <w:hideMark/>
          </w:tcPr>
          <w:p w14:paraId="3CB47600" w14:textId="4A4911BE"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93" w:type="pct"/>
            <w:tcBorders>
              <w:top w:val="nil"/>
              <w:left w:val="nil"/>
              <w:bottom w:val="nil"/>
              <w:right w:val="nil"/>
            </w:tcBorders>
            <w:shd w:val="clear" w:color="000000" w:fill="FFFFFF"/>
            <w:noWrap/>
            <w:vAlign w:val="center"/>
            <w:hideMark/>
          </w:tcPr>
          <w:p w14:paraId="721FA089"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293</w:t>
            </w:r>
          </w:p>
        </w:tc>
        <w:tc>
          <w:tcPr>
            <w:tcW w:w="393" w:type="pct"/>
            <w:tcBorders>
              <w:top w:val="nil"/>
              <w:left w:val="nil"/>
              <w:bottom w:val="nil"/>
              <w:right w:val="nil"/>
            </w:tcBorders>
            <w:shd w:val="clear" w:color="000000" w:fill="FFFFFF"/>
            <w:noWrap/>
            <w:vAlign w:val="center"/>
            <w:hideMark/>
          </w:tcPr>
          <w:p w14:paraId="425E8CFF" w14:textId="109583F5"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66" w:type="pct"/>
            <w:tcBorders>
              <w:top w:val="nil"/>
              <w:left w:val="nil"/>
              <w:bottom w:val="nil"/>
              <w:right w:val="nil"/>
            </w:tcBorders>
            <w:shd w:val="clear" w:color="000000" w:fill="FFFFFF"/>
            <w:noWrap/>
            <w:vAlign w:val="center"/>
            <w:hideMark/>
          </w:tcPr>
          <w:p w14:paraId="4053FBC3" w14:textId="78F77A2D"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366" w:type="pct"/>
            <w:tcBorders>
              <w:top w:val="nil"/>
              <w:left w:val="nil"/>
              <w:bottom w:val="nil"/>
              <w:right w:val="nil"/>
            </w:tcBorders>
            <w:shd w:val="clear" w:color="000000" w:fill="FFFFFF"/>
            <w:noWrap/>
            <w:vAlign w:val="center"/>
            <w:hideMark/>
          </w:tcPr>
          <w:p w14:paraId="70EE3B9B"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49</w:t>
            </w:r>
          </w:p>
        </w:tc>
        <w:tc>
          <w:tcPr>
            <w:tcW w:w="366" w:type="pct"/>
            <w:tcBorders>
              <w:top w:val="nil"/>
              <w:left w:val="nil"/>
              <w:bottom w:val="nil"/>
              <w:right w:val="nil"/>
            </w:tcBorders>
            <w:shd w:val="clear" w:color="000000" w:fill="FFFFFF"/>
            <w:noWrap/>
            <w:vAlign w:val="center"/>
            <w:hideMark/>
          </w:tcPr>
          <w:p w14:paraId="7E71AC5B" w14:textId="138F923C" w:rsidR="00D3538A" w:rsidRPr="00451EA4" w:rsidRDefault="009B6F84" w:rsidP="00451EA4">
            <w:pPr>
              <w:spacing w:before="0" w:after="0" w:line="240" w:lineRule="auto"/>
              <w:jc w:val="right"/>
              <w:rPr>
                <w:rFonts w:ascii="Arial" w:hAnsi="Arial" w:cs="Arial"/>
                <w:sz w:val="16"/>
                <w:szCs w:val="16"/>
              </w:rPr>
            </w:pPr>
            <w:r>
              <w:rPr>
                <w:rFonts w:ascii="Arial" w:hAnsi="Arial" w:cs="Arial"/>
                <w:sz w:val="16"/>
                <w:szCs w:val="16"/>
              </w:rPr>
              <w:noBreakHyphen/>
            </w:r>
          </w:p>
        </w:tc>
        <w:tc>
          <w:tcPr>
            <w:tcW w:w="500" w:type="pct"/>
            <w:tcBorders>
              <w:top w:val="nil"/>
              <w:left w:val="nil"/>
              <w:bottom w:val="nil"/>
              <w:right w:val="nil"/>
            </w:tcBorders>
            <w:shd w:val="clear" w:color="000000" w:fill="FFFFFF"/>
            <w:noWrap/>
            <w:vAlign w:val="center"/>
            <w:hideMark/>
          </w:tcPr>
          <w:p w14:paraId="69EE136C"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343</w:t>
            </w:r>
          </w:p>
        </w:tc>
      </w:tr>
      <w:tr w:rsidR="00D3538A" w:rsidRPr="001C3592" w14:paraId="498E92EE" w14:textId="77777777" w:rsidTr="00451EA4">
        <w:trPr>
          <w:trHeight w:hRule="exact" w:val="226"/>
        </w:trPr>
        <w:tc>
          <w:tcPr>
            <w:tcW w:w="1436" w:type="pct"/>
            <w:tcBorders>
              <w:top w:val="nil"/>
              <w:left w:val="nil"/>
              <w:bottom w:val="single" w:sz="4" w:space="0" w:color="293F5B"/>
              <w:right w:val="nil"/>
            </w:tcBorders>
            <w:shd w:val="clear" w:color="000000" w:fill="FFFFFF"/>
            <w:noWrap/>
            <w:vAlign w:val="center"/>
            <w:hideMark/>
          </w:tcPr>
          <w:p w14:paraId="616A14A0" w14:textId="77777777" w:rsidR="00D3538A" w:rsidRPr="00451EA4" w:rsidRDefault="00D3538A" w:rsidP="00451EA4">
            <w:pPr>
              <w:spacing w:before="0" w:after="0" w:line="240" w:lineRule="auto"/>
              <w:rPr>
                <w:rFonts w:ascii="Arial" w:hAnsi="Arial" w:cs="Arial"/>
                <w:sz w:val="16"/>
                <w:szCs w:val="16"/>
              </w:rPr>
            </w:pPr>
            <w:r w:rsidRPr="00451EA4">
              <w:rPr>
                <w:rFonts w:ascii="Arial" w:hAnsi="Arial" w:cs="Arial"/>
                <w:sz w:val="16"/>
                <w:szCs w:val="16"/>
              </w:rPr>
              <w:t>Total payments to the states</w:t>
            </w:r>
          </w:p>
        </w:tc>
        <w:tc>
          <w:tcPr>
            <w:tcW w:w="393" w:type="pct"/>
            <w:tcBorders>
              <w:top w:val="single" w:sz="4" w:space="0" w:color="293F5B"/>
              <w:left w:val="nil"/>
              <w:bottom w:val="single" w:sz="4" w:space="0" w:color="293F5B"/>
              <w:right w:val="nil"/>
            </w:tcBorders>
            <w:shd w:val="clear" w:color="000000" w:fill="FFFFFF"/>
            <w:noWrap/>
            <w:vAlign w:val="center"/>
            <w:hideMark/>
          </w:tcPr>
          <w:p w14:paraId="3DA619C3"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60,468</w:t>
            </w:r>
          </w:p>
        </w:tc>
        <w:tc>
          <w:tcPr>
            <w:tcW w:w="393" w:type="pct"/>
            <w:tcBorders>
              <w:top w:val="single" w:sz="4" w:space="0" w:color="293F5B"/>
              <w:left w:val="nil"/>
              <w:bottom w:val="single" w:sz="4" w:space="0" w:color="293F5B"/>
              <w:right w:val="nil"/>
            </w:tcBorders>
            <w:shd w:val="clear" w:color="000000" w:fill="FFFFFF"/>
            <w:noWrap/>
            <w:vAlign w:val="center"/>
            <w:hideMark/>
          </w:tcPr>
          <w:p w14:paraId="28372D4D"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55,823</w:t>
            </w:r>
          </w:p>
        </w:tc>
        <w:tc>
          <w:tcPr>
            <w:tcW w:w="393" w:type="pct"/>
            <w:tcBorders>
              <w:top w:val="single" w:sz="4" w:space="0" w:color="293F5B"/>
              <w:left w:val="nil"/>
              <w:bottom w:val="single" w:sz="4" w:space="0" w:color="293F5B"/>
              <w:right w:val="nil"/>
            </w:tcBorders>
            <w:shd w:val="clear" w:color="000000" w:fill="FFFFFF"/>
            <w:noWrap/>
            <w:vAlign w:val="center"/>
            <w:hideMark/>
          </w:tcPr>
          <w:p w14:paraId="67D1A62E"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42,536</w:t>
            </w:r>
          </w:p>
        </w:tc>
        <w:tc>
          <w:tcPr>
            <w:tcW w:w="393" w:type="pct"/>
            <w:tcBorders>
              <w:top w:val="single" w:sz="4" w:space="0" w:color="293F5B"/>
              <w:left w:val="nil"/>
              <w:bottom w:val="single" w:sz="4" w:space="0" w:color="293F5B"/>
              <w:right w:val="nil"/>
            </w:tcBorders>
            <w:shd w:val="clear" w:color="000000" w:fill="FFFFFF"/>
            <w:noWrap/>
            <w:vAlign w:val="center"/>
            <w:hideMark/>
          </w:tcPr>
          <w:p w14:paraId="70E1304A"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20,446</w:t>
            </w:r>
          </w:p>
        </w:tc>
        <w:tc>
          <w:tcPr>
            <w:tcW w:w="393" w:type="pct"/>
            <w:tcBorders>
              <w:top w:val="single" w:sz="4" w:space="0" w:color="293F5B"/>
              <w:left w:val="nil"/>
              <w:bottom w:val="single" w:sz="4" w:space="0" w:color="293F5B"/>
              <w:right w:val="nil"/>
            </w:tcBorders>
            <w:shd w:val="clear" w:color="000000" w:fill="FFFFFF"/>
            <w:noWrap/>
            <w:vAlign w:val="center"/>
            <w:hideMark/>
          </w:tcPr>
          <w:p w14:paraId="0A067136"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18,142</w:t>
            </w:r>
          </w:p>
        </w:tc>
        <w:tc>
          <w:tcPr>
            <w:tcW w:w="366" w:type="pct"/>
            <w:tcBorders>
              <w:top w:val="single" w:sz="4" w:space="0" w:color="293F5B"/>
              <w:left w:val="nil"/>
              <w:bottom w:val="single" w:sz="4" w:space="0" w:color="293F5B"/>
              <w:right w:val="nil"/>
            </w:tcBorders>
            <w:shd w:val="clear" w:color="000000" w:fill="FFFFFF"/>
            <w:noWrap/>
            <w:vAlign w:val="center"/>
            <w:hideMark/>
          </w:tcPr>
          <w:p w14:paraId="3431CE8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6,585</w:t>
            </w:r>
          </w:p>
        </w:tc>
        <w:tc>
          <w:tcPr>
            <w:tcW w:w="366" w:type="pct"/>
            <w:tcBorders>
              <w:top w:val="single" w:sz="4" w:space="0" w:color="293F5B"/>
              <w:left w:val="nil"/>
              <w:bottom w:val="single" w:sz="4" w:space="0" w:color="293F5B"/>
              <w:right w:val="nil"/>
            </w:tcBorders>
            <w:shd w:val="clear" w:color="000000" w:fill="FFFFFF"/>
            <w:noWrap/>
            <w:vAlign w:val="center"/>
            <w:hideMark/>
          </w:tcPr>
          <w:p w14:paraId="75CBF2F1"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3,897</w:t>
            </w:r>
          </w:p>
        </w:tc>
        <w:tc>
          <w:tcPr>
            <w:tcW w:w="366" w:type="pct"/>
            <w:tcBorders>
              <w:top w:val="single" w:sz="4" w:space="0" w:color="293F5B"/>
              <w:left w:val="nil"/>
              <w:bottom w:val="single" w:sz="4" w:space="0" w:color="293F5B"/>
              <w:right w:val="nil"/>
            </w:tcBorders>
            <w:shd w:val="clear" w:color="000000" w:fill="FFFFFF"/>
            <w:noWrap/>
            <w:vAlign w:val="center"/>
            <w:hideMark/>
          </w:tcPr>
          <w:p w14:paraId="2C33FDB7"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7,541</w:t>
            </w:r>
          </w:p>
        </w:tc>
        <w:tc>
          <w:tcPr>
            <w:tcW w:w="500" w:type="pct"/>
            <w:tcBorders>
              <w:top w:val="single" w:sz="4" w:space="0" w:color="293F5B"/>
              <w:left w:val="nil"/>
              <w:bottom w:val="single" w:sz="4" w:space="0" w:color="293F5B"/>
              <w:right w:val="nil"/>
            </w:tcBorders>
            <w:shd w:val="clear" w:color="000000" w:fill="FFFFFF"/>
            <w:noWrap/>
            <w:vAlign w:val="center"/>
            <w:hideMark/>
          </w:tcPr>
          <w:p w14:paraId="61991A30" w14:textId="77777777" w:rsidR="00D3538A" w:rsidRPr="00451EA4" w:rsidRDefault="00D3538A" w:rsidP="00451EA4">
            <w:pPr>
              <w:spacing w:before="0" w:after="0" w:line="240" w:lineRule="auto"/>
              <w:jc w:val="right"/>
              <w:rPr>
                <w:rFonts w:ascii="Arial" w:hAnsi="Arial" w:cs="Arial"/>
                <w:sz w:val="16"/>
                <w:szCs w:val="16"/>
              </w:rPr>
            </w:pPr>
            <w:r w:rsidRPr="00451EA4">
              <w:rPr>
                <w:rFonts w:ascii="Arial" w:hAnsi="Arial" w:cs="Arial"/>
                <w:sz w:val="16"/>
                <w:szCs w:val="16"/>
              </w:rPr>
              <w:t>218,032</w:t>
            </w:r>
          </w:p>
        </w:tc>
      </w:tr>
    </w:tbl>
    <w:p w14:paraId="12B710E2" w14:textId="7A5D2A26" w:rsidR="00B51775" w:rsidRPr="00C94004" w:rsidRDefault="00B51775" w:rsidP="00B51775">
      <w:pPr>
        <w:pStyle w:val="ChartandTableFootnoteAlpha"/>
        <w:rPr>
          <w:color w:val="auto"/>
        </w:rPr>
      </w:pPr>
      <w:r w:rsidRPr="00C94004">
        <w:rPr>
          <w:color w:val="auto"/>
        </w:rPr>
        <w:t xml:space="preserve">State allocations for </w:t>
      </w:r>
      <w:proofErr w:type="gramStart"/>
      <w:r w:rsidRPr="00C94004">
        <w:rPr>
          <w:color w:val="auto"/>
        </w:rPr>
        <w:t>a number of</w:t>
      </w:r>
      <w:proofErr w:type="gramEnd"/>
      <w:r w:rsidRPr="00C94004">
        <w:rPr>
          <w:color w:val="auto"/>
        </w:rPr>
        <w:t xml:space="preserve"> programs have not yet been determined. These payments are not reflected in state totals. As a result, total payments for specific purposes may not equal the sum of the state figures. </w:t>
      </w:r>
    </w:p>
    <w:p w14:paraId="140F573D" w14:textId="584EAF1B" w:rsidR="00B51775" w:rsidRPr="00433470" w:rsidRDefault="00B51775" w:rsidP="00433470">
      <w:pPr>
        <w:pStyle w:val="ChartandTableFootnoteAlpha"/>
      </w:pPr>
      <w:r w:rsidRPr="00433470">
        <w:t xml:space="preserve">Includes GST entitlement </w:t>
      </w:r>
      <w:r w:rsidR="00557197" w:rsidRPr="00433470">
        <w:t xml:space="preserve">(GST pool </w:t>
      </w:r>
      <w:r w:rsidRPr="00433470">
        <w:t xml:space="preserve">and </w:t>
      </w:r>
      <w:r w:rsidR="00557197" w:rsidRPr="00433470">
        <w:t xml:space="preserve">Commonwealth funded GST pool boost) </w:t>
      </w:r>
      <w:r w:rsidRPr="00433470">
        <w:t xml:space="preserve">and HFE transition payments. State allocations are dependent upon the GST relativities for each financial year. They are calculated using the Commonwealth Grants </w:t>
      </w:r>
      <w:r w:rsidRPr="00433470" w:rsidDel="000D1C32">
        <w:t>Commission</w:t>
      </w:r>
      <w:r w:rsidR="009B6F84">
        <w:t>’</w:t>
      </w:r>
      <w:r w:rsidRPr="00433470" w:rsidDel="000D1C32">
        <w:t>s</w:t>
      </w:r>
      <w:r w:rsidRPr="00433470">
        <w:t xml:space="preserve"> </w:t>
      </w:r>
      <w:r w:rsidR="00120FD2" w:rsidRPr="00433470">
        <w:t xml:space="preserve">recommended </w:t>
      </w:r>
      <w:r w:rsidRPr="00433470">
        <w:t>202</w:t>
      </w:r>
      <w:r w:rsidR="00A32700" w:rsidRPr="00433470">
        <w:t>5</w:t>
      </w:r>
      <w:r w:rsidRPr="00433470">
        <w:t>–2</w:t>
      </w:r>
      <w:r w:rsidR="00A32700" w:rsidRPr="00433470">
        <w:t>6</w:t>
      </w:r>
      <w:r w:rsidRPr="00433470">
        <w:t xml:space="preserve"> GST relativities as the starting point. </w:t>
      </w:r>
      <w:r w:rsidR="004A6DB8" w:rsidRPr="00592974">
        <w:t xml:space="preserve">At the time of the 2025–26 Budget, the Treasurer had not yet </w:t>
      </w:r>
      <w:proofErr w:type="gramStart"/>
      <w:r w:rsidR="004A6DB8" w:rsidRPr="00592974">
        <w:t>made a determination</w:t>
      </w:r>
      <w:proofErr w:type="gramEnd"/>
      <w:r w:rsidR="004A6DB8" w:rsidRPr="00592974">
        <w:t xml:space="preserve"> of the 2025–26 GST relativities. </w:t>
      </w:r>
      <w:r w:rsidRPr="00433470">
        <w:t xml:space="preserve">The estimates do not reflect any attempt to project future GST relativities. See Part 3 for further information. </w:t>
      </w:r>
    </w:p>
    <w:p w14:paraId="2B928E49" w14:textId="77777777" w:rsidR="00B51775" w:rsidRPr="00C94004" w:rsidRDefault="00B51775" w:rsidP="00213E88">
      <w:pPr>
        <w:pStyle w:val="TableLine"/>
      </w:pPr>
    </w:p>
    <w:p w14:paraId="60056E53" w14:textId="12334AEF" w:rsidR="00940A6E" w:rsidRPr="00940A6E" w:rsidRDefault="008B6293" w:rsidP="00F15FA1">
      <w:r>
        <w:t>For 2025</w:t>
      </w:r>
      <w:r w:rsidR="00553B43">
        <w:t>–</w:t>
      </w:r>
      <w:r>
        <w:t xml:space="preserve">26, total payments to the states are </w:t>
      </w:r>
      <w:r w:rsidR="00F15FA1">
        <w:t>estimated</w:t>
      </w:r>
      <w:r>
        <w:t xml:space="preserve"> to be </w:t>
      </w:r>
      <w:r w:rsidR="00AA3507">
        <w:t>6.8</w:t>
      </w:r>
      <w:r>
        <w:t xml:space="preserve"> per cent </w:t>
      </w:r>
      <w:r w:rsidR="009E2418">
        <w:t xml:space="preserve">of GDP. Payments for specific </w:t>
      </w:r>
      <w:r w:rsidR="00F15FA1">
        <w:t>purposes</w:t>
      </w:r>
      <w:r w:rsidR="009E2418">
        <w:t xml:space="preserve"> are </w:t>
      </w:r>
      <w:r w:rsidR="00F15FA1">
        <w:t>estimated</w:t>
      </w:r>
      <w:r w:rsidR="009E2418">
        <w:t xml:space="preserve"> to be </w:t>
      </w:r>
      <w:r w:rsidR="006E3F5C">
        <w:t>3.3</w:t>
      </w:r>
      <w:r w:rsidR="009E2418">
        <w:t xml:space="preserve"> per cent of GDP and general revenue assistance is estimated to be </w:t>
      </w:r>
      <w:r w:rsidR="00041060">
        <w:t>3.5</w:t>
      </w:r>
      <w:r w:rsidR="009E2418">
        <w:t xml:space="preserve"> </w:t>
      </w:r>
      <w:r w:rsidR="00F15FA1">
        <w:t>per cent of GDP.</w:t>
      </w:r>
    </w:p>
    <w:p w14:paraId="6FB8E0CC" w14:textId="36ABDD7F" w:rsidR="001C22CB" w:rsidRDefault="00B51775" w:rsidP="005124FE">
      <w:pPr>
        <w:pStyle w:val="TableHeading"/>
        <w:rPr>
          <w:rFonts w:asciiTheme="minorHAnsi" w:eastAsiaTheme="minorHAnsi" w:hAnsiTheme="minorHAnsi" w:cstheme="minorBidi"/>
          <w:sz w:val="22"/>
          <w:szCs w:val="22"/>
          <w:lang w:eastAsia="en-US"/>
        </w:rPr>
      </w:pPr>
      <w:r w:rsidRPr="00C94004">
        <w:t>Table 1.2: Total Australian Government payments to the states as a proportion of GD</w:t>
      </w:r>
      <w:r w:rsidR="00A52C18">
        <w:t>P</w:t>
      </w:r>
      <w:bookmarkStart w:id="14" w:name="_1803888882"/>
      <w:bookmarkStart w:id="15" w:name="_1803889016"/>
      <w:bookmarkStart w:id="16" w:name="_1803890272"/>
      <w:bookmarkStart w:id="17" w:name="_1803890478"/>
      <w:bookmarkStart w:id="18" w:name="_1803890945"/>
      <w:bookmarkStart w:id="19" w:name="_1803892013"/>
      <w:bookmarkStart w:id="20" w:name="_1803888789"/>
      <w:bookmarkStart w:id="21" w:name="_1804078155"/>
      <w:bookmarkEnd w:id="14"/>
      <w:bookmarkEnd w:id="15"/>
      <w:bookmarkEnd w:id="16"/>
      <w:bookmarkEnd w:id="17"/>
      <w:bookmarkEnd w:id="18"/>
      <w:bookmarkEnd w:id="19"/>
      <w:bookmarkEnd w:id="20"/>
      <w:bookmarkEnd w:id="21"/>
    </w:p>
    <w:tbl>
      <w:tblPr>
        <w:tblW w:w="5000" w:type="pct"/>
        <w:tblCellMar>
          <w:left w:w="0" w:type="dxa"/>
          <w:right w:w="28" w:type="dxa"/>
        </w:tblCellMar>
        <w:tblLook w:val="04A0" w:firstRow="1" w:lastRow="0" w:firstColumn="1" w:lastColumn="0" w:noHBand="0" w:noVBand="1"/>
      </w:tblPr>
      <w:tblGrid>
        <w:gridCol w:w="3726"/>
        <w:gridCol w:w="858"/>
        <w:gridCol w:w="857"/>
        <w:gridCol w:w="797"/>
        <w:gridCol w:w="736"/>
        <w:gridCol w:w="736"/>
      </w:tblGrid>
      <w:tr w:rsidR="006A15CF" w:rsidRPr="006A15CF" w14:paraId="1AB9740A" w14:textId="77777777" w:rsidTr="00914F27">
        <w:trPr>
          <w:trHeight w:hRule="exact" w:val="255"/>
        </w:trPr>
        <w:tc>
          <w:tcPr>
            <w:tcW w:w="2416" w:type="pct"/>
            <w:tcBorders>
              <w:top w:val="single" w:sz="4" w:space="0" w:color="293F5B"/>
              <w:left w:val="nil"/>
              <w:bottom w:val="nil"/>
              <w:right w:val="nil"/>
            </w:tcBorders>
            <w:shd w:val="clear" w:color="auto" w:fill="auto"/>
            <w:noWrap/>
            <w:vAlign w:val="center"/>
            <w:hideMark/>
          </w:tcPr>
          <w:p w14:paraId="2294F1DD" w14:textId="77777777" w:rsidR="006A15CF" w:rsidRPr="006A15CF" w:rsidRDefault="006A15CF" w:rsidP="006A15CF">
            <w:pPr>
              <w:spacing w:before="0" w:after="0" w:line="240" w:lineRule="auto"/>
              <w:rPr>
                <w:rFonts w:ascii="Arial" w:hAnsi="Arial" w:cs="Arial"/>
                <w:color w:val="000000"/>
                <w:sz w:val="16"/>
                <w:szCs w:val="16"/>
              </w:rPr>
            </w:pPr>
            <w:r w:rsidRPr="006A15CF">
              <w:rPr>
                <w:rFonts w:ascii="Arial" w:hAnsi="Arial" w:cs="Arial"/>
                <w:color w:val="000000"/>
                <w:sz w:val="16"/>
                <w:szCs w:val="16"/>
              </w:rPr>
              <w:t>$million</w:t>
            </w:r>
          </w:p>
        </w:tc>
        <w:tc>
          <w:tcPr>
            <w:tcW w:w="556" w:type="pct"/>
            <w:tcBorders>
              <w:top w:val="single" w:sz="4" w:space="0" w:color="293F5B"/>
              <w:left w:val="nil"/>
              <w:bottom w:val="single" w:sz="4" w:space="0" w:color="293F5B"/>
              <w:right w:val="nil"/>
            </w:tcBorders>
            <w:shd w:val="clear" w:color="auto" w:fill="auto"/>
            <w:noWrap/>
            <w:vAlign w:val="center"/>
            <w:hideMark/>
          </w:tcPr>
          <w:p w14:paraId="470F7996" w14:textId="71DF2851" w:rsidR="006A15CF" w:rsidRPr="006A15CF" w:rsidRDefault="006A15CF" w:rsidP="006A15CF">
            <w:pPr>
              <w:spacing w:before="0" w:after="0" w:line="240" w:lineRule="auto"/>
              <w:jc w:val="right"/>
              <w:rPr>
                <w:rFonts w:ascii="Arial" w:hAnsi="Arial" w:cs="Arial"/>
                <w:sz w:val="16"/>
                <w:szCs w:val="16"/>
              </w:rPr>
            </w:pPr>
            <w:r w:rsidRPr="006A15CF">
              <w:rPr>
                <w:rFonts w:ascii="Arial" w:hAnsi="Arial" w:cs="Arial"/>
                <w:sz w:val="16"/>
                <w:szCs w:val="16"/>
              </w:rPr>
              <w:t>2024</w:t>
            </w:r>
            <w:r w:rsidR="009B6F84">
              <w:rPr>
                <w:rFonts w:ascii="Arial" w:hAnsi="Arial" w:cs="Arial"/>
                <w:sz w:val="16"/>
                <w:szCs w:val="16"/>
              </w:rPr>
              <w:noBreakHyphen/>
            </w:r>
            <w:r w:rsidRPr="006A15CF">
              <w:rPr>
                <w:rFonts w:ascii="Arial" w:hAnsi="Arial" w:cs="Arial"/>
                <w:sz w:val="16"/>
                <w:szCs w:val="16"/>
              </w:rPr>
              <w:t>25</w:t>
            </w:r>
          </w:p>
        </w:tc>
        <w:tc>
          <w:tcPr>
            <w:tcW w:w="556" w:type="pct"/>
            <w:tcBorders>
              <w:top w:val="single" w:sz="4" w:space="0" w:color="293F5B"/>
              <w:left w:val="nil"/>
              <w:bottom w:val="single" w:sz="4" w:space="0" w:color="293F5B"/>
              <w:right w:val="nil"/>
            </w:tcBorders>
            <w:shd w:val="clear" w:color="000000" w:fill="E6F2FF"/>
            <w:noWrap/>
            <w:vAlign w:val="center"/>
            <w:hideMark/>
          </w:tcPr>
          <w:p w14:paraId="37B84237" w14:textId="2C31D41A" w:rsidR="006A15CF" w:rsidRPr="006A15CF" w:rsidRDefault="006A15CF" w:rsidP="006A15CF">
            <w:pPr>
              <w:spacing w:before="0" w:after="0" w:line="240" w:lineRule="auto"/>
              <w:jc w:val="right"/>
              <w:rPr>
                <w:rFonts w:ascii="Arial" w:hAnsi="Arial" w:cs="Arial"/>
                <w:sz w:val="16"/>
                <w:szCs w:val="16"/>
              </w:rPr>
            </w:pPr>
            <w:r w:rsidRPr="006A15CF">
              <w:rPr>
                <w:rFonts w:ascii="Arial" w:hAnsi="Arial" w:cs="Arial"/>
                <w:sz w:val="16"/>
                <w:szCs w:val="16"/>
              </w:rPr>
              <w:t>2025</w:t>
            </w:r>
            <w:r w:rsidR="009B6F84">
              <w:rPr>
                <w:rFonts w:ascii="Arial" w:hAnsi="Arial" w:cs="Arial"/>
                <w:sz w:val="16"/>
                <w:szCs w:val="16"/>
              </w:rPr>
              <w:noBreakHyphen/>
            </w:r>
            <w:r w:rsidRPr="006A15CF">
              <w:rPr>
                <w:rFonts w:ascii="Arial" w:hAnsi="Arial" w:cs="Arial"/>
                <w:sz w:val="16"/>
                <w:szCs w:val="16"/>
              </w:rPr>
              <w:t>26</w:t>
            </w:r>
          </w:p>
        </w:tc>
        <w:tc>
          <w:tcPr>
            <w:tcW w:w="517" w:type="pct"/>
            <w:tcBorders>
              <w:top w:val="single" w:sz="4" w:space="0" w:color="293F5B"/>
              <w:left w:val="nil"/>
              <w:bottom w:val="single" w:sz="4" w:space="0" w:color="293F5B"/>
              <w:right w:val="nil"/>
            </w:tcBorders>
            <w:shd w:val="clear" w:color="000000" w:fill="FFFFFF"/>
            <w:noWrap/>
            <w:vAlign w:val="center"/>
            <w:hideMark/>
          </w:tcPr>
          <w:p w14:paraId="32D0FFD6" w14:textId="10D7EAFC" w:rsidR="006A15CF" w:rsidRPr="006A15CF" w:rsidRDefault="006A15CF" w:rsidP="006A15CF">
            <w:pPr>
              <w:spacing w:before="0" w:after="0" w:line="240" w:lineRule="auto"/>
              <w:jc w:val="right"/>
              <w:rPr>
                <w:rFonts w:ascii="Arial" w:hAnsi="Arial" w:cs="Arial"/>
                <w:sz w:val="16"/>
                <w:szCs w:val="16"/>
              </w:rPr>
            </w:pPr>
            <w:r w:rsidRPr="006A15CF">
              <w:rPr>
                <w:rFonts w:ascii="Arial" w:hAnsi="Arial" w:cs="Arial"/>
                <w:sz w:val="16"/>
                <w:szCs w:val="16"/>
              </w:rPr>
              <w:t>2026</w:t>
            </w:r>
            <w:r w:rsidR="009B6F84">
              <w:rPr>
                <w:rFonts w:ascii="Arial" w:hAnsi="Arial" w:cs="Arial"/>
                <w:sz w:val="16"/>
                <w:szCs w:val="16"/>
              </w:rPr>
              <w:noBreakHyphen/>
            </w:r>
            <w:r w:rsidRPr="006A15CF">
              <w:rPr>
                <w:rFonts w:ascii="Arial" w:hAnsi="Arial" w:cs="Arial"/>
                <w:sz w:val="16"/>
                <w:szCs w:val="16"/>
              </w:rPr>
              <w:t>27</w:t>
            </w:r>
          </w:p>
        </w:tc>
        <w:tc>
          <w:tcPr>
            <w:tcW w:w="477" w:type="pct"/>
            <w:tcBorders>
              <w:top w:val="single" w:sz="4" w:space="0" w:color="293F5B"/>
              <w:left w:val="nil"/>
              <w:bottom w:val="single" w:sz="4" w:space="0" w:color="293F5B"/>
              <w:right w:val="nil"/>
            </w:tcBorders>
            <w:shd w:val="clear" w:color="000000" w:fill="FFFFFF"/>
            <w:noWrap/>
            <w:vAlign w:val="center"/>
            <w:hideMark/>
          </w:tcPr>
          <w:p w14:paraId="16F39600" w14:textId="335275F6" w:rsidR="006A15CF" w:rsidRPr="006A15CF" w:rsidRDefault="006A15CF" w:rsidP="006A15CF">
            <w:pPr>
              <w:spacing w:before="0" w:after="0" w:line="240" w:lineRule="auto"/>
              <w:jc w:val="right"/>
              <w:rPr>
                <w:rFonts w:ascii="Arial" w:hAnsi="Arial" w:cs="Arial"/>
                <w:sz w:val="16"/>
                <w:szCs w:val="16"/>
              </w:rPr>
            </w:pPr>
            <w:r w:rsidRPr="006A15CF">
              <w:rPr>
                <w:rFonts w:ascii="Arial" w:hAnsi="Arial" w:cs="Arial"/>
                <w:sz w:val="16"/>
                <w:szCs w:val="16"/>
              </w:rPr>
              <w:t>2027</w:t>
            </w:r>
            <w:r w:rsidR="009B6F84">
              <w:rPr>
                <w:rFonts w:ascii="Arial" w:hAnsi="Arial" w:cs="Arial"/>
                <w:sz w:val="16"/>
                <w:szCs w:val="16"/>
              </w:rPr>
              <w:noBreakHyphen/>
            </w:r>
            <w:r w:rsidRPr="006A15CF">
              <w:rPr>
                <w:rFonts w:ascii="Arial" w:hAnsi="Arial" w:cs="Arial"/>
                <w:sz w:val="16"/>
                <w:szCs w:val="16"/>
              </w:rPr>
              <w:t>28</w:t>
            </w:r>
          </w:p>
        </w:tc>
        <w:tc>
          <w:tcPr>
            <w:tcW w:w="477" w:type="pct"/>
            <w:tcBorders>
              <w:top w:val="single" w:sz="4" w:space="0" w:color="293F5B"/>
              <w:left w:val="nil"/>
              <w:bottom w:val="single" w:sz="4" w:space="0" w:color="293F5B"/>
              <w:right w:val="nil"/>
            </w:tcBorders>
            <w:shd w:val="clear" w:color="000000" w:fill="FFFFFF"/>
            <w:noWrap/>
            <w:vAlign w:val="center"/>
            <w:hideMark/>
          </w:tcPr>
          <w:p w14:paraId="19CE4F00" w14:textId="5447BC9B" w:rsidR="006A15CF" w:rsidRPr="006A15CF" w:rsidRDefault="006A15CF" w:rsidP="006A15CF">
            <w:pPr>
              <w:spacing w:before="0" w:after="0" w:line="240" w:lineRule="auto"/>
              <w:jc w:val="right"/>
              <w:rPr>
                <w:rFonts w:ascii="Arial" w:hAnsi="Arial" w:cs="Arial"/>
                <w:sz w:val="16"/>
                <w:szCs w:val="16"/>
              </w:rPr>
            </w:pPr>
            <w:r w:rsidRPr="006A15CF">
              <w:rPr>
                <w:rFonts w:ascii="Arial" w:hAnsi="Arial" w:cs="Arial"/>
                <w:sz w:val="16"/>
                <w:szCs w:val="16"/>
              </w:rPr>
              <w:t>2028</w:t>
            </w:r>
            <w:r w:rsidR="009B6F84">
              <w:rPr>
                <w:rFonts w:ascii="Arial" w:hAnsi="Arial" w:cs="Arial"/>
                <w:sz w:val="16"/>
                <w:szCs w:val="16"/>
              </w:rPr>
              <w:noBreakHyphen/>
            </w:r>
            <w:r w:rsidRPr="006A15CF">
              <w:rPr>
                <w:rFonts w:ascii="Arial" w:hAnsi="Arial" w:cs="Arial"/>
                <w:sz w:val="16"/>
                <w:szCs w:val="16"/>
              </w:rPr>
              <w:t>29</w:t>
            </w:r>
          </w:p>
        </w:tc>
      </w:tr>
      <w:tr w:rsidR="006A15CF" w:rsidRPr="006A15CF" w14:paraId="02EFC7C5" w14:textId="77777777" w:rsidTr="00914F27">
        <w:trPr>
          <w:trHeight w:hRule="exact" w:val="255"/>
        </w:trPr>
        <w:tc>
          <w:tcPr>
            <w:tcW w:w="2416" w:type="pct"/>
            <w:tcBorders>
              <w:top w:val="nil"/>
              <w:left w:val="nil"/>
              <w:bottom w:val="nil"/>
              <w:right w:val="nil"/>
            </w:tcBorders>
            <w:shd w:val="clear" w:color="auto" w:fill="auto"/>
            <w:noWrap/>
            <w:vAlign w:val="center"/>
            <w:hideMark/>
          </w:tcPr>
          <w:p w14:paraId="57A57095" w14:textId="77777777" w:rsidR="006A15CF" w:rsidRPr="006A15CF" w:rsidRDefault="006A15CF" w:rsidP="006A15CF">
            <w:pPr>
              <w:spacing w:before="0" w:after="0" w:line="240" w:lineRule="auto"/>
              <w:rPr>
                <w:rFonts w:ascii="Arial" w:hAnsi="Arial" w:cs="Arial"/>
                <w:i/>
                <w:iCs/>
                <w:color w:val="000000"/>
                <w:sz w:val="16"/>
                <w:szCs w:val="16"/>
              </w:rPr>
            </w:pPr>
            <w:r w:rsidRPr="006A15CF">
              <w:rPr>
                <w:rFonts w:ascii="Arial" w:hAnsi="Arial" w:cs="Arial"/>
                <w:i/>
                <w:iCs/>
                <w:color w:val="000000"/>
                <w:sz w:val="16"/>
                <w:szCs w:val="16"/>
              </w:rPr>
              <w:t>Payments for specific purposes</w:t>
            </w:r>
          </w:p>
        </w:tc>
        <w:tc>
          <w:tcPr>
            <w:tcW w:w="556" w:type="pct"/>
            <w:tcBorders>
              <w:top w:val="nil"/>
              <w:left w:val="nil"/>
              <w:bottom w:val="nil"/>
              <w:right w:val="nil"/>
            </w:tcBorders>
            <w:shd w:val="clear" w:color="auto" w:fill="auto"/>
            <w:noWrap/>
            <w:vAlign w:val="center"/>
            <w:hideMark/>
          </w:tcPr>
          <w:p w14:paraId="00DCF2E1" w14:textId="77777777" w:rsidR="006A15CF" w:rsidRPr="006A15CF" w:rsidRDefault="006A15CF" w:rsidP="006A15CF">
            <w:pPr>
              <w:spacing w:before="0" w:after="0" w:line="240" w:lineRule="auto"/>
              <w:rPr>
                <w:rFonts w:ascii="Arial" w:hAnsi="Arial" w:cs="Arial"/>
                <w:i/>
                <w:iCs/>
                <w:color w:val="000000"/>
                <w:sz w:val="16"/>
                <w:szCs w:val="16"/>
              </w:rPr>
            </w:pPr>
          </w:p>
        </w:tc>
        <w:tc>
          <w:tcPr>
            <w:tcW w:w="556" w:type="pct"/>
            <w:tcBorders>
              <w:top w:val="nil"/>
              <w:left w:val="nil"/>
              <w:bottom w:val="nil"/>
              <w:right w:val="nil"/>
            </w:tcBorders>
            <w:shd w:val="clear" w:color="000000" w:fill="E6F2FF"/>
            <w:noWrap/>
            <w:vAlign w:val="center"/>
            <w:hideMark/>
          </w:tcPr>
          <w:p w14:paraId="375E40AF" w14:textId="77777777" w:rsidR="006A15CF" w:rsidRPr="006A15CF" w:rsidRDefault="006A15CF" w:rsidP="006A15CF">
            <w:pPr>
              <w:spacing w:before="0" w:after="0" w:line="240" w:lineRule="auto"/>
              <w:jc w:val="right"/>
              <w:rPr>
                <w:rFonts w:ascii="Arial" w:hAnsi="Arial" w:cs="Arial"/>
                <w:sz w:val="16"/>
                <w:szCs w:val="16"/>
              </w:rPr>
            </w:pPr>
            <w:r w:rsidRPr="006A15CF">
              <w:rPr>
                <w:rFonts w:ascii="Arial" w:hAnsi="Arial" w:cs="Arial"/>
                <w:sz w:val="16"/>
                <w:szCs w:val="16"/>
              </w:rPr>
              <w:t> </w:t>
            </w:r>
          </w:p>
        </w:tc>
        <w:tc>
          <w:tcPr>
            <w:tcW w:w="517" w:type="pct"/>
            <w:tcBorders>
              <w:top w:val="nil"/>
              <w:left w:val="nil"/>
              <w:bottom w:val="nil"/>
              <w:right w:val="nil"/>
            </w:tcBorders>
            <w:shd w:val="clear" w:color="000000" w:fill="FFFFFF"/>
            <w:noWrap/>
            <w:vAlign w:val="center"/>
            <w:hideMark/>
          </w:tcPr>
          <w:p w14:paraId="35E45417" w14:textId="77777777" w:rsidR="006A15CF" w:rsidRPr="006A15CF" w:rsidRDefault="006A15CF" w:rsidP="006A15CF">
            <w:pPr>
              <w:spacing w:before="0" w:after="0" w:line="240" w:lineRule="auto"/>
              <w:jc w:val="right"/>
              <w:rPr>
                <w:rFonts w:ascii="Arial" w:hAnsi="Arial" w:cs="Arial"/>
                <w:sz w:val="16"/>
                <w:szCs w:val="16"/>
              </w:rPr>
            </w:pPr>
            <w:r w:rsidRPr="006A15CF">
              <w:rPr>
                <w:rFonts w:ascii="Arial" w:hAnsi="Arial" w:cs="Arial"/>
                <w:sz w:val="16"/>
                <w:szCs w:val="16"/>
              </w:rPr>
              <w:t> </w:t>
            </w:r>
          </w:p>
        </w:tc>
        <w:tc>
          <w:tcPr>
            <w:tcW w:w="477" w:type="pct"/>
            <w:tcBorders>
              <w:top w:val="nil"/>
              <w:left w:val="nil"/>
              <w:bottom w:val="nil"/>
              <w:right w:val="nil"/>
            </w:tcBorders>
            <w:shd w:val="clear" w:color="000000" w:fill="FFFFFF"/>
            <w:noWrap/>
            <w:vAlign w:val="center"/>
            <w:hideMark/>
          </w:tcPr>
          <w:p w14:paraId="137AC57C" w14:textId="77777777" w:rsidR="006A15CF" w:rsidRPr="006A15CF" w:rsidRDefault="006A15CF" w:rsidP="006A15CF">
            <w:pPr>
              <w:spacing w:before="0" w:after="0" w:line="240" w:lineRule="auto"/>
              <w:jc w:val="right"/>
              <w:rPr>
                <w:rFonts w:ascii="Arial" w:hAnsi="Arial" w:cs="Arial"/>
                <w:sz w:val="16"/>
                <w:szCs w:val="16"/>
              </w:rPr>
            </w:pPr>
            <w:r w:rsidRPr="006A15CF">
              <w:rPr>
                <w:rFonts w:ascii="Arial" w:hAnsi="Arial" w:cs="Arial"/>
                <w:sz w:val="16"/>
                <w:szCs w:val="16"/>
              </w:rPr>
              <w:t> </w:t>
            </w:r>
          </w:p>
        </w:tc>
        <w:tc>
          <w:tcPr>
            <w:tcW w:w="477" w:type="pct"/>
            <w:tcBorders>
              <w:top w:val="nil"/>
              <w:left w:val="nil"/>
              <w:bottom w:val="nil"/>
              <w:right w:val="nil"/>
            </w:tcBorders>
            <w:shd w:val="clear" w:color="000000" w:fill="FFFFFF"/>
            <w:noWrap/>
            <w:vAlign w:val="center"/>
            <w:hideMark/>
          </w:tcPr>
          <w:p w14:paraId="67F6D254" w14:textId="77777777" w:rsidR="006A15CF" w:rsidRPr="006A15CF" w:rsidRDefault="006A15CF" w:rsidP="006A15CF">
            <w:pPr>
              <w:spacing w:before="0" w:after="0" w:line="240" w:lineRule="auto"/>
              <w:jc w:val="right"/>
              <w:rPr>
                <w:rFonts w:ascii="Arial" w:hAnsi="Arial" w:cs="Arial"/>
                <w:sz w:val="16"/>
                <w:szCs w:val="16"/>
              </w:rPr>
            </w:pPr>
            <w:r w:rsidRPr="006A15CF">
              <w:rPr>
                <w:rFonts w:ascii="Arial" w:hAnsi="Arial" w:cs="Arial"/>
                <w:sz w:val="16"/>
                <w:szCs w:val="16"/>
              </w:rPr>
              <w:t> </w:t>
            </w:r>
          </w:p>
        </w:tc>
      </w:tr>
      <w:tr w:rsidR="006A15CF" w:rsidRPr="006A15CF" w14:paraId="4174BB63" w14:textId="77777777" w:rsidTr="00914F27">
        <w:trPr>
          <w:trHeight w:hRule="exact" w:val="225"/>
        </w:trPr>
        <w:tc>
          <w:tcPr>
            <w:tcW w:w="2416" w:type="pct"/>
            <w:tcBorders>
              <w:top w:val="nil"/>
              <w:left w:val="nil"/>
              <w:bottom w:val="nil"/>
              <w:right w:val="nil"/>
            </w:tcBorders>
            <w:shd w:val="clear" w:color="auto" w:fill="auto"/>
            <w:noWrap/>
            <w:vAlign w:val="center"/>
            <w:hideMark/>
          </w:tcPr>
          <w:p w14:paraId="43CF8F95" w14:textId="77777777" w:rsidR="006A15CF" w:rsidRPr="006A15CF" w:rsidRDefault="006A15CF" w:rsidP="00914F27">
            <w:pPr>
              <w:spacing w:before="0" w:after="0" w:line="240" w:lineRule="auto"/>
              <w:ind w:left="170"/>
              <w:rPr>
                <w:rFonts w:ascii="Arial" w:hAnsi="Arial" w:cs="Arial"/>
                <w:sz w:val="16"/>
                <w:szCs w:val="16"/>
              </w:rPr>
            </w:pPr>
            <w:r w:rsidRPr="006A15CF">
              <w:rPr>
                <w:rFonts w:ascii="Arial" w:hAnsi="Arial" w:cs="Arial"/>
                <w:sz w:val="16"/>
                <w:szCs w:val="16"/>
              </w:rPr>
              <w:t>National Health Reform funding</w:t>
            </w:r>
          </w:p>
        </w:tc>
        <w:tc>
          <w:tcPr>
            <w:tcW w:w="556" w:type="pct"/>
            <w:tcBorders>
              <w:top w:val="nil"/>
              <w:left w:val="nil"/>
              <w:bottom w:val="nil"/>
              <w:right w:val="nil"/>
            </w:tcBorders>
            <w:shd w:val="clear" w:color="auto" w:fill="auto"/>
            <w:noWrap/>
            <w:vAlign w:val="center"/>
            <w:hideMark/>
          </w:tcPr>
          <w:p w14:paraId="0CC417C2"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30,217</w:t>
            </w:r>
          </w:p>
        </w:tc>
        <w:tc>
          <w:tcPr>
            <w:tcW w:w="556" w:type="pct"/>
            <w:tcBorders>
              <w:top w:val="nil"/>
              <w:left w:val="nil"/>
              <w:bottom w:val="nil"/>
              <w:right w:val="nil"/>
            </w:tcBorders>
            <w:shd w:val="clear" w:color="000000" w:fill="E6F2FF"/>
            <w:noWrap/>
            <w:vAlign w:val="center"/>
            <w:hideMark/>
          </w:tcPr>
          <w:p w14:paraId="59D022AD"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32,221</w:t>
            </w:r>
          </w:p>
        </w:tc>
        <w:tc>
          <w:tcPr>
            <w:tcW w:w="517" w:type="pct"/>
            <w:tcBorders>
              <w:top w:val="nil"/>
              <w:left w:val="nil"/>
              <w:bottom w:val="nil"/>
              <w:right w:val="nil"/>
            </w:tcBorders>
            <w:shd w:val="clear" w:color="auto" w:fill="auto"/>
            <w:noWrap/>
            <w:vAlign w:val="center"/>
            <w:hideMark/>
          </w:tcPr>
          <w:p w14:paraId="20CF1F57"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34,244</w:t>
            </w:r>
          </w:p>
        </w:tc>
        <w:tc>
          <w:tcPr>
            <w:tcW w:w="477" w:type="pct"/>
            <w:tcBorders>
              <w:top w:val="nil"/>
              <w:left w:val="nil"/>
              <w:bottom w:val="nil"/>
              <w:right w:val="nil"/>
            </w:tcBorders>
            <w:shd w:val="clear" w:color="auto" w:fill="auto"/>
            <w:noWrap/>
            <w:vAlign w:val="center"/>
            <w:hideMark/>
          </w:tcPr>
          <w:p w14:paraId="44F213F0"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36,469</w:t>
            </w:r>
          </w:p>
        </w:tc>
        <w:tc>
          <w:tcPr>
            <w:tcW w:w="477" w:type="pct"/>
            <w:tcBorders>
              <w:top w:val="nil"/>
              <w:left w:val="nil"/>
              <w:bottom w:val="nil"/>
              <w:right w:val="nil"/>
            </w:tcBorders>
            <w:shd w:val="clear" w:color="auto" w:fill="auto"/>
            <w:noWrap/>
            <w:vAlign w:val="center"/>
            <w:hideMark/>
          </w:tcPr>
          <w:p w14:paraId="15F3B508"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38,840</w:t>
            </w:r>
          </w:p>
        </w:tc>
      </w:tr>
      <w:tr w:rsidR="006A15CF" w:rsidRPr="006A15CF" w14:paraId="648280E9" w14:textId="77777777" w:rsidTr="00914F27">
        <w:trPr>
          <w:trHeight w:hRule="exact" w:val="225"/>
        </w:trPr>
        <w:tc>
          <w:tcPr>
            <w:tcW w:w="2416" w:type="pct"/>
            <w:tcBorders>
              <w:top w:val="nil"/>
              <w:left w:val="nil"/>
              <w:bottom w:val="nil"/>
              <w:right w:val="nil"/>
            </w:tcBorders>
            <w:shd w:val="clear" w:color="auto" w:fill="auto"/>
            <w:noWrap/>
            <w:vAlign w:val="center"/>
            <w:hideMark/>
          </w:tcPr>
          <w:p w14:paraId="3645A9BF" w14:textId="77777777" w:rsidR="006A15CF" w:rsidRPr="006A15CF" w:rsidRDefault="006A15CF" w:rsidP="00914F27">
            <w:pPr>
              <w:spacing w:before="0" w:after="0" w:line="240" w:lineRule="auto"/>
              <w:ind w:left="170"/>
              <w:rPr>
                <w:rFonts w:ascii="Arial" w:hAnsi="Arial" w:cs="Arial"/>
                <w:sz w:val="16"/>
                <w:szCs w:val="16"/>
              </w:rPr>
            </w:pPr>
            <w:r w:rsidRPr="006A15CF">
              <w:rPr>
                <w:rFonts w:ascii="Arial" w:hAnsi="Arial" w:cs="Arial"/>
                <w:sz w:val="16"/>
                <w:szCs w:val="16"/>
              </w:rPr>
              <w:t>Better and Fairer Schools funding</w:t>
            </w:r>
          </w:p>
        </w:tc>
        <w:tc>
          <w:tcPr>
            <w:tcW w:w="556" w:type="pct"/>
            <w:tcBorders>
              <w:top w:val="nil"/>
              <w:left w:val="nil"/>
              <w:bottom w:val="nil"/>
              <w:right w:val="nil"/>
            </w:tcBorders>
            <w:shd w:val="clear" w:color="auto" w:fill="auto"/>
            <w:noWrap/>
            <w:vAlign w:val="center"/>
            <w:hideMark/>
          </w:tcPr>
          <w:p w14:paraId="298DC3A1"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31,037</w:t>
            </w:r>
          </w:p>
        </w:tc>
        <w:tc>
          <w:tcPr>
            <w:tcW w:w="556" w:type="pct"/>
            <w:tcBorders>
              <w:top w:val="nil"/>
              <w:left w:val="nil"/>
              <w:bottom w:val="nil"/>
              <w:right w:val="nil"/>
            </w:tcBorders>
            <w:shd w:val="clear" w:color="000000" w:fill="E6F2FF"/>
            <w:noWrap/>
            <w:vAlign w:val="center"/>
            <w:hideMark/>
          </w:tcPr>
          <w:p w14:paraId="3E96B6A7"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32,178</w:t>
            </w:r>
          </w:p>
        </w:tc>
        <w:tc>
          <w:tcPr>
            <w:tcW w:w="517" w:type="pct"/>
            <w:tcBorders>
              <w:top w:val="nil"/>
              <w:left w:val="nil"/>
              <w:bottom w:val="nil"/>
              <w:right w:val="nil"/>
            </w:tcBorders>
            <w:shd w:val="clear" w:color="auto" w:fill="auto"/>
            <w:noWrap/>
            <w:vAlign w:val="center"/>
            <w:hideMark/>
          </w:tcPr>
          <w:p w14:paraId="36EA033A"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33,595</w:t>
            </w:r>
          </w:p>
        </w:tc>
        <w:tc>
          <w:tcPr>
            <w:tcW w:w="477" w:type="pct"/>
            <w:tcBorders>
              <w:top w:val="nil"/>
              <w:left w:val="nil"/>
              <w:bottom w:val="nil"/>
              <w:right w:val="nil"/>
            </w:tcBorders>
            <w:shd w:val="clear" w:color="auto" w:fill="auto"/>
            <w:noWrap/>
            <w:vAlign w:val="center"/>
            <w:hideMark/>
          </w:tcPr>
          <w:p w14:paraId="4A8AAAC0"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35,004</w:t>
            </w:r>
          </w:p>
        </w:tc>
        <w:tc>
          <w:tcPr>
            <w:tcW w:w="477" w:type="pct"/>
            <w:tcBorders>
              <w:top w:val="nil"/>
              <w:left w:val="nil"/>
              <w:bottom w:val="nil"/>
              <w:right w:val="nil"/>
            </w:tcBorders>
            <w:shd w:val="clear" w:color="auto" w:fill="auto"/>
            <w:noWrap/>
            <w:vAlign w:val="center"/>
            <w:hideMark/>
          </w:tcPr>
          <w:p w14:paraId="44C56A0E"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36,509</w:t>
            </w:r>
          </w:p>
        </w:tc>
      </w:tr>
      <w:tr w:rsidR="006A15CF" w:rsidRPr="006A15CF" w14:paraId="36A5D2EA" w14:textId="77777777" w:rsidTr="00914F27">
        <w:trPr>
          <w:trHeight w:hRule="exact" w:val="225"/>
        </w:trPr>
        <w:tc>
          <w:tcPr>
            <w:tcW w:w="2416" w:type="pct"/>
            <w:tcBorders>
              <w:top w:val="nil"/>
              <w:left w:val="nil"/>
              <w:bottom w:val="nil"/>
              <w:right w:val="nil"/>
            </w:tcBorders>
            <w:shd w:val="clear" w:color="auto" w:fill="auto"/>
            <w:noWrap/>
            <w:vAlign w:val="center"/>
            <w:hideMark/>
          </w:tcPr>
          <w:p w14:paraId="7D986513" w14:textId="77777777" w:rsidR="006A15CF" w:rsidRPr="006A15CF" w:rsidRDefault="006A15CF" w:rsidP="00914F27">
            <w:pPr>
              <w:spacing w:before="0" w:after="0" w:line="240" w:lineRule="auto"/>
              <w:ind w:left="170"/>
              <w:rPr>
                <w:rFonts w:ascii="Arial" w:hAnsi="Arial" w:cs="Arial"/>
                <w:sz w:val="16"/>
                <w:szCs w:val="16"/>
              </w:rPr>
            </w:pPr>
            <w:r w:rsidRPr="006A15CF">
              <w:rPr>
                <w:rFonts w:ascii="Arial" w:hAnsi="Arial" w:cs="Arial"/>
                <w:sz w:val="16"/>
                <w:szCs w:val="16"/>
              </w:rPr>
              <w:t>National Skills Agreement</w:t>
            </w:r>
          </w:p>
        </w:tc>
        <w:tc>
          <w:tcPr>
            <w:tcW w:w="556" w:type="pct"/>
            <w:tcBorders>
              <w:top w:val="nil"/>
              <w:left w:val="nil"/>
              <w:bottom w:val="nil"/>
              <w:right w:val="nil"/>
            </w:tcBorders>
            <w:shd w:val="clear" w:color="auto" w:fill="auto"/>
            <w:noWrap/>
            <w:vAlign w:val="center"/>
            <w:hideMark/>
          </w:tcPr>
          <w:p w14:paraId="5A6A8276"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2,496</w:t>
            </w:r>
          </w:p>
        </w:tc>
        <w:tc>
          <w:tcPr>
            <w:tcW w:w="556" w:type="pct"/>
            <w:tcBorders>
              <w:top w:val="nil"/>
              <w:left w:val="nil"/>
              <w:bottom w:val="nil"/>
              <w:right w:val="nil"/>
            </w:tcBorders>
            <w:shd w:val="clear" w:color="000000" w:fill="E6F2FF"/>
            <w:noWrap/>
            <w:vAlign w:val="center"/>
            <w:hideMark/>
          </w:tcPr>
          <w:p w14:paraId="431BCCBF"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2,469</w:t>
            </w:r>
          </w:p>
        </w:tc>
        <w:tc>
          <w:tcPr>
            <w:tcW w:w="517" w:type="pct"/>
            <w:tcBorders>
              <w:top w:val="nil"/>
              <w:left w:val="nil"/>
              <w:bottom w:val="nil"/>
              <w:right w:val="nil"/>
            </w:tcBorders>
            <w:shd w:val="clear" w:color="auto" w:fill="auto"/>
            <w:noWrap/>
            <w:vAlign w:val="center"/>
            <w:hideMark/>
          </w:tcPr>
          <w:p w14:paraId="1C8A9A19"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2,525</w:t>
            </w:r>
          </w:p>
        </w:tc>
        <w:tc>
          <w:tcPr>
            <w:tcW w:w="477" w:type="pct"/>
            <w:tcBorders>
              <w:top w:val="nil"/>
              <w:left w:val="nil"/>
              <w:bottom w:val="nil"/>
              <w:right w:val="nil"/>
            </w:tcBorders>
            <w:shd w:val="clear" w:color="auto" w:fill="auto"/>
            <w:noWrap/>
            <w:vAlign w:val="center"/>
            <w:hideMark/>
          </w:tcPr>
          <w:p w14:paraId="0C467B57"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2,552</w:t>
            </w:r>
          </w:p>
        </w:tc>
        <w:tc>
          <w:tcPr>
            <w:tcW w:w="477" w:type="pct"/>
            <w:tcBorders>
              <w:top w:val="nil"/>
              <w:left w:val="nil"/>
              <w:bottom w:val="nil"/>
              <w:right w:val="nil"/>
            </w:tcBorders>
            <w:shd w:val="clear" w:color="auto" w:fill="auto"/>
            <w:noWrap/>
            <w:vAlign w:val="center"/>
            <w:hideMark/>
          </w:tcPr>
          <w:p w14:paraId="06F66C4F"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2,229</w:t>
            </w:r>
          </w:p>
        </w:tc>
      </w:tr>
      <w:tr w:rsidR="006A15CF" w:rsidRPr="006A15CF" w14:paraId="219A2707" w14:textId="77777777" w:rsidTr="00914F27">
        <w:trPr>
          <w:trHeight w:hRule="exact" w:val="225"/>
        </w:trPr>
        <w:tc>
          <w:tcPr>
            <w:tcW w:w="2416" w:type="pct"/>
            <w:tcBorders>
              <w:top w:val="nil"/>
              <w:left w:val="nil"/>
              <w:bottom w:val="nil"/>
              <w:right w:val="nil"/>
            </w:tcBorders>
            <w:shd w:val="clear" w:color="auto" w:fill="auto"/>
            <w:noWrap/>
            <w:vAlign w:val="center"/>
            <w:hideMark/>
          </w:tcPr>
          <w:p w14:paraId="1299280A" w14:textId="77777777" w:rsidR="006A15CF" w:rsidRPr="006A15CF" w:rsidRDefault="006A15CF" w:rsidP="00914F27">
            <w:pPr>
              <w:spacing w:before="0" w:after="0" w:line="240" w:lineRule="auto"/>
              <w:ind w:left="170"/>
              <w:rPr>
                <w:rFonts w:ascii="Arial" w:hAnsi="Arial" w:cs="Arial"/>
                <w:sz w:val="16"/>
                <w:szCs w:val="16"/>
              </w:rPr>
            </w:pPr>
            <w:r w:rsidRPr="006A15CF">
              <w:rPr>
                <w:rFonts w:ascii="Arial" w:hAnsi="Arial" w:cs="Arial"/>
                <w:sz w:val="16"/>
                <w:szCs w:val="16"/>
              </w:rPr>
              <w:t xml:space="preserve">National Agreement on Social Housing </w:t>
            </w:r>
          </w:p>
        </w:tc>
        <w:tc>
          <w:tcPr>
            <w:tcW w:w="556" w:type="pct"/>
            <w:tcBorders>
              <w:top w:val="nil"/>
              <w:left w:val="nil"/>
              <w:bottom w:val="nil"/>
              <w:right w:val="nil"/>
            </w:tcBorders>
            <w:shd w:val="clear" w:color="auto" w:fill="auto"/>
            <w:noWrap/>
            <w:vAlign w:val="center"/>
            <w:hideMark/>
          </w:tcPr>
          <w:p w14:paraId="18A1B09F" w14:textId="77777777" w:rsidR="006A15CF" w:rsidRPr="006A15CF" w:rsidRDefault="006A15CF" w:rsidP="006A15CF">
            <w:pPr>
              <w:spacing w:before="0" w:after="0" w:line="240" w:lineRule="auto"/>
              <w:ind w:firstLineChars="100" w:firstLine="160"/>
              <w:rPr>
                <w:rFonts w:ascii="Arial" w:hAnsi="Arial" w:cs="Arial"/>
                <w:sz w:val="16"/>
                <w:szCs w:val="16"/>
              </w:rPr>
            </w:pPr>
          </w:p>
        </w:tc>
        <w:tc>
          <w:tcPr>
            <w:tcW w:w="556" w:type="pct"/>
            <w:tcBorders>
              <w:top w:val="nil"/>
              <w:left w:val="nil"/>
              <w:bottom w:val="nil"/>
              <w:right w:val="nil"/>
            </w:tcBorders>
            <w:shd w:val="clear" w:color="000000" w:fill="E6F2FF"/>
            <w:noWrap/>
            <w:vAlign w:val="center"/>
            <w:hideMark/>
          </w:tcPr>
          <w:p w14:paraId="0E0184F4"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 </w:t>
            </w:r>
          </w:p>
        </w:tc>
        <w:tc>
          <w:tcPr>
            <w:tcW w:w="517" w:type="pct"/>
            <w:tcBorders>
              <w:top w:val="nil"/>
              <w:left w:val="nil"/>
              <w:bottom w:val="nil"/>
              <w:right w:val="nil"/>
            </w:tcBorders>
            <w:shd w:val="clear" w:color="auto" w:fill="auto"/>
            <w:noWrap/>
            <w:vAlign w:val="center"/>
            <w:hideMark/>
          </w:tcPr>
          <w:p w14:paraId="6B56392A" w14:textId="77777777" w:rsidR="006A15CF" w:rsidRPr="006A15CF" w:rsidRDefault="006A15CF" w:rsidP="006A15CF">
            <w:pPr>
              <w:spacing w:before="0" w:after="0" w:line="240" w:lineRule="auto"/>
              <w:jc w:val="right"/>
              <w:rPr>
                <w:rFonts w:ascii="Arial" w:hAnsi="Arial" w:cs="Arial"/>
                <w:color w:val="000000"/>
                <w:sz w:val="16"/>
                <w:szCs w:val="16"/>
              </w:rPr>
            </w:pPr>
          </w:p>
        </w:tc>
        <w:tc>
          <w:tcPr>
            <w:tcW w:w="477" w:type="pct"/>
            <w:tcBorders>
              <w:top w:val="nil"/>
              <w:left w:val="nil"/>
              <w:bottom w:val="nil"/>
              <w:right w:val="nil"/>
            </w:tcBorders>
            <w:shd w:val="clear" w:color="auto" w:fill="auto"/>
            <w:noWrap/>
            <w:vAlign w:val="center"/>
            <w:hideMark/>
          </w:tcPr>
          <w:p w14:paraId="65DBE6C2" w14:textId="77777777" w:rsidR="006A15CF" w:rsidRPr="006A15CF" w:rsidRDefault="006A15CF" w:rsidP="006A15CF">
            <w:pPr>
              <w:spacing w:before="0" w:after="0" w:line="240" w:lineRule="auto"/>
              <w:jc w:val="right"/>
              <w:rPr>
                <w:rFonts w:ascii="Times New Roman" w:hAnsi="Times New Roman"/>
                <w:sz w:val="20"/>
              </w:rPr>
            </w:pPr>
          </w:p>
        </w:tc>
        <w:tc>
          <w:tcPr>
            <w:tcW w:w="477" w:type="pct"/>
            <w:tcBorders>
              <w:top w:val="nil"/>
              <w:left w:val="nil"/>
              <w:bottom w:val="nil"/>
              <w:right w:val="nil"/>
            </w:tcBorders>
            <w:shd w:val="clear" w:color="auto" w:fill="auto"/>
            <w:noWrap/>
            <w:vAlign w:val="center"/>
            <w:hideMark/>
          </w:tcPr>
          <w:p w14:paraId="40308CE6" w14:textId="77777777" w:rsidR="006A15CF" w:rsidRPr="006A15CF" w:rsidRDefault="006A15CF" w:rsidP="006A15CF">
            <w:pPr>
              <w:spacing w:before="0" w:after="0" w:line="240" w:lineRule="auto"/>
              <w:jc w:val="right"/>
              <w:rPr>
                <w:rFonts w:ascii="Times New Roman" w:hAnsi="Times New Roman"/>
                <w:sz w:val="20"/>
              </w:rPr>
            </w:pPr>
          </w:p>
        </w:tc>
      </w:tr>
      <w:tr w:rsidR="006A15CF" w:rsidRPr="006A15CF" w14:paraId="7F707B01" w14:textId="77777777" w:rsidTr="00914F27">
        <w:trPr>
          <w:trHeight w:hRule="exact" w:val="255"/>
        </w:trPr>
        <w:tc>
          <w:tcPr>
            <w:tcW w:w="2416" w:type="pct"/>
            <w:tcBorders>
              <w:top w:val="nil"/>
              <w:left w:val="nil"/>
              <w:bottom w:val="nil"/>
              <w:right w:val="nil"/>
            </w:tcBorders>
            <w:shd w:val="clear" w:color="auto" w:fill="auto"/>
            <w:noWrap/>
            <w:vAlign w:val="center"/>
            <w:hideMark/>
          </w:tcPr>
          <w:p w14:paraId="31D7F85B" w14:textId="77777777" w:rsidR="006A15CF" w:rsidRPr="006A15CF" w:rsidRDefault="006A15CF" w:rsidP="00914F27">
            <w:pPr>
              <w:spacing w:before="0" w:after="0" w:line="240" w:lineRule="auto"/>
              <w:ind w:left="340"/>
              <w:rPr>
                <w:rFonts w:ascii="Arial" w:hAnsi="Arial" w:cs="Arial"/>
                <w:sz w:val="16"/>
                <w:szCs w:val="16"/>
              </w:rPr>
            </w:pPr>
            <w:r w:rsidRPr="006A15CF">
              <w:rPr>
                <w:rFonts w:ascii="Arial" w:hAnsi="Arial" w:cs="Arial"/>
                <w:sz w:val="16"/>
                <w:szCs w:val="16"/>
              </w:rPr>
              <w:t>and Homelessness</w:t>
            </w:r>
          </w:p>
        </w:tc>
        <w:tc>
          <w:tcPr>
            <w:tcW w:w="556" w:type="pct"/>
            <w:tcBorders>
              <w:top w:val="nil"/>
              <w:left w:val="nil"/>
              <w:bottom w:val="nil"/>
              <w:right w:val="nil"/>
            </w:tcBorders>
            <w:shd w:val="clear" w:color="auto" w:fill="auto"/>
            <w:noWrap/>
            <w:vAlign w:val="center"/>
            <w:hideMark/>
          </w:tcPr>
          <w:p w14:paraId="455F9978"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1,779</w:t>
            </w:r>
          </w:p>
        </w:tc>
        <w:tc>
          <w:tcPr>
            <w:tcW w:w="556" w:type="pct"/>
            <w:tcBorders>
              <w:top w:val="nil"/>
              <w:left w:val="nil"/>
              <w:bottom w:val="nil"/>
              <w:right w:val="nil"/>
            </w:tcBorders>
            <w:shd w:val="clear" w:color="000000" w:fill="E6F2FF"/>
            <w:noWrap/>
            <w:vAlign w:val="center"/>
            <w:hideMark/>
          </w:tcPr>
          <w:p w14:paraId="7F8F6556"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1,817</w:t>
            </w:r>
          </w:p>
        </w:tc>
        <w:tc>
          <w:tcPr>
            <w:tcW w:w="517" w:type="pct"/>
            <w:tcBorders>
              <w:top w:val="nil"/>
              <w:left w:val="nil"/>
              <w:bottom w:val="nil"/>
              <w:right w:val="nil"/>
            </w:tcBorders>
            <w:shd w:val="clear" w:color="auto" w:fill="auto"/>
            <w:noWrap/>
            <w:vAlign w:val="center"/>
            <w:hideMark/>
          </w:tcPr>
          <w:p w14:paraId="3B2F7ECA"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1,860</w:t>
            </w:r>
          </w:p>
        </w:tc>
        <w:tc>
          <w:tcPr>
            <w:tcW w:w="477" w:type="pct"/>
            <w:tcBorders>
              <w:top w:val="nil"/>
              <w:left w:val="nil"/>
              <w:bottom w:val="nil"/>
              <w:right w:val="nil"/>
            </w:tcBorders>
            <w:shd w:val="clear" w:color="auto" w:fill="auto"/>
            <w:noWrap/>
            <w:vAlign w:val="center"/>
            <w:hideMark/>
          </w:tcPr>
          <w:p w14:paraId="281FF09D"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1,897</w:t>
            </w:r>
          </w:p>
        </w:tc>
        <w:tc>
          <w:tcPr>
            <w:tcW w:w="477" w:type="pct"/>
            <w:tcBorders>
              <w:top w:val="nil"/>
              <w:left w:val="nil"/>
              <w:bottom w:val="nil"/>
              <w:right w:val="nil"/>
            </w:tcBorders>
            <w:shd w:val="clear" w:color="auto" w:fill="auto"/>
            <w:noWrap/>
            <w:vAlign w:val="center"/>
            <w:hideMark/>
          </w:tcPr>
          <w:p w14:paraId="6C5E79B8"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1,939</w:t>
            </w:r>
          </w:p>
        </w:tc>
      </w:tr>
      <w:tr w:rsidR="006A15CF" w:rsidRPr="006A15CF" w14:paraId="38FA84D5" w14:textId="77777777" w:rsidTr="00914F27">
        <w:trPr>
          <w:trHeight w:hRule="exact" w:val="255"/>
        </w:trPr>
        <w:tc>
          <w:tcPr>
            <w:tcW w:w="2416" w:type="pct"/>
            <w:tcBorders>
              <w:top w:val="nil"/>
              <w:left w:val="nil"/>
              <w:bottom w:val="nil"/>
              <w:right w:val="nil"/>
            </w:tcBorders>
            <w:shd w:val="clear" w:color="auto" w:fill="auto"/>
            <w:noWrap/>
            <w:vAlign w:val="center"/>
            <w:hideMark/>
          </w:tcPr>
          <w:p w14:paraId="192BDC9D" w14:textId="77777777" w:rsidR="006A15CF" w:rsidRPr="006A15CF" w:rsidRDefault="006A15CF" w:rsidP="00914F27">
            <w:pPr>
              <w:spacing w:before="0" w:after="0" w:line="240" w:lineRule="auto"/>
              <w:ind w:left="170"/>
              <w:rPr>
                <w:rFonts w:ascii="Arial" w:hAnsi="Arial" w:cs="Arial"/>
                <w:sz w:val="16"/>
                <w:szCs w:val="16"/>
              </w:rPr>
            </w:pPr>
            <w:r w:rsidRPr="006A15CF">
              <w:rPr>
                <w:rFonts w:ascii="Arial" w:hAnsi="Arial" w:cs="Arial"/>
                <w:sz w:val="16"/>
                <w:szCs w:val="16"/>
              </w:rPr>
              <w:t>Energy Bill Relief</w:t>
            </w:r>
          </w:p>
        </w:tc>
        <w:tc>
          <w:tcPr>
            <w:tcW w:w="556" w:type="pct"/>
            <w:tcBorders>
              <w:top w:val="nil"/>
              <w:left w:val="nil"/>
              <w:bottom w:val="nil"/>
              <w:right w:val="nil"/>
            </w:tcBorders>
            <w:shd w:val="clear" w:color="auto" w:fill="auto"/>
            <w:noWrap/>
            <w:vAlign w:val="center"/>
            <w:hideMark/>
          </w:tcPr>
          <w:p w14:paraId="42BB2144"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3,546</w:t>
            </w:r>
          </w:p>
        </w:tc>
        <w:tc>
          <w:tcPr>
            <w:tcW w:w="556" w:type="pct"/>
            <w:tcBorders>
              <w:top w:val="nil"/>
              <w:left w:val="nil"/>
              <w:bottom w:val="nil"/>
              <w:right w:val="nil"/>
            </w:tcBorders>
            <w:shd w:val="clear" w:color="000000" w:fill="E6F2FF"/>
            <w:noWrap/>
            <w:vAlign w:val="center"/>
            <w:hideMark/>
          </w:tcPr>
          <w:p w14:paraId="1FF80A51"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1,775</w:t>
            </w:r>
          </w:p>
        </w:tc>
        <w:tc>
          <w:tcPr>
            <w:tcW w:w="517" w:type="pct"/>
            <w:tcBorders>
              <w:top w:val="nil"/>
              <w:left w:val="nil"/>
              <w:bottom w:val="nil"/>
              <w:right w:val="nil"/>
            </w:tcBorders>
            <w:shd w:val="clear" w:color="auto" w:fill="auto"/>
            <w:noWrap/>
            <w:vAlign w:val="center"/>
            <w:hideMark/>
          </w:tcPr>
          <w:p w14:paraId="09B08C63" w14:textId="3A7D89DF" w:rsidR="006A15CF" w:rsidRPr="006A15CF" w:rsidRDefault="009B6F84" w:rsidP="006A15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77" w:type="pct"/>
            <w:tcBorders>
              <w:top w:val="nil"/>
              <w:left w:val="nil"/>
              <w:bottom w:val="nil"/>
              <w:right w:val="nil"/>
            </w:tcBorders>
            <w:shd w:val="clear" w:color="auto" w:fill="auto"/>
            <w:noWrap/>
            <w:vAlign w:val="center"/>
            <w:hideMark/>
          </w:tcPr>
          <w:p w14:paraId="550665F7" w14:textId="292BD47E" w:rsidR="006A15CF" w:rsidRPr="006A15CF" w:rsidRDefault="009B6F84" w:rsidP="006A15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77" w:type="pct"/>
            <w:tcBorders>
              <w:top w:val="nil"/>
              <w:left w:val="nil"/>
              <w:bottom w:val="nil"/>
              <w:right w:val="nil"/>
            </w:tcBorders>
            <w:shd w:val="clear" w:color="auto" w:fill="auto"/>
            <w:noWrap/>
            <w:vAlign w:val="center"/>
            <w:hideMark/>
          </w:tcPr>
          <w:p w14:paraId="718290D1" w14:textId="03415F68" w:rsidR="006A15CF" w:rsidRPr="006A15CF" w:rsidRDefault="009B6F84" w:rsidP="006A15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A15CF" w:rsidRPr="006A15CF" w14:paraId="20583AEB" w14:textId="77777777" w:rsidTr="00914F27">
        <w:trPr>
          <w:trHeight w:hRule="exact" w:val="255"/>
        </w:trPr>
        <w:tc>
          <w:tcPr>
            <w:tcW w:w="2416" w:type="pct"/>
            <w:tcBorders>
              <w:top w:val="nil"/>
              <w:left w:val="nil"/>
              <w:bottom w:val="nil"/>
              <w:right w:val="nil"/>
            </w:tcBorders>
            <w:shd w:val="clear" w:color="auto" w:fill="auto"/>
            <w:noWrap/>
            <w:vAlign w:val="center"/>
            <w:hideMark/>
          </w:tcPr>
          <w:p w14:paraId="7DC6B039" w14:textId="77777777" w:rsidR="006A15CF" w:rsidRPr="006A15CF" w:rsidRDefault="006A15CF" w:rsidP="00914F27">
            <w:pPr>
              <w:spacing w:before="0" w:after="0" w:line="240" w:lineRule="auto"/>
              <w:ind w:left="170"/>
              <w:rPr>
                <w:rFonts w:ascii="Arial" w:hAnsi="Arial" w:cs="Arial"/>
                <w:sz w:val="16"/>
                <w:szCs w:val="16"/>
              </w:rPr>
            </w:pPr>
            <w:r w:rsidRPr="006A15CF">
              <w:rPr>
                <w:rFonts w:ascii="Arial" w:hAnsi="Arial" w:cs="Arial"/>
                <w:sz w:val="16"/>
                <w:szCs w:val="16"/>
              </w:rPr>
              <w:t>National Access to Justice Partnership(a)</w:t>
            </w:r>
          </w:p>
        </w:tc>
        <w:tc>
          <w:tcPr>
            <w:tcW w:w="556" w:type="pct"/>
            <w:tcBorders>
              <w:top w:val="nil"/>
              <w:left w:val="nil"/>
              <w:bottom w:val="nil"/>
              <w:right w:val="nil"/>
            </w:tcBorders>
            <w:shd w:val="clear" w:color="auto" w:fill="auto"/>
            <w:noWrap/>
            <w:vAlign w:val="center"/>
            <w:hideMark/>
          </w:tcPr>
          <w:p w14:paraId="4A637A89"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569</w:t>
            </w:r>
          </w:p>
        </w:tc>
        <w:tc>
          <w:tcPr>
            <w:tcW w:w="556" w:type="pct"/>
            <w:tcBorders>
              <w:top w:val="nil"/>
              <w:left w:val="nil"/>
              <w:bottom w:val="nil"/>
              <w:right w:val="nil"/>
            </w:tcBorders>
            <w:shd w:val="clear" w:color="000000" w:fill="E6F2FF"/>
            <w:noWrap/>
            <w:vAlign w:val="center"/>
            <w:hideMark/>
          </w:tcPr>
          <w:p w14:paraId="6560AF1C"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738</w:t>
            </w:r>
          </w:p>
        </w:tc>
        <w:tc>
          <w:tcPr>
            <w:tcW w:w="517" w:type="pct"/>
            <w:tcBorders>
              <w:top w:val="nil"/>
              <w:left w:val="nil"/>
              <w:bottom w:val="nil"/>
              <w:right w:val="nil"/>
            </w:tcBorders>
            <w:shd w:val="clear" w:color="auto" w:fill="auto"/>
            <w:noWrap/>
            <w:vAlign w:val="center"/>
            <w:hideMark/>
          </w:tcPr>
          <w:p w14:paraId="492AC11A"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758</w:t>
            </w:r>
          </w:p>
        </w:tc>
        <w:tc>
          <w:tcPr>
            <w:tcW w:w="477" w:type="pct"/>
            <w:tcBorders>
              <w:top w:val="nil"/>
              <w:left w:val="nil"/>
              <w:bottom w:val="nil"/>
              <w:right w:val="nil"/>
            </w:tcBorders>
            <w:shd w:val="clear" w:color="auto" w:fill="auto"/>
            <w:noWrap/>
            <w:vAlign w:val="center"/>
            <w:hideMark/>
          </w:tcPr>
          <w:p w14:paraId="083EECEC"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774</w:t>
            </w:r>
          </w:p>
        </w:tc>
        <w:tc>
          <w:tcPr>
            <w:tcW w:w="477" w:type="pct"/>
            <w:tcBorders>
              <w:top w:val="nil"/>
              <w:left w:val="nil"/>
              <w:bottom w:val="nil"/>
              <w:right w:val="nil"/>
            </w:tcBorders>
            <w:shd w:val="clear" w:color="auto" w:fill="auto"/>
            <w:noWrap/>
            <w:vAlign w:val="center"/>
            <w:hideMark/>
          </w:tcPr>
          <w:p w14:paraId="7113D17A"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789</w:t>
            </w:r>
          </w:p>
        </w:tc>
      </w:tr>
      <w:tr w:rsidR="006A15CF" w:rsidRPr="006A15CF" w14:paraId="1ABC4CF6" w14:textId="77777777" w:rsidTr="00914F27">
        <w:trPr>
          <w:trHeight w:hRule="exact" w:val="255"/>
        </w:trPr>
        <w:tc>
          <w:tcPr>
            <w:tcW w:w="2416" w:type="pct"/>
            <w:tcBorders>
              <w:top w:val="nil"/>
              <w:left w:val="nil"/>
              <w:bottom w:val="nil"/>
              <w:right w:val="nil"/>
            </w:tcBorders>
            <w:shd w:val="clear" w:color="auto" w:fill="auto"/>
            <w:noWrap/>
            <w:vAlign w:val="center"/>
            <w:hideMark/>
          </w:tcPr>
          <w:p w14:paraId="73D91E1D" w14:textId="77777777" w:rsidR="006A15CF" w:rsidRPr="006A15CF" w:rsidRDefault="006A15CF" w:rsidP="00914F27">
            <w:pPr>
              <w:spacing w:before="0" w:after="0" w:line="240" w:lineRule="auto"/>
              <w:ind w:left="170"/>
              <w:rPr>
                <w:rFonts w:ascii="Arial" w:hAnsi="Arial" w:cs="Arial"/>
                <w:sz w:val="16"/>
                <w:szCs w:val="16"/>
              </w:rPr>
            </w:pPr>
            <w:r w:rsidRPr="006A15CF">
              <w:rPr>
                <w:rFonts w:ascii="Arial" w:hAnsi="Arial" w:cs="Arial"/>
                <w:sz w:val="16"/>
                <w:szCs w:val="16"/>
              </w:rPr>
              <w:t>National Partnership payments(b)</w:t>
            </w:r>
          </w:p>
        </w:tc>
        <w:tc>
          <w:tcPr>
            <w:tcW w:w="556" w:type="pct"/>
            <w:tcBorders>
              <w:top w:val="nil"/>
              <w:left w:val="nil"/>
              <w:bottom w:val="nil"/>
              <w:right w:val="nil"/>
            </w:tcBorders>
            <w:shd w:val="clear" w:color="auto" w:fill="auto"/>
            <w:noWrap/>
            <w:vAlign w:val="center"/>
            <w:hideMark/>
          </w:tcPr>
          <w:p w14:paraId="6B652915"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22,699</w:t>
            </w:r>
          </w:p>
        </w:tc>
        <w:tc>
          <w:tcPr>
            <w:tcW w:w="556" w:type="pct"/>
            <w:tcBorders>
              <w:top w:val="nil"/>
              <w:left w:val="nil"/>
              <w:bottom w:val="nil"/>
              <w:right w:val="nil"/>
            </w:tcBorders>
            <w:shd w:val="clear" w:color="000000" w:fill="E6F2FF"/>
            <w:noWrap/>
            <w:vAlign w:val="center"/>
            <w:hideMark/>
          </w:tcPr>
          <w:p w14:paraId="22E5EFDC"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24,683</w:t>
            </w:r>
          </w:p>
        </w:tc>
        <w:tc>
          <w:tcPr>
            <w:tcW w:w="517" w:type="pct"/>
            <w:tcBorders>
              <w:top w:val="nil"/>
              <w:left w:val="nil"/>
              <w:bottom w:val="nil"/>
              <w:right w:val="nil"/>
            </w:tcBorders>
            <w:shd w:val="clear" w:color="auto" w:fill="auto"/>
            <w:noWrap/>
            <w:vAlign w:val="center"/>
            <w:hideMark/>
          </w:tcPr>
          <w:p w14:paraId="6A2F8DAE"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21,635</w:t>
            </w:r>
          </w:p>
        </w:tc>
        <w:tc>
          <w:tcPr>
            <w:tcW w:w="477" w:type="pct"/>
            <w:tcBorders>
              <w:top w:val="nil"/>
              <w:left w:val="nil"/>
              <w:bottom w:val="nil"/>
              <w:right w:val="nil"/>
            </w:tcBorders>
            <w:shd w:val="clear" w:color="auto" w:fill="auto"/>
            <w:noWrap/>
            <w:vAlign w:val="center"/>
            <w:hideMark/>
          </w:tcPr>
          <w:p w14:paraId="3D5B4658"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20,588</w:t>
            </w:r>
          </w:p>
        </w:tc>
        <w:tc>
          <w:tcPr>
            <w:tcW w:w="477" w:type="pct"/>
            <w:tcBorders>
              <w:top w:val="nil"/>
              <w:left w:val="nil"/>
              <w:bottom w:val="nil"/>
              <w:right w:val="nil"/>
            </w:tcBorders>
            <w:shd w:val="clear" w:color="auto" w:fill="auto"/>
            <w:noWrap/>
            <w:vAlign w:val="center"/>
            <w:hideMark/>
          </w:tcPr>
          <w:p w14:paraId="71A67AA7"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20,213</w:t>
            </w:r>
          </w:p>
        </w:tc>
      </w:tr>
      <w:tr w:rsidR="006A15CF" w:rsidRPr="006A15CF" w14:paraId="3293E214" w14:textId="77777777" w:rsidTr="00914F27">
        <w:trPr>
          <w:trHeight w:hRule="exact" w:val="225"/>
        </w:trPr>
        <w:tc>
          <w:tcPr>
            <w:tcW w:w="2416" w:type="pct"/>
            <w:tcBorders>
              <w:top w:val="nil"/>
              <w:left w:val="nil"/>
              <w:bottom w:val="nil"/>
              <w:right w:val="nil"/>
            </w:tcBorders>
            <w:shd w:val="clear" w:color="auto" w:fill="auto"/>
            <w:noWrap/>
            <w:vAlign w:val="center"/>
            <w:hideMark/>
          </w:tcPr>
          <w:p w14:paraId="44E1293F" w14:textId="77777777" w:rsidR="006A15CF" w:rsidRPr="006A15CF" w:rsidRDefault="006A15CF" w:rsidP="00914F27">
            <w:pPr>
              <w:spacing w:before="0" w:after="0" w:line="240" w:lineRule="auto"/>
              <w:ind w:left="170"/>
              <w:rPr>
                <w:rFonts w:ascii="Arial" w:hAnsi="Arial" w:cs="Arial"/>
                <w:sz w:val="16"/>
                <w:szCs w:val="16"/>
              </w:rPr>
            </w:pPr>
            <w:r w:rsidRPr="006A15CF">
              <w:rPr>
                <w:rFonts w:ascii="Arial" w:hAnsi="Arial" w:cs="Arial"/>
                <w:sz w:val="16"/>
                <w:szCs w:val="16"/>
              </w:rPr>
              <w:t>Total payments for specific purposes</w:t>
            </w:r>
          </w:p>
        </w:tc>
        <w:tc>
          <w:tcPr>
            <w:tcW w:w="556" w:type="pct"/>
            <w:tcBorders>
              <w:top w:val="single" w:sz="4" w:space="0" w:color="293F5B"/>
              <w:left w:val="nil"/>
              <w:bottom w:val="nil"/>
              <w:right w:val="nil"/>
            </w:tcBorders>
            <w:shd w:val="clear" w:color="auto" w:fill="auto"/>
            <w:noWrap/>
            <w:vAlign w:val="center"/>
            <w:hideMark/>
          </w:tcPr>
          <w:p w14:paraId="0CF8325A"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92,343</w:t>
            </w:r>
          </w:p>
        </w:tc>
        <w:tc>
          <w:tcPr>
            <w:tcW w:w="556" w:type="pct"/>
            <w:tcBorders>
              <w:top w:val="single" w:sz="4" w:space="0" w:color="293F5B"/>
              <w:left w:val="nil"/>
              <w:bottom w:val="nil"/>
              <w:right w:val="nil"/>
            </w:tcBorders>
            <w:shd w:val="clear" w:color="000000" w:fill="E6F2FF"/>
            <w:noWrap/>
            <w:vAlign w:val="center"/>
            <w:hideMark/>
          </w:tcPr>
          <w:p w14:paraId="28B05FB8"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95,881</w:t>
            </w:r>
          </w:p>
        </w:tc>
        <w:tc>
          <w:tcPr>
            <w:tcW w:w="517" w:type="pct"/>
            <w:tcBorders>
              <w:top w:val="single" w:sz="4" w:space="0" w:color="293F5B"/>
              <w:left w:val="nil"/>
              <w:bottom w:val="nil"/>
              <w:right w:val="nil"/>
            </w:tcBorders>
            <w:shd w:val="clear" w:color="auto" w:fill="auto"/>
            <w:noWrap/>
            <w:vAlign w:val="center"/>
            <w:hideMark/>
          </w:tcPr>
          <w:p w14:paraId="1154D217"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94,617</w:t>
            </w:r>
          </w:p>
        </w:tc>
        <w:tc>
          <w:tcPr>
            <w:tcW w:w="477" w:type="pct"/>
            <w:tcBorders>
              <w:top w:val="single" w:sz="4" w:space="0" w:color="293F5B"/>
              <w:left w:val="nil"/>
              <w:bottom w:val="nil"/>
              <w:right w:val="nil"/>
            </w:tcBorders>
            <w:shd w:val="clear" w:color="auto" w:fill="auto"/>
            <w:noWrap/>
            <w:vAlign w:val="center"/>
            <w:hideMark/>
          </w:tcPr>
          <w:p w14:paraId="7E0C7154"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97,285</w:t>
            </w:r>
          </w:p>
        </w:tc>
        <w:tc>
          <w:tcPr>
            <w:tcW w:w="477" w:type="pct"/>
            <w:tcBorders>
              <w:top w:val="single" w:sz="4" w:space="0" w:color="293F5B"/>
              <w:left w:val="nil"/>
              <w:bottom w:val="nil"/>
              <w:right w:val="nil"/>
            </w:tcBorders>
            <w:shd w:val="clear" w:color="auto" w:fill="auto"/>
            <w:noWrap/>
            <w:vAlign w:val="center"/>
            <w:hideMark/>
          </w:tcPr>
          <w:p w14:paraId="3E648D77"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100,519</w:t>
            </w:r>
          </w:p>
        </w:tc>
      </w:tr>
      <w:tr w:rsidR="006A15CF" w:rsidRPr="006A15CF" w14:paraId="216A928E" w14:textId="77777777" w:rsidTr="00914F27">
        <w:trPr>
          <w:trHeight w:hRule="exact" w:val="255"/>
        </w:trPr>
        <w:tc>
          <w:tcPr>
            <w:tcW w:w="2416" w:type="pct"/>
            <w:tcBorders>
              <w:top w:val="nil"/>
              <w:left w:val="nil"/>
              <w:bottom w:val="nil"/>
              <w:right w:val="nil"/>
            </w:tcBorders>
            <w:shd w:val="clear" w:color="auto" w:fill="auto"/>
            <w:noWrap/>
            <w:vAlign w:val="center"/>
            <w:hideMark/>
          </w:tcPr>
          <w:p w14:paraId="6E54D68E" w14:textId="77777777" w:rsidR="006A15CF" w:rsidRPr="006A15CF" w:rsidRDefault="006A15CF" w:rsidP="00914F27">
            <w:pPr>
              <w:spacing w:before="0" w:after="0" w:line="240" w:lineRule="auto"/>
              <w:ind w:left="170"/>
              <w:rPr>
                <w:rFonts w:ascii="Arial" w:hAnsi="Arial" w:cs="Arial"/>
                <w:sz w:val="16"/>
                <w:szCs w:val="16"/>
              </w:rPr>
            </w:pPr>
            <w:r w:rsidRPr="006A15CF">
              <w:rPr>
                <w:rFonts w:ascii="Arial" w:hAnsi="Arial" w:cs="Arial"/>
                <w:sz w:val="16"/>
                <w:szCs w:val="16"/>
              </w:rPr>
              <w:t>Per cent change from previous year</w:t>
            </w:r>
          </w:p>
        </w:tc>
        <w:tc>
          <w:tcPr>
            <w:tcW w:w="556" w:type="pct"/>
            <w:tcBorders>
              <w:top w:val="nil"/>
              <w:left w:val="nil"/>
              <w:bottom w:val="nil"/>
              <w:right w:val="nil"/>
            </w:tcBorders>
            <w:shd w:val="clear" w:color="auto" w:fill="auto"/>
            <w:noWrap/>
            <w:vAlign w:val="center"/>
            <w:hideMark/>
          </w:tcPr>
          <w:p w14:paraId="47B7F5C1"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10.1</w:t>
            </w:r>
          </w:p>
        </w:tc>
        <w:tc>
          <w:tcPr>
            <w:tcW w:w="556" w:type="pct"/>
            <w:tcBorders>
              <w:top w:val="nil"/>
              <w:left w:val="nil"/>
              <w:bottom w:val="nil"/>
              <w:right w:val="nil"/>
            </w:tcBorders>
            <w:shd w:val="clear" w:color="000000" w:fill="E6F2FF"/>
            <w:noWrap/>
            <w:vAlign w:val="center"/>
            <w:hideMark/>
          </w:tcPr>
          <w:p w14:paraId="775BC3CD"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3.8</w:t>
            </w:r>
          </w:p>
        </w:tc>
        <w:tc>
          <w:tcPr>
            <w:tcW w:w="517" w:type="pct"/>
            <w:tcBorders>
              <w:top w:val="nil"/>
              <w:left w:val="nil"/>
              <w:bottom w:val="nil"/>
              <w:right w:val="nil"/>
            </w:tcBorders>
            <w:shd w:val="clear" w:color="auto" w:fill="auto"/>
            <w:noWrap/>
            <w:vAlign w:val="center"/>
            <w:hideMark/>
          </w:tcPr>
          <w:p w14:paraId="167395BF" w14:textId="579329B4" w:rsidR="006A15CF" w:rsidRPr="006A15CF" w:rsidRDefault="009B6F84" w:rsidP="006A15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6A15CF" w:rsidRPr="006A15CF">
              <w:rPr>
                <w:rFonts w:ascii="Arial" w:hAnsi="Arial" w:cs="Arial"/>
                <w:color w:val="000000"/>
                <w:sz w:val="16"/>
                <w:szCs w:val="16"/>
              </w:rPr>
              <w:t>1.3</w:t>
            </w:r>
          </w:p>
        </w:tc>
        <w:tc>
          <w:tcPr>
            <w:tcW w:w="477" w:type="pct"/>
            <w:tcBorders>
              <w:top w:val="nil"/>
              <w:left w:val="nil"/>
              <w:bottom w:val="nil"/>
              <w:right w:val="nil"/>
            </w:tcBorders>
            <w:shd w:val="clear" w:color="auto" w:fill="auto"/>
            <w:noWrap/>
            <w:vAlign w:val="center"/>
            <w:hideMark/>
          </w:tcPr>
          <w:p w14:paraId="6B44870B"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2.8</w:t>
            </w:r>
          </w:p>
        </w:tc>
        <w:tc>
          <w:tcPr>
            <w:tcW w:w="477" w:type="pct"/>
            <w:tcBorders>
              <w:top w:val="nil"/>
              <w:left w:val="nil"/>
              <w:bottom w:val="nil"/>
              <w:right w:val="nil"/>
            </w:tcBorders>
            <w:shd w:val="clear" w:color="auto" w:fill="auto"/>
            <w:noWrap/>
            <w:vAlign w:val="center"/>
            <w:hideMark/>
          </w:tcPr>
          <w:p w14:paraId="3EFD95DA"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3.3</w:t>
            </w:r>
          </w:p>
        </w:tc>
      </w:tr>
      <w:tr w:rsidR="006A15CF" w:rsidRPr="006A15CF" w14:paraId="3A80F323" w14:textId="77777777" w:rsidTr="00914F27">
        <w:trPr>
          <w:trHeight w:hRule="exact" w:val="255"/>
        </w:trPr>
        <w:tc>
          <w:tcPr>
            <w:tcW w:w="2416" w:type="pct"/>
            <w:tcBorders>
              <w:top w:val="nil"/>
              <w:left w:val="nil"/>
              <w:bottom w:val="nil"/>
              <w:right w:val="nil"/>
            </w:tcBorders>
            <w:shd w:val="clear" w:color="auto" w:fill="auto"/>
            <w:noWrap/>
            <w:vAlign w:val="center"/>
            <w:hideMark/>
          </w:tcPr>
          <w:p w14:paraId="10851A92" w14:textId="77777777" w:rsidR="006A15CF" w:rsidRPr="006A15CF" w:rsidRDefault="006A15CF" w:rsidP="00914F27">
            <w:pPr>
              <w:spacing w:before="0" w:after="0" w:line="240" w:lineRule="auto"/>
              <w:ind w:left="170"/>
              <w:rPr>
                <w:rFonts w:ascii="Arial" w:hAnsi="Arial" w:cs="Arial"/>
                <w:color w:val="000000"/>
                <w:sz w:val="16"/>
                <w:szCs w:val="16"/>
              </w:rPr>
            </w:pPr>
            <w:r w:rsidRPr="006A15CF">
              <w:rPr>
                <w:rFonts w:ascii="Arial" w:hAnsi="Arial" w:cs="Arial"/>
                <w:color w:val="000000"/>
                <w:sz w:val="16"/>
                <w:szCs w:val="16"/>
              </w:rPr>
              <w:t>Per cent of GDP</w:t>
            </w:r>
          </w:p>
        </w:tc>
        <w:tc>
          <w:tcPr>
            <w:tcW w:w="556" w:type="pct"/>
            <w:tcBorders>
              <w:top w:val="nil"/>
              <w:left w:val="nil"/>
              <w:bottom w:val="nil"/>
              <w:right w:val="nil"/>
            </w:tcBorders>
            <w:shd w:val="clear" w:color="auto" w:fill="auto"/>
            <w:noWrap/>
            <w:vAlign w:val="center"/>
            <w:hideMark/>
          </w:tcPr>
          <w:p w14:paraId="5D59035E"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3.3</w:t>
            </w:r>
          </w:p>
        </w:tc>
        <w:tc>
          <w:tcPr>
            <w:tcW w:w="556" w:type="pct"/>
            <w:tcBorders>
              <w:top w:val="nil"/>
              <w:left w:val="nil"/>
              <w:bottom w:val="nil"/>
              <w:right w:val="nil"/>
            </w:tcBorders>
            <w:shd w:val="clear" w:color="000000" w:fill="E6F2FF"/>
            <w:noWrap/>
            <w:vAlign w:val="center"/>
            <w:hideMark/>
          </w:tcPr>
          <w:p w14:paraId="3AE30D0F"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3.3</w:t>
            </w:r>
          </w:p>
        </w:tc>
        <w:tc>
          <w:tcPr>
            <w:tcW w:w="517" w:type="pct"/>
            <w:tcBorders>
              <w:top w:val="nil"/>
              <w:left w:val="nil"/>
              <w:bottom w:val="nil"/>
              <w:right w:val="nil"/>
            </w:tcBorders>
            <w:shd w:val="clear" w:color="auto" w:fill="auto"/>
            <w:noWrap/>
            <w:vAlign w:val="center"/>
            <w:hideMark/>
          </w:tcPr>
          <w:p w14:paraId="3378BF1C"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3.2</w:t>
            </w:r>
          </w:p>
        </w:tc>
        <w:tc>
          <w:tcPr>
            <w:tcW w:w="477" w:type="pct"/>
            <w:tcBorders>
              <w:top w:val="nil"/>
              <w:left w:val="nil"/>
              <w:bottom w:val="nil"/>
              <w:right w:val="nil"/>
            </w:tcBorders>
            <w:shd w:val="clear" w:color="auto" w:fill="auto"/>
            <w:noWrap/>
            <w:vAlign w:val="center"/>
            <w:hideMark/>
          </w:tcPr>
          <w:p w14:paraId="3A4853AA"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3.1</w:t>
            </w:r>
          </w:p>
        </w:tc>
        <w:tc>
          <w:tcPr>
            <w:tcW w:w="477" w:type="pct"/>
            <w:tcBorders>
              <w:top w:val="nil"/>
              <w:left w:val="nil"/>
              <w:bottom w:val="nil"/>
              <w:right w:val="nil"/>
            </w:tcBorders>
            <w:shd w:val="clear" w:color="auto" w:fill="auto"/>
            <w:noWrap/>
            <w:vAlign w:val="center"/>
            <w:hideMark/>
          </w:tcPr>
          <w:p w14:paraId="03BE66F8"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3.0</w:t>
            </w:r>
          </w:p>
        </w:tc>
      </w:tr>
      <w:tr w:rsidR="006A15CF" w:rsidRPr="006A15CF" w14:paraId="465E4291" w14:textId="77777777" w:rsidTr="00914F27">
        <w:trPr>
          <w:trHeight w:hRule="exact" w:val="255"/>
        </w:trPr>
        <w:tc>
          <w:tcPr>
            <w:tcW w:w="2416" w:type="pct"/>
            <w:tcBorders>
              <w:top w:val="nil"/>
              <w:left w:val="nil"/>
              <w:bottom w:val="nil"/>
              <w:right w:val="nil"/>
            </w:tcBorders>
            <w:shd w:val="clear" w:color="auto" w:fill="auto"/>
            <w:noWrap/>
            <w:vAlign w:val="center"/>
            <w:hideMark/>
          </w:tcPr>
          <w:p w14:paraId="7FFC64A5" w14:textId="77777777" w:rsidR="006A15CF" w:rsidRPr="006A15CF" w:rsidRDefault="006A15CF" w:rsidP="006A15CF">
            <w:pPr>
              <w:spacing w:before="0" w:after="0" w:line="240" w:lineRule="auto"/>
              <w:rPr>
                <w:rFonts w:ascii="Arial" w:hAnsi="Arial" w:cs="Arial"/>
                <w:i/>
                <w:iCs/>
                <w:sz w:val="16"/>
                <w:szCs w:val="16"/>
              </w:rPr>
            </w:pPr>
            <w:r w:rsidRPr="006A15CF">
              <w:rPr>
                <w:rFonts w:ascii="Arial" w:hAnsi="Arial" w:cs="Arial"/>
                <w:i/>
                <w:iCs/>
                <w:sz w:val="16"/>
                <w:szCs w:val="16"/>
              </w:rPr>
              <w:t>General revenue assistance</w:t>
            </w:r>
          </w:p>
        </w:tc>
        <w:tc>
          <w:tcPr>
            <w:tcW w:w="556" w:type="pct"/>
            <w:tcBorders>
              <w:top w:val="nil"/>
              <w:left w:val="nil"/>
              <w:bottom w:val="nil"/>
              <w:right w:val="nil"/>
            </w:tcBorders>
            <w:shd w:val="clear" w:color="auto" w:fill="auto"/>
            <w:noWrap/>
            <w:vAlign w:val="center"/>
            <w:hideMark/>
          </w:tcPr>
          <w:p w14:paraId="10AE1378" w14:textId="77777777" w:rsidR="006A15CF" w:rsidRPr="006A15CF" w:rsidRDefault="006A15CF" w:rsidP="006A15CF">
            <w:pPr>
              <w:spacing w:before="0" w:after="0" w:line="240" w:lineRule="auto"/>
              <w:rPr>
                <w:rFonts w:ascii="Arial" w:hAnsi="Arial" w:cs="Arial"/>
                <w:i/>
                <w:iCs/>
                <w:sz w:val="16"/>
                <w:szCs w:val="16"/>
              </w:rPr>
            </w:pPr>
          </w:p>
        </w:tc>
        <w:tc>
          <w:tcPr>
            <w:tcW w:w="556" w:type="pct"/>
            <w:tcBorders>
              <w:top w:val="nil"/>
              <w:left w:val="nil"/>
              <w:bottom w:val="nil"/>
              <w:right w:val="nil"/>
            </w:tcBorders>
            <w:shd w:val="clear" w:color="000000" w:fill="E6F2FF"/>
            <w:noWrap/>
            <w:vAlign w:val="center"/>
            <w:hideMark/>
          </w:tcPr>
          <w:p w14:paraId="012D8A16"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 </w:t>
            </w:r>
          </w:p>
        </w:tc>
        <w:tc>
          <w:tcPr>
            <w:tcW w:w="517" w:type="pct"/>
            <w:tcBorders>
              <w:top w:val="nil"/>
              <w:left w:val="nil"/>
              <w:bottom w:val="nil"/>
              <w:right w:val="nil"/>
            </w:tcBorders>
            <w:shd w:val="clear" w:color="auto" w:fill="auto"/>
            <w:noWrap/>
            <w:vAlign w:val="center"/>
            <w:hideMark/>
          </w:tcPr>
          <w:p w14:paraId="4B1716E7" w14:textId="77777777" w:rsidR="006A15CF" w:rsidRPr="006A15CF" w:rsidRDefault="006A15CF" w:rsidP="006A15CF">
            <w:pPr>
              <w:spacing w:before="0" w:after="0" w:line="240" w:lineRule="auto"/>
              <w:jc w:val="right"/>
              <w:rPr>
                <w:rFonts w:ascii="Arial" w:hAnsi="Arial" w:cs="Arial"/>
                <w:color w:val="000000"/>
                <w:sz w:val="16"/>
                <w:szCs w:val="16"/>
              </w:rPr>
            </w:pPr>
          </w:p>
        </w:tc>
        <w:tc>
          <w:tcPr>
            <w:tcW w:w="477" w:type="pct"/>
            <w:tcBorders>
              <w:top w:val="nil"/>
              <w:left w:val="nil"/>
              <w:bottom w:val="nil"/>
              <w:right w:val="nil"/>
            </w:tcBorders>
            <w:shd w:val="clear" w:color="auto" w:fill="auto"/>
            <w:noWrap/>
            <w:vAlign w:val="center"/>
            <w:hideMark/>
          </w:tcPr>
          <w:p w14:paraId="4FD67C80" w14:textId="77777777" w:rsidR="006A15CF" w:rsidRPr="006A15CF" w:rsidRDefault="006A15CF" w:rsidP="006A15CF">
            <w:pPr>
              <w:spacing w:before="0" w:after="0" w:line="240" w:lineRule="auto"/>
              <w:jc w:val="right"/>
              <w:rPr>
                <w:rFonts w:ascii="Times New Roman" w:hAnsi="Times New Roman"/>
                <w:sz w:val="20"/>
              </w:rPr>
            </w:pPr>
          </w:p>
        </w:tc>
        <w:tc>
          <w:tcPr>
            <w:tcW w:w="477" w:type="pct"/>
            <w:tcBorders>
              <w:top w:val="nil"/>
              <w:left w:val="nil"/>
              <w:bottom w:val="nil"/>
              <w:right w:val="nil"/>
            </w:tcBorders>
            <w:shd w:val="clear" w:color="auto" w:fill="auto"/>
            <w:noWrap/>
            <w:vAlign w:val="center"/>
            <w:hideMark/>
          </w:tcPr>
          <w:p w14:paraId="727324F8" w14:textId="77777777" w:rsidR="006A15CF" w:rsidRPr="006A15CF" w:rsidRDefault="006A15CF" w:rsidP="006A15CF">
            <w:pPr>
              <w:spacing w:before="0" w:after="0" w:line="240" w:lineRule="auto"/>
              <w:jc w:val="right"/>
              <w:rPr>
                <w:rFonts w:ascii="Times New Roman" w:hAnsi="Times New Roman"/>
                <w:sz w:val="20"/>
              </w:rPr>
            </w:pPr>
          </w:p>
        </w:tc>
      </w:tr>
      <w:tr w:rsidR="006A15CF" w:rsidRPr="006A15CF" w14:paraId="3D623E68" w14:textId="77777777" w:rsidTr="00914F27">
        <w:trPr>
          <w:trHeight w:hRule="exact" w:val="255"/>
        </w:trPr>
        <w:tc>
          <w:tcPr>
            <w:tcW w:w="2416" w:type="pct"/>
            <w:tcBorders>
              <w:top w:val="nil"/>
              <w:left w:val="nil"/>
              <w:bottom w:val="nil"/>
              <w:right w:val="nil"/>
            </w:tcBorders>
            <w:shd w:val="clear" w:color="auto" w:fill="auto"/>
            <w:noWrap/>
            <w:vAlign w:val="center"/>
            <w:hideMark/>
          </w:tcPr>
          <w:p w14:paraId="292C93E9" w14:textId="63F6DB57" w:rsidR="006A15CF" w:rsidRPr="006A15CF" w:rsidRDefault="006A15CF" w:rsidP="00914F27">
            <w:pPr>
              <w:spacing w:before="0" w:after="0" w:line="240" w:lineRule="auto"/>
              <w:ind w:left="170"/>
              <w:rPr>
                <w:rFonts w:ascii="Arial" w:hAnsi="Arial" w:cs="Arial"/>
                <w:sz w:val="16"/>
                <w:szCs w:val="16"/>
              </w:rPr>
            </w:pPr>
            <w:r w:rsidRPr="006A15CF">
              <w:rPr>
                <w:rFonts w:ascii="Arial" w:hAnsi="Arial" w:cs="Arial"/>
                <w:sz w:val="16"/>
                <w:szCs w:val="16"/>
              </w:rPr>
              <w:t>GST</w:t>
            </w:r>
            <w:r w:rsidR="009B6F84">
              <w:rPr>
                <w:rFonts w:ascii="Arial" w:hAnsi="Arial" w:cs="Arial"/>
                <w:sz w:val="16"/>
                <w:szCs w:val="16"/>
              </w:rPr>
              <w:noBreakHyphen/>
            </w:r>
            <w:r w:rsidRPr="006A15CF">
              <w:rPr>
                <w:rFonts w:ascii="Arial" w:hAnsi="Arial" w:cs="Arial"/>
                <w:sz w:val="16"/>
                <w:szCs w:val="16"/>
              </w:rPr>
              <w:t>related payments(c)</w:t>
            </w:r>
          </w:p>
        </w:tc>
        <w:tc>
          <w:tcPr>
            <w:tcW w:w="556" w:type="pct"/>
            <w:tcBorders>
              <w:top w:val="nil"/>
              <w:left w:val="nil"/>
              <w:bottom w:val="nil"/>
              <w:right w:val="nil"/>
            </w:tcBorders>
            <w:shd w:val="clear" w:color="auto" w:fill="auto"/>
            <w:noWrap/>
            <w:vAlign w:val="center"/>
            <w:hideMark/>
          </w:tcPr>
          <w:p w14:paraId="2E332651"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95,587</w:t>
            </w:r>
          </w:p>
        </w:tc>
        <w:tc>
          <w:tcPr>
            <w:tcW w:w="556" w:type="pct"/>
            <w:tcBorders>
              <w:top w:val="nil"/>
              <w:left w:val="nil"/>
              <w:bottom w:val="nil"/>
              <w:right w:val="nil"/>
            </w:tcBorders>
            <w:shd w:val="clear" w:color="000000" w:fill="E6F2FF"/>
            <w:noWrap/>
            <w:vAlign w:val="center"/>
            <w:hideMark/>
          </w:tcPr>
          <w:p w14:paraId="7B51AEA4"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100,091</w:t>
            </w:r>
          </w:p>
        </w:tc>
        <w:tc>
          <w:tcPr>
            <w:tcW w:w="517" w:type="pct"/>
            <w:tcBorders>
              <w:top w:val="nil"/>
              <w:left w:val="nil"/>
              <w:bottom w:val="nil"/>
              <w:right w:val="nil"/>
            </w:tcBorders>
            <w:shd w:val="clear" w:color="auto" w:fill="auto"/>
            <w:noWrap/>
            <w:vAlign w:val="center"/>
            <w:hideMark/>
          </w:tcPr>
          <w:p w14:paraId="07A5B2C8"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105,910</w:t>
            </w:r>
          </w:p>
        </w:tc>
        <w:tc>
          <w:tcPr>
            <w:tcW w:w="477" w:type="pct"/>
            <w:tcBorders>
              <w:top w:val="nil"/>
              <w:left w:val="nil"/>
              <w:bottom w:val="nil"/>
              <w:right w:val="nil"/>
            </w:tcBorders>
            <w:shd w:val="clear" w:color="auto" w:fill="auto"/>
            <w:noWrap/>
            <w:vAlign w:val="center"/>
            <w:hideMark/>
          </w:tcPr>
          <w:p w14:paraId="7AC85707"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111,542</w:t>
            </w:r>
          </w:p>
        </w:tc>
        <w:tc>
          <w:tcPr>
            <w:tcW w:w="477" w:type="pct"/>
            <w:tcBorders>
              <w:top w:val="nil"/>
              <w:left w:val="nil"/>
              <w:bottom w:val="nil"/>
              <w:right w:val="nil"/>
            </w:tcBorders>
            <w:shd w:val="clear" w:color="auto" w:fill="auto"/>
            <w:noWrap/>
            <w:vAlign w:val="center"/>
            <w:hideMark/>
          </w:tcPr>
          <w:p w14:paraId="72BFA678"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117,171</w:t>
            </w:r>
          </w:p>
        </w:tc>
      </w:tr>
      <w:tr w:rsidR="006A15CF" w:rsidRPr="006A15CF" w14:paraId="40CDF1B9" w14:textId="77777777" w:rsidTr="00914F27">
        <w:trPr>
          <w:trHeight w:hRule="exact" w:val="255"/>
        </w:trPr>
        <w:tc>
          <w:tcPr>
            <w:tcW w:w="2416" w:type="pct"/>
            <w:tcBorders>
              <w:top w:val="nil"/>
              <w:left w:val="nil"/>
              <w:bottom w:val="nil"/>
              <w:right w:val="nil"/>
            </w:tcBorders>
            <w:shd w:val="clear" w:color="auto" w:fill="auto"/>
            <w:noWrap/>
            <w:vAlign w:val="center"/>
            <w:hideMark/>
          </w:tcPr>
          <w:p w14:paraId="7D00FC83" w14:textId="77777777" w:rsidR="006A15CF" w:rsidRPr="006A15CF" w:rsidRDefault="006A15CF" w:rsidP="00914F27">
            <w:pPr>
              <w:spacing w:before="0" w:after="0" w:line="240" w:lineRule="auto"/>
              <w:ind w:left="170"/>
              <w:rPr>
                <w:rFonts w:ascii="Arial" w:hAnsi="Arial" w:cs="Arial"/>
                <w:sz w:val="16"/>
                <w:szCs w:val="16"/>
              </w:rPr>
            </w:pPr>
            <w:r w:rsidRPr="006A15CF">
              <w:rPr>
                <w:rFonts w:ascii="Arial" w:hAnsi="Arial" w:cs="Arial"/>
                <w:sz w:val="16"/>
                <w:szCs w:val="16"/>
              </w:rPr>
              <w:t>Other general revenue assistance</w:t>
            </w:r>
          </w:p>
        </w:tc>
        <w:tc>
          <w:tcPr>
            <w:tcW w:w="556" w:type="pct"/>
            <w:tcBorders>
              <w:top w:val="nil"/>
              <w:left w:val="nil"/>
              <w:bottom w:val="nil"/>
              <w:right w:val="nil"/>
            </w:tcBorders>
            <w:shd w:val="clear" w:color="auto" w:fill="auto"/>
            <w:noWrap/>
            <w:vAlign w:val="center"/>
            <w:hideMark/>
          </w:tcPr>
          <w:p w14:paraId="29E41A8A"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694</w:t>
            </w:r>
          </w:p>
        </w:tc>
        <w:tc>
          <w:tcPr>
            <w:tcW w:w="556" w:type="pct"/>
            <w:tcBorders>
              <w:top w:val="nil"/>
              <w:left w:val="nil"/>
              <w:bottom w:val="nil"/>
              <w:right w:val="nil"/>
            </w:tcBorders>
            <w:shd w:val="clear" w:color="000000" w:fill="E6F2FF"/>
            <w:noWrap/>
            <w:vAlign w:val="center"/>
            <w:hideMark/>
          </w:tcPr>
          <w:p w14:paraId="2EDAD7CE"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534</w:t>
            </w:r>
          </w:p>
        </w:tc>
        <w:tc>
          <w:tcPr>
            <w:tcW w:w="517" w:type="pct"/>
            <w:tcBorders>
              <w:top w:val="nil"/>
              <w:left w:val="nil"/>
              <w:bottom w:val="nil"/>
              <w:right w:val="nil"/>
            </w:tcBorders>
            <w:shd w:val="clear" w:color="auto" w:fill="auto"/>
            <w:noWrap/>
            <w:vAlign w:val="center"/>
            <w:hideMark/>
          </w:tcPr>
          <w:p w14:paraId="1C95D21B"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447</w:t>
            </w:r>
          </w:p>
        </w:tc>
        <w:tc>
          <w:tcPr>
            <w:tcW w:w="477" w:type="pct"/>
            <w:tcBorders>
              <w:top w:val="nil"/>
              <w:left w:val="nil"/>
              <w:bottom w:val="nil"/>
              <w:right w:val="nil"/>
            </w:tcBorders>
            <w:shd w:val="clear" w:color="auto" w:fill="auto"/>
            <w:noWrap/>
            <w:vAlign w:val="center"/>
            <w:hideMark/>
          </w:tcPr>
          <w:p w14:paraId="3AAA083C"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418</w:t>
            </w:r>
          </w:p>
        </w:tc>
        <w:tc>
          <w:tcPr>
            <w:tcW w:w="477" w:type="pct"/>
            <w:tcBorders>
              <w:top w:val="nil"/>
              <w:left w:val="nil"/>
              <w:bottom w:val="nil"/>
              <w:right w:val="nil"/>
            </w:tcBorders>
            <w:shd w:val="clear" w:color="auto" w:fill="auto"/>
            <w:noWrap/>
            <w:vAlign w:val="center"/>
            <w:hideMark/>
          </w:tcPr>
          <w:p w14:paraId="280AC901"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343</w:t>
            </w:r>
          </w:p>
        </w:tc>
      </w:tr>
      <w:tr w:rsidR="006A15CF" w:rsidRPr="006A15CF" w14:paraId="5ECC708E" w14:textId="77777777" w:rsidTr="00914F27">
        <w:trPr>
          <w:trHeight w:hRule="exact" w:val="255"/>
        </w:trPr>
        <w:tc>
          <w:tcPr>
            <w:tcW w:w="2416" w:type="pct"/>
            <w:tcBorders>
              <w:top w:val="nil"/>
              <w:left w:val="nil"/>
              <w:bottom w:val="nil"/>
              <w:right w:val="nil"/>
            </w:tcBorders>
            <w:shd w:val="clear" w:color="auto" w:fill="auto"/>
            <w:noWrap/>
            <w:vAlign w:val="center"/>
            <w:hideMark/>
          </w:tcPr>
          <w:p w14:paraId="37BF0F30" w14:textId="77777777" w:rsidR="006A15CF" w:rsidRPr="006A15CF" w:rsidRDefault="006A15CF" w:rsidP="00914F27">
            <w:pPr>
              <w:spacing w:before="0" w:after="0" w:line="240" w:lineRule="auto"/>
              <w:ind w:left="170"/>
              <w:rPr>
                <w:rFonts w:ascii="Arial" w:hAnsi="Arial" w:cs="Arial"/>
                <w:sz w:val="16"/>
                <w:szCs w:val="16"/>
              </w:rPr>
            </w:pPr>
            <w:r w:rsidRPr="006A15CF">
              <w:rPr>
                <w:rFonts w:ascii="Arial" w:hAnsi="Arial" w:cs="Arial"/>
                <w:sz w:val="16"/>
                <w:szCs w:val="16"/>
              </w:rPr>
              <w:t>Total general revenue assistance</w:t>
            </w:r>
          </w:p>
        </w:tc>
        <w:tc>
          <w:tcPr>
            <w:tcW w:w="556" w:type="pct"/>
            <w:tcBorders>
              <w:top w:val="single" w:sz="4" w:space="0" w:color="293F5B"/>
              <w:left w:val="nil"/>
              <w:bottom w:val="nil"/>
              <w:right w:val="nil"/>
            </w:tcBorders>
            <w:shd w:val="clear" w:color="auto" w:fill="auto"/>
            <w:noWrap/>
            <w:vAlign w:val="center"/>
            <w:hideMark/>
          </w:tcPr>
          <w:p w14:paraId="37B67B21"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96,280</w:t>
            </w:r>
          </w:p>
        </w:tc>
        <w:tc>
          <w:tcPr>
            <w:tcW w:w="556" w:type="pct"/>
            <w:tcBorders>
              <w:top w:val="single" w:sz="4" w:space="0" w:color="293F5B"/>
              <w:left w:val="nil"/>
              <w:bottom w:val="nil"/>
              <w:right w:val="nil"/>
            </w:tcBorders>
            <w:shd w:val="clear" w:color="000000" w:fill="E6F2FF"/>
            <w:noWrap/>
            <w:vAlign w:val="center"/>
            <w:hideMark/>
          </w:tcPr>
          <w:p w14:paraId="6E9E80E5"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100,625</w:t>
            </w:r>
          </w:p>
        </w:tc>
        <w:tc>
          <w:tcPr>
            <w:tcW w:w="517" w:type="pct"/>
            <w:tcBorders>
              <w:top w:val="single" w:sz="4" w:space="0" w:color="293F5B"/>
              <w:left w:val="nil"/>
              <w:bottom w:val="nil"/>
              <w:right w:val="nil"/>
            </w:tcBorders>
            <w:shd w:val="clear" w:color="auto" w:fill="auto"/>
            <w:noWrap/>
            <w:vAlign w:val="center"/>
            <w:hideMark/>
          </w:tcPr>
          <w:p w14:paraId="51C3BE36"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106,358</w:t>
            </w:r>
          </w:p>
        </w:tc>
        <w:tc>
          <w:tcPr>
            <w:tcW w:w="477" w:type="pct"/>
            <w:tcBorders>
              <w:top w:val="single" w:sz="4" w:space="0" w:color="293F5B"/>
              <w:left w:val="nil"/>
              <w:bottom w:val="nil"/>
              <w:right w:val="nil"/>
            </w:tcBorders>
            <w:shd w:val="clear" w:color="auto" w:fill="auto"/>
            <w:noWrap/>
            <w:vAlign w:val="center"/>
            <w:hideMark/>
          </w:tcPr>
          <w:p w14:paraId="5D65028B"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111,960</w:t>
            </w:r>
          </w:p>
        </w:tc>
        <w:tc>
          <w:tcPr>
            <w:tcW w:w="477" w:type="pct"/>
            <w:tcBorders>
              <w:top w:val="single" w:sz="4" w:space="0" w:color="293F5B"/>
              <w:left w:val="nil"/>
              <w:bottom w:val="nil"/>
              <w:right w:val="nil"/>
            </w:tcBorders>
            <w:shd w:val="clear" w:color="auto" w:fill="auto"/>
            <w:noWrap/>
            <w:vAlign w:val="center"/>
            <w:hideMark/>
          </w:tcPr>
          <w:p w14:paraId="071F820A"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117,513</w:t>
            </w:r>
          </w:p>
        </w:tc>
      </w:tr>
      <w:tr w:rsidR="006A15CF" w:rsidRPr="006A15CF" w14:paraId="43CA7792" w14:textId="77777777" w:rsidTr="00914F27">
        <w:trPr>
          <w:trHeight w:hRule="exact" w:val="255"/>
        </w:trPr>
        <w:tc>
          <w:tcPr>
            <w:tcW w:w="2416" w:type="pct"/>
            <w:tcBorders>
              <w:top w:val="nil"/>
              <w:left w:val="nil"/>
              <w:bottom w:val="nil"/>
              <w:right w:val="nil"/>
            </w:tcBorders>
            <w:shd w:val="clear" w:color="auto" w:fill="auto"/>
            <w:noWrap/>
            <w:vAlign w:val="center"/>
            <w:hideMark/>
          </w:tcPr>
          <w:p w14:paraId="6406D6E5" w14:textId="77777777" w:rsidR="006A15CF" w:rsidRPr="006A15CF" w:rsidRDefault="006A15CF" w:rsidP="00914F27">
            <w:pPr>
              <w:spacing w:before="0" w:after="0" w:line="240" w:lineRule="auto"/>
              <w:ind w:left="170"/>
              <w:rPr>
                <w:rFonts w:ascii="Arial" w:hAnsi="Arial" w:cs="Arial"/>
                <w:sz w:val="16"/>
                <w:szCs w:val="16"/>
              </w:rPr>
            </w:pPr>
            <w:r w:rsidRPr="006A15CF">
              <w:rPr>
                <w:rFonts w:ascii="Arial" w:hAnsi="Arial" w:cs="Arial"/>
                <w:sz w:val="16"/>
                <w:szCs w:val="16"/>
              </w:rPr>
              <w:t>Per cent change from previous year</w:t>
            </w:r>
          </w:p>
        </w:tc>
        <w:tc>
          <w:tcPr>
            <w:tcW w:w="556" w:type="pct"/>
            <w:tcBorders>
              <w:top w:val="nil"/>
              <w:left w:val="nil"/>
              <w:bottom w:val="nil"/>
              <w:right w:val="nil"/>
            </w:tcBorders>
            <w:shd w:val="clear" w:color="auto" w:fill="auto"/>
            <w:noWrap/>
            <w:vAlign w:val="center"/>
            <w:hideMark/>
          </w:tcPr>
          <w:p w14:paraId="756EEAD3"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5.4</w:t>
            </w:r>
          </w:p>
        </w:tc>
        <w:tc>
          <w:tcPr>
            <w:tcW w:w="556" w:type="pct"/>
            <w:tcBorders>
              <w:top w:val="nil"/>
              <w:left w:val="nil"/>
              <w:bottom w:val="nil"/>
              <w:right w:val="nil"/>
            </w:tcBorders>
            <w:shd w:val="clear" w:color="000000" w:fill="E6F2FF"/>
            <w:noWrap/>
            <w:vAlign w:val="center"/>
            <w:hideMark/>
          </w:tcPr>
          <w:p w14:paraId="3B33A67A"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4.5</w:t>
            </w:r>
          </w:p>
        </w:tc>
        <w:tc>
          <w:tcPr>
            <w:tcW w:w="517" w:type="pct"/>
            <w:tcBorders>
              <w:top w:val="nil"/>
              <w:left w:val="nil"/>
              <w:bottom w:val="nil"/>
              <w:right w:val="nil"/>
            </w:tcBorders>
            <w:shd w:val="clear" w:color="auto" w:fill="auto"/>
            <w:noWrap/>
            <w:vAlign w:val="center"/>
            <w:hideMark/>
          </w:tcPr>
          <w:p w14:paraId="478659AE"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5.7</w:t>
            </w:r>
          </w:p>
        </w:tc>
        <w:tc>
          <w:tcPr>
            <w:tcW w:w="477" w:type="pct"/>
            <w:tcBorders>
              <w:top w:val="nil"/>
              <w:left w:val="nil"/>
              <w:bottom w:val="nil"/>
              <w:right w:val="nil"/>
            </w:tcBorders>
            <w:shd w:val="clear" w:color="auto" w:fill="auto"/>
            <w:noWrap/>
            <w:vAlign w:val="center"/>
            <w:hideMark/>
          </w:tcPr>
          <w:p w14:paraId="082B4D5E"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5.3</w:t>
            </w:r>
          </w:p>
        </w:tc>
        <w:tc>
          <w:tcPr>
            <w:tcW w:w="477" w:type="pct"/>
            <w:tcBorders>
              <w:top w:val="nil"/>
              <w:left w:val="nil"/>
              <w:bottom w:val="nil"/>
              <w:right w:val="nil"/>
            </w:tcBorders>
            <w:shd w:val="clear" w:color="auto" w:fill="auto"/>
            <w:noWrap/>
            <w:vAlign w:val="center"/>
            <w:hideMark/>
          </w:tcPr>
          <w:p w14:paraId="0043CADF"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5.0</w:t>
            </w:r>
          </w:p>
        </w:tc>
      </w:tr>
      <w:tr w:rsidR="006A15CF" w:rsidRPr="006A15CF" w14:paraId="131C16DA" w14:textId="77777777" w:rsidTr="00914F27">
        <w:trPr>
          <w:trHeight w:hRule="exact" w:val="255"/>
        </w:trPr>
        <w:tc>
          <w:tcPr>
            <w:tcW w:w="2416" w:type="pct"/>
            <w:tcBorders>
              <w:top w:val="nil"/>
              <w:left w:val="nil"/>
              <w:bottom w:val="nil"/>
              <w:right w:val="nil"/>
            </w:tcBorders>
            <w:shd w:val="clear" w:color="auto" w:fill="auto"/>
            <w:noWrap/>
            <w:vAlign w:val="center"/>
            <w:hideMark/>
          </w:tcPr>
          <w:p w14:paraId="4959FC79" w14:textId="77777777" w:rsidR="006A15CF" w:rsidRPr="006A15CF" w:rsidRDefault="006A15CF" w:rsidP="00914F27">
            <w:pPr>
              <w:spacing w:before="0" w:after="0" w:line="240" w:lineRule="auto"/>
              <w:ind w:left="170"/>
              <w:rPr>
                <w:rFonts w:ascii="Arial" w:hAnsi="Arial" w:cs="Arial"/>
                <w:color w:val="000000"/>
                <w:sz w:val="16"/>
                <w:szCs w:val="16"/>
              </w:rPr>
            </w:pPr>
            <w:r w:rsidRPr="006A15CF">
              <w:rPr>
                <w:rFonts w:ascii="Arial" w:hAnsi="Arial" w:cs="Arial"/>
                <w:color w:val="000000"/>
                <w:sz w:val="16"/>
                <w:szCs w:val="16"/>
              </w:rPr>
              <w:t>Per cent of GDP</w:t>
            </w:r>
          </w:p>
        </w:tc>
        <w:tc>
          <w:tcPr>
            <w:tcW w:w="556" w:type="pct"/>
            <w:tcBorders>
              <w:top w:val="nil"/>
              <w:left w:val="nil"/>
              <w:bottom w:val="nil"/>
              <w:right w:val="nil"/>
            </w:tcBorders>
            <w:shd w:val="clear" w:color="auto" w:fill="auto"/>
            <w:noWrap/>
            <w:vAlign w:val="center"/>
            <w:hideMark/>
          </w:tcPr>
          <w:p w14:paraId="1C378D6B"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3.5</w:t>
            </w:r>
          </w:p>
        </w:tc>
        <w:tc>
          <w:tcPr>
            <w:tcW w:w="556" w:type="pct"/>
            <w:tcBorders>
              <w:top w:val="nil"/>
              <w:left w:val="nil"/>
              <w:bottom w:val="nil"/>
              <w:right w:val="nil"/>
            </w:tcBorders>
            <w:shd w:val="clear" w:color="000000" w:fill="E6F2FF"/>
            <w:noWrap/>
            <w:vAlign w:val="center"/>
            <w:hideMark/>
          </w:tcPr>
          <w:p w14:paraId="1A390516"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3.5</w:t>
            </w:r>
          </w:p>
        </w:tc>
        <w:tc>
          <w:tcPr>
            <w:tcW w:w="517" w:type="pct"/>
            <w:tcBorders>
              <w:top w:val="nil"/>
              <w:left w:val="nil"/>
              <w:bottom w:val="nil"/>
              <w:right w:val="nil"/>
            </w:tcBorders>
            <w:shd w:val="clear" w:color="auto" w:fill="auto"/>
            <w:noWrap/>
            <w:vAlign w:val="center"/>
            <w:hideMark/>
          </w:tcPr>
          <w:p w14:paraId="1884CDD9"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3.6</w:t>
            </w:r>
          </w:p>
        </w:tc>
        <w:tc>
          <w:tcPr>
            <w:tcW w:w="477" w:type="pct"/>
            <w:tcBorders>
              <w:top w:val="nil"/>
              <w:left w:val="nil"/>
              <w:bottom w:val="nil"/>
              <w:right w:val="nil"/>
            </w:tcBorders>
            <w:shd w:val="clear" w:color="auto" w:fill="auto"/>
            <w:noWrap/>
            <w:vAlign w:val="center"/>
            <w:hideMark/>
          </w:tcPr>
          <w:p w14:paraId="39D9C1CB"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3.6</w:t>
            </w:r>
          </w:p>
        </w:tc>
        <w:tc>
          <w:tcPr>
            <w:tcW w:w="477" w:type="pct"/>
            <w:tcBorders>
              <w:top w:val="nil"/>
              <w:left w:val="nil"/>
              <w:bottom w:val="nil"/>
              <w:right w:val="nil"/>
            </w:tcBorders>
            <w:shd w:val="clear" w:color="auto" w:fill="auto"/>
            <w:noWrap/>
            <w:vAlign w:val="center"/>
            <w:hideMark/>
          </w:tcPr>
          <w:p w14:paraId="71EC58EB"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3.5</w:t>
            </w:r>
          </w:p>
        </w:tc>
      </w:tr>
      <w:tr w:rsidR="006A15CF" w:rsidRPr="006A15CF" w14:paraId="2EC06552" w14:textId="77777777" w:rsidTr="00914F27">
        <w:trPr>
          <w:trHeight w:hRule="exact" w:val="255"/>
        </w:trPr>
        <w:tc>
          <w:tcPr>
            <w:tcW w:w="2416" w:type="pct"/>
            <w:tcBorders>
              <w:top w:val="nil"/>
              <w:left w:val="nil"/>
              <w:bottom w:val="nil"/>
              <w:right w:val="nil"/>
            </w:tcBorders>
            <w:shd w:val="clear" w:color="auto" w:fill="auto"/>
            <w:noWrap/>
            <w:vAlign w:val="center"/>
            <w:hideMark/>
          </w:tcPr>
          <w:p w14:paraId="37A556D4" w14:textId="77777777" w:rsidR="006A15CF" w:rsidRPr="006A15CF" w:rsidRDefault="006A15CF" w:rsidP="006A15CF">
            <w:pPr>
              <w:spacing w:before="0" w:after="0" w:line="240" w:lineRule="auto"/>
              <w:rPr>
                <w:rFonts w:ascii="Arial" w:hAnsi="Arial" w:cs="Arial"/>
                <w:b/>
                <w:bCs/>
                <w:sz w:val="16"/>
                <w:szCs w:val="16"/>
              </w:rPr>
            </w:pPr>
            <w:r w:rsidRPr="006A15CF">
              <w:rPr>
                <w:rFonts w:ascii="Arial" w:hAnsi="Arial" w:cs="Arial"/>
                <w:b/>
                <w:bCs/>
                <w:sz w:val="16"/>
                <w:szCs w:val="16"/>
              </w:rPr>
              <w:t>Total payments to the states</w:t>
            </w:r>
          </w:p>
        </w:tc>
        <w:tc>
          <w:tcPr>
            <w:tcW w:w="556" w:type="pct"/>
            <w:tcBorders>
              <w:top w:val="single" w:sz="4" w:space="0" w:color="293F5B"/>
              <w:left w:val="nil"/>
              <w:bottom w:val="nil"/>
              <w:right w:val="nil"/>
            </w:tcBorders>
            <w:shd w:val="clear" w:color="auto" w:fill="auto"/>
            <w:noWrap/>
            <w:vAlign w:val="center"/>
            <w:hideMark/>
          </w:tcPr>
          <w:p w14:paraId="5D00CE3E" w14:textId="77777777" w:rsidR="006A15CF" w:rsidRPr="006A15CF" w:rsidRDefault="006A15CF" w:rsidP="006A15CF">
            <w:pPr>
              <w:spacing w:before="0" w:after="0" w:line="240" w:lineRule="auto"/>
              <w:jc w:val="right"/>
              <w:rPr>
                <w:rFonts w:ascii="Arial" w:hAnsi="Arial" w:cs="Arial"/>
                <w:b/>
                <w:bCs/>
                <w:color w:val="000000"/>
                <w:sz w:val="16"/>
                <w:szCs w:val="16"/>
              </w:rPr>
            </w:pPr>
            <w:r w:rsidRPr="006A15CF">
              <w:rPr>
                <w:rFonts w:ascii="Arial" w:hAnsi="Arial" w:cs="Arial"/>
                <w:b/>
                <w:bCs/>
                <w:color w:val="000000"/>
                <w:sz w:val="16"/>
                <w:szCs w:val="16"/>
              </w:rPr>
              <w:t>188,624</w:t>
            </w:r>
          </w:p>
        </w:tc>
        <w:tc>
          <w:tcPr>
            <w:tcW w:w="556" w:type="pct"/>
            <w:tcBorders>
              <w:top w:val="single" w:sz="4" w:space="0" w:color="293F5B"/>
              <w:left w:val="nil"/>
              <w:bottom w:val="nil"/>
              <w:right w:val="nil"/>
            </w:tcBorders>
            <w:shd w:val="clear" w:color="000000" w:fill="E6F2FF"/>
            <w:noWrap/>
            <w:vAlign w:val="center"/>
            <w:hideMark/>
          </w:tcPr>
          <w:p w14:paraId="02F50874" w14:textId="77777777" w:rsidR="006A15CF" w:rsidRPr="006A15CF" w:rsidRDefault="006A15CF" w:rsidP="006A15CF">
            <w:pPr>
              <w:spacing w:before="0" w:after="0" w:line="240" w:lineRule="auto"/>
              <w:jc w:val="right"/>
              <w:rPr>
                <w:rFonts w:ascii="Arial" w:hAnsi="Arial" w:cs="Arial"/>
                <w:b/>
                <w:bCs/>
                <w:color w:val="000000"/>
                <w:sz w:val="16"/>
                <w:szCs w:val="16"/>
              </w:rPr>
            </w:pPr>
            <w:r w:rsidRPr="006A15CF">
              <w:rPr>
                <w:rFonts w:ascii="Arial" w:hAnsi="Arial" w:cs="Arial"/>
                <w:b/>
                <w:bCs/>
                <w:color w:val="000000"/>
                <w:sz w:val="16"/>
                <w:szCs w:val="16"/>
              </w:rPr>
              <w:t>196,506</w:t>
            </w:r>
          </w:p>
        </w:tc>
        <w:tc>
          <w:tcPr>
            <w:tcW w:w="517" w:type="pct"/>
            <w:tcBorders>
              <w:top w:val="single" w:sz="4" w:space="0" w:color="293F5B"/>
              <w:left w:val="nil"/>
              <w:bottom w:val="nil"/>
              <w:right w:val="nil"/>
            </w:tcBorders>
            <w:shd w:val="clear" w:color="auto" w:fill="auto"/>
            <w:noWrap/>
            <w:vAlign w:val="center"/>
            <w:hideMark/>
          </w:tcPr>
          <w:p w14:paraId="0D51FB26" w14:textId="77777777" w:rsidR="006A15CF" w:rsidRPr="006A15CF" w:rsidRDefault="006A15CF" w:rsidP="006A15CF">
            <w:pPr>
              <w:spacing w:before="0" w:after="0" w:line="240" w:lineRule="auto"/>
              <w:jc w:val="right"/>
              <w:rPr>
                <w:rFonts w:ascii="Arial" w:hAnsi="Arial" w:cs="Arial"/>
                <w:b/>
                <w:bCs/>
                <w:color w:val="000000"/>
                <w:sz w:val="16"/>
                <w:szCs w:val="16"/>
              </w:rPr>
            </w:pPr>
            <w:r w:rsidRPr="006A15CF">
              <w:rPr>
                <w:rFonts w:ascii="Arial" w:hAnsi="Arial" w:cs="Arial"/>
                <w:b/>
                <w:bCs/>
                <w:color w:val="000000"/>
                <w:sz w:val="16"/>
                <w:szCs w:val="16"/>
              </w:rPr>
              <w:t>200,975</w:t>
            </w:r>
          </w:p>
        </w:tc>
        <w:tc>
          <w:tcPr>
            <w:tcW w:w="477" w:type="pct"/>
            <w:tcBorders>
              <w:top w:val="single" w:sz="4" w:space="0" w:color="293F5B"/>
              <w:left w:val="nil"/>
              <w:bottom w:val="nil"/>
              <w:right w:val="nil"/>
            </w:tcBorders>
            <w:shd w:val="clear" w:color="auto" w:fill="auto"/>
            <w:noWrap/>
            <w:vAlign w:val="center"/>
            <w:hideMark/>
          </w:tcPr>
          <w:p w14:paraId="1D1C8C58" w14:textId="77777777" w:rsidR="006A15CF" w:rsidRPr="006A15CF" w:rsidRDefault="006A15CF" w:rsidP="006A15CF">
            <w:pPr>
              <w:spacing w:before="0" w:after="0" w:line="240" w:lineRule="auto"/>
              <w:jc w:val="right"/>
              <w:rPr>
                <w:rFonts w:ascii="Arial" w:hAnsi="Arial" w:cs="Arial"/>
                <w:b/>
                <w:bCs/>
                <w:color w:val="000000"/>
                <w:sz w:val="16"/>
                <w:szCs w:val="16"/>
              </w:rPr>
            </w:pPr>
            <w:r w:rsidRPr="006A15CF">
              <w:rPr>
                <w:rFonts w:ascii="Arial" w:hAnsi="Arial" w:cs="Arial"/>
                <w:b/>
                <w:bCs/>
                <w:color w:val="000000"/>
                <w:sz w:val="16"/>
                <w:szCs w:val="16"/>
              </w:rPr>
              <w:t>209,245</w:t>
            </w:r>
          </w:p>
        </w:tc>
        <w:tc>
          <w:tcPr>
            <w:tcW w:w="477" w:type="pct"/>
            <w:tcBorders>
              <w:top w:val="single" w:sz="4" w:space="0" w:color="293F5B"/>
              <w:left w:val="nil"/>
              <w:bottom w:val="nil"/>
              <w:right w:val="nil"/>
            </w:tcBorders>
            <w:shd w:val="clear" w:color="auto" w:fill="auto"/>
            <w:noWrap/>
            <w:vAlign w:val="center"/>
            <w:hideMark/>
          </w:tcPr>
          <w:p w14:paraId="6B40C487" w14:textId="77777777" w:rsidR="006A15CF" w:rsidRPr="006A15CF" w:rsidRDefault="006A15CF" w:rsidP="006A15CF">
            <w:pPr>
              <w:spacing w:before="0" w:after="0" w:line="240" w:lineRule="auto"/>
              <w:jc w:val="right"/>
              <w:rPr>
                <w:rFonts w:ascii="Arial" w:hAnsi="Arial" w:cs="Arial"/>
                <w:b/>
                <w:bCs/>
                <w:color w:val="000000"/>
                <w:sz w:val="16"/>
                <w:szCs w:val="16"/>
              </w:rPr>
            </w:pPr>
            <w:r w:rsidRPr="006A15CF">
              <w:rPr>
                <w:rFonts w:ascii="Arial" w:hAnsi="Arial" w:cs="Arial"/>
                <w:b/>
                <w:bCs/>
                <w:color w:val="000000"/>
                <w:sz w:val="16"/>
                <w:szCs w:val="16"/>
              </w:rPr>
              <w:t>218,032</w:t>
            </w:r>
          </w:p>
        </w:tc>
      </w:tr>
      <w:tr w:rsidR="006A15CF" w:rsidRPr="006A15CF" w14:paraId="441F9225" w14:textId="77777777" w:rsidTr="00914F27">
        <w:trPr>
          <w:trHeight w:hRule="exact" w:val="255"/>
        </w:trPr>
        <w:tc>
          <w:tcPr>
            <w:tcW w:w="2416" w:type="pct"/>
            <w:tcBorders>
              <w:top w:val="nil"/>
              <w:left w:val="nil"/>
              <w:bottom w:val="nil"/>
              <w:right w:val="nil"/>
            </w:tcBorders>
            <w:shd w:val="clear" w:color="auto" w:fill="auto"/>
            <w:noWrap/>
            <w:vAlign w:val="center"/>
            <w:hideMark/>
          </w:tcPr>
          <w:p w14:paraId="25FBB6CF" w14:textId="77777777" w:rsidR="006A15CF" w:rsidRPr="006A15CF" w:rsidRDefault="006A15CF" w:rsidP="006A15CF">
            <w:pPr>
              <w:spacing w:before="0" w:after="0" w:line="240" w:lineRule="auto"/>
              <w:rPr>
                <w:rFonts w:ascii="Arial" w:hAnsi="Arial" w:cs="Arial"/>
                <w:sz w:val="16"/>
                <w:szCs w:val="16"/>
              </w:rPr>
            </w:pPr>
            <w:r w:rsidRPr="006A15CF">
              <w:rPr>
                <w:rFonts w:ascii="Arial" w:hAnsi="Arial" w:cs="Arial"/>
                <w:sz w:val="16"/>
                <w:szCs w:val="16"/>
              </w:rPr>
              <w:t>Per cent change from previous year</w:t>
            </w:r>
          </w:p>
        </w:tc>
        <w:tc>
          <w:tcPr>
            <w:tcW w:w="556" w:type="pct"/>
            <w:tcBorders>
              <w:top w:val="nil"/>
              <w:left w:val="nil"/>
              <w:bottom w:val="nil"/>
              <w:right w:val="nil"/>
            </w:tcBorders>
            <w:shd w:val="clear" w:color="auto" w:fill="auto"/>
            <w:noWrap/>
            <w:vAlign w:val="center"/>
            <w:hideMark/>
          </w:tcPr>
          <w:p w14:paraId="44A0E9A2"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7.7</w:t>
            </w:r>
          </w:p>
        </w:tc>
        <w:tc>
          <w:tcPr>
            <w:tcW w:w="556" w:type="pct"/>
            <w:tcBorders>
              <w:top w:val="nil"/>
              <w:left w:val="nil"/>
              <w:bottom w:val="nil"/>
              <w:right w:val="nil"/>
            </w:tcBorders>
            <w:shd w:val="clear" w:color="000000" w:fill="E6F2FF"/>
            <w:noWrap/>
            <w:vAlign w:val="center"/>
            <w:hideMark/>
          </w:tcPr>
          <w:p w14:paraId="6C2FBBCC"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4.2</w:t>
            </w:r>
          </w:p>
        </w:tc>
        <w:tc>
          <w:tcPr>
            <w:tcW w:w="517" w:type="pct"/>
            <w:tcBorders>
              <w:top w:val="nil"/>
              <w:left w:val="nil"/>
              <w:bottom w:val="nil"/>
              <w:right w:val="nil"/>
            </w:tcBorders>
            <w:shd w:val="clear" w:color="auto" w:fill="auto"/>
            <w:noWrap/>
            <w:vAlign w:val="center"/>
            <w:hideMark/>
          </w:tcPr>
          <w:p w14:paraId="7E447A0A"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2.3</w:t>
            </w:r>
          </w:p>
        </w:tc>
        <w:tc>
          <w:tcPr>
            <w:tcW w:w="477" w:type="pct"/>
            <w:tcBorders>
              <w:top w:val="nil"/>
              <w:left w:val="nil"/>
              <w:bottom w:val="nil"/>
              <w:right w:val="nil"/>
            </w:tcBorders>
            <w:shd w:val="clear" w:color="auto" w:fill="auto"/>
            <w:noWrap/>
            <w:vAlign w:val="center"/>
            <w:hideMark/>
          </w:tcPr>
          <w:p w14:paraId="240AD86E"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4.1</w:t>
            </w:r>
          </w:p>
        </w:tc>
        <w:tc>
          <w:tcPr>
            <w:tcW w:w="477" w:type="pct"/>
            <w:tcBorders>
              <w:top w:val="nil"/>
              <w:left w:val="nil"/>
              <w:bottom w:val="nil"/>
              <w:right w:val="nil"/>
            </w:tcBorders>
            <w:shd w:val="clear" w:color="auto" w:fill="auto"/>
            <w:noWrap/>
            <w:vAlign w:val="center"/>
            <w:hideMark/>
          </w:tcPr>
          <w:p w14:paraId="4F1DC51C"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4.2</w:t>
            </w:r>
          </w:p>
        </w:tc>
      </w:tr>
      <w:tr w:rsidR="006A15CF" w:rsidRPr="006A15CF" w14:paraId="2A9B09CE" w14:textId="77777777" w:rsidTr="00914F27">
        <w:trPr>
          <w:trHeight w:hRule="exact" w:val="255"/>
        </w:trPr>
        <w:tc>
          <w:tcPr>
            <w:tcW w:w="2416" w:type="pct"/>
            <w:tcBorders>
              <w:top w:val="nil"/>
              <w:left w:val="nil"/>
              <w:bottom w:val="single" w:sz="4" w:space="0" w:color="293F5B"/>
              <w:right w:val="nil"/>
            </w:tcBorders>
            <w:shd w:val="clear" w:color="auto" w:fill="auto"/>
            <w:noWrap/>
            <w:vAlign w:val="center"/>
            <w:hideMark/>
          </w:tcPr>
          <w:p w14:paraId="0A368084" w14:textId="77777777" w:rsidR="006A15CF" w:rsidRPr="006A15CF" w:rsidRDefault="006A15CF" w:rsidP="006A15CF">
            <w:pPr>
              <w:spacing w:before="0" w:after="0" w:line="240" w:lineRule="auto"/>
              <w:rPr>
                <w:rFonts w:ascii="Arial" w:hAnsi="Arial" w:cs="Arial"/>
                <w:color w:val="000000"/>
                <w:sz w:val="16"/>
                <w:szCs w:val="16"/>
              </w:rPr>
            </w:pPr>
            <w:r w:rsidRPr="006A15CF">
              <w:rPr>
                <w:rFonts w:ascii="Arial" w:hAnsi="Arial" w:cs="Arial"/>
                <w:color w:val="000000"/>
                <w:sz w:val="16"/>
                <w:szCs w:val="16"/>
              </w:rPr>
              <w:t>Per cent of GDP</w:t>
            </w:r>
          </w:p>
        </w:tc>
        <w:tc>
          <w:tcPr>
            <w:tcW w:w="556" w:type="pct"/>
            <w:tcBorders>
              <w:top w:val="nil"/>
              <w:left w:val="nil"/>
              <w:bottom w:val="single" w:sz="4" w:space="0" w:color="293F5B"/>
              <w:right w:val="nil"/>
            </w:tcBorders>
            <w:shd w:val="clear" w:color="auto" w:fill="auto"/>
            <w:noWrap/>
            <w:vAlign w:val="center"/>
            <w:hideMark/>
          </w:tcPr>
          <w:p w14:paraId="67ED1115"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6.8</w:t>
            </w:r>
          </w:p>
        </w:tc>
        <w:tc>
          <w:tcPr>
            <w:tcW w:w="556" w:type="pct"/>
            <w:tcBorders>
              <w:top w:val="nil"/>
              <w:left w:val="nil"/>
              <w:bottom w:val="single" w:sz="4" w:space="0" w:color="293F5B"/>
              <w:right w:val="nil"/>
            </w:tcBorders>
            <w:shd w:val="clear" w:color="000000" w:fill="E6F2FF"/>
            <w:noWrap/>
            <w:vAlign w:val="center"/>
            <w:hideMark/>
          </w:tcPr>
          <w:p w14:paraId="0CB53743"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6.8</w:t>
            </w:r>
          </w:p>
        </w:tc>
        <w:tc>
          <w:tcPr>
            <w:tcW w:w="517" w:type="pct"/>
            <w:tcBorders>
              <w:top w:val="nil"/>
              <w:left w:val="nil"/>
              <w:bottom w:val="single" w:sz="4" w:space="0" w:color="293F5B"/>
              <w:right w:val="nil"/>
            </w:tcBorders>
            <w:shd w:val="clear" w:color="auto" w:fill="auto"/>
            <w:noWrap/>
            <w:vAlign w:val="center"/>
            <w:hideMark/>
          </w:tcPr>
          <w:p w14:paraId="1F15B6A5"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6.7</w:t>
            </w:r>
          </w:p>
        </w:tc>
        <w:tc>
          <w:tcPr>
            <w:tcW w:w="477" w:type="pct"/>
            <w:tcBorders>
              <w:top w:val="nil"/>
              <w:left w:val="nil"/>
              <w:bottom w:val="single" w:sz="4" w:space="0" w:color="293F5B"/>
              <w:right w:val="nil"/>
            </w:tcBorders>
            <w:shd w:val="clear" w:color="auto" w:fill="auto"/>
            <w:noWrap/>
            <w:vAlign w:val="center"/>
            <w:hideMark/>
          </w:tcPr>
          <w:p w14:paraId="1F0C9F5A"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6.6</w:t>
            </w:r>
          </w:p>
        </w:tc>
        <w:tc>
          <w:tcPr>
            <w:tcW w:w="477" w:type="pct"/>
            <w:tcBorders>
              <w:top w:val="nil"/>
              <w:left w:val="nil"/>
              <w:bottom w:val="single" w:sz="4" w:space="0" w:color="293F5B"/>
              <w:right w:val="nil"/>
            </w:tcBorders>
            <w:shd w:val="clear" w:color="auto" w:fill="auto"/>
            <w:noWrap/>
            <w:vAlign w:val="center"/>
            <w:hideMark/>
          </w:tcPr>
          <w:p w14:paraId="4249F724" w14:textId="77777777" w:rsidR="006A15CF" w:rsidRPr="006A15CF" w:rsidRDefault="006A15CF" w:rsidP="006A15CF">
            <w:pPr>
              <w:spacing w:before="0" w:after="0" w:line="240" w:lineRule="auto"/>
              <w:jc w:val="right"/>
              <w:rPr>
                <w:rFonts w:ascii="Arial" w:hAnsi="Arial" w:cs="Arial"/>
                <w:color w:val="000000"/>
                <w:sz w:val="16"/>
                <w:szCs w:val="16"/>
              </w:rPr>
            </w:pPr>
            <w:r w:rsidRPr="006A15CF">
              <w:rPr>
                <w:rFonts w:ascii="Arial" w:hAnsi="Arial" w:cs="Arial"/>
                <w:color w:val="000000"/>
                <w:sz w:val="16"/>
                <w:szCs w:val="16"/>
              </w:rPr>
              <w:t>6.6</w:t>
            </w:r>
          </w:p>
        </w:tc>
      </w:tr>
    </w:tbl>
    <w:p w14:paraId="65E2032F" w14:textId="3224B4EA" w:rsidR="00EB24CE" w:rsidRPr="002836D2" w:rsidRDefault="006A7BB4" w:rsidP="0071179F">
      <w:pPr>
        <w:pStyle w:val="ChartandTableFootnoteAlpha"/>
        <w:numPr>
          <w:ilvl w:val="0"/>
          <w:numId w:val="45"/>
        </w:numPr>
        <w:rPr>
          <w:rFonts w:eastAsiaTheme="minorHAnsi"/>
        </w:rPr>
      </w:pPr>
      <w:r w:rsidRPr="002836D2">
        <w:rPr>
          <w:rFonts w:eastAsiaTheme="minorHAnsi"/>
        </w:rPr>
        <w:t>Funding for 2024–25 is provided by the National Legal Assistance Partnership 2020</w:t>
      </w:r>
      <w:r w:rsidR="00EE2ABD">
        <w:rPr>
          <w:rFonts w:eastAsiaTheme="minorHAnsi"/>
        </w:rPr>
        <w:t>–</w:t>
      </w:r>
      <w:r w:rsidRPr="002836D2">
        <w:rPr>
          <w:rFonts w:eastAsiaTheme="minorHAnsi"/>
        </w:rPr>
        <w:t xml:space="preserve">25 (NLAP), which was included in the National Partnership payments line in </w:t>
      </w:r>
      <w:r w:rsidR="00AF1680" w:rsidRPr="002836D2">
        <w:rPr>
          <w:rFonts w:eastAsiaTheme="minorHAnsi"/>
        </w:rPr>
        <w:t>the</w:t>
      </w:r>
      <w:r w:rsidRPr="002836D2" w:rsidDel="00AF1680">
        <w:rPr>
          <w:rFonts w:eastAsiaTheme="minorHAnsi"/>
        </w:rPr>
        <w:t xml:space="preserve"> </w:t>
      </w:r>
      <w:r w:rsidRPr="002836D2">
        <w:rPr>
          <w:rFonts w:eastAsiaTheme="minorHAnsi"/>
        </w:rPr>
        <w:t xml:space="preserve">2024–25 </w:t>
      </w:r>
      <w:r w:rsidR="00AF1680" w:rsidRPr="002836D2">
        <w:rPr>
          <w:rFonts w:eastAsiaTheme="minorHAnsi"/>
        </w:rPr>
        <w:t xml:space="preserve">Budget </w:t>
      </w:r>
      <w:r w:rsidRPr="002836D2">
        <w:rPr>
          <w:rFonts w:eastAsiaTheme="minorHAnsi"/>
        </w:rPr>
        <w:t>and prior budget updates. From 1 July 2025, the National Access to Justice Partnership (NAJP) provides ongoing funding to the legal assistance sector.</w:t>
      </w:r>
    </w:p>
    <w:p w14:paraId="4D568C7F" w14:textId="03A0CBBF" w:rsidR="00B51775" w:rsidRPr="002C2368" w:rsidRDefault="00EB24CE" w:rsidP="002C2368">
      <w:pPr>
        <w:pStyle w:val="ChartandTableFootnoteAlpha"/>
        <w:rPr>
          <w:rFonts w:eastAsiaTheme="minorHAnsi"/>
        </w:rPr>
      </w:pPr>
      <w:r w:rsidRPr="002C2368">
        <w:rPr>
          <w:rFonts w:eastAsiaTheme="minorHAnsi"/>
          <w:color w:val="auto"/>
        </w:rPr>
        <w:t xml:space="preserve">Excludes National </w:t>
      </w:r>
      <w:r w:rsidRPr="002C2368">
        <w:rPr>
          <w:color w:val="auto"/>
        </w:rPr>
        <w:t>Partnership payments made under the N</w:t>
      </w:r>
      <w:r w:rsidR="003D74E4" w:rsidRPr="002C2368">
        <w:rPr>
          <w:color w:val="auto"/>
        </w:rPr>
        <w:t>ational Skills Agreement</w:t>
      </w:r>
      <w:r w:rsidRPr="002C2368">
        <w:rPr>
          <w:color w:val="auto"/>
        </w:rPr>
        <w:t xml:space="preserve">, </w:t>
      </w:r>
      <w:r w:rsidRPr="002C2368">
        <w:rPr>
          <w:rFonts w:eastAsiaTheme="minorHAnsi"/>
          <w:color w:val="auto"/>
        </w:rPr>
        <w:t>Energy Bill Relief</w:t>
      </w:r>
      <w:r w:rsidRPr="002C2368">
        <w:rPr>
          <w:color w:val="auto"/>
        </w:rPr>
        <w:t xml:space="preserve">, NLAP and NAJP, </w:t>
      </w:r>
      <w:r w:rsidRPr="002C2368">
        <w:rPr>
          <w:rFonts w:eastAsiaTheme="minorHAnsi"/>
          <w:color w:val="auto"/>
        </w:rPr>
        <w:t>which are shown separately</w:t>
      </w:r>
      <w:r w:rsidR="00B51775" w:rsidRPr="002C2368">
        <w:rPr>
          <w:rFonts w:eastAsiaTheme="minorHAnsi"/>
        </w:rPr>
        <w:t xml:space="preserve">. </w:t>
      </w:r>
    </w:p>
    <w:p w14:paraId="0C58C253" w14:textId="748B5892" w:rsidR="00B51775" w:rsidRPr="002C2368" w:rsidRDefault="00B51775" w:rsidP="002C2368">
      <w:pPr>
        <w:pStyle w:val="ChartandTableFootnoteAlpha"/>
        <w:rPr>
          <w:color w:val="auto"/>
        </w:rPr>
      </w:pPr>
      <w:r w:rsidRPr="002C2368">
        <w:rPr>
          <w:rFonts w:eastAsiaTheme="minorHAnsi"/>
          <w:color w:val="auto"/>
        </w:rPr>
        <w:t>Includes</w:t>
      </w:r>
      <w:r w:rsidRPr="002C2368">
        <w:rPr>
          <w:color w:val="auto"/>
        </w:rPr>
        <w:t xml:space="preserve"> </w:t>
      </w:r>
      <w:r w:rsidR="00E150A7" w:rsidRPr="002C2368">
        <w:rPr>
          <w:color w:val="auto"/>
        </w:rPr>
        <w:t xml:space="preserve">GST entitlement (GST pool and Commonwealth funded GST pool boost) and HFE transition payments. State allocations are dependent upon the GST relativities for each financial year. They are calculated using the Commonwealth Grants </w:t>
      </w:r>
      <w:r w:rsidR="00E150A7" w:rsidRPr="002C2368" w:rsidDel="000D1C32">
        <w:rPr>
          <w:color w:val="auto"/>
        </w:rPr>
        <w:t>Commission</w:t>
      </w:r>
      <w:r w:rsidR="009B6F84">
        <w:rPr>
          <w:color w:val="auto"/>
        </w:rPr>
        <w:t>’</w:t>
      </w:r>
      <w:r w:rsidR="00E150A7" w:rsidRPr="002C2368" w:rsidDel="000D1C32">
        <w:rPr>
          <w:color w:val="auto"/>
        </w:rPr>
        <w:t>s</w:t>
      </w:r>
      <w:r w:rsidR="00E150A7" w:rsidRPr="002C2368">
        <w:rPr>
          <w:color w:val="auto"/>
        </w:rPr>
        <w:t xml:space="preserve"> </w:t>
      </w:r>
      <w:r w:rsidR="00E371BB" w:rsidRPr="002C2368">
        <w:rPr>
          <w:color w:val="auto"/>
        </w:rPr>
        <w:t xml:space="preserve">recommended </w:t>
      </w:r>
      <w:r w:rsidR="00E150A7" w:rsidRPr="002C2368">
        <w:rPr>
          <w:color w:val="auto"/>
        </w:rPr>
        <w:t xml:space="preserve">2025–26 GST relativities as the starting point. </w:t>
      </w:r>
      <w:r w:rsidR="00E371BB" w:rsidRPr="00592974">
        <w:t xml:space="preserve">At the time of the 2025–26 Budget, the Treasurer had not yet </w:t>
      </w:r>
      <w:proofErr w:type="gramStart"/>
      <w:r w:rsidR="00E371BB" w:rsidRPr="00592974">
        <w:t>made a determination</w:t>
      </w:r>
      <w:proofErr w:type="gramEnd"/>
      <w:r w:rsidR="00E371BB" w:rsidRPr="00592974">
        <w:t xml:space="preserve"> of the 2025–26 GST relativities.</w:t>
      </w:r>
      <w:r w:rsidR="00E371BB">
        <w:t xml:space="preserve"> </w:t>
      </w:r>
      <w:r w:rsidR="00E150A7" w:rsidRPr="002C2368">
        <w:rPr>
          <w:color w:val="auto"/>
        </w:rPr>
        <w:t>The estimates do not reflect any attempt to project future GST relativities. See Part 3 for further information</w:t>
      </w:r>
      <w:r w:rsidR="00972A56" w:rsidRPr="002C2368">
        <w:rPr>
          <w:color w:val="auto"/>
        </w:rPr>
        <w:t>.</w:t>
      </w:r>
    </w:p>
    <w:p w14:paraId="02F3DD0A" w14:textId="77777777" w:rsidR="008C3090" w:rsidRPr="008C3090" w:rsidRDefault="008C3090" w:rsidP="008C3090">
      <w:pPr>
        <w:pStyle w:val="TableLine"/>
      </w:pPr>
    </w:p>
    <w:p w14:paraId="1AB5CCFA" w14:textId="77777777" w:rsidR="00F8304F" w:rsidRDefault="00F8304F" w:rsidP="00433470">
      <w:pPr>
        <w:rPr>
          <w:rFonts w:asciiTheme="majorHAnsi" w:hAnsiTheme="majorHAnsi"/>
          <w:sz w:val="20"/>
        </w:rPr>
      </w:pPr>
      <w:r>
        <w:br w:type="page"/>
      </w:r>
    </w:p>
    <w:p w14:paraId="273D45D3" w14:textId="5DD93918" w:rsidR="00B51775" w:rsidRDefault="00B51775" w:rsidP="00B51775">
      <w:pPr>
        <w:pStyle w:val="ChartMainHeading"/>
      </w:pPr>
      <w:r w:rsidRPr="00C94004">
        <w:t>Chart 1.</w:t>
      </w:r>
      <w:r w:rsidR="0056510E">
        <w:t>2</w:t>
      </w:r>
      <w:r w:rsidRPr="00C94004">
        <w:t>: Total Australian Government payments to the states, 202</w:t>
      </w:r>
      <w:r w:rsidR="00827D10">
        <w:t>5</w:t>
      </w:r>
      <w:r w:rsidRPr="00C94004">
        <w:t>‍–‍2</w:t>
      </w:r>
      <w:r w:rsidR="00827D10">
        <w:t>6</w:t>
      </w:r>
    </w:p>
    <w:p w14:paraId="68E8C9A3" w14:textId="6C591FC5" w:rsidR="00B51775" w:rsidRPr="00C94004" w:rsidRDefault="000309FA" w:rsidP="00B51775">
      <w:pPr>
        <w:pStyle w:val="ChartGraphic"/>
      </w:pPr>
      <w:bookmarkStart w:id="22" w:name="_1803737087"/>
      <w:bookmarkStart w:id="23" w:name="_1803815429"/>
      <w:bookmarkStart w:id="24" w:name="_1803816146"/>
      <w:bookmarkStart w:id="25" w:name="_1803829976"/>
      <w:bookmarkStart w:id="26" w:name="_1803821531"/>
      <w:bookmarkStart w:id="27" w:name="_1803886244"/>
      <w:bookmarkStart w:id="28" w:name="_1804078127"/>
      <w:bookmarkEnd w:id="22"/>
      <w:bookmarkEnd w:id="23"/>
      <w:bookmarkEnd w:id="24"/>
      <w:bookmarkEnd w:id="25"/>
      <w:bookmarkEnd w:id="26"/>
      <w:bookmarkEnd w:id="27"/>
      <w:bookmarkEnd w:id="28"/>
      <w:r>
        <w:pict w14:anchorId="2CDE6F1B">
          <v:shape id="_x0000_i1026" type="#_x0000_t75" alt="Total Australian Government payments to the States for 2025-26. Total payments are $196.5 billion, comprising $100.6 billion for GST and other General Revenue Assistance, $32.2 billion for National Health Reform, $32.2 billion for Better and Fairer Schools funding, $24.7 billion for National Partnership payments, $2.5 billion for the National Skills Agreement, $1.8 billion for Energy Bill Relief, $1.8 billion for the National Agreement on Social Housing and Homelessness, and $0.7 billion for the National Access to Justice Partnership." style="width:367.5pt;height:202.05pt">
            <v:imagedata r:id="rId9" o:title=""/>
          </v:shape>
        </w:pict>
      </w:r>
    </w:p>
    <w:p w14:paraId="15E7C934" w14:textId="39BA5010" w:rsidR="00B51775" w:rsidRPr="00C94004" w:rsidRDefault="00B51775" w:rsidP="00C33E67">
      <w:pPr>
        <w:pStyle w:val="ChartandTableFootnote"/>
        <w:spacing w:before="120"/>
        <w:rPr>
          <w:color w:val="auto"/>
        </w:rPr>
      </w:pPr>
      <w:r w:rsidRPr="00C94004">
        <w:rPr>
          <w:color w:val="auto"/>
        </w:rPr>
        <w:t>Note:</w:t>
      </w:r>
      <w:r w:rsidRPr="00C94004">
        <w:rPr>
          <w:color w:val="auto"/>
        </w:rPr>
        <w:tab/>
        <w:t xml:space="preserve">National Partnership payments </w:t>
      </w:r>
      <w:r w:rsidR="003B2DA9">
        <w:rPr>
          <w:color w:val="auto"/>
        </w:rPr>
        <w:t>made under the</w:t>
      </w:r>
      <w:r w:rsidRPr="00C94004">
        <w:rPr>
          <w:color w:val="auto"/>
        </w:rPr>
        <w:t xml:space="preserve"> National Skills Agreement</w:t>
      </w:r>
      <w:r w:rsidR="00E6253E">
        <w:rPr>
          <w:color w:val="auto"/>
        </w:rPr>
        <w:t>,</w:t>
      </w:r>
      <w:r w:rsidRPr="00C94004">
        <w:rPr>
          <w:color w:val="auto"/>
        </w:rPr>
        <w:t xml:space="preserve"> </w:t>
      </w:r>
      <w:r w:rsidR="00E6253E">
        <w:rPr>
          <w:color w:val="auto"/>
        </w:rPr>
        <w:t>Energy Bill Relief</w:t>
      </w:r>
      <w:r w:rsidRPr="00C94004">
        <w:rPr>
          <w:color w:val="auto"/>
        </w:rPr>
        <w:t xml:space="preserve"> and </w:t>
      </w:r>
      <w:r w:rsidR="00D60E59">
        <w:rPr>
          <w:color w:val="auto"/>
        </w:rPr>
        <w:t>National A</w:t>
      </w:r>
      <w:r w:rsidR="001D086C">
        <w:rPr>
          <w:color w:val="auto"/>
        </w:rPr>
        <w:t>ccess to Justice Partnership</w:t>
      </w:r>
      <w:r w:rsidRPr="00C94004">
        <w:rPr>
          <w:color w:val="auto"/>
        </w:rPr>
        <w:t xml:space="preserve"> are shown separately.</w:t>
      </w:r>
    </w:p>
    <w:p w14:paraId="781E9618" w14:textId="77777777" w:rsidR="00B51775" w:rsidRPr="00C94004" w:rsidRDefault="00B51775" w:rsidP="00B51775">
      <w:pPr>
        <w:pStyle w:val="ChartLine"/>
      </w:pPr>
    </w:p>
    <w:p w14:paraId="07EF80FD" w14:textId="77777777" w:rsidR="00344A39" w:rsidRDefault="00344A39">
      <w:pPr>
        <w:spacing w:before="0" w:after="160" w:line="259" w:lineRule="auto"/>
      </w:pPr>
      <w:r>
        <w:br w:type="page"/>
      </w:r>
    </w:p>
    <w:p w14:paraId="48711E7D" w14:textId="2D42F460" w:rsidR="00B51775" w:rsidRPr="00C94004" w:rsidRDefault="00B51775" w:rsidP="00B51775">
      <w:r w:rsidRPr="00C94004">
        <w:t xml:space="preserve">Table 1.3 provides information on the Australian </w:t>
      </w:r>
      <w:r w:rsidRPr="00C94004" w:rsidDel="000D1C32">
        <w:t>Government</w:t>
      </w:r>
      <w:r w:rsidR="009B6F84">
        <w:t>’</w:t>
      </w:r>
      <w:r w:rsidRPr="00C94004" w:rsidDel="000D1C32">
        <w:t>s</w:t>
      </w:r>
      <w:r w:rsidRPr="00C94004">
        <w:t xml:space="preserve"> financial contributions to state expenditure in key sectors in 202</w:t>
      </w:r>
      <w:r w:rsidR="00C1124B">
        <w:t>3</w:t>
      </w:r>
      <w:r w:rsidR="00072551">
        <w:t>–</w:t>
      </w:r>
      <w:r w:rsidRPr="00C94004">
        <w:t>2</w:t>
      </w:r>
      <w:r w:rsidR="00C1124B">
        <w:t>4</w:t>
      </w:r>
      <w:r w:rsidRPr="00C94004">
        <w:t xml:space="preserve"> (the latest year for which there are data to enable this calculation). It shows that Australian Government financial assistance in 202</w:t>
      </w:r>
      <w:r w:rsidR="00C1124B">
        <w:t>3</w:t>
      </w:r>
      <w:r w:rsidR="00072551">
        <w:t>‍</w:t>
      </w:r>
      <w:r w:rsidR="00072551">
        <w:rPr>
          <w:rFonts w:ascii="Times New Roman" w:hAnsi="Times New Roman"/>
        </w:rPr>
        <w:t>–</w:t>
      </w:r>
      <w:r w:rsidRPr="00C94004">
        <w:rPr>
          <w:rFonts w:ascii="Times New Roman" w:hAnsi="Times New Roman"/>
        </w:rPr>
        <w:t>‍</w:t>
      </w:r>
      <w:r w:rsidRPr="00C94004">
        <w:t>2</w:t>
      </w:r>
      <w:r w:rsidR="00C1124B">
        <w:t>4</w:t>
      </w:r>
      <w:r w:rsidRPr="00C94004">
        <w:t xml:space="preserve"> effectively supported </w:t>
      </w:r>
      <w:r w:rsidR="00112F59" w:rsidRPr="00C36331">
        <w:t>46.3</w:t>
      </w:r>
      <w:r w:rsidRPr="00C94004">
        <w:t xml:space="preserve"> per cent of state expenditure. </w:t>
      </w:r>
    </w:p>
    <w:p w14:paraId="43173CD9" w14:textId="4A0FF02E" w:rsidR="00C85866" w:rsidRPr="00AD2003" w:rsidRDefault="00B51775" w:rsidP="00C85866">
      <w:pPr>
        <w:pStyle w:val="TableHeading"/>
        <w:rPr>
          <w:rFonts w:eastAsiaTheme="minorHAnsi"/>
          <w:color w:val="000000"/>
          <w:sz w:val="16"/>
        </w:rPr>
      </w:pPr>
      <w:r w:rsidRPr="00C94004">
        <w:t>Table 1.3: Australian Government</w:t>
      </w:r>
      <w:r w:rsidR="009B6F84">
        <w:t>’</w:t>
      </w:r>
      <w:r w:rsidRPr="00C94004">
        <w:t>s contribution to state expenditure</w:t>
      </w:r>
      <w:bookmarkStart w:id="29" w:name="_1803815451"/>
      <w:bookmarkStart w:id="30" w:name="_1803816277"/>
      <w:bookmarkStart w:id="31" w:name="_1804078189"/>
      <w:bookmarkEnd w:id="29"/>
      <w:bookmarkEnd w:id="30"/>
      <w:bookmarkEnd w:id="31"/>
    </w:p>
    <w:tbl>
      <w:tblPr>
        <w:tblW w:w="5000" w:type="pct"/>
        <w:tblCellMar>
          <w:left w:w="0" w:type="dxa"/>
          <w:right w:w="28" w:type="dxa"/>
        </w:tblCellMar>
        <w:tblLook w:val="04A0" w:firstRow="1" w:lastRow="0" w:firstColumn="1" w:lastColumn="0" w:noHBand="0" w:noVBand="1"/>
      </w:tblPr>
      <w:tblGrid>
        <w:gridCol w:w="2474"/>
        <w:gridCol w:w="1310"/>
        <w:gridCol w:w="1307"/>
        <w:gridCol w:w="1308"/>
        <w:gridCol w:w="1311"/>
      </w:tblGrid>
      <w:tr w:rsidR="00C85866" w:rsidRPr="00C85866" w14:paraId="60F0F7FF" w14:textId="77777777" w:rsidTr="00DB5D01">
        <w:trPr>
          <w:trHeight w:hRule="exact" w:val="1111"/>
        </w:trPr>
        <w:tc>
          <w:tcPr>
            <w:tcW w:w="1604" w:type="pct"/>
            <w:tcBorders>
              <w:top w:val="single" w:sz="4" w:space="0" w:color="000000"/>
              <w:left w:val="nil"/>
              <w:bottom w:val="nil"/>
              <w:right w:val="nil"/>
            </w:tcBorders>
            <w:shd w:val="clear" w:color="auto" w:fill="auto"/>
            <w:noWrap/>
            <w:vAlign w:val="bottom"/>
            <w:hideMark/>
          </w:tcPr>
          <w:p w14:paraId="3D763201" w14:textId="704A67F5" w:rsidR="00C85866" w:rsidRPr="00C85866" w:rsidRDefault="00C85866" w:rsidP="00C85866">
            <w:pPr>
              <w:spacing w:before="0" w:after="0" w:line="240" w:lineRule="auto"/>
              <w:rPr>
                <w:rFonts w:ascii="Arial" w:hAnsi="Arial" w:cs="Arial"/>
                <w:b/>
                <w:bCs/>
                <w:color w:val="000000"/>
                <w:sz w:val="16"/>
                <w:szCs w:val="16"/>
              </w:rPr>
            </w:pPr>
            <w:r w:rsidRPr="00C85866">
              <w:rPr>
                <w:rFonts w:ascii="Arial" w:hAnsi="Arial" w:cs="Arial"/>
                <w:b/>
                <w:bCs/>
                <w:color w:val="000000"/>
                <w:sz w:val="16"/>
                <w:szCs w:val="16"/>
              </w:rPr>
              <w:t>2023</w:t>
            </w:r>
            <w:r w:rsidR="009B6F84">
              <w:rPr>
                <w:rFonts w:ascii="Arial" w:hAnsi="Arial" w:cs="Arial"/>
                <w:b/>
                <w:bCs/>
                <w:color w:val="000000"/>
                <w:sz w:val="16"/>
                <w:szCs w:val="16"/>
              </w:rPr>
              <w:noBreakHyphen/>
            </w:r>
            <w:r w:rsidRPr="00C85866">
              <w:rPr>
                <w:rFonts w:ascii="Arial" w:hAnsi="Arial" w:cs="Arial"/>
                <w:b/>
                <w:bCs/>
                <w:color w:val="000000"/>
                <w:sz w:val="16"/>
                <w:szCs w:val="16"/>
              </w:rPr>
              <w:t>24</w:t>
            </w:r>
          </w:p>
        </w:tc>
        <w:tc>
          <w:tcPr>
            <w:tcW w:w="850" w:type="pct"/>
            <w:tcBorders>
              <w:top w:val="single" w:sz="4" w:space="0" w:color="000000"/>
              <w:left w:val="nil"/>
              <w:bottom w:val="nil"/>
              <w:right w:val="nil"/>
            </w:tcBorders>
            <w:shd w:val="clear" w:color="auto" w:fill="auto"/>
            <w:vAlign w:val="bottom"/>
            <w:hideMark/>
          </w:tcPr>
          <w:p w14:paraId="7A691884"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Australian Government tied payments</w:t>
            </w:r>
            <w:r w:rsidRPr="00C85866">
              <w:rPr>
                <w:rFonts w:ascii="Arial" w:hAnsi="Arial" w:cs="Arial"/>
                <w:color w:val="000000"/>
                <w:sz w:val="16"/>
                <w:szCs w:val="16"/>
              </w:rPr>
              <w:br/>
              <w:t>($million)</w:t>
            </w:r>
          </w:p>
        </w:tc>
        <w:tc>
          <w:tcPr>
            <w:tcW w:w="848" w:type="pct"/>
            <w:tcBorders>
              <w:top w:val="single" w:sz="4" w:space="0" w:color="000000"/>
              <w:left w:val="nil"/>
              <w:bottom w:val="nil"/>
              <w:right w:val="nil"/>
            </w:tcBorders>
            <w:shd w:val="clear" w:color="auto" w:fill="auto"/>
            <w:vAlign w:val="bottom"/>
            <w:hideMark/>
          </w:tcPr>
          <w:p w14:paraId="2CDE7D16"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State spending supported by general revenue assistance (a)</w:t>
            </w:r>
            <w:r w:rsidRPr="00C85866">
              <w:rPr>
                <w:rFonts w:ascii="Arial" w:hAnsi="Arial" w:cs="Arial"/>
                <w:color w:val="000000"/>
                <w:sz w:val="16"/>
                <w:szCs w:val="16"/>
              </w:rPr>
              <w:br/>
              <w:t>($million)</w:t>
            </w:r>
          </w:p>
        </w:tc>
        <w:tc>
          <w:tcPr>
            <w:tcW w:w="848" w:type="pct"/>
            <w:tcBorders>
              <w:top w:val="single" w:sz="4" w:space="0" w:color="000000"/>
              <w:left w:val="nil"/>
              <w:bottom w:val="nil"/>
              <w:right w:val="nil"/>
            </w:tcBorders>
            <w:shd w:val="clear" w:color="auto" w:fill="auto"/>
            <w:vAlign w:val="bottom"/>
            <w:hideMark/>
          </w:tcPr>
          <w:p w14:paraId="6E7175A7"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Total state spending</w:t>
            </w:r>
            <w:r w:rsidRPr="00C85866">
              <w:rPr>
                <w:rFonts w:ascii="Arial" w:hAnsi="Arial" w:cs="Arial"/>
                <w:color w:val="000000"/>
                <w:sz w:val="16"/>
                <w:szCs w:val="16"/>
              </w:rPr>
              <w:br/>
              <w:t>($million)</w:t>
            </w:r>
          </w:p>
        </w:tc>
        <w:tc>
          <w:tcPr>
            <w:tcW w:w="850" w:type="pct"/>
            <w:tcBorders>
              <w:top w:val="single" w:sz="4" w:space="0" w:color="000000"/>
              <w:left w:val="nil"/>
              <w:bottom w:val="nil"/>
              <w:right w:val="nil"/>
            </w:tcBorders>
            <w:shd w:val="clear" w:color="auto" w:fill="auto"/>
            <w:vAlign w:val="bottom"/>
            <w:hideMark/>
          </w:tcPr>
          <w:p w14:paraId="11BB7E82"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 xml:space="preserve">State spending supported by Australian Government payments </w:t>
            </w:r>
            <w:r w:rsidRPr="00C85866">
              <w:rPr>
                <w:rFonts w:ascii="Arial" w:hAnsi="Arial" w:cs="Arial"/>
                <w:color w:val="000000"/>
                <w:sz w:val="16"/>
                <w:szCs w:val="16"/>
              </w:rPr>
              <w:br/>
              <w:t>(per cent)</w:t>
            </w:r>
          </w:p>
        </w:tc>
      </w:tr>
      <w:tr w:rsidR="00C85866" w:rsidRPr="00C85866" w14:paraId="2342349F" w14:textId="77777777" w:rsidTr="00DB5D01">
        <w:trPr>
          <w:trHeight w:hRule="exact" w:val="225"/>
        </w:trPr>
        <w:tc>
          <w:tcPr>
            <w:tcW w:w="1604" w:type="pct"/>
            <w:tcBorders>
              <w:top w:val="nil"/>
              <w:left w:val="nil"/>
              <w:bottom w:val="nil"/>
              <w:right w:val="nil"/>
            </w:tcBorders>
            <w:shd w:val="clear" w:color="auto" w:fill="auto"/>
            <w:noWrap/>
            <w:vAlign w:val="bottom"/>
            <w:hideMark/>
          </w:tcPr>
          <w:p w14:paraId="1766E960" w14:textId="77777777" w:rsidR="00C85866" w:rsidRPr="00C85866" w:rsidRDefault="00C85866" w:rsidP="00C85866">
            <w:pPr>
              <w:spacing w:before="0" w:after="0" w:line="240" w:lineRule="auto"/>
              <w:rPr>
                <w:rFonts w:ascii="Arial" w:hAnsi="Arial" w:cs="Arial"/>
                <w:color w:val="000000"/>
                <w:sz w:val="16"/>
                <w:szCs w:val="16"/>
              </w:rPr>
            </w:pPr>
            <w:r w:rsidRPr="00C85866">
              <w:rPr>
                <w:rFonts w:ascii="Arial" w:hAnsi="Arial" w:cs="Arial"/>
                <w:color w:val="000000"/>
                <w:sz w:val="16"/>
                <w:szCs w:val="16"/>
              </w:rPr>
              <w:t xml:space="preserve">Health </w:t>
            </w:r>
          </w:p>
        </w:tc>
        <w:tc>
          <w:tcPr>
            <w:tcW w:w="850" w:type="pct"/>
            <w:tcBorders>
              <w:top w:val="single" w:sz="4" w:space="0" w:color="293F5B"/>
              <w:left w:val="nil"/>
              <w:bottom w:val="nil"/>
              <w:right w:val="nil"/>
            </w:tcBorders>
            <w:shd w:val="clear" w:color="auto" w:fill="auto"/>
            <w:noWrap/>
            <w:vAlign w:val="bottom"/>
            <w:hideMark/>
          </w:tcPr>
          <w:p w14:paraId="6213C564"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28,471</w:t>
            </w:r>
          </w:p>
        </w:tc>
        <w:tc>
          <w:tcPr>
            <w:tcW w:w="848" w:type="pct"/>
            <w:tcBorders>
              <w:top w:val="single" w:sz="4" w:space="0" w:color="293F5B"/>
              <w:left w:val="nil"/>
              <w:bottom w:val="nil"/>
              <w:right w:val="nil"/>
            </w:tcBorders>
            <w:shd w:val="clear" w:color="auto" w:fill="auto"/>
            <w:noWrap/>
            <w:vAlign w:val="bottom"/>
            <w:hideMark/>
          </w:tcPr>
          <w:p w14:paraId="2B886C0A"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25,003</w:t>
            </w:r>
          </w:p>
        </w:tc>
        <w:tc>
          <w:tcPr>
            <w:tcW w:w="848" w:type="pct"/>
            <w:tcBorders>
              <w:top w:val="single" w:sz="4" w:space="0" w:color="293F5B"/>
              <w:left w:val="nil"/>
              <w:bottom w:val="nil"/>
              <w:right w:val="nil"/>
            </w:tcBorders>
            <w:shd w:val="clear" w:color="auto" w:fill="auto"/>
            <w:noWrap/>
            <w:vAlign w:val="bottom"/>
            <w:hideMark/>
          </w:tcPr>
          <w:p w14:paraId="2BA585E3"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109,091</w:t>
            </w:r>
          </w:p>
        </w:tc>
        <w:tc>
          <w:tcPr>
            <w:tcW w:w="850" w:type="pct"/>
            <w:tcBorders>
              <w:top w:val="single" w:sz="4" w:space="0" w:color="293F5B"/>
              <w:left w:val="nil"/>
              <w:bottom w:val="nil"/>
              <w:right w:val="nil"/>
            </w:tcBorders>
            <w:shd w:val="clear" w:color="auto" w:fill="auto"/>
            <w:noWrap/>
            <w:vAlign w:val="bottom"/>
            <w:hideMark/>
          </w:tcPr>
          <w:p w14:paraId="080E2F88"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49.0</w:t>
            </w:r>
          </w:p>
        </w:tc>
      </w:tr>
      <w:tr w:rsidR="00C85866" w:rsidRPr="00C85866" w14:paraId="69E22792" w14:textId="77777777" w:rsidTr="00DB5D01">
        <w:trPr>
          <w:trHeight w:hRule="exact" w:val="225"/>
        </w:trPr>
        <w:tc>
          <w:tcPr>
            <w:tcW w:w="1604" w:type="pct"/>
            <w:tcBorders>
              <w:top w:val="nil"/>
              <w:left w:val="nil"/>
              <w:bottom w:val="nil"/>
              <w:right w:val="nil"/>
            </w:tcBorders>
            <w:shd w:val="clear" w:color="auto" w:fill="auto"/>
            <w:noWrap/>
            <w:vAlign w:val="bottom"/>
            <w:hideMark/>
          </w:tcPr>
          <w:p w14:paraId="3DE984CA" w14:textId="77777777" w:rsidR="00C85866" w:rsidRPr="00C85866" w:rsidRDefault="00C85866" w:rsidP="00C85866">
            <w:pPr>
              <w:spacing w:before="0" w:after="0" w:line="240" w:lineRule="auto"/>
              <w:rPr>
                <w:rFonts w:ascii="Arial" w:hAnsi="Arial" w:cs="Arial"/>
                <w:color w:val="000000"/>
                <w:sz w:val="16"/>
                <w:szCs w:val="16"/>
              </w:rPr>
            </w:pPr>
            <w:r w:rsidRPr="00C85866">
              <w:rPr>
                <w:rFonts w:ascii="Arial" w:hAnsi="Arial" w:cs="Arial"/>
                <w:color w:val="000000"/>
                <w:sz w:val="16"/>
                <w:szCs w:val="16"/>
              </w:rPr>
              <w:t xml:space="preserve">Education </w:t>
            </w:r>
          </w:p>
        </w:tc>
        <w:tc>
          <w:tcPr>
            <w:tcW w:w="850" w:type="pct"/>
            <w:tcBorders>
              <w:top w:val="nil"/>
              <w:left w:val="nil"/>
              <w:bottom w:val="nil"/>
              <w:right w:val="nil"/>
            </w:tcBorders>
            <w:shd w:val="clear" w:color="auto" w:fill="auto"/>
            <w:noWrap/>
            <w:vAlign w:val="bottom"/>
            <w:hideMark/>
          </w:tcPr>
          <w:p w14:paraId="429808BB"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32,220</w:t>
            </w:r>
          </w:p>
        </w:tc>
        <w:tc>
          <w:tcPr>
            <w:tcW w:w="848" w:type="pct"/>
            <w:tcBorders>
              <w:top w:val="nil"/>
              <w:left w:val="nil"/>
              <w:bottom w:val="nil"/>
              <w:right w:val="nil"/>
            </w:tcBorders>
            <w:shd w:val="clear" w:color="auto" w:fill="auto"/>
            <w:noWrap/>
            <w:vAlign w:val="bottom"/>
            <w:hideMark/>
          </w:tcPr>
          <w:p w14:paraId="5D93D57C"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14,473</w:t>
            </w:r>
          </w:p>
        </w:tc>
        <w:tc>
          <w:tcPr>
            <w:tcW w:w="848" w:type="pct"/>
            <w:tcBorders>
              <w:top w:val="nil"/>
              <w:left w:val="nil"/>
              <w:bottom w:val="nil"/>
              <w:right w:val="nil"/>
            </w:tcBorders>
            <w:shd w:val="clear" w:color="auto" w:fill="auto"/>
            <w:noWrap/>
            <w:vAlign w:val="bottom"/>
            <w:hideMark/>
          </w:tcPr>
          <w:p w14:paraId="0B71D0F0"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78,887</w:t>
            </w:r>
          </w:p>
        </w:tc>
        <w:tc>
          <w:tcPr>
            <w:tcW w:w="850" w:type="pct"/>
            <w:tcBorders>
              <w:top w:val="nil"/>
              <w:left w:val="nil"/>
              <w:bottom w:val="nil"/>
              <w:right w:val="nil"/>
            </w:tcBorders>
            <w:shd w:val="clear" w:color="auto" w:fill="auto"/>
            <w:noWrap/>
            <w:vAlign w:val="bottom"/>
            <w:hideMark/>
          </w:tcPr>
          <w:p w14:paraId="28694754"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59.2</w:t>
            </w:r>
          </w:p>
        </w:tc>
      </w:tr>
      <w:tr w:rsidR="00C85866" w:rsidRPr="00C85866" w14:paraId="40087B3A" w14:textId="77777777" w:rsidTr="00DB5D01">
        <w:trPr>
          <w:trHeight w:hRule="exact" w:val="225"/>
        </w:trPr>
        <w:tc>
          <w:tcPr>
            <w:tcW w:w="1604" w:type="pct"/>
            <w:tcBorders>
              <w:top w:val="nil"/>
              <w:left w:val="nil"/>
              <w:bottom w:val="nil"/>
              <w:right w:val="nil"/>
            </w:tcBorders>
            <w:shd w:val="clear" w:color="auto" w:fill="auto"/>
            <w:noWrap/>
            <w:vAlign w:val="bottom"/>
            <w:hideMark/>
          </w:tcPr>
          <w:p w14:paraId="241505E0" w14:textId="77777777" w:rsidR="00C85866" w:rsidRPr="00C85866" w:rsidRDefault="00C85866" w:rsidP="00C85866">
            <w:pPr>
              <w:spacing w:before="0" w:after="0" w:line="240" w:lineRule="auto"/>
              <w:rPr>
                <w:rFonts w:ascii="Arial" w:hAnsi="Arial" w:cs="Arial"/>
                <w:color w:val="000000"/>
                <w:sz w:val="16"/>
                <w:szCs w:val="16"/>
              </w:rPr>
            </w:pPr>
            <w:r w:rsidRPr="00C85866">
              <w:rPr>
                <w:rFonts w:ascii="Arial" w:hAnsi="Arial" w:cs="Arial"/>
                <w:color w:val="000000"/>
                <w:sz w:val="16"/>
                <w:szCs w:val="16"/>
              </w:rPr>
              <w:t xml:space="preserve">Housing and community amenities </w:t>
            </w:r>
          </w:p>
        </w:tc>
        <w:tc>
          <w:tcPr>
            <w:tcW w:w="850" w:type="pct"/>
            <w:tcBorders>
              <w:top w:val="nil"/>
              <w:left w:val="nil"/>
              <w:bottom w:val="nil"/>
              <w:right w:val="nil"/>
            </w:tcBorders>
            <w:shd w:val="clear" w:color="auto" w:fill="auto"/>
            <w:noWrap/>
            <w:vAlign w:val="bottom"/>
            <w:hideMark/>
          </w:tcPr>
          <w:p w14:paraId="558F2330"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3,720</w:t>
            </w:r>
          </w:p>
        </w:tc>
        <w:tc>
          <w:tcPr>
            <w:tcW w:w="848" w:type="pct"/>
            <w:tcBorders>
              <w:top w:val="nil"/>
              <w:left w:val="nil"/>
              <w:bottom w:val="nil"/>
              <w:right w:val="nil"/>
            </w:tcBorders>
            <w:shd w:val="clear" w:color="auto" w:fill="auto"/>
            <w:noWrap/>
            <w:vAlign w:val="bottom"/>
            <w:hideMark/>
          </w:tcPr>
          <w:p w14:paraId="6F45C6D8"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2,037</w:t>
            </w:r>
          </w:p>
        </w:tc>
        <w:tc>
          <w:tcPr>
            <w:tcW w:w="848" w:type="pct"/>
            <w:tcBorders>
              <w:top w:val="nil"/>
              <w:left w:val="nil"/>
              <w:bottom w:val="nil"/>
              <w:right w:val="nil"/>
            </w:tcBorders>
            <w:shd w:val="clear" w:color="auto" w:fill="auto"/>
            <w:noWrap/>
            <w:vAlign w:val="bottom"/>
            <w:hideMark/>
          </w:tcPr>
          <w:p w14:paraId="62EA4793"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10,289</w:t>
            </w:r>
          </w:p>
        </w:tc>
        <w:tc>
          <w:tcPr>
            <w:tcW w:w="850" w:type="pct"/>
            <w:tcBorders>
              <w:top w:val="nil"/>
              <w:left w:val="nil"/>
              <w:bottom w:val="nil"/>
              <w:right w:val="nil"/>
            </w:tcBorders>
            <w:shd w:val="clear" w:color="auto" w:fill="auto"/>
            <w:noWrap/>
            <w:vAlign w:val="bottom"/>
            <w:hideMark/>
          </w:tcPr>
          <w:p w14:paraId="50C8BD06"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56.0</w:t>
            </w:r>
          </w:p>
        </w:tc>
      </w:tr>
      <w:tr w:rsidR="00C85866" w:rsidRPr="00C85866" w14:paraId="108B2929" w14:textId="77777777" w:rsidTr="00DB5D01">
        <w:trPr>
          <w:trHeight w:hRule="exact" w:val="225"/>
        </w:trPr>
        <w:tc>
          <w:tcPr>
            <w:tcW w:w="1604" w:type="pct"/>
            <w:tcBorders>
              <w:top w:val="nil"/>
              <w:left w:val="nil"/>
              <w:bottom w:val="nil"/>
              <w:right w:val="nil"/>
            </w:tcBorders>
            <w:shd w:val="clear" w:color="auto" w:fill="auto"/>
            <w:noWrap/>
            <w:vAlign w:val="bottom"/>
            <w:hideMark/>
          </w:tcPr>
          <w:p w14:paraId="206C3710" w14:textId="77777777" w:rsidR="00C85866" w:rsidRPr="00C85866" w:rsidRDefault="00C85866" w:rsidP="00C85866">
            <w:pPr>
              <w:spacing w:before="0" w:after="0" w:line="240" w:lineRule="auto"/>
              <w:rPr>
                <w:rFonts w:ascii="Arial" w:hAnsi="Arial" w:cs="Arial"/>
                <w:color w:val="000000"/>
                <w:sz w:val="16"/>
                <w:szCs w:val="16"/>
              </w:rPr>
            </w:pPr>
            <w:r w:rsidRPr="00C85866">
              <w:rPr>
                <w:rFonts w:ascii="Arial" w:hAnsi="Arial" w:cs="Arial"/>
                <w:color w:val="000000"/>
                <w:sz w:val="16"/>
                <w:szCs w:val="16"/>
              </w:rPr>
              <w:t xml:space="preserve">Transport </w:t>
            </w:r>
          </w:p>
        </w:tc>
        <w:tc>
          <w:tcPr>
            <w:tcW w:w="850" w:type="pct"/>
            <w:tcBorders>
              <w:top w:val="nil"/>
              <w:left w:val="nil"/>
              <w:bottom w:val="nil"/>
              <w:right w:val="nil"/>
            </w:tcBorders>
            <w:shd w:val="clear" w:color="auto" w:fill="auto"/>
            <w:noWrap/>
            <w:vAlign w:val="bottom"/>
            <w:hideMark/>
          </w:tcPr>
          <w:p w14:paraId="7289363A"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11,087</w:t>
            </w:r>
          </w:p>
        </w:tc>
        <w:tc>
          <w:tcPr>
            <w:tcW w:w="848" w:type="pct"/>
            <w:tcBorders>
              <w:top w:val="nil"/>
              <w:left w:val="nil"/>
              <w:bottom w:val="nil"/>
              <w:right w:val="nil"/>
            </w:tcBorders>
            <w:shd w:val="clear" w:color="auto" w:fill="auto"/>
            <w:noWrap/>
            <w:vAlign w:val="bottom"/>
            <w:hideMark/>
          </w:tcPr>
          <w:p w14:paraId="14F251F9"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9,882</w:t>
            </w:r>
          </w:p>
        </w:tc>
        <w:tc>
          <w:tcPr>
            <w:tcW w:w="848" w:type="pct"/>
            <w:tcBorders>
              <w:top w:val="nil"/>
              <w:left w:val="nil"/>
              <w:bottom w:val="nil"/>
              <w:right w:val="nil"/>
            </w:tcBorders>
            <w:shd w:val="clear" w:color="auto" w:fill="auto"/>
            <w:noWrap/>
            <w:vAlign w:val="bottom"/>
            <w:hideMark/>
          </w:tcPr>
          <w:p w14:paraId="2F3F7D86"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42,950</w:t>
            </w:r>
          </w:p>
        </w:tc>
        <w:tc>
          <w:tcPr>
            <w:tcW w:w="850" w:type="pct"/>
            <w:tcBorders>
              <w:top w:val="nil"/>
              <w:left w:val="nil"/>
              <w:bottom w:val="nil"/>
              <w:right w:val="nil"/>
            </w:tcBorders>
            <w:shd w:val="clear" w:color="auto" w:fill="auto"/>
            <w:noWrap/>
            <w:vAlign w:val="bottom"/>
            <w:hideMark/>
          </w:tcPr>
          <w:p w14:paraId="31BF3CC5"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48.8</w:t>
            </w:r>
          </w:p>
        </w:tc>
      </w:tr>
      <w:tr w:rsidR="00C85866" w:rsidRPr="00C85866" w14:paraId="5D4840C4" w14:textId="77777777" w:rsidTr="00DB5D01">
        <w:trPr>
          <w:trHeight w:hRule="exact" w:val="225"/>
        </w:trPr>
        <w:tc>
          <w:tcPr>
            <w:tcW w:w="1604" w:type="pct"/>
            <w:tcBorders>
              <w:top w:val="nil"/>
              <w:left w:val="nil"/>
              <w:bottom w:val="nil"/>
              <w:right w:val="nil"/>
            </w:tcBorders>
            <w:shd w:val="clear" w:color="auto" w:fill="auto"/>
            <w:noWrap/>
            <w:vAlign w:val="bottom"/>
            <w:hideMark/>
          </w:tcPr>
          <w:p w14:paraId="45B6CA55" w14:textId="77777777" w:rsidR="00C85866" w:rsidRPr="00C85866" w:rsidRDefault="00C85866" w:rsidP="00C85866">
            <w:pPr>
              <w:spacing w:before="0" w:after="0" w:line="240" w:lineRule="auto"/>
              <w:rPr>
                <w:rFonts w:ascii="Arial" w:hAnsi="Arial" w:cs="Arial"/>
                <w:color w:val="000000"/>
                <w:sz w:val="16"/>
                <w:szCs w:val="16"/>
              </w:rPr>
            </w:pPr>
            <w:r w:rsidRPr="00C85866">
              <w:rPr>
                <w:rFonts w:ascii="Arial" w:hAnsi="Arial" w:cs="Arial"/>
                <w:color w:val="000000"/>
                <w:sz w:val="16"/>
                <w:szCs w:val="16"/>
              </w:rPr>
              <w:t xml:space="preserve">Economic affairs </w:t>
            </w:r>
          </w:p>
        </w:tc>
        <w:tc>
          <w:tcPr>
            <w:tcW w:w="850" w:type="pct"/>
            <w:tcBorders>
              <w:top w:val="nil"/>
              <w:left w:val="nil"/>
              <w:bottom w:val="nil"/>
              <w:right w:val="nil"/>
            </w:tcBorders>
            <w:shd w:val="clear" w:color="auto" w:fill="auto"/>
            <w:noWrap/>
            <w:vAlign w:val="bottom"/>
            <w:hideMark/>
          </w:tcPr>
          <w:p w14:paraId="107D00D0"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2,106</w:t>
            </w:r>
          </w:p>
        </w:tc>
        <w:tc>
          <w:tcPr>
            <w:tcW w:w="848" w:type="pct"/>
            <w:tcBorders>
              <w:top w:val="nil"/>
              <w:left w:val="nil"/>
              <w:bottom w:val="nil"/>
              <w:right w:val="nil"/>
            </w:tcBorders>
            <w:shd w:val="clear" w:color="auto" w:fill="auto"/>
            <w:noWrap/>
            <w:vAlign w:val="bottom"/>
            <w:hideMark/>
          </w:tcPr>
          <w:p w14:paraId="2694EE8D"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4,534</w:t>
            </w:r>
          </w:p>
        </w:tc>
        <w:tc>
          <w:tcPr>
            <w:tcW w:w="848" w:type="pct"/>
            <w:tcBorders>
              <w:top w:val="nil"/>
              <w:left w:val="nil"/>
              <w:bottom w:val="nil"/>
              <w:right w:val="nil"/>
            </w:tcBorders>
            <w:shd w:val="clear" w:color="auto" w:fill="auto"/>
            <w:noWrap/>
            <w:vAlign w:val="bottom"/>
            <w:hideMark/>
          </w:tcPr>
          <w:p w14:paraId="3A905989"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16,726</w:t>
            </w:r>
          </w:p>
        </w:tc>
        <w:tc>
          <w:tcPr>
            <w:tcW w:w="850" w:type="pct"/>
            <w:tcBorders>
              <w:top w:val="nil"/>
              <w:left w:val="nil"/>
              <w:bottom w:val="nil"/>
              <w:right w:val="nil"/>
            </w:tcBorders>
            <w:shd w:val="clear" w:color="auto" w:fill="auto"/>
            <w:noWrap/>
            <w:vAlign w:val="bottom"/>
            <w:hideMark/>
          </w:tcPr>
          <w:p w14:paraId="4EC7AD18"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39.7</w:t>
            </w:r>
          </w:p>
        </w:tc>
      </w:tr>
      <w:tr w:rsidR="00C85866" w:rsidRPr="00C85866" w14:paraId="7EE582F7" w14:textId="77777777" w:rsidTr="00DB5D01">
        <w:trPr>
          <w:trHeight w:hRule="exact" w:val="225"/>
        </w:trPr>
        <w:tc>
          <w:tcPr>
            <w:tcW w:w="1604" w:type="pct"/>
            <w:tcBorders>
              <w:top w:val="nil"/>
              <w:left w:val="nil"/>
              <w:bottom w:val="nil"/>
              <w:right w:val="nil"/>
            </w:tcBorders>
            <w:shd w:val="clear" w:color="auto" w:fill="auto"/>
            <w:noWrap/>
            <w:vAlign w:val="bottom"/>
            <w:hideMark/>
          </w:tcPr>
          <w:p w14:paraId="37E9913F" w14:textId="77777777" w:rsidR="00C85866" w:rsidRPr="00C85866" w:rsidRDefault="00C85866" w:rsidP="00C85866">
            <w:pPr>
              <w:spacing w:before="0" w:after="0" w:line="240" w:lineRule="auto"/>
              <w:rPr>
                <w:rFonts w:ascii="Arial" w:hAnsi="Arial" w:cs="Arial"/>
                <w:color w:val="000000"/>
                <w:sz w:val="16"/>
                <w:szCs w:val="16"/>
              </w:rPr>
            </w:pPr>
            <w:r w:rsidRPr="00C85866">
              <w:rPr>
                <w:rFonts w:ascii="Arial" w:hAnsi="Arial" w:cs="Arial"/>
                <w:color w:val="000000"/>
                <w:sz w:val="16"/>
                <w:szCs w:val="16"/>
              </w:rPr>
              <w:t xml:space="preserve">Social protection </w:t>
            </w:r>
          </w:p>
        </w:tc>
        <w:tc>
          <w:tcPr>
            <w:tcW w:w="850" w:type="pct"/>
            <w:tcBorders>
              <w:top w:val="nil"/>
              <w:left w:val="nil"/>
              <w:bottom w:val="nil"/>
              <w:right w:val="nil"/>
            </w:tcBorders>
            <w:shd w:val="clear" w:color="auto" w:fill="auto"/>
            <w:noWrap/>
            <w:vAlign w:val="bottom"/>
            <w:hideMark/>
          </w:tcPr>
          <w:p w14:paraId="1675E2E6"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1,126</w:t>
            </w:r>
          </w:p>
        </w:tc>
        <w:tc>
          <w:tcPr>
            <w:tcW w:w="848" w:type="pct"/>
            <w:tcBorders>
              <w:top w:val="nil"/>
              <w:left w:val="nil"/>
              <w:bottom w:val="nil"/>
              <w:right w:val="nil"/>
            </w:tcBorders>
            <w:shd w:val="clear" w:color="auto" w:fill="auto"/>
            <w:noWrap/>
            <w:vAlign w:val="bottom"/>
            <w:hideMark/>
          </w:tcPr>
          <w:p w14:paraId="438E5032"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10,794</w:t>
            </w:r>
          </w:p>
        </w:tc>
        <w:tc>
          <w:tcPr>
            <w:tcW w:w="848" w:type="pct"/>
            <w:tcBorders>
              <w:top w:val="nil"/>
              <w:left w:val="nil"/>
              <w:bottom w:val="nil"/>
              <w:right w:val="nil"/>
            </w:tcBorders>
            <w:shd w:val="clear" w:color="auto" w:fill="auto"/>
            <w:noWrap/>
            <w:vAlign w:val="bottom"/>
            <w:hideMark/>
          </w:tcPr>
          <w:p w14:paraId="45A7624F"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35,932</w:t>
            </w:r>
          </w:p>
        </w:tc>
        <w:tc>
          <w:tcPr>
            <w:tcW w:w="850" w:type="pct"/>
            <w:tcBorders>
              <w:top w:val="nil"/>
              <w:left w:val="nil"/>
              <w:bottom w:val="nil"/>
              <w:right w:val="nil"/>
            </w:tcBorders>
            <w:shd w:val="clear" w:color="auto" w:fill="auto"/>
            <w:noWrap/>
            <w:vAlign w:val="bottom"/>
            <w:hideMark/>
          </w:tcPr>
          <w:p w14:paraId="417349DD"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33.2</w:t>
            </w:r>
          </w:p>
        </w:tc>
      </w:tr>
      <w:tr w:rsidR="00C85866" w:rsidRPr="00C85866" w14:paraId="6465A033" w14:textId="77777777" w:rsidTr="00DB5D01">
        <w:trPr>
          <w:trHeight w:hRule="exact" w:val="225"/>
        </w:trPr>
        <w:tc>
          <w:tcPr>
            <w:tcW w:w="1604" w:type="pct"/>
            <w:tcBorders>
              <w:top w:val="nil"/>
              <w:left w:val="nil"/>
              <w:bottom w:val="nil"/>
              <w:right w:val="nil"/>
            </w:tcBorders>
            <w:shd w:val="clear" w:color="auto" w:fill="auto"/>
            <w:noWrap/>
            <w:vAlign w:val="bottom"/>
            <w:hideMark/>
          </w:tcPr>
          <w:p w14:paraId="45DE3C36" w14:textId="77777777" w:rsidR="00C85866" w:rsidRPr="00C85866" w:rsidRDefault="00C85866" w:rsidP="00C85866">
            <w:pPr>
              <w:spacing w:before="0" w:after="0" w:line="240" w:lineRule="auto"/>
              <w:rPr>
                <w:rFonts w:ascii="Arial" w:hAnsi="Arial" w:cs="Arial"/>
                <w:color w:val="000000"/>
                <w:sz w:val="16"/>
                <w:szCs w:val="16"/>
              </w:rPr>
            </w:pPr>
            <w:r w:rsidRPr="00C85866">
              <w:rPr>
                <w:rFonts w:ascii="Arial" w:hAnsi="Arial" w:cs="Arial"/>
                <w:color w:val="000000"/>
                <w:sz w:val="16"/>
                <w:szCs w:val="16"/>
              </w:rPr>
              <w:t>Other functions (b)</w:t>
            </w:r>
          </w:p>
        </w:tc>
        <w:tc>
          <w:tcPr>
            <w:tcW w:w="850" w:type="pct"/>
            <w:tcBorders>
              <w:top w:val="nil"/>
              <w:left w:val="nil"/>
              <w:bottom w:val="nil"/>
              <w:right w:val="nil"/>
            </w:tcBorders>
            <w:shd w:val="clear" w:color="auto" w:fill="auto"/>
            <w:noWrap/>
            <w:vAlign w:val="bottom"/>
            <w:hideMark/>
          </w:tcPr>
          <w:p w14:paraId="79B8AE78"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5,180</w:t>
            </w:r>
          </w:p>
        </w:tc>
        <w:tc>
          <w:tcPr>
            <w:tcW w:w="848" w:type="pct"/>
            <w:tcBorders>
              <w:top w:val="nil"/>
              <w:left w:val="nil"/>
              <w:bottom w:val="nil"/>
              <w:right w:val="nil"/>
            </w:tcBorders>
            <w:shd w:val="clear" w:color="auto" w:fill="auto"/>
            <w:noWrap/>
            <w:vAlign w:val="bottom"/>
            <w:hideMark/>
          </w:tcPr>
          <w:p w14:paraId="3D0A1D0B"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24,583</w:t>
            </w:r>
          </w:p>
        </w:tc>
        <w:tc>
          <w:tcPr>
            <w:tcW w:w="848" w:type="pct"/>
            <w:tcBorders>
              <w:top w:val="nil"/>
              <w:left w:val="nil"/>
              <w:bottom w:val="nil"/>
              <w:right w:val="nil"/>
            </w:tcBorders>
            <w:shd w:val="clear" w:color="auto" w:fill="auto"/>
            <w:noWrap/>
            <w:vAlign w:val="bottom"/>
            <w:hideMark/>
          </w:tcPr>
          <w:p w14:paraId="4808F4C1"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84,446</w:t>
            </w:r>
          </w:p>
        </w:tc>
        <w:tc>
          <w:tcPr>
            <w:tcW w:w="850" w:type="pct"/>
            <w:tcBorders>
              <w:top w:val="nil"/>
              <w:left w:val="nil"/>
              <w:bottom w:val="nil"/>
              <w:right w:val="nil"/>
            </w:tcBorders>
            <w:shd w:val="clear" w:color="auto" w:fill="auto"/>
            <w:noWrap/>
            <w:vAlign w:val="bottom"/>
            <w:hideMark/>
          </w:tcPr>
          <w:p w14:paraId="1AA26E13"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35.2</w:t>
            </w:r>
          </w:p>
        </w:tc>
      </w:tr>
      <w:tr w:rsidR="00C85866" w:rsidRPr="00C85866" w14:paraId="56535131" w14:textId="77777777" w:rsidTr="00DB5D01">
        <w:trPr>
          <w:trHeight w:hRule="exact" w:val="225"/>
        </w:trPr>
        <w:tc>
          <w:tcPr>
            <w:tcW w:w="1604" w:type="pct"/>
            <w:tcBorders>
              <w:top w:val="nil"/>
              <w:left w:val="nil"/>
              <w:bottom w:val="nil"/>
              <w:right w:val="nil"/>
            </w:tcBorders>
            <w:shd w:val="clear" w:color="auto" w:fill="auto"/>
            <w:noWrap/>
            <w:vAlign w:val="bottom"/>
            <w:hideMark/>
          </w:tcPr>
          <w:p w14:paraId="29BFA171" w14:textId="77777777" w:rsidR="00C85866" w:rsidRPr="00C85866" w:rsidRDefault="00C85866" w:rsidP="00DB5D01">
            <w:pPr>
              <w:spacing w:before="0" w:after="0" w:line="240" w:lineRule="auto"/>
              <w:ind w:left="170"/>
              <w:rPr>
                <w:rFonts w:ascii="Arial" w:hAnsi="Arial" w:cs="Arial"/>
                <w:color w:val="000000"/>
                <w:sz w:val="16"/>
                <w:szCs w:val="16"/>
              </w:rPr>
            </w:pPr>
            <w:r w:rsidRPr="00C85866">
              <w:rPr>
                <w:rFonts w:ascii="Arial" w:hAnsi="Arial" w:cs="Arial"/>
                <w:color w:val="000000"/>
                <w:sz w:val="16"/>
                <w:szCs w:val="16"/>
              </w:rPr>
              <w:t>Payments for specific purpose</w:t>
            </w:r>
          </w:p>
        </w:tc>
        <w:tc>
          <w:tcPr>
            <w:tcW w:w="850" w:type="pct"/>
            <w:tcBorders>
              <w:top w:val="single" w:sz="4" w:space="0" w:color="293F5B"/>
              <w:left w:val="nil"/>
              <w:bottom w:val="nil"/>
              <w:right w:val="nil"/>
            </w:tcBorders>
            <w:shd w:val="clear" w:color="auto" w:fill="auto"/>
            <w:noWrap/>
            <w:vAlign w:val="bottom"/>
            <w:hideMark/>
          </w:tcPr>
          <w:p w14:paraId="37A12885"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83,910</w:t>
            </w:r>
          </w:p>
        </w:tc>
        <w:tc>
          <w:tcPr>
            <w:tcW w:w="848" w:type="pct"/>
            <w:tcBorders>
              <w:top w:val="single" w:sz="4" w:space="0" w:color="293F5B"/>
              <w:left w:val="nil"/>
              <w:bottom w:val="nil"/>
              <w:right w:val="nil"/>
            </w:tcBorders>
            <w:shd w:val="clear" w:color="auto" w:fill="auto"/>
            <w:noWrap/>
            <w:vAlign w:val="bottom"/>
            <w:hideMark/>
          </w:tcPr>
          <w:p w14:paraId="3C9C4032" w14:textId="77777777" w:rsidR="00C85866" w:rsidRPr="00C85866" w:rsidRDefault="00C85866" w:rsidP="00C85866">
            <w:pPr>
              <w:spacing w:before="0" w:after="0" w:line="240" w:lineRule="auto"/>
              <w:rPr>
                <w:rFonts w:ascii="Arial" w:hAnsi="Arial" w:cs="Arial"/>
                <w:color w:val="000000"/>
                <w:sz w:val="16"/>
                <w:szCs w:val="16"/>
              </w:rPr>
            </w:pPr>
            <w:r w:rsidRPr="00C85866">
              <w:rPr>
                <w:rFonts w:ascii="Arial" w:hAnsi="Arial" w:cs="Arial"/>
                <w:color w:val="000000"/>
                <w:sz w:val="16"/>
                <w:szCs w:val="16"/>
              </w:rPr>
              <w:t> </w:t>
            </w:r>
          </w:p>
        </w:tc>
        <w:tc>
          <w:tcPr>
            <w:tcW w:w="848" w:type="pct"/>
            <w:tcBorders>
              <w:top w:val="single" w:sz="4" w:space="0" w:color="293F5B"/>
              <w:left w:val="nil"/>
              <w:bottom w:val="nil"/>
              <w:right w:val="nil"/>
            </w:tcBorders>
            <w:shd w:val="clear" w:color="auto" w:fill="auto"/>
            <w:noWrap/>
            <w:vAlign w:val="bottom"/>
            <w:hideMark/>
          </w:tcPr>
          <w:p w14:paraId="51579BC0" w14:textId="77777777" w:rsidR="00C85866" w:rsidRPr="00C85866" w:rsidRDefault="00C85866" w:rsidP="00C85866">
            <w:pPr>
              <w:spacing w:before="0" w:after="0" w:line="240" w:lineRule="auto"/>
              <w:rPr>
                <w:rFonts w:ascii="Arial" w:hAnsi="Arial" w:cs="Arial"/>
                <w:color w:val="000000"/>
                <w:sz w:val="16"/>
                <w:szCs w:val="16"/>
              </w:rPr>
            </w:pPr>
            <w:r w:rsidRPr="00C85866">
              <w:rPr>
                <w:rFonts w:ascii="Arial" w:hAnsi="Arial" w:cs="Arial"/>
                <w:color w:val="000000"/>
                <w:sz w:val="16"/>
                <w:szCs w:val="16"/>
              </w:rPr>
              <w:t> </w:t>
            </w:r>
          </w:p>
        </w:tc>
        <w:tc>
          <w:tcPr>
            <w:tcW w:w="850" w:type="pct"/>
            <w:tcBorders>
              <w:top w:val="single" w:sz="4" w:space="0" w:color="293F5B"/>
              <w:left w:val="nil"/>
              <w:bottom w:val="nil"/>
              <w:right w:val="nil"/>
            </w:tcBorders>
            <w:shd w:val="clear" w:color="auto" w:fill="auto"/>
            <w:noWrap/>
            <w:vAlign w:val="bottom"/>
            <w:hideMark/>
          </w:tcPr>
          <w:p w14:paraId="28FEE992" w14:textId="77777777" w:rsidR="00C85866" w:rsidRPr="00C85866" w:rsidRDefault="00C85866" w:rsidP="00C85866">
            <w:pPr>
              <w:spacing w:before="0" w:after="0" w:line="240" w:lineRule="auto"/>
              <w:rPr>
                <w:rFonts w:ascii="Arial" w:hAnsi="Arial" w:cs="Arial"/>
                <w:color w:val="000000"/>
                <w:sz w:val="16"/>
                <w:szCs w:val="16"/>
              </w:rPr>
            </w:pPr>
            <w:r w:rsidRPr="00C85866">
              <w:rPr>
                <w:rFonts w:ascii="Arial" w:hAnsi="Arial" w:cs="Arial"/>
                <w:color w:val="000000"/>
                <w:sz w:val="16"/>
                <w:szCs w:val="16"/>
              </w:rPr>
              <w:t> </w:t>
            </w:r>
          </w:p>
        </w:tc>
      </w:tr>
      <w:tr w:rsidR="00C85866" w:rsidRPr="00C85866" w14:paraId="37E016F2" w14:textId="77777777" w:rsidTr="00DB5D01">
        <w:trPr>
          <w:trHeight w:hRule="exact" w:val="225"/>
        </w:trPr>
        <w:tc>
          <w:tcPr>
            <w:tcW w:w="1604" w:type="pct"/>
            <w:tcBorders>
              <w:top w:val="nil"/>
              <w:left w:val="nil"/>
              <w:bottom w:val="nil"/>
              <w:right w:val="nil"/>
            </w:tcBorders>
            <w:shd w:val="clear" w:color="auto" w:fill="auto"/>
            <w:noWrap/>
            <w:vAlign w:val="bottom"/>
            <w:hideMark/>
          </w:tcPr>
          <w:p w14:paraId="555EA5C2" w14:textId="77777777" w:rsidR="00C85866" w:rsidRPr="00C85866" w:rsidRDefault="00C85866" w:rsidP="00DB5D01">
            <w:pPr>
              <w:spacing w:before="0" w:after="0" w:line="240" w:lineRule="auto"/>
              <w:ind w:left="170"/>
              <w:rPr>
                <w:rFonts w:ascii="Arial" w:hAnsi="Arial" w:cs="Arial"/>
                <w:color w:val="000000"/>
                <w:sz w:val="16"/>
                <w:szCs w:val="16"/>
              </w:rPr>
            </w:pPr>
            <w:r w:rsidRPr="00C85866">
              <w:rPr>
                <w:rFonts w:ascii="Arial" w:hAnsi="Arial" w:cs="Arial"/>
                <w:color w:val="000000"/>
                <w:sz w:val="16"/>
                <w:szCs w:val="16"/>
              </w:rPr>
              <w:t>General revenue assistance</w:t>
            </w:r>
          </w:p>
        </w:tc>
        <w:tc>
          <w:tcPr>
            <w:tcW w:w="850" w:type="pct"/>
            <w:tcBorders>
              <w:top w:val="nil"/>
              <w:left w:val="nil"/>
              <w:bottom w:val="single" w:sz="4" w:space="0" w:color="293F5B"/>
              <w:right w:val="nil"/>
            </w:tcBorders>
            <w:shd w:val="clear" w:color="auto" w:fill="auto"/>
            <w:noWrap/>
            <w:vAlign w:val="bottom"/>
            <w:hideMark/>
          </w:tcPr>
          <w:p w14:paraId="2B09DEF7" w14:textId="77777777" w:rsidR="00C85866" w:rsidRPr="00C85866" w:rsidRDefault="00C85866" w:rsidP="00C85866">
            <w:pPr>
              <w:spacing w:before="0" w:after="0" w:line="240" w:lineRule="auto"/>
              <w:rPr>
                <w:rFonts w:ascii="Arial" w:hAnsi="Arial" w:cs="Arial"/>
                <w:color w:val="000000"/>
                <w:sz w:val="16"/>
                <w:szCs w:val="16"/>
              </w:rPr>
            </w:pPr>
            <w:r w:rsidRPr="00C85866">
              <w:rPr>
                <w:rFonts w:ascii="Arial" w:hAnsi="Arial" w:cs="Arial"/>
                <w:color w:val="000000"/>
                <w:sz w:val="16"/>
                <w:szCs w:val="16"/>
              </w:rPr>
              <w:t> </w:t>
            </w:r>
          </w:p>
        </w:tc>
        <w:tc>
          <w:tcPr>
            <w:tcW w:w="848" w:type="pct"/>
            <w:tcBorders>
              <w:top w:val="nil"/>
              <w:left w:val="nil"/>
              <w:bottom w:val="single" w:sz="4" w:space="0" w:color="293F5B"/>
              <w:right w:val="nil"/>
            </w:tcBorders>
            <w:shd w:val="clear" w:color="auto" w:fill="auto"/>
            <w:noWrap/>
            <w:vAlign w:val="bottom"/>
            <w:hideMark/>
          </w:tcPr>
          <w:p w14:paraId="34BB7B41"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91,306</w:t>
            </w:r>
          </w:p>
        </w:tc>
        <w:tc>
          <w:tcPr>
            <w:tcW w:w="848" w:type="pct"/>
            <w:tcBorders>
              <w:top w:val="nil"/>
              <w:left w:val="nil"/>
              <w:bottom w:val="single" w:sz="4" w:space="0" w:color="293F5B"/>
              <w:right w:val="nil"/>
            </w:tcBorders>
            <w:shd w:val="clear" w:color="auto" w:fill="auto"/>
            <w:noWrap/>
            <w:vAlign w:val="bottom"/>
            <w:hideMark/>
          </w:tcPr>
          <w:p w14:paraId="17743812" w14:textId="77777777" w:rsidR="00C85866" w:rsidRPr="00C85866" w:rsidRDefault="00C85866" w:rsidP="00C85866">
            <w:pPr>
              <w:spacing w:before="0" w:after="0" w:line="240" w:lineRule="auto"/>
              <w:rPr>
                <w:rFonts w:ascii="Arial" w:hAnsi="Arial" w:cs="Arial"/>
                <w:color w:val="000000"/>
                <w:sz w:val="16"/>
                <w:szCs w:val="16"/>
              </w:rPr>
            </w:pPr>
            <w:r w:rsidRPr="00C85866">
              <w:rPr>
                <w:rFonts w:ascii="Arial" w:hAnsi="Arial" w:cs="Arial"/>
                <w:color w:val="000000"/>
                <w:sz w:val="16"/>
                <w:szCs w:val="16"/>
              </w:rPr>
              <w:t> </w:t>
            </w:r>
          </w:p>
        </w:tc>
        <w:tc>
          <w:tcPr>
            <w:tcW w:w="850" w:type="pct"/>
            <w:tcBorders>
              <w:top w:val="nil"/>
              <w:left w:val="nil"/>
              <w:bottom w:val="single" w:sz="4" w:space="0" w:color="293F5B"/>
              <w:right w:val="nil"/>
            </w:tcBorders>
            <w:shd w:val="clear" w:color="auto" w:fill="auto"/>
            <w:noWrap/>
            <w:vAlign w:val="bottom"/>
            <w:hideMark/>
          </w:tcPr>
          <w:p w14:paraId="6097BAA4" w14:textId="77777777" w:rsidR="00C85866" w:rsidRPr="00C85866" w:rsidRDefault="00C85866" w:rsidP="00C85866">
            <w:pPr>
              <w:spacing w:before="0" w:after="0" w:line="240" w:lineRule="auto"/>
              <w:rPr>
                <w:rFonts w:ascii="Arial" w:hAnsi="Arial" w:cs="Arial"/>
                <w:color w:val="000000"/>
                <w:sz w:val="16"/>
                <w:szCs w:val="16"/>
              </w:rPr>
            </w:pPr>
            <w:r w:rsidRPr="00C85866">
              <w:rPr>
                <w:rFonts w:ascii="Arial" w:hAnsi="Arial" w:cs="Arial"/>
                <w:color w:val="000000"/>
                <w:sz w:val="16"/>
                <w:szCs w:val="16"/>
              </w:rPr>
              <w:t> </w:t>
            </w:r>
          </w:p>
        </w:tc>
      </w:tr>
      <w:tr w:rsidR="00C85866" w:rsidRPr="00C85866" w14:paraId="6AD184FA" w14:textId="77777777" w:rsidTr="00DB5D01">
        <w:trPr>
          <w:trHeight w:hRule="exact" w:val="225"/>
        </w:trPr>
        <w:tc>
          <w:tcPr>
            <w:tcW w:w="1604" w:type="pct"/>
            <w:tcBorders>
              <w:top w:val="nil"/>
              <w:left w:val="nil"/>
              <w:bottom w:val="single" w:sz="4" w:space="0" w:color="293F5B"/>
              <w:right w:val="nil"/>
            </w:tcBorders>
            <w:shd w:val="clear" w:color="auto" w:fill="auto"/>
            <w:noWrap/>
            <w:vAlign w:val="bottom"/>
            <w:hideMark/>
          </w:tcPr>
          <w:p w14:paraId="2ADD14F0" w14:textId="77777777" w:rsidR="00C85866" w:rsidRPr="00C85866" w:rsidRDefault="00C85866" w:rsidP="00C85866">
            <w:pPr>
              <w:spacing w:before="0" w:after="0" w:line="240" w:lineRule="auto"/>
              <w:rPr>
                <w:rFonts w:ascii="Arial" w:hAnsi="Arial" w:cs="Arial"/>
                <w:b/>
                <w:bCs/>
                <w:color w:val="000000"/>
                <w:sz w:val="16"/>
                <w:szCs w:val="16"/>
              </w:rPr>
            </w:pPr>
            <w:r w:rsidRPr="00C85866">
              <w:rPr>
                <w:rFonts w:ascii="Arial" w:hAnsi="Arial" w:cs="Arial"/>
                <w:b/>
                <w:bCs/>
                <w:color w:val="000000"/>
                <w:sz w:val="16"/>
                <w:szCs w:val="16"/>
              </w:rPr>
              <w:t>Total</w:t>
            </w:r>
          </w:p>
        </w:tc>
        <w:tc>
          <w:tcPr>
            <w:tcW w:w="850" w:type="pct"/>
            <w:tcBorders>
              <w:top w:val="nil"/>
              <w:left w:val="nil"/>
              <w:bottom w:val="single" w:sz="4" w:space="0" w:color="293F5B"/>
              <w:right w:val="nil"/>
            </w:tcBorders>
            <w:shd w:val="clear" w:color="auto" w:fill="auto"/>
            <w:noWrap/>
            <w:vAlign w:val="bottom"/>
            <w:hideMark/>
          </w:tcPr>
          <w:p w14:paraId="7E78F88D" w14:textId="77777777" w:rsidR="00C85866" w:rsidRPr="00C85866" w:rsidRDefault="00C85866" w:rsidP="00C85866">
            <w:pPr>
              <w:spacing w:before="0" w:after="0" w:line="240" w:lineRule="auto"/>
              <w:rPr>
                <w:rFonts w:ascii="Arial" w:hAnsi="Arial" w:cs="Arial"/>
                <w:color w:val="000000"/>
                <w:sz w:val="16"/>
                <w:szCs w:val="16"/>
              </w:rPr>
            </w:pPr>
            <w:r w:rsidRPr="00C85866">
              <w:rPr>
                <w:rFonts w:ascii="Arial" w:hAnsi="Arial" w:cs="Arial"/>
                <w:color w:val="000000"/>
                <w:sz w:val="16"/>
                <w:szCs w:val="16"/>
              </w:rPr>
              <w:t> </w:t>
            </w:r>
          </w:p>
        </w:tc>
        <w:tc>
          <w:tcPr>
            <w:tcW w:w="848" w:type="pct"/>
            <w:tcBorders>
              <w:top w:val="nil"/>
              <w:left w:val="nil"/>
              <w:bottom w:val="single" w:sz="4" w:space="0" w:color="293F5B"/>
              <w:right w:val="nil"/>
            </w:tcBorders>
            <w:shd w:val="clear" w:color="auto" w:fill="auto"/>
            <w:noWrap/>
            <w:vAlign w:val="bottom"/>
            <w:hideMark/>
          </w:tcPr>
          <w:p w14:paraId="01E4305D" w14:textId="77777777" w:rsidR="00C85866" w:rsidRPr="00C85866" w:rsidRDefault="00C85866" w:rsidP="00C85866">
            <w:pPr>
              <w:spacing w:before="0" w:after="0" w:line="240" w:lineRule="auto"/>
              <w:rPr>
                <w:rFonts w:ascii="Arial" w:hAnsi="Arial" w:cs="Arial"/>
                <w:color w:val="000000"/>
                <w:sz w:val="16"/>
                <w:szCs w:val="16"/>
              </w:rPr>
            </w:pPr>
            <w:r w:rsidRPr="00C85866">
              <w:rPr>
                <w:rFonts w:ascii="Arial" w:hAnsi="Arial" w:cs="Arial"/>
                <w:color w:val="000000"/>
                <w:sz w:val="16"/>
                <w:szCs w:val="16"/>
              </w:rPr>
              <w:t> </w:t>
            </w:r>
          </w:p>
        </w:tc>
        <w:tc>
          <w:tcPr>
            <w:tcW w:w="848" w:type="pct"/>
            <w:tcBorders>
              <w:top w:val="nil"/>
              <w:left w:val="nil"/>
              <w:bottom w:val="single" w:sz="4" w:space="0" w:color="293F5B"/>
              <w:right w:val="nil"/>
            </w:tcBorders>
            <w:shd w:val="clear" w:color="auto" w:fill="auto"/>
            <w:noWrap/>
            <w:vAlign w:val="bottom"/>
            <w:hideMark/>
          </w:tcPr>
          <w:p w14:paraId="2A200C12"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378,321</w:t>
            </w:r>
          </w:p>
        </w:tc>
        <w:tc>
          <w:tcPr>
            <w:tcW w:w="850" w:type="pct"/>
            <w:tcBorders>
              <w:top w:val="nil"/>
              <w:left w:val="nil"/>
              <w:bottom w:val="single" w:sz="4" w:space="0" w:color="293F5B"/>
              <w:right w:val="nil"/>
            </w:tcBorders>
            <w:shd w:val="clear" w:color="auto" w:fill="auto"/>
            <w:noWrap/>
            <w:vAlign w:val="bottom"/>
            <w:hideMark/>
          </w:tcPr>
          <w:p w14:paraId="2A7BCF6E" w14:textId="77777777" w:rsidR="00C85866" w:rsidRPr="00C85866" w:rsidRDefault="00C85866" w:rsidP="00C85866">
            <w:pPr>
              <w:spacing w:before="0" w:after="0" w:line="240" w:lineRule="auto"/>
              <w:jc w:val="right"/>
              <w:rPr>
                <w:rFonts w:ascii="Arial" w:hAnsi="Arial" w:cs="Arial"/>
                <w:color w:val="000000"/>
                <w:sz w:val="16"/>
                <w:szCs w:val="16"/>
              </w:rPr>
            </w:pPr>
            <w:r w:rsidRPr="00C85866">
              <w:rPr>
                <w:rFonts w:ascii="Arial" w:hAnsi="Arial" w:cs="Arial"/>
                <w:color w:val="000000"/>
                <w:sz w:val="16"/>
                <w:szCs w:val="16"/>
              </w:rPr>
              <w:t>46.3</w:t>
            </w:r>
          </w:p>
        </w:tc>
      </w:tr>
    </w:tbl>
    <w:p w14:paraId="47B3953C" w14:textId="387F91FC" w:rsidR="00B51775" w:rsidRPr="00C94004" w:rsidRDefault="00B51775" w:rsidP="00B51775">
      <w:pPr>
        <w:pStyle w:val="ChartandTableFootnote"/>
        <w:rPr>
          <w:color w:val="auto"/>
        </w:rPr>
      </w:pPr>
      <w:r w:rsidRPr="00C94004">
        <w:rPr>
          <w:color w:val="auto"/>
        </w:rPr>
        <w:t>Source:</w:t>
      </w:r>
      <w:r w:rsidRPr="00C94004">
        <w:rPr>
          <w:color w:val="auto"/>
        </w:rPr>
        <w:tab/>
      </w:r>
      <w:r w:rsidR="005331CE" w:rsidRPr="005331CE">
        <w:rPr>
          <w:color w:val="auto"/>
        </w:rPr>
        <w:t>Australian Government</w:t>
      </w:r>
      <w:r w:rsidR="005331CE">
        <w:rPr>
          <w:color w:val="auto"/>
        </w:rPr>
        <w:t>,</w:t>
      </w:r>
      <w:r w:rsidR="005331CE" w:rsidRPr="005331CE">
        <w:rPr>
          <w:color w:val="auto"/>
        </w:rPr>
        <w:t xml:space="preserve"> </w:t>
      </w:r>
      <w:r w:rsidR="005331CE" w:rsidRPr="00D974AC">
        <w:rPr>
          <w:rStyle w:val="Emphasis"/>
        </w:rPr>
        <w:t>Final Budget Outcome 2023</w:t>
      </w:r>
      <w:r w:rsidR="00E84C5A" w:rsidRPr="00D974AC">
        <w:rPr>
          <w:rStyle w:val="Emphasis"/>
        </w:rPr>
        <w:t>–</w:t>
      </w:r>
      <w:r w:rsidR="005331CE" w:rsidRPr="00D974AC">
        <w:rPr>
          <w:rStyle w:val="Emphasis"/>
        </w:rPr>
        <w:t>24</w:t>
      </w:r>
      <w:r w:rsidR="005331CE" w:rsidRPr="005331CE">
        <w:rPr>
          <w:i/>
          <w:iCs/>
          <w:color w:val="auto"/>
        </w:rPr>
        <w:t xml:space="preserve"> </w:t>
      </w:r>
      <w:r w:rsidR="005331CE" w:rsidRPr="005331CE">
        <w:rPr>
          <w:color w:val="auto"/>
        </w:rPr>
        <w:t xml:space="preserve">and State and Territory </w:t>
      </w:r>
      <w:r w:rsidR="005331CE" w:rsidRPr="00BA79A2">
        <w:rPr>
          <w:color w:val="auto"/>
        </w:rPr>
        <w:t>Final Budget Outcomes</w:t>
      </w:r>
      <w:r w:rsidR="00E84C5A" w:rsidRPr="00BA79A2">
        <w:rPr>
          <w:color w:val="auto"/>
        </w:rPr>
        <w:t xml:space="preserve"> 2023</w:t>
      </w:r>
      <w:r w:rsidR="00E84C5A" w:rsidRPr="00BA79A2">
        <w:rPr>
          <w:rStyle w:val="Emphasis"/>
          <w:color w:val="auto"/>
        </w:rPr>
        <w:t>–</w:t>
      </w:r>
      <w:r w:rsidR="00E84C5A" w:rsidRPr="00BA79A2">
        <w:rPr>
          <w:color w:val="auto"/>
        </w:rPr>
        <w:t>24</w:t>
      </w:r>
      <w:r w:rsidR="005331CE" w:rsidRPr="005331CE">
        <w:rPr>
          <w:color w:val="auto"/>
        </w:rPr>
        <w:t xml:space="preserve">. </w:t>
      </w:r>
    </w:p>
    <w:p w14:paraId="4F70F9C2" w14:textId="7A33068D" w:rsidR="00B51775" w:rsidRPr="00C94004" w:rsidRDefault="00B51775" w:rsidP="00B51775">
      <w:pPr>
        <w:pStyle w:val="ChartandTableFootnote"/>
        <w:rPr>
          <w:color w:val="auto"/>
        </w:rPr>
      </w:pPr>
      <w:r w:rsidRPr="00C94004">
        <w:rPr>
          <w:color w:val="auto"/>
        </w:rPr>
        <w:t>Note:</w:t>
      </w:r>
      <w:r w:rsidRPr="00C94004">
        <w:rPr>
          <w:color w:val="auto"/>
        </w:rPr>
        <w:tab/>
      </w:r>
      <w:r w:rsidR="00A201BF" w:rsidRPr="00A201BF">
        <w:rPr>
          <w:color w:val="auto"/>
        </w:rPr>
        <w:t>Australian Government payments to the states in 2023</w:t>
      </w:r>
      <w:r w:rsidR="00536FBD" w:rsidRPr="00C94004">
        <w:rPr>
          <w:rStyle w:val="Emphasis"/>
          <w:color w:val="auto"/>
        </w:rPr>
        <w:t>–</w:t>
      </w:r>
      <w:r w:rsidR="00A201BF" w:rsidRPr="00A201BF">
        <w:rPr>
          <w:color w:val="auto"/>
        </w:rPr>
        <w:t xml:space="preserve">24 </w:t>
      </w:r>
      <w:proofErr w:type="gramStart"/>
      <w:r w:rsidR="00A201BF" w:rsidRPr="00A201BF">
        <w:rPr>
          <w:color w:val="auto"/>
        </w:rPr>
        <w:t>are</w:t>
      </w:r>
      <w:proofErr w:type="gramEnd"/>
      <w:r w:rsidR="00A201BF" w:rsidRPr="00A201BF">
        <w:rPr>
          <w:color w:val="auto"/>
        </w:rPr>
        <w:t xml:space="preserve"> unavailable on an ABS</w:t>
      </w:r>
      <w:r w:rsidR="00B94FC6">
        <w:rPr>
          <w:color w:val="auto"/>
        </w:rPr>
        <w:t> </w:t>
      </w:r>
      <w:r w:rsidR="00A201BF" w:rsidRPr="00A201BF">
        <w:rPr>
          <w:color w:val="auto"/>
        </w:rPr>
        <w:t>Classification of the Functions of Government (COFOG</w:t>
      </w:r>
      <w:r w:rsidR="009B6F84">
        <w:rPr>
          <w:color w:val="auto"/>
        </w:rPr>
        <w:noBreakHyphen/>
      </w:r>
      <w:r w:rsidR="00A201BF" w:rsidRPr="00A201BF">
        <w:rPr>
          <w:color w:val="auto"/>
        </w:rPr>
        <w:t>A) basis. These payments have been adjusted to align with COFOG</w:t>
      </w:r>
      <w:r w:rsidR="009B6F84">
        <w:rPr>
          <w:color w:val="auto"/>
        </w:rPr>
        <w:noBreakHyphen/>
      </w:r>
      <w:r w:rsidR="00A201BF" w:rsidRPr="00A201BF">
        <w:rPr>
          <w:color w:val="auto"/>
        </w:rPr>
        <w:t>A.</w:t>
      </w:r>
      <w:r w:rsidR="00A201BF">
        <w:rPr>
          <w:color w:val="auto"/>
        </w:rPr>
        <w:t xml:space="preserve"> </w:t>
      </w:r>
    </w:p>
    <w:p w14:paraId="3C2A74F3" w14:textId="7E5D0CE3" w:rsidR="00B51775" w:rsidRPr="00C94004" w:rsidRDefault="00B51775" w:rsidP="00B51775">
      <w:pPr>
        <w:pStyle w:val="ChartandTableFootnoteAlpha"/>
        <w:numPr>
          <w:ilvl w:val="0"/>
          <w:numId w:val="24"/>
        </w:numPr>
        <w:rPr>
          <w:color w:val="auto"/>
        </w:rPr>
      </w:pPr>
      <w:r w:rsidRPr="00C94004">
        <w:rPr>
          <w:color w:val="auto"/>
        </w:rPr>
        <w:t>General Revenue Assistance (GRA) is provided to the states without conditions to spend according to their own budget priorities. For illustrative purposes, GRA is allocated to expense functions based on the ratio of discretionary spending in each function as a share of states</w:t>
      </w:r>
      <w:r w:rsidR="009B6F84">
        <w:rPr>
          <w:color w:val="auto"/>
        </w:rPr>
        <w:t>’</w:t>
      </w:r>
      <w:r w:rsidRPr="00C94004">
        <w:rPr>
          <w:color w:val="auto"/>
        </w:rPr>
        <w:t xml:space="preserve"> total discretionary spending. </w:t>
      </w:r>
    </w:p>
    <w:p w14:paraId="697321D3" w14:textId="5C802444" w:rsidR="00B51775" w:rsidRPr="00C94004" w:rsidRDefault="009B6F84" w:rsidP="00B51775">
      <w:pPr>
        <w:pStyle w:val="ChartandTableFootnoteAlpha"/>
        <w:numPr>
          <w:ilvl w:val="0"/>
          <w:numId w:val="24"/>
        </w:numPr>
        <w:rPr>
          <w:color w:val="auto"/>
        </w:rPr>
      </w:pPr>
      <w:r>
        <w:rPr>
          <w:color w:val="auto"/>
        </w:rPr>
        <w:t>‘</w:t>
      </w:r>
      <w:r w:rsidR="00B51775" w:rsidRPr="00C94004">
        <w:rPr>
          <w:color w:val="auto"/>
        </w:rPr>
        <w:t>Other functions</w:t>
      </w:r>
      <w:r>
        <w:rPr>
          <w:color w:val="auto"/>
        </w:rPr>
        <w:t>’</w:t>
      </w:r>
      <w:r w:rsidR="00B51775" w:rsidRPr="00C94004">
        <w:rPr>
          <w:color w:val="auto"/>
        </w:rPr>
        <w:t xml:space="preserve"> include additional functions not elsewhere itemised.</w:t>
      </w:r>
    </w:p>
    <w:p w14:paraId="075B873B" w14:textId="77777777" w:rsidR="009555A7" w:rsidRPr="009555A7" w:rsidRDefault="009555A7" w:rsidP="009555A7">
      <w:pPr>
        <w:pStyle w:val="TableLine"/>
      </w:pPr>
    </w:p>
    <w:p w14:paraId="7F51C380" w14:textId="1FFAF1C5" w:rsidR="00B51775" w:rsidRPr="00C94004" w:rsidRDefault="00B51775" w:rsidP="009555A7">
      <w:pPr>
        <w:pStyle w:val="TableLine"/>
      </w:pPr>
      <w:r w:rsidRPr="00C94004">
        <w:br w:type="page"/>
      </w:r>
    </w:p>
    <w:p w14:paraId="7EC6027A" w14:textId="1FDE9FC6" w:rsidR="00B51775" w:rsidRPr="00C94004" w:rsidRDefault="00B51775" w:rsidP="00B51775">
      <w:pPr>
        <w:pStyle w:val="Heading2"/>
        <w:rPr>
          <w:rFonts w:ascii="Book Antiqua" w:hAnsi="Book Antiqua"/>
          <w:sz w:val="20"/>
        </w:rPr>
      </w:pPr>
      <w:r w:rsidRPr="00C94004">
        <w:t>Measures affecting payments to the states</w:t>
      </w:r>
      <w:r w:rsidR="00967CEA">
        <w:t xml:space="preserve"> </w:t>
      </w:r>
    </w:p>
    <w:p w14:paraId="0D5A0D2A" w14:textId="72F0F4F1" w:rsidR="00B51775" w:rsidRPr="00C94004" w:rsidRDefault="00B51775" w:rsidP="00B51775">
      <w:r w:rsidRPr="00C94004">
        <w:t>Table 1.4 lists measures in the 202</w:t>
      </w:r>
      <w:r w:rsidR="006D3DB9">
        <w:t>5</w:t>
      </w:r>
      <w:r w:rsidRPr="00C94004">
        <w:t>–2</w:t>
      </w:r>
      <w:r w:rsidR="006D3DB9">
        <w:t>6</w:t>
      </w:r>
      <w:r w:rsidRPr="00C94004">
        <w:t xml:space="preserve"> Budget that affect payments to the states. Details of the measures are available in Budget Paper No. 2, </w:t>
      </w:r>
      <w:r w:rsidRPr="00C94004">
        <w:rPr>
          <w:rStyle w:val="Emphasis"/>
        </w:rPr>
        <w:t>Budget Measures 202</w:t>
      </w:r>
      <w:r w:rsidR="001F7DEB">
        <w:rPr>
          <w:rStyle w:val="Emphasis"/>
        </w:rPr>
        <w:t>5</w:t>
      </w:r>
      <w:r w:rsidRPr="00C94004">
        <w:rPr>
          <w:rStyle w:val="Emphasis"/>
        </w:rPr>
        <w:t>–2</w:t>
      </w:r>
      <w:r w:rsidR="001F7DEB">
        <w:rPr>
          <w:rStyle w:val="Emphasis"/>
        </w:rPr>
        <w:t>6</w:t>
      </w:r>
      <w:r w:rsidRPr="00C94004">
        <w:t xml:space="preserve">, arranged by portfolio. Information on the payments affected is available in Parts 2 and 3 of this Budget Paper. </w:t>
      </w:r>
    </w:p>
    <w:p w14:paraId="52B7CE10" w14:textId="591C6043" w:rsidR="00B51775" w:rsidRPr="00C94004" w:rsidRDefault="00B51775" w:rsidP="00B51775">
      <w:pPr>
        <w:pStyle w:val="TableHeading"/>
      </w:pPr>
      <w:r w:rsidRPr="00C94004">
        <w:t>Table 1.4: Measures affecting payments to the states</w:t>
      </w:r>
    </w:p>
    <w:tbl>
      <w:tblPr>
        <w:tblW w:w="5000" w:type="pct"/>
        <w:tblInd w:w="-3" w:type="dxa"/>
        <w:tblBorders>
          <w:top w:val="single" w:sz="2" w:space="0" w:color="293F5B"/>
          <w:left w:val="single" w:sz="2" w:space="0" w:color="293F5B"/>
          <w:bottom w:val="single" w:sz="2" w:space="0" w:color="293F5B"/>
          <w:right w:val="single" w:sz="2" w:space="0" w:color="293F5B"/>
          <w:insideH w:val="single" w:sz="2" w:space="0" w:color="293F5B"/>
          <w:insideV w:val="single" w:sz="2" w:space="0" w:color="293F5B"/>
        </w:tblBorders>
        <w:tblLayout w:type="fixed"/>
        <w:tblLook w:val="04A0" w:firstRow="1" w:lastRow="0" w:firstColumn="1" w:lastColumn="0" w:noHBand="0" w:noVBand="1"/>
        <w:tblCaption w:val="Table"/>
      </w:tblPr>
      <w:tblGrid>
        <w:gridCol w:w="1843"/>
        <w:gridCol w:w="1559"/>
        <w:gridCol w:w="1985"/>
        <w:gridCol w:w="2317"/>
      </w:tblGrid>
      <w:tr w:rsidR="00B51775" w:rsidRPr="0089547E" w14:paraId="2F776A10" w14:textId="77777777" w:rsidTr="009900E4">
        <w:trPr>
          <w:cantSplit/>
        </w:trPr>
        <w:tc>
          <w:tcPr>
            <w:tcW w:w="1843" w:type="dxa"/>
          </w:tcPr>
          <w:p w14:paraId="7069126D" w14:textId="77777777" w:rsidR="00B51775" w:rsidRPr="0089547E" w:rsidRDefault="00B51775">
            <w:pPr>
              <w:pStyle w:val="TableColumnHeadingLeft"/>
              <w:rPr>
                <w:highlight w:val="yellow"/>
              </w:rPr>
            </w:pPr>
            <w:r w:rsidRPr="00C94004">
              <w:t>Payment</w:t>
            </w:r>
          </w:p>
        </w:tc>
        <w:tc>
          <w:tcPr>
            <w:tcW w:w="1559" w:type="dxa"/>
          </w:tcPr>
          <w:p w14:paraId="09F4DEE8" w14:textId="77777777" w:rsidR="00B51775" w:rsidRPr="0089547E" w:rsidRDefault="00B51775">
            <w:pPr>
              <w:pStyle w:val="TableColumnHeadingLeft"/>
              <w:rPr>
                <w:highlight w:val="yellow"/>
              </w:rPr>
            </w:pPr>
            <w:r w:rsidRPr="00C94004">
              <w:t>Section of Budget Paper 3</w:t>
            </w:r>
          </w:p>
        </w:tc>
        <w:tc>
          <w:tcPr>
            <w:tcW w:w="1985" w:type="dxa"/>
            <w:shd w:val="clear" w:color="auto" w:fill="auto"/>
          </w:tcPr>
          <w:p w14:paraId="12180EC6" w14:textId="77777777" w:rsidR="00B51775" w:rsidRPr="0089547E" w:rsidRDefault="00B51775">
            <w:pPr>
              <w:pStyle w:val="TableColumnHeadingLeft"/>
              <w:rPr>
                <w:highlight w:val="yellow"/>
              </w:rPr>
            </w:pPr>
            <w:r w:rsidRPr="00C94004">
              <w:t>Measure title</w:t>
            </w:r>
          </w:p>
        </w:tc>
        <w:tc>
          <w:tcPr>
            <w:tcW w:w="2317" w:type="dxa"/>
          </w:tcPr>
          <w:p w14:paraId="3FFB8704" w14:textId="77777777" w:rsidR="00B51775" w:rsidRPr="0089547E" w:rsidRDefault="00B51775">
            <w:pPr>
              <w:pStyle w:val="TableColumnHeadingLeft"/>
              <w:rPr>
                <w:highlight w:val="yellow"/>
              </w:rPr>
            </w:pPr>
            <w:r w:rsidRPr="00C94004">
              <w:t>Section of Budget Paper 2</w:t>
            </w:r>
          </w:p>
        </w:tc>
      </w:tr>
      <w:tr w:rsidR="00773B03" w:rsidRPr="0089547E" w14:paraId="0C3ED231" w14:textId="77777777">
        <w:trPr>
          <w:cantSplit/>
        </w:trPr>
        <w:tc>
          <w:tcPr>
            <w:tcW w:w="1843" w:type="dxa"/>
          </w:tcPr>
          <w:p w14:paraId="7E6C70CD" w14:textId="7E6F4D47" w:rsidR="00773B03" w:rsidRPr="002330E1" w:rsidRDefault="00296486" w:rsidP="00025159">
            <w:pPr>
              <w:pStyle w:val="TableTextLeft"/>
              <w:rPr>
                <w:rFonts w:asciiTheme="majorHAnsi" w:hAnsiTheme="majorHAnsi" w:cstheme="majorHAnsi"/>
                <w:b/>
              </w:rPr>
            </w:pPr>
            <w:r w:rsidRPr="00D445D9">
              <w:t>National Health Reform funding</w:t>
            </w:r>
          </w:p>
        </w:tc>
        <w:tc>
          <w:tcPr>
            <w:tcW w:w="1559" w:type="dxa"/>
          </w:tcPr>
          <w:p w14:paraId="2130744B" w14:textId="3690CC32" w:rsidR="00773B03" w:rsidRPr="00A94499" w:rsidRDefault="00586650" w:rsidP="00025159">
            <w:pPr>
              <w:pStyle w:val="TableTextLeft"/>
              <w:rPr>
                <w:b/>
              </w:rPr>
            </w:pPr>
            <w:r w:rsidRPr="00A94499">
              <w:t xml:space="preserve">Part 2 – Health </w:t>
            </w:r>
          </w:p>
        </w:tc>
        <w:tc>
          <w:tcPr>
            <w:tcW w:w="1985" w:type="dxa"/>
            <w:shd w:val="clear" w:color="auto" w:fill="auto"/>
          </w:tcPr>
          <w:p w14:paraId="5AEA129F" w14:textId="1F7D4A8F" w:rsidR="00773B03" w:rsidRPr="00D03733" w:rsidRDefault="00296486" w:rsidP="00025159">
            <w:pPr>
              <w:pStyle w:val="TableTextLeft"/>
              <w:rPr>
                <w:b/>
              </w:rPr>
            </w:pPr>
            <w:r w:rsidRPr="00D03733">
              <w:t>National Health Reform Agreement – 2025</w:t>
            </w:r>
            <w:r w:rsidR="003E0271" w:rsidRPr="00D03733">
              <w:t>–</w:t>
            </w:r>
            <w:r w:rsidRPr="00D03733">
              <w:t>26 Uplift</w:t>
            </w:r>
          </w:p>
        </w:tc>
        <w:tc>
          <w:tcPr>
            <w:tcW w:w="2317" w:type="dxa"/>
          </w:tcPr>
          <w:p w14:paraId="60D95280" w14:textId="1A59360C" w:rsidR="00773B03" w:rsidRPr="00D03733" w:rsidRDefault="00586650" w:rsidP="00025159">
            <w:pPr>
              <w:pStyle w:val="TableTextLeft"/>
              <w:rPr>
                <w:b/>
              </w:rPr>
            </w:pPr>
            <w:r w:rsidRPr="00D03733">
              <w:t xml:space="preserve">Payments – Health and </w:t>
            </w:r>
            <w:r w:rsidRPr="00D03733">
              <w:br/>
              <w:t>Aged Care</w:t>
            </w:r>
          </w:p>
        </w:tc>
      </w:tr>
      <w:tr w:rsidR="00773B03" w:rsidRPr="0089547E" w14:paraId="072A6F7C" w14:textId="77777777">
        <w:trPr>
          <w:cantSplit/>
        </w:trPr>
        <w:tc>
          <w:tcPr>
            <w:tcW w:w="1843" w:type="dxa"/>
          </w:tcPr>
          <w:p w14:paraId="274A1FF2" w14:textId="0EF48818" w:rsidR="00773B03" w:rsidRPr="002330E1" w:rsidRDefault="00296486" w:rsidP="00025159">
            <w:pPr>
              <w:pStyle w:val="TableTextLeft"/>
              <w:rPr>
                <w:rFonts w:asciiTheme="majorHAnsi" w:hAnsiTheme="majorHAnsi" w:cstheme="majorHAnsi"/>
                <w:b/>
              </w:rPr>
            </w:pPr>
            <w:r w:rsidRPr="00D445D9">
              <w:t>Medicare Urgent Care Clinics</w:t>
            </w:r>
          </w:p>
        </w:tc>
        <w:tc>
          <w:tcPr>
            <w:tcW w:w="1559" w:type="dxa"/>
          </w:tcPr>
          <w:p w14:paraId="61B84C12" w14:textId="6BF65BF3" w:rsidR="00773B03" w:rsidRPr="00A94499" w:rsidRDefault="00586650" w:rsidP="00025159">
            <w:pPr>
              <w:pStyle w:val="TableTextLeft"/>
              <w:rPr>
                <w:b/>
              </w:rPr>
            </w:pPr>
            <w:r w:rsidRPr="00A94499">
              <w:t xml:space="preserve">Part 2 – Health </w:t>
            </w:r>
          </w:p>
        </w:tc>
        <w:tc>
          <w:tcPr>
            <w:tcW w:w="1985" w:type="dxa"/>
            <w:shd w:val="clear" w:color="auto" w:fill="auto"/>
          </w:tcPr>
          <w:p w14:paraId="764B417A" w14:textId="1D7EE653" w:rsidR="00773B03" w:rsidRPr="00D03733" w:rsidRDefault="00296486" w:rsidP="00025159">
            <w:pPr>
              <w:pStyle w:val="TableTextLeft"/>
              <w:rPr>
                <w:b/>
              </w:rPr>
            </w:pPr>
            <w:r w:rsidRPr="00D03733">
              <w:t xml:space="preserve">Strengthening Medicare – Expanding Medicare Urgent </w:t>
            </w:r>
            <w:r w:rsidRPr="00D03733">
              <w:br/>
              <w:t>Care Clinics</w:t>
            </w:r>
          </w:p>
        </w:tc>
        <w:tc>
          <w:tcPr>
            <w:tcW w:w="2317" w:type="dxa"/>
          </w:tcPr>
          <w:p w14:paraId="401BD796" w14:textId="6B7B1A29" w:rsidR="00773B03" w:rsidRPr="00D03733" w:rsidRDefault="00586650" w:rsidP="00025159">
            <w:pPr>
              <w:pStyle w:val="TableTextLeft"/>
              <w:rPr>
                <w:b/>
              </w:rPr>
            </w:pPr>
            <w:r w:rsidRPr="00D03733">
              <w:t xml:space="preserve">Payments – Health and </w:t>
            </w:r>
            <w:r w:rsidRPr="00D03733">
              <w:br/>
              <w:t>Aged Care</w:t>
            </w:r>
          </w:p>
        </w:tc>
      </w:tr>
      <w:tr w:rsidR="00773B03" w:rsidRPr="0089547E" w14:paraId="405FFBEF" w14:textId="77777777">
        <w:trPr>
          <w:cantSplit/>
        </w:trPr>
        <w:tc>
          <w:tcPr>
            <w:tcW w:w="1843" w:type="dxa"/>
          </w:tcPr>
          <w:p w14:paraId="596B5515" w14:textId="5615B864" w:rsidR="00773B03" w:rsidRPr="002330E1" w:rsidRDefault="00296486" w:rsidP="00025159">
            <w:pPr>
              <w:pStyle w:val="TableTextLeft"/>
              <w:rPr>
                <w:rFonts w:asciiTheme="majorHAnsi" w:hAnsiTheme="majorHAnsi" w:cstheme="majorHAnsi"/>
                <w:b/>
              </w:rPr>
            </w:pPr>
            <w:r w:rsidRPr="00D445D9">
              <w:t>Multidisciplinary outreach care(a)</w:t>
            </w:r>
          </w:p>
        </w:tc>
        <w:tc>
          <w:tcPr>
            <w:tcW w:w="1559" w:type="dxa"/>
          </w:tcPr>
          <w:p w14:paraId="05ABE5A4" w14:textId="6532658C" w:rsidR="00773B03" w:rsidRPr="00A94499" w:rsidRDefault="00586650" w:rsidP="00025159">
            <w:pPr>
              <w:pStyle w:val="TableTextLeft"/>
              <w:rPr>
                <w:b/>
              </w:rPr>
            </w:pPr>
            <w:r w:rsidRPr="00A94499">
              <w:t xml:space="preserve">Part 2 – Health </w:t>
            </w:r>
          </w:p>
        </w:tc>
        <w:tc>
          <w:tcPr>
            <w:tcW w:w="1985" w:type="dxa"/>
            <w:shd w:val="clear" w:color="auto" w:fill="auto"/>
          </w:tcPr>
          <w:p w14:paraId="2E958458" w14:textId="2856C736" w:rsidR="00773B03" w:rsidRPr="00D03733" w:rsidRDefault="00296486" w:rsidP="00025159">
            <w:pPr>
              <w:pStyle w:val="TableTextLeft"/>
              <w:rPr>
                <w:b/>
              </w:rPr>
            </w:pPr>
            <w:r w:rsidRPr="00D03733">
              <w:t>Implementation of Aged Care Reforms</w:t>
            </w:r>
          </w:p>
        </w:tc>
        <w:tc>
          <w:tcPr>
            <w:tcW w:w="2317" w:type="dxa"/>
          </w:tcPr>
          <w:p w14:paraId="3902ED8D" w14:textId="6CA792C0" w:rsidR="00773B03" w:rsidRPr="00D03733" w:rsidRDefault="00586650" w:rsidP="00025159">
            <w:pPr>
              <w:pStyle w:val="TableTextLeft"/>
              <w:rPr>
                <w:b/>
              </w:rPr>
            </w:pPr>
            <w:r w:rsidRPr="00D03733">
              <w:t xml:space="preserve">Payments – Health and </w:t>
            </w:r>
            <w:r w:rsidRPr="00D03733">
              <w:br/>
              <w:t>Aged Care</w:t>
            </w:r>
          </w:p>
        </w:tc>
      </w:tr>
      <w:tr w:rsidR="00773B03" w:rsidRPr="0089547E" w14:paraId="7B3C58C0" w14:textId="77777777">
        <w:trPr>
          <w:cantSplit/>
        </w:trPr>
        <w:tc>
          <w:tcPr>
            <w:tcW w:w="1843" w:type="dxa"/>
          </w:tcPr>
          <w:p w14:paraId="02C5019B" w14:textId="1CB373B2" w:rsidR="00773B03" w:rsidRPr="002330E1" w:rsidRDefault="00296486" w:rsidP="00025159">
            <w:pPr>
              <w:pStyle w:val="TableTextLeft"/>
              <w:rPr>
                <w:rFonts w:asciiTheme="majorHAnsi" w:hAnsiTheme="majorHAnsi" w:cstheme="majorHAnsi"/>
                <w:b/>
              </w:rPr>
            </w:pPr>
            <w:r w:rsidRPr="00D445D9">
              <w:t>One</w:t>
            </w:r>
            <w:r w:rsidR="009B6F84">
              <w:rPr>
                <w:b/>
              </w:rPr>
              <w:noBreakHyphen/>
            </w:r>
            <w:r w:rsidRPr="00D445D9">
              <w:t>time funding for hospital and related health services</w:t>
            </w:r>
          </w:p>
        </w:tc>
        <w:tc>
          <w:tcPr>
            <w:tcW w:w="1559" w:type="dxa"/>
          </w:tcPr>
          <w:p w14:paraId="5ADB592B" w14:textId="596E97D4" w:rsidR="00773B03" w:rsidRPr="002E132A" w:rsidRDefault="00586650" w:rsidP="00025159">
            <w:pPr>
              <w:pStyle w:val="TableTextLeft"/>
              <w:rPr>
                <w:b/>
              </w:rPr>
            </w:pPr>
            <w:r w:rsidRPr="00A94499">
              <w:t xml:space="preserve">Part 2 – Health </w:t>
            </w:r>
          </w:p>
        </w:tc>
        <w:tc>
          <w:tcPr>
            <w:tcW w:w="1985" w:type="dxa"/>
            <w:shd w:val="clear" w:color="auto" w:fill="auto"/>
          </w:tcPr>
          <w:p w14:paraId="2BF8B9DD" w14:textId="0C24AACE" w:rsidR="00773B03" w:rsidRPr="00D03733" w:rsidRDefault="00296486" w:rsidP="00025159">
            <w:pPr>
              <w:pStyle w:val="TableTextLeft"/>
              <w:rPr>
                <w:b/>
              </w:rPr>
            </w:pPr>
            <w:r w:rsidRPr="00D03733">
              <w:t>National Health Reform Agreement – 2025</w:t>
            </w:r>
            <w:r w:rsidR="003E0271" w:rsidRPr="00D03733">
              <w:t>–</w:t>
            </w:r>
            <w:r w:rsidRPr="00D03733">
              <w:t>26 Uplift</w:t>
            </w:r>
          </w:p>
        </w:tc>
        <w:tc>
          <w:tcPr>
            <w:tcW w:w="2317" w:type="dxa"/>
          </w:tcPr>
          <w:p w14:paraId="7FFF2BB2" w14:textId="73B5B354" w:rsidR="00773B03" w:rsidRPr="00D03733" w:rsidRDefault="00586650" w:rsidP="00025159">
            <w:pPr>
              <w:pStyle w:val="TableTextLeft"/>
              <w:rPr>
                <w:b/>
              </w:rPr>
            </w:pPr>
            <w:r w:rsidRPr="00D03733">
              <w:t xml:space="preserve">Payments – </w:t>
            </w:r>
            <w:r w:rsidR="00296486" w:rsidRPr="00D03733">
              <w:t xml:space="preserve">Health </w:t>
            </w:r>
            <w:r w:rsidRPr="00D03733">
              <w:t xml:space="preserve">and </w:t>
            </w:r>
            <w:r w:rsidR="00296486" w:rsidRPr="00D03733">
              <w:br/>
              <w:t>Aged Care</w:t>
            </w:r>
          </w:p>
        </w:tc>
      </w:tr>
      <w:tr w:rsidR="00773B03" w:rsidRPr="0089547E" w14:paraId="4FA71425" w14:textId="77777777">
        <w:trPr>
          <w:cantSplit/>
        </w:trPr>
        <w:tc>
          <w:tcPr>
            <w:tcW w:w="1843" w:type="dxa"/>
          </w:tcPr>
          <w:p w14:paraId="45D8A2FB" w14:textId="7D9D1C01" w:rsidR="00773B03" w:rsidRPr="002330E1" w:rsidRDefault="00296486" w:rsidP="00025159">
            <w:pPr>
              <w:pStyle w:val="TableTextLeft"/>
              <w:rPr>
                <w:rFonts w:asciiTheme="majorHAnsi" w:hAnsiTheme="majorHAnsi" w:cstheme="majorHAnsi"/>
                <w:b/>
              </w:rPr>
            </w:pPr>
            <w:r w:rsidRPr="00D445D9">
              <w:t xml:space="preserve">St George Illawarra Dragons Community and </w:t>
            </w:r>
            <w:proofErr w:type="gramStart"/>
            <w:r w:rsidRPr="00D445D9">
              <w:t>High Performance</w:t>
            </w:r>
            <w:proofErr w:type="gramEnd"/>
            <w:r w:rsidRPr="00D445D9">
              <w:t xml:space="preserve"> Centre</w:t>
            </w:r>
          </w:p>
        </w:tc>
        <w:tc>
          <w:tcPr>
            <w:tcW w:w="1559" w:type="dxa"/>
          </w:tcPr>
          <w:p w14:paraId="22F14C61" w14:textId="02C39668" w:rsidR="00773B03" w:rsidRPr="002E132A" w:rsidRDefault="00586650" w:rsidP="00025159">
            <w:pPr>
              <w:pStyle w:val="TableTextLeft"/>
              <w:rPr>
                <w:b/>
              </w:rPr>
            </w:pPr>
            <w:r w:rsidRPr="00A94499">
              <w:t xml:space="preserve">Part 2 – Health </w:t>
            </w:r>
          </w:p>
        </w:tc>
        <w:tc>
          <w:tcPr>
            <w:tcW w:w="1985" w:type="dxa"/>
            <w:shd w:val="clear" w:color="auto" w:fill="auto"/>
          </w:tcPr>
          <w:p w14:paraId="1E0BECDF" w14:textId="3E6001CC" w:rsidR="00773B03" w:rsidRPr="00D03733" w:rsidRDefault="00296486" w:rsidP="00025159">
            <w:pPr>
              <w:pStyle w:val="TableTextLeft"/>
              <w:rPr>
                <w:b/>
              </w:rPr>
            </w:pPr>
            <w:r w:rsidRPr="00D03733">
              <w:t>Preventive Health, Wellbeing and Sport</w:t>
            </w:r>
          </w:p>
        </w:tc>
        <w:tc>
          <w:tcPr>
            <w:tcW w:w="2317" w:type="dxa"/>
          </w:tcPr>
          <w:p w14:paraId="4A8AF35D" w14:textId="1CAD86CB" w:rsidR="00773B03" w:rsidRPr="00D03733" w:rsidRDefault="00296486" w:rsidP="00025159">
            <w:pPr>
              <w:pStyle w:val="TableTextLeft"/>
              <w:rPr>
                <w:b/>
              </w:rPr>
            </w:pPr>
            <w:r w:rsidRPr="00D03733">
              <w:t xml:space="preserve">Payments – Health and </w:t>
            </w:r>
            <w:r w:rsidRPr="00D03733">
              <w:br/>
              <w:t>Aged Care</w:t>
            </w:r>
          </w:p>
        </w:tc>
      </w:tr>
      <w:tr w:rsidR="00773B03" w:rsidRPr="0089547E" w14:paraId="0A0E0A3A" w14:textId="77777777">
        <w:trPr>
          <w:cantSplit/>
        </w:trPr>
        <w:tc>
          <w:tcPr>
            <w:tcW w:w="1843" w:type="dxa"/>
          </w:tcPr>
          <w:p w14:paraId="3686A9FA" w14:textId="0F485BEF" w:rsidR="00773B03" w:rsidRPr="002330E1" w:rsidRDefault="00296486" w:rsidP="00025159">
            <w:pPr>
              <w:pStyle w:val="TableTextLeft"/>
              <w:rPr>
                <w:rFonts w:asciiTheme="majorHAnsi" w:hAnsiTheme="majorHAnsi" w:cstheme="majorHAnsi"/>
                <w:b/>
              </w:rPr>
            </w:pPr>
            <w:r w:rsidRPr="00D445D9">
              <w:t>Support for maternity service delivery</w:t>
            </w:r>
          </w:p>
        </w:tc>
        <w:tc>
          <w:tcPr>
            <w:tcW w:w="1559" w:type="dxa"/>
          </w:tcPr>
          <w:p w14:paraId="6733B38F" w14:textId="246DC6F6" w:rsidR="00773B03" w:rsidRPr="002E132A" w:rsidRDefault="00586650" w:rsidP="00025159">
            <w:pPr>
              <w:pStyle w:val="TableTextLeft"/>
              <w:rPr>
                <w:b/>
              </w:rPr>
            </w:pPr>
            <w:r w:rsidRPr="00A94499">
              <w:t xml:space="preserve">Part 2 – Health </w:t>
            </w:r>
          </w:p>
        </w:tc>
        <w:tc>
          <w:tcPr>
            <w:tcW w:w="1985" w:type="dxa"/>
            <w:shd w:val="clear" w:color="auto" w:fill="auto"/>
          </w:tcPr>
          <w:p w14:paraId="457C69B0" w14:textId="7712564F" w:rsidR="00773B03" w:rsidRPr="00D03733" w:rsidRDefault="00296486" w:rsidP="00025159">
            <w:pPr>
              <w:pStyle w:val="TableTextLeft"/>
              <w:rPr>
                <w:b/>
              </w:rPr>
            </w:pPr>
            <w:r w:rsidRPr="00D03733">
              <w:t xml:space="preserve">Strengthening Medicare </w:t>
            </w:r>
            <w:r w:rsidR="0085207A" w:rsidRPr="00D03733">
              <w:t>–</w:t>
            </w:r>
            <w:r w:rsidRPr="00D03733">
              <w:t xml:space="preserve"> Women</w:t>
            </w:r>
            <w:r w:rsidR="009B6F84">
              <w:rPr>
                <w:b/>
              </w:rPr>
              <w:t>’</w:t>
            </w:r>
            <w:r w:rsidRPr="00D03733">
              <w:t>s Health</w:t>
            </w:r>
          </w:p>
        </w:tc>
        <w:tc>
          <w:tcPr>
            <w:tcW w:w="2317" w:type="dxa"/>
          </w:tcPr>
          <w:p w14:paraId="50EF5EA0" w14:textId="4818D52A" w:rsidR="00773B03" w:rsidRPr="00D03733" w:rsidRDefault="00296486" w:rsidP="00025159">
            <w:pPr>
              <w:pStyle w:val="TableTextLeft"/>
              <w:rPr>
                <w:b/>
              </w:rPr>
            </w:pPr>
            <w:r w:rsidRPr="00D03733">
              <w:t xml:space="preserve">Payments – Health and </w:t>
            </w:r>
            <w:r w:rsidRPr="00D03733">
              <w:br/>
              <w:t>Aged Care</w:t>
            </w:r>
          </w:p>
        </w:tc>
      </w:tr>
      <w:tr w:rsidR="00773B03" w:rsidRPr="0089547E" w14:paraId="78DEB096" w14:textId="77777777">
        <w:trPr>
          <w:cantSplit/>
        </w:trPr>
        <w:tc>
          <w:tcPr>
            <w:tcW w:w="1843" w:type="dxa"/>
          </w:tcPr>
          <w:p w14:paraId="3C3E6124" w14:textId="65FBA62E" w:rsidR="00773B03" w:rsidRPr="002330E1" w:rsidRDefault="00296486" w:rsidP="00025159">
            <w:pPr>
              <w:pStyle w:val="TableTextLeft"/>
              <w:rPr>
                <w:rFonts w:asciiTheme="majorHAnsi" w:hAnsiTheme="majorHAnsi" w:cstheme="majorHAnsi"/>
                <w:b/>
              </w:rPr>
            </w:pPr>
            <w:r w:rsidRPr="00D445D9">
              <w:t>Northern Territory Remote Aboriginal Investment – Health component</w:t>
            </w:r>
          </w:p>
        </w:tc>
        <w:tc>
          <w:tcPr>
            <w:tcW w:w="1559" w:type="dxa"/>
          </w:tcPr>
          <w:p w14:paraId="40217686" w14:textId="2276812C" w:rsidR="00773B03" w:rsidRPr="002E132A" w:rsidRDefault="00586650" w:rsidP="00025159">
            <w:pPr>
              <w:pStyle w:val="TableTextLeft"/>
              <w:rPr>
                <w:b/>
              </w:rPr>
            </w:pPr>
            <w:r w:rsidRPr="00A94499">
              <w:t xml:space="preserve">Part 2 – Health </w:t>
            </w:r>
          </w:p>
        </w:tc>
        <w:tc>
          <w:tcPr>
            <w:tcW w:w="1985" w:type="dxa"/>
            <w:shd w:val="clear" w:color="auto" w:fill="auto"/>
          </w:tcPr>
          <w:p w14:paraId="5ECCC15A" w14:textId="0225646A" w:rsidR="00773B03" w:rsidRPr="00D03733" w:rsidRDefault="00296486" w:rsidP="00025159">
            <w:pPr>
              <w:pStyle w:val="TableTextLeft"/>
              <w:rPr>
                <w:b/>
              </w:rPr>
            </w:pPr>
            <w:r w:rsidRPr="00D03733">
              <w:t>Northern Territory Remote Aboriginal Investment –</w:t>
            </w:r>
            <w:r w:rsidRPr="00D03733">
              <w:br/>
              <w:t>future arrangements</w:t>
            </w:r>
          </w:p>
        </w:tc>
        <w:tc>
          <w:tcPr>
            <w:tcW w:w="2317" w:type="dxa"/>
          </w:tcPr>
          <w:p w14:paraId="70228F41" w14:textId="7BB687AB" w:rsidR="00773B03" w:rsidRPr="00D03733" w:rsidRDefault="00586650" w:rsidP="00025159">
            <w:pPr>
              <w:pStyle w:val="TableTextLeft"/>
              <w:rPr>
                <w:b/>
              </w:rPr>
            </w:pPr>
            <w:r w:rsidRPr="00D03733">
              <w:t xml:space="preserve">Payments – </w:t>
            </w:r>
            <w:r w:rsidR="00296486" w:rsidRPr="00D03733">
              <w:t xml:space="preserve">Prime Minister </w:t>
            </w:r>
            <w:r w:rsidR="00296486" w:rsidRPr="00D03733">
              <w:br/>
            </w:r>
            <w:r w:rsidRPr="00D03733">
              <w:t xml:space="preserve">and </w:t>
            </w:r>
            <w:r w:rsidR="00296486" w:rsidRPr="00D03733">
              <w:t>Cabinet</w:t>
            </w:r>
          </w:p>
        </w:tc>
      </w:tr>
      <w:tr w:rsidR="00773B03" w:rsidRPr="0089547E" w14:paraId="6C9E69D0" w14:textId="77777777">
        <w:trPr>
          <w:cantSplit/>
        </w:trPr>
        <w:tc>
          <w:tcPr>
            <w:tcW w:w="1843" w:type="dxa"/>
          </w:tcPr>
          <w:p w14:paraId="3E2FEA73" w14:textId="0223220F" w:rsidR="00773B03" w:rsidRPr="002330E1" w:rsidRDefault="00296486" w:rsidP="00025159">
            <w:pPr>
              <w:pStyle w:val="TableTextLeft"/>
              <w:rPr>
                <w:rFonts w:asciiTheme="majorHAnsi" w:hAnsiTheme="majorHAnsi" w:cstheme="majorHAnsi"/>
                <w:b/>
              </w:rPr>
            </w:pPr>
            <w:r w:rsidRPr="00D445D9">
              <w:t>Rheumatic fever strategy</w:t>
            </w:r>
          </w:p>
        </w:tc>
        <w:tc>
          <w:tcPr>
            <w:tcW w:w="1559" w:type="dxa"/>
          </w:tcPr>
          <w:p w14:paraId="4F422088" w14:textId="37462923" w:rsidR="00773B03" w:rsidRPr="002E132A" w:rsidRDefault="00586650" w:rsidP="00025159">
            <w:pPr>
              <w:pStyle w:val="TableTextLeft"/>
              <w:rPr>
                <w:b/>
              </w:rPr>
            </w:pPr>
            <w:r w:rsidRPr="00A94499">
              <w:t xml:space="preserve">Part 2 – Health </w:t>
            </w:r>
          </w:p>
        </w:tc>
        <w:tc>
          <w:tcPr>
            <w:tcW w:w="1985" w:type="dxa"/>
            <w:shd w:val="clear" w:color="auto" w:fill="auto"/>
          </w:tcPr>
          <w:p w14:paraId="36E6EAAE" w14:textId="6F89E81C" w:rsidR="00773B03" w:rsidRPr="00D03733" w:rsidRDefault="00296486" w:rsidP="00025159">
            <w:pPr>
              <w:pStyle w:val="TableTextLeft"/>
              <w:rPr>
                <w:b/>
              </w:rPr>
            </w:pPr>
            <w:r w:rsidRPr="00D03733">
              <w:t>Closing the Gap – further investments</w:t>
            </w:r>
          </w:p>
        </w:tc>
        <w:tc>
          <w:tcPr>
            <w:tcW w:w="2317" w:type="dxa"/>
          </w:tcPr>
          <w:p w14:paraId="53C5F6EB" w14:textId="247F9C0A" w:rsidR="00773B03" w:rsidRPr="00D03733" w:rsidRDefault="00296486" w:rsidP="00025159">
            <w:pPr>
              <w:pStyle w:val="TableTextLeft"/>
              <w:rPr>
                <w:b/>
              </w:rPr>
            </w:pPr>
            <w:r w:rsidRPr="00D03733">
              <w:t xml:space="preserve">Payments – Cross Portfolio </w:t>
            </w:r>
          </w:p>
        </w:tc>
      </w:tr>
      <w:tr w:rsidR="00773B03" w:rsidRPr="0089547E" w14:paraId="69F2B584" w14:textId="77777777">
        <w:trPr>
          <w:cantSplit/>
        </w:trPr>
        <w:tc>
          <w:tcPr>
            <w:tcW w:w="1843" w:type="dxa"/>
          </w:tcPr>
          <w:p w14:paraId="58D8C697" w14:textId="18DE49C8" w:rsidR="00773B03" w:rsidRPr="002330E1" w:rsidRDefault="00296486" w:rsidP="00025159">
            <w:pPr>
              <w:pStyle w:val="TableTextLeft"/>
              <w:rPr>
                <w:rFonts w:asciiTheme="majorHAnsi" w:hAnsiTheme="majorHAnsi" w:cstheme="majorHAnsi"/>
                <w:b/>
              </w:rPr>
            </w:pPr>
            <w:r w:rsidRPr="00D445D9">
              <w:t>Australian Primary Care Prevocational Program</w:t>
            </w:r>
          </w:p>
        </w:tc>
        <w:tc>
          <w:tcPr>
            <w:tcW w:w="1559" w:type="dxa"/>
          </w:tcPr>
          <w:p w14:paraId="0F476388" w14:textId="19A4E761" w:rsidR="00773B03" w:rsidRPr="002E132A" w:rsidRDefault="00586650" w:rsidP="00025159">
            <w:pPr>
              <w:pStyle w:val="TableTextLeft"/>
              <w:rPr>
                <w:b/>
              </w:rPr>
            </w:pPr>
            <w:r w:rsidRPr="00A94499">
              <w:t xml:space="preserve">Part 2 – Health </w:t>
            </w:r>
          </w:p>
        </w:tc>
        <w:tc>
          <w:tcPr>
            <w:tcW w:w="1985" w:type="dxa"/>
            <w:shd w:val="clear" w:color="auto" w:fill="auto"/>
          </w:tcPr>
          <w:p w14:paraId="40C20643" w14:textId="6417B962" w:rsidR="00773B03" w:rsidRPr="00D03733" w:rsidRDefault="00296486" w:rsidP="00025159">
            <w:pPr>
              <w:pStyle w:val="TableTextLeft"/>
              <w:rPr>
                <w:b/>
              </w:rPr>
            </w:pPr>
            <w:r w:rsidRPr="00D03733">
              <w:t xml:space="preserve">Strengthening Medicare </w:t>
            </w:r>
            <w:r w:rsidR="003E0271" w:rsidRPr="00D03733">
              <w:t>–</w:t>
            </w:r>
            <w:r w:rsidRPr="00D03733">
              <w:t xml:space="preserve"> Health Workforce</w:t>
            </w:r>
          </w:p>
        </w:tc>
        <w:tc>
          <w:tcPr>
            <w:tcW w:w="2317" w:type="dxa"/>
          </w:tcPr>
          <w:p w14:paraId="6E771878" w14:textId="4E91FB48" w:rsidR="00773B03" w:rsidRPr="00D03733" w:rsidRDefault="00586650" w:rsidP="00025159">
            <w:pPr>
              <w:pStyle w:val="TableTextLeft"/>
              <w:rPr>
                <w:b/>
              </w:rPr>
            </w:pPr>
            <w:r w:rsidRPr="00D03733">
              <w:t xml:space="preserve">Payments – Health and </w:t>
            </w:r>
            <w:r w:rsidRPr="00D03733">
              <w:br/>
              <w:t>Aged Care</w:t>
            </w:r>
          </w:p>
        </w:tc>
      </w:tr>
      <w:tr w:rsidR="00773B03" w:rsidRPr="0089547E" w14:paraId="38FBE9BC" w14:textId="77777777">
        <w:trPr>
          <w:cantSplit/>
        </w:trPr>
        <w:tc>
          <w:tcPr>
            <w:tcW w:w="1843" w:type="dxa"/>
          </w:tcPr>
          <w:p w14:paraId="50E5AC5E" w14:textId="22C13735" w:rsidR="00773B03" w:rsidRPr="002330E1" w:rsidRDefault="00296486" w:rsidP="00025159">
            <w:pPr>
              <w:pStyle w:val="TableTextLeft"/>
              <w:rPr>
                <w:rFonts w:asciiTheme="majorHAnsi" w:hAnsiTheme="majorHAnsi" w:cstheme="majorHAnsi"/>
                <w:b/>
              </w:rPr>
            </w:pPr>
            <w:r w:rsidRPr="00D445D9">
              <w:t>Encouraging more clinical trials in Australia</w:t>
            </w:r>
          </w:p>
        </w:tc>
        <w:tc>
          <w:tcPr>
            <w:tcW w:w="1559" w:type="dxa"/>
          </w:tcPr>
          <w:p w14:paraId="1612817F" w14:textId="664D2889" w:rsidR="00773B03" w:rsidRPr="002E132A" w:rsidRDefault="00586650" w:rsidP="00025159">
            <w:pPr>
              <w:pStyle w:val="TableTextLeft"/>
              <w:rPr>
                <w:b/>
              </w:rPr>
            </w:pPr>
            <w:r w:rsidRPr="00A94499">
              <w:t xml:space="preserve">Part 2 – Health </w:t>
            </w:r>
          </w:p>
        </w:tc>
        <w:tc>
          <w:tcPr>
            <w:tcW w:w="1985" w:type="dxa"/>
            <w:shd w:val="clear" w:color="auto" w:fill="auto"/>
          </w:tcPr>
          <w:p w14:paraId="5EFE9577" w14:textId="75000F77" w:rsidR="00773B03" w:rsidRPr="00D03733" w:rsidRDefault="00296486" w:rsidP="00025159">
            <w:pPr>
              <w:pStyle w:val="TableTextLeft"/>
              <w:rPr>
                <w:b/>
              </w:rPr>
            </w:pPr>
            <w:r w:rsidRPr="00D03733">
              <w:t>Medical Research and Clinical Trials</w:t>
            </w:r>
          </w:p>
        </w:tc>
        <w:tc>
          <w:tcPr>
            <w:tcW w:w="2317" w:type="dxa"/>
          </w:tcPr>
          <w:p w14:paraId="67B8D623" w14:textId="5161D637" w:rsidR="00773B03" w:rsidRPr="00D03733" w:rsidRDefault="00586650" w:rsidP="00025159">
            <w:pPr>
              <w:pStyle w:val="TableTextLeft"/>
              <w:rPr>
                <w:b/>
              </w:rPr>
            </w:pPr>
            <w:r w:rsidRPr="00D03733">
              <w:t xml:space="preserve">Payments – Health and </w:t>
            </w:r>
            <w:r w:rsidRPr="00D03733">
              <w:br/>
              <w:t>Aged Care</w:t>
            </w:r>
          </w:p>
        </w:tc>
      </w:tr>
      <w:tr w:rsidR="00773B03" w:rsidRPr="0089547E" w14:paraId="273B0DB6" w14:textId="77777777">
        <w:trPr>
          <w:cantSplit/>
        </w:trPr>
        <w:tc>
          <w:tcPr>
            <w:tcW w:w="1843" w:type="dxa"/>
          </w:tcPr>
          <w:p w14:paraId="034F08FA" w14:textId="4BDE7BD6" w:rsidR="00773B03" w:rsidRPr="00D10791" w:rsidRDefault="00D10791" w:rsidP="00025159">
            <w:pPr>
              <w:pStyle w:val="TableTextLeft"/>
              <w:rPr>
                <w:rFonts w:asciiTheme="majorHAnsi" w:hAnsiTheme="majorHAnsi" w:cstheme="majorHAnsi"/>
                <w:b/>
              </w:rPr>
            </w:pPr>
            <w:r w:rsidRPr="00D10791">
              <w:t>Illicit Tobacco Compliance and Enforcement Package</w:t>
            </w:r>
          </w:p>
        </w:tc>
        <w:tc>
          <w:tcPr>
            <w:tcW w:w="1559" w:type="dxa"/>
          </w:tcPr>
          <w:p w14:paraId="0A18161F" w14:textId="391907BB" w:rsidR="00773B03" w:rsidRPr="002E132A" w:rsidRDefault="00586650" w:rsidP="00025159">
            <w:pPr>
              <w:pStyle w:val="TableTextLeft"/>
              <w:rPr>
                <w:b/>
              </w:rPr>
            </w:pPr>
            <w:r w:rsidRPr="00A94499">
              <w:t xml:space="preserve">Part 2 – Health </w:t>
            </w:r>
          </w:p>
        </w:tc>
        <w:tc>
          <w:tcPr>
            <w:tcW w:w="1985" w:type="dxa"/>
            <w:shd w:val="clear" w:color="auto" w:fill="auto"/>
          </w:tcPr>
          <w:p w14:paraId="591558B0" w14:textId="310D88A6" w:rsidR="00773B03" w:rsidRPr="00D03733" w:rsidRDefault="00296486" w:rsidP="00025159">
            <w:pPr>
              <w:pStyle w:val="TableTextLeft"/>
              <w:rPr>
                <w:b/>
              </w:rPr>
            </w:pPr>
            <w:r w:rsidRPr="00D03733">
              <w:t xml:space="preserve">Illicit Tobacco Compliance and Enforcement Package </w:t>
            </w:r>
            <w:r w:rsidR="003E0271" w:rsidRPr="00D03733">
              <w:t>–</w:t>
            </w:r>
            <w:r w:rsidRPr="00D03733">
              <w:t xml:space="preserve"> direct and targeted enforcement to counter profits from illicit tobacco</w:t>
            </w:r>
          </w:p>
        </w:tc>
        <w:tc>
          <w:tcPr>
            <w:tcW w:w="2317" w:type="dxa"/>
          </w:tcPr>
          <w:p w14:paraId="22F835F7" w14:textId="3163ECC0" w:rsidR="00773B03" w:rsidRPr="00D03733" w:rsidRDefault="00586650" w:rsidP="00025159">
            <w:pPr>
              <w:pStyle w:val="TableTextLeft"/>
              <w:rPr>
                <w:b/>
              </w:rPr>
            </w:pPr>
            <w:r w:rsidRPr="00D03733">
              <w:t xml:space="preserve">Payments – Cross Portfolio </w:t>
            </w:r>
          </w:p>
        </w:tc>
      </w:tr>
      <w:tr w:rsidR="00773B03" w:rsidRPr="0089547E" w14:paraId="5493B944" w14:textId="77777777">
        <w:trPr>
          <w:cantSplit/>
        </w:trPr>
        <w:tc>
          <w:tcPr>
            <w:tcW w:w="1843" w:type="dxa"/>
          </w:tcPr>
          <w:p w14:paraId="28FBD0A1" w14:textId="05044D54" w:rsidR="00773B03" w:rsidRPr="00B01748" w:rsidRDefault="00B01748" w:rsidP="00025159">
            <w:pPr>
              <w:pStyle w:val="TableTextLeft"/>
            </w:pPr>
            <w:r w:rsidRPr="00B01748">
              <w:rPr>
                <w:rFonts w:asciiTheme="majorHAnsi" w:hAnsiTheme="majorHAnsi" w:cstheme="majorHAnsi"/>
              </w:rPr>
              <w:t>Increasing specialist services for children who have displayed harmful sexual behaviours in the Northern Territory</w:t>
            </w:r>
          </w:p>
        </w:tc>
        <w:tc>
          <w:tcPr>
            <w:tcW w:w="1559" w:type="dxa"/>
          </w:tcPr>
          <w:p w14:paraId="5F7F6A8E" w14:textId="104A635C" w:rsidR="00773B03" w:rsidRPr="002E132A" w:rsidRDefault="00586650" w:rsidP="00025159">
            <w:pPr>
              <w:pStyle w:val="TableTextLeft"/>
              <w:rPr>
                <w:b/>
              </w:rPr>
            </w:pPr>
            <w:r w:rsidRPr="00A94499">
              <w:t xml:space="preserve">Part 2 – Health </w:t>
            </w:r>
          </w:p>
        </w:tc>
        <w:tc>
          <w:tcPr>
            <w:tcW w:w="1985" w:type="dxa"/>
            <w:shd w:val="clear" w:color="auto" w:fill="auto"/>
          </w:tcPr>
          <w:p w14:paraId="3627C106" w14:textId="234CADCB" w:rsidR="00773B03" w:rsidRPr="00586650" w:rsidRDefault="00296486" w:rsidP="00025159">
            <w:pPr>
              <w:pStyle w:val="TableTextLeft"/>
              <w:rPr>
                <w:b/>
              </w:rPr>
            </w:pPr>
            <w:r w:rsidRPr="00D03733">
              <w:t xml:space="preserve">National Strategy to Prevent and Respond to Child </w:t>
            </w:r>
            <w:r w:rsidRPr="00D03733">
              <w:br/>
              <w:t>Sexual Abuse – continuation</w:t>
            </w:r>
          </w:p>
        </w:tc>
        <w:tc>
          <w:tcPr>
            <w:tcW w:w="2317" w:type="dxa"/>
          </w:tcPr>
          <w:p w14:paraId="2E24CB30" w14:textId="52E85EBB" w:rsidR="00773B03" w:rsidRPr="00D03733" w:rsidRDefault="00296486" w:rsidP="00025159">
            <w:pPr>
              <w:pStyle w:val="TableTextLeft"/>
              <w:rPr>
                <w:b/>
              </w:rPr>
            </w:pPr>
            <w:r w:rsidRPr="00D03733">
              <w:t>Payments – Attorney General</w:t>
            </w:r>
            <w:r w:rsidR="009B6F84">
              <w:rPr>
                <w:b/>
              </w:rPr>
              <w:t>’</w:t>
            </w:r>
            <w:r w:rsidRPr="00D03733">
              <w:t>s</w:t>
            </w:r>
          </w:p>
        </w:tc>
      </w:tr>
    </w:tbl>
    <w:p w14:paraId="2107C6D6" w14:textId="017DB54E" w:rsidR="00B31078" w:rsidRPr="00B31078" w:rsidRDefault="00B31078" w:rsidP="00B31078">
      <w:pPr>
        <w:pStyle w:val="TableHeadingcontinued"/>
      </w:pPr>
      <w:r w:rsidRPr="00C94004">
        <w:t>Table 1.4: Measures affecting payments to the states</w:t>
      </w:r>
      <w:r>
        <w:t xml:space="preserve"> (continued)</w:t>
      </w:r>
    </w:p>
    <w:tbl>
      <w:tblPr>
        <w:tblW w:w="5000" w:type="pct"/>
        <w:tblInd w:w="-3" w:type="dxa"/>
        <w:tblBorders>
          <w:top w:val="single" w:sz="2" w:space="0" w:color="293F5B"/>
          <w:left w:val="single" w:sz="2" w:space="0" w:color="293F5B"/>
          <w:bottom w:val="single" w:sz="2" w:space="0" w:color="293F5B"/>
          <w:right w:val="single" w:sz="2" w:space="0" w:color="293F5B"/>
          <w:insideH w:val="single" w:sz="2" w:space="0" w:color="293F5B"/>
          <w:insideV w:val="single" w:sz="2" w:space="0" w:color="293F5B"/>
        </w:tblBorders>
        <w:tblLayout w:type="fixed"/>
        <w:tblLook w:val="04A0" w:firstRow="1" w:lastRow="0" w:firstColumn="1" w:lastColumn="0" w:noHBand="0" w:noVBand="1"/>
      </w:tblPr>
      <w:tblGrid>
        <w:gridCol w:w="1843"/>
        <w:gridCol w:w="1559"/>
        <w:gridCol w:w="1985"/>
        <w:gridCol w:w="2317"/>
      </w:tblGrid>
      <w:tr w:rsidR="00D03733" w:rsidRPr="00D03733" w14:paraId="3BC938C8" w14:textId="77777777">
        <w:trPr>
          <w:cantSplit/>
        </w:trPr>
        <w:tc>
          <w:tcPr>
            <w:tcW w:w="1843" w:type="dxa"/>
          </w:tcPr>
          <w:p w14:paraId="4C463A56" w14:textId="438CBC08" w:rsidR="00D03733" w:rsidRPr="00D445D9" w:rsidRDefault="00D03733" w:rsidP="00D03733">
            <w:pPr>
              <w:pStyle w:val="TableColumnHeadingLeft"/>
              <w:rPr>
                <w:rFonts w:ascii="Arial" w:hAnsi="Arial" w:cs="Arial"/>
                <w:b w:val="0"/>
                <w:bCs/>
                <w:color w:val="000000"/>
                <w:szCs w:val="16"/>
              </w:rPr>
            </w:pPr>
            <w:r w:rsidRPr="00C94004">
              <w:t>Payment</w:t>
            </w:r>
          </w:p>
        </w:tc>
        <w:tc>
          <w:tcPr>
            <w:tcW w:w="1559" w:type="dxa"/>
          </w:tcPr>
          <w:p w14:paraId="3D38DE84" w14:textId="09164BDC" w:rsidR="00D03733" w:rsidRPr="00A94499" w:rsidRDefault="00D03733" w:rsidP="00D03733">
            <w:pPr>
              <w:pStyle w:val="TableColumnHeadingLeft"/>
              <w:rPr>
                <w:rFonts w:ascii="Arial" w:hAnsi="Arial" w:cs="Arial"/>
                <w:b w:val="0"/>
                <w:bCs/>
                <w:color w:val="000000"/>
                <w:szCs w:val="16"/>
              </w:rPr>
            </w:pPr>
            <w:r w:rsidRPr="00C94004">
              <w:t>Section of Budget Paper 3</w:t>
            </w:r>
          </w:p>
        </w:tc>
        <w:tc>
          <w:tcPr>
            <w:tcW w:w="1985" w:type="dxa"/>
            <w:shd w:val="clear" w:color="auto" w:fill="auto"/>
          </w:tcPr>
          <w:p w14:paraId="49BD4FA9" w14:textId="3768FF4E" w:rsidR="00D03733" w:rsidRPr="00D03733" w:rsidRDefault="00D03733" w:rsidP="00D03733">
            <w:pPr>
              <w:pStyle w:val="TableColumnHeadingLeft"/>
              <w:rPr>
                <w:rFonts w:ascii="Arial" w:hAnsi="Arial" w:cs="Arial"/>
                <w:b w:val="0"/>
                <w:bCs/>
                <w:color w:val="000000"/>
                <w:szCs w:val="16"/>
              </w:rPr>
            </w:pPr>
            <w:r w:rsidRPr="00C94004">
              <w:t>Measure title</w:t>
            </w:r>
          </w:p>
        </w:tc>
        <w:tc>
          <w:tcPr>
            <w:tcW w:w="2317" w:type="dxa"/>
          </w:tcPr>
          <w:p w14:paraId="7EA5DAD6" w14:textId="521718A5" w:rsidR="00D03733" w:rsidRPr="00D03733" w:rsidRDefault="00D03733" w:rsidP="00D03733">
            <w:pPr>
              <w:pStyle w:val="TableColumnHeadingLeft"/>
              <w:rPr>
                <w:rFonts w:ascii="Arial" w:hAnsi="Arial" w:cs="Arial"/>
                <w:b w:val="0"/>
                <w:bCs/>
                <w:color w:val="000000"/>
                <w:szCs w:val="16"/>
              </w:rPr>
            </w:pPr>
            <w:r w:rsidRPr="00C94004">
              <w:t>Section of Budget Paper 2</w:t>
            </w:r>
          </w:p>
        </w:tc>
      </w:tr>
      <w:tr w:rsidR="00D03733" w:rsidRPr="00D03733" w14:paraId="3D85B932" w14:textId="77777777">
        <w:trPr>
          <w:cantSplit/>
        </w:trPr>
        <w:tc>
          <w:tcPr>
            <w:tcW w:w="1843" w:type="dxa"/>
          </w:tcPr>
          <w:p w14:paraId="0C5AE666" w14:textId="45C74293" w:rsidR="00D03733" w:rsidRPr="002330E1" w:rsidRDefault="00D03733" w:rsidP="00025159">
            <w:pPr>
              <w:pStyle w:val="TableTextLeft"/>
              <w:rPr>
                <w:rFonts w:asciiTheme="majorHAnsi" w:hAnsiTheme="majorHAnsi" w:cstheme="majorHAnsi"/>
                <w:b/>
              </w:rPr>
            </w:pPr>
            <w:r w:rsidRPr="00D445D9">
              <w:t xml:space="preserve">Public </w:t>
            </w:r>
            <w:r w:rsidR="00AB3B45">
              <w:t>d</w:t>
            </w:r>
            <w:r w:rsidRPr="00D445D9">
              <w:t xml:space="preserve">ental </w:t>
            </w:r>
            <w:r w:rsidR="00AB3B45">
              <w:t>s</w:t>
            </w:r>
            <w:r w:rsidRPr="00D445D9">
              <w:t xml:space="preserve">ervices for </w:t>
            </w:r>
            <w:r w:rsidR="00962549">
              <w:t>a</w:t>
            </w:r>
            <w:r w:rsidRPr="00D445D9">
              <w:t>dults</w:t>
            </w:r>
          </w:p>
        </w:tc>
        <w:tc>
          <w:tcPr>
            <w:tcW w:w="1559" w:type="dxa"/>
          </w:tcPr>
          <w:p w14:paraId="164593C0" w14:textId="77777777" w:rsidR="00D03733" w:rsidRPr="002E132A" w:rsidRDefault="00D03733" w:rsidP="00025159">
            <w:pPr>
              <w:pStyle w:val="TableTextLeft"/>
              <w:rPr>
                <w:b/>
              </w:rPr>
            </w:pPr>
            <w:r w:rsidRPr="00A94499">
              <w:t>Part 2 – Health</w:t>
            </w:r>
            <w:r w:rsidRPr="002E132A">
              <w:t xml:space="preserve"> </w:t>
            </w:r>
          </w:p>
        </w:tc>
        <w:tc>
          <w:tcPr>
            <w:tcW w:w="1985" w:type="dxa"/>
            <w:shd w:val="clear" w:color="auto" w:fill="auto"/>
          </w:tcPr>
          <w:p w14:paraId="0641E52D" w14:textId="77777777" w:rsidR="00D03733" w:rsidRPr="00D03733" w:rsidRDefault="00D03733" w:rsidP="00025159">
            <w:pPr>
              <w:pStyle w:val="TableTextLeft"/>
              <w:rPr>
                <w:b/>
              </w:rPr>
            </w:pPr>
            <w:r w:rsidRPr="00D03733">
              <w:t>Preventive Health, Wellbeing and Sport</w:t>
            </w:r>
          </w:p>
        </w:tc>
        <w:tc>
          <w:tcPr>
            <w:tcW w:w="2317" w:type="dxa"/>
          </w:tcPr>
          <w:p w14:paraId="29019A35" w14:textId="77777777" w:rsidR="00D03733" w:rsidRPr="00D03733" w:rsidRDefault="00D03733" w:rsidP="00025159">
            <w:pPr>
              <w:pStyle w:val="TableTextLeft"/>
              <w:rPr>
                <w:b/>
              </w:rPr>
            </w:pPr>
            <w:r w:rsidRPr="00D03733">
              <w:t xml:space="preserve">Payments – Health and </w:t>
            </w:r>
            <w:r w:rsidRPr="00D03733">
              <w:br/>
              <w:t>Aged Care</w:t>
            </w:r>
          </w:p>
        </w:tc>
      </w:tr>
      <w:tr w:rsidR="00D03733" w:rsidRPr="00D03733" w14:paraId="72940D16" w14:textId="77777777">
        <w:trPr>
          <w:cantSplit/>
          <w:trHeight w:val="387"/>
        </w:trPr>
        <w:tc>
          <w:tcPr>
            <w:tcW w:w="1843" w:type="dxa"/>
          </w:tcPr>
          <w:p w14:paraId="4E1E9A1D" w14:textId="77777777" w:rsidR="00D03733" w:rsidRPr="00F970B4" w:rsidRDefault="00D03733" w:rsidP="00025159">
            <w:pPr>
              <w:pStyle w:val="TableTextLeft"/>
              <w:rPr>
                <w:rFonts w:asciiTheme="majorHAnsi" w:hAnsiTheme="majorHAnsi" w:cstheme="majorHAnsi"/>
                <w:b/>
              </w:rPr>
            </w:pPr>
            <w:r w:rsidRPr="002236CD">
              <w:t>Better and Fairer Schools funding</w:t>
            </w:r>
          </w:p>
        </w:tc>
        <w:tc>
          <w:tcPr>
            <w:tcW w:w="1559" w:type="dxa"/>
          </w:tcPr>
          <w:p w14:paraId="070B3A68" w14:textId="77777777" w:rsidR="00D03733" w:rsidRPr="005E047A" w:rsidRDefault="00D03733" w:rsidP="00025159">
            <w:pPr>
              <w:pStyle w:val="TableTextLeft"/>
              <w:rPr>
                <w:b/>
              </w:rPr>
            </w:pPr>
            <w:r w:rsidRPr="005E047A">
              <w:t>Part 2 – Education</w:t>
            </w:r>
          </w:p>
        </w:tc>
        <w:tc>
          <w:tcPr>
            <w:tcW w:w="1985" w:type="dxa"/>
            <w:shd w:val="clear" w:color="auto" w:fill="auto"/>
          </w:tcPr>
          <w:p w14:paraId="54CC6286" w14:textId="54BB4EA8" w:rsidR="00D03733" w:rsidRPr="00D03733" w:rsidRDefault="00D03733" w:rsidP="00025159">
            <w:pPr>
              <w:pStyle w:val="TableTextLeft"/>
            </w:pPr>
            <w:r w:rsidRPr="00D03733">
              <w:t>Building Australia</w:t>
            </w:r>
            <w:r w:rsidR="009B6F84">
              <w:t>’</w:t>
            </w:r>
            <w:r w:rsidRPr="00D03733">
              <w:t>s Future – Improving Outcomes in Australian Schools</w:t>
            </w:r>
          </w:p>
        </w:tc>
        <w:tc>
          <w:tcPr>
            <w:tcW w:w="2317" w:type="dxa"/>
          </w:tcPr>
          <w:p w14:paraId="3FEC981B" w14:textId="77777777" w:rsidR="00D03733" w:rsidRPr="00D03733" w:rsidRDefault="00D03733" w:rsidP="00025159">
            <w:pPr>
              <w:pStyle w:val="TableTextLeft"/>
              <w:rPr>
                <w:b/>
              </w:rPr>
            </w:pPr>
            <w:r w:rsidRPr="00D03733">
              <w:t>Payments – Education</w:t>
            </w:r>
          </w:p>
        </w:tc>
      </w:tr>
      <w:tr w:rsidR="00D03733" w:rsidRPr="00D03733" w14:paraId="0619DD91" w14:textId="77777777">
        <w:trPr>
          <w:cantSplit/>
        </w:trPr>
        <w:tc>
          <w:tcPr>
            <w:tcW w:w="1843" w:type="dxa"/>
          </w:tcPr>
          <w:p w14:paraId="34C6F78F" w14:textId="77777777" w:rsidR="00D03733" w:rsidRPr="00F970B4" w:rsidRDefault="00D03733" w:rsidP="00025159">
            <w:pPr>
              <w:pStyle w:val="TableTextLeft"/>
              <w:rPr>
                <w:rFonts w:asciiTheme="majorHAnsi" w:hAnsiTheme="majorHAnsi" w:cstheme="majorHAnsi"/>
                <w:b/>
              </w:rPr>
            </w:pPr>
            <w:r w:rsidRPr="002236CD">
              <w:t xml:space="preserve">Northern Territory Remote Aboriginal Investment </w:t>
            </w:r>
            <w:r>
              <w:t>–</w:t>
            </w:r>
            <w:r w:rsidRPr="002236CD">
              <w:t xml:space="preserve"> Children and schooling implementation plan</w:t>
            </w:r>
          </w:p>
        </w:tc>
        <w:tc>
          <w:tcPr>
            <w:tcW w:w="1559" w:type="dxa"/>
          </w:tcPr>
          <w:p w14:paraId="5013F873" w14:textId="77777777" w:rsidR="00D03733" w:rsidRPr="005E047A" w:rsidRDefault="00D03733" w:rsidP="00025159">
            <w:pPr>
              <w:pStyle w:val="TableTextLeft"/>
              <w:rPr>
                <w:b/>
              </w:rPr>
            </w:pPr>
            <w:r w:rsidRPr="005E047A">
              <w:t>Part 2 – Education</w:t>
            </w:r>
          </w:p>
        </w:tc>
        <w:tc>
          <w:tcPr>
            <w:tcW w:w="1985" w:type="dxa"/>
            <w:shd w:val="clear" w:color="auto" w:fill="auto"/>
          </w:tcPr>
          <w:p w14:paraId="292F22E7" w14:textId="77777777" w:rsidR="00D03733" w:rsidRPr="00D03733" w:rsidRDefault="00D03733" w:rsidP="00025159">
            <w:pPr>
              <w:pStyle w:val="TableTextLeft"/>
              <w:rPr>
                <w:b/>
              </w:rPr>
            </w:pPr>
            <w:r w:rsidRPr="00D03733">
              <w:t>Northern Territory Remote Aboriginal Investment –</w:t>
            </w:r>
            <w:r w:rsidRPr="00D03733">
              <w:br/>
              <w:t>future arrangements</w:t>
            </w:r>
          </w:p>
        </w:tc>
        <w:tc>
          <w:tcPr>
            <w:tcW w:w="2317" w:type="dxa"/>
          </w:tcPr>
          <w:p w14:paraId="105ACA91" w14:textId="77777777" w:rsidR="00D03733" w:rsidRPr="00D03733" w:rsidRDefault="00D03733" w:rsidP="00025159">
            <w:pPr>
              <w:pStyle w:val="TableTextLeft"/>
              <w:rPr>
                <w:b/>
              </w:rPr>
            </w:pPr>
            <w:r w:rsidRPr="00D03733">
              <w:t xml:space="preserve">Payments – Prime Minister </w:t>
            </w:r>
            <w:r w:rsidRPr="00D03733">
              <w:br/>
              <w:t>and Cabinet</w:t>
            </w:r>
          </w:p>
        </w:tc>
      </w:tr>
      <w:tr w:rsidR="00D03733" w:rsidRPr="00D03733" w14:paraId="7921155C" w14:textId="77777777">
        <w:trPr>
          <w:cantSplit/>
        </w:trPr>
        <w:tc>
          <w:tcPr>
            <w:tcW w:w="1843" w:type="dxa"/>
          </w:tcPr>
          <w:p w14:paraId="2955C2B1" w14:textId="77777777" w:rsidR="00D03733" w:rsidRPr="00F970B4" w:rsidRDefault="00D03733" w:rsidP="00025159">
            <w:pPr>
              <w:pStyle w:val="TableTextLeft"/>
              <w:rPr>
                <w:rFonts w:asciiTheme="majorHAnsi" w:hAnsiTheme="majorHAnsi" w:cstheme="majorHAnsi"/>
                <w:b/>
              </w:rPr>
            </w:pPr>
            <w:r w:rsidRPr="00D445D9">
              <w:t>Accessible Australia</w:t>
            </w:r>
          </w:p>
        </w:tc>
        <w:tc>
          <w:tcPr>
            <w:tcW w:w="1559" w:type="dxa"/>
          </w:tcPr>
          <w:p w14:paraId="5A1AD0EC" w14:textId="77777777" w:rsidR="00D03733" w:rsidRPr="002E132A" w:rsidRDefault="00D03733" w:rsidP="00025159">
            <w:pPr>
              <w:pStyle w:val="TableTextLeft"/>
              <w:rPr>
                <w:b/>
              </w:rPr>
            </w:pPr>
            <w:r w:rsidRPr="002E132A">
              <w:t xml:space="preserve">Part 2 – Community </w:t>
            </w:r>
            <w:r w:rsidRPr="002E132A">
              <w:br/>
              <w:t>services</w:t>
            </w:r>
          </w:p>
        </w:tc>
        <w:tc>
          <w:tcPr>
            <w:tcW w:w="1985" w:type="dxa"/>
            <w:shd w:val="clear" w:color="auto" w:fill="auto"/>
          </w:tcPr>
          <w:p w14:paraId="51CDD8A8" w14:textId="77777777" w:rsidR="00D03733" w:rsidRPr="00D03733" w:rsidRDefault="00D03733" w:rsidP="00025159">
            <w:pPr>
              <w:pStyle w:val="TableTextLeft"/>
              <w:rPr>
                <w:b/>
              </w:rPr>
            </w:pPr>
            <w:r w:rsidRPr="00D03733">
              <w:t>Support for People with Disability</w:t>
            </w:r>
          </w:p>
        </w:tc>
        <w:tc>
          <w:tcPr>
            <w:tcW w:w="2317" w:type="dxa"/>
          </w:tcPr>
          <w:p w14:paraId="60FD8696" w14:textId="4A1D261F" w:rsidR="00D03733" w:rsidRPr="00D03733" w:rsidRDefault="00D03733" w:rsidP="00025159">
            <w:pPr>
              <w:pStyle w:val="TableTextLeft"/>
              <w:rPr>
                <w:b/>
              </w:rPr>
            </w:pPr>
            <w:r w:rsidRPr="00D03733">
              <w:t>Payments –</w:t>
            </w:r>
            <w:r w:rsidR="00DF06C8">
              <w:t xml:space="preserve"> </w:t>
            </w:r>
            <w:r w:rsidRPr="00D03733">
              <w:t>Social Services</w:t>
            </w:r>
          </w:p>
        </w:tc>
      </w:tr>
      <w:tr w:rsidR="00D03733" w:rsidRPr="00D03733" w14:paraId="3EDDEBEF" w14:textId="77777777">
        <w:trPr>
          <w:cantSplit/>
        </w:trPr>
        <w:tc>
          <w:tcPr>
            <w:tcW w:w="1843" w:type="dxa"/>
          </w:tcPr>
          <w:p w14:paraId="1487EAA0" w14:textId="1BB4DB52" w:rsidR="0034518A" w:rsidRDefault="00D03733" w:rsidP="00025159">
            <w:pPr>
              <w:pStyle w:val="TableTextLeft"/>
            </w:pPr>
            <w:r w:rsidRPr="002236CD">
              <w:t xml:space="preserve">Northern Territory Remote Aboriginal Investment </w:t>
            </w:r>
            <w:r>
              <w:t>–</w:t>
            </w:r>
            <w:r w:rsidRPr="002236CD">
              <w:t xml:space="preserve"> </w:t>
            </w:r>
            <w:r w:rsidRPr="00D445D9">
              <w:t>Community safety</w:t>
            </w:r>
          </w:p>
          <w:p w14:paraId="134CAECD" w14:textId="168562F4" w:rsidR="00D03733" w:rsidRDefault="0034518A" w:rsidP="00025159">
            <w:pPr>
              <w:pStyle w:val="TableTextLeft"/>
            </w:pPr>
            <w:r>
              <w:t xml:space="preserve">  </w:t>
            </w:r>
            <w:r w:rsidR="00D03733" w:rsidRPr="00D445D9">
              <w:t>implementation plan</w:t>
            </w:r>
          </w:p>
          <w:p w14:paraId="3FFE63B8" w14:textId="23B6F2E1" w:rsidR="004E283B" w:rsidRDefault="00985738" w:rsidP="00985738">
            <w:pPr>
              <w:pStyle w:val="TableTextLeft"/>
            </w:pPr>
            <w:r w:rsidRPr="00985738">
              <w:t>Place</w:t>
            </w:r>
            <w:r w:rsidR="009B6F84">
              <w:noBreakHyphen/>
            </w:r>
            <w:r w:rsidRPr="00985738">
              <w:t>Based</w:t>
            </w:r>
          </w:p>
          <w:p w14:paraId="5063A0BB" w14:textId="65F887FE" w:rsidR="004E283B" w:rsidRDefault="004E283B" w:rsidP="00985738">
            <w:pPr>
              <w:pStyle w:val="TableTextLeft"/>
            </w:pPr>
            <w:r>
              <w:t xml:space="preserve">  </w:t>
            </w:r>
            <w:r w:rsidR="00985738" w:rsidRPr="00985738">
              <w:t>Community</w:t>
            </w:r>
          </w:p>
          <w:p w14:paraId="7FC1FECF" w14:textId="1522C45B" w:rsidR="00985738" w:rsidRPr="00985738" w:rsidRDefault="004E283B" w:rsidP="00985738">
            <w:pPr>
              <w:pStyle w:val="TableTextLeft"/>
            </w:pPr>
            <w:r>
              <w:t xml:space="preserve">  </w:t>
            </w:r>
            <w:r w:rsidR="00985738" w:rsidRPr="00985738">
              <w:t>Development</w:t>
            </w:r>
          </w:p>
          <w:p w14:paraId="002FE17B" w14:textId="0BC826A0" w:rsidR="004E283B" w:rsidRDefault="00985738" w:rsidP="00985738">
            <w:pPr>
              <w:pStyle w:val="TableTextLeft"/>
            </w:pPr>
            <w:r w:rsidRPr="00985738">
              <w:t>Place</w:t>
            </w:r>
            <w:r w:rsidR="009B6F84">
              <w:noBreakHyphen/>
            </w:r>
            <w:r w:rsidRPr="00985738">
              <w:t>Based</w:t>
            </w:r>
          </w:p>
          <w:p w14:paraId="2CF40AF7" w14:textId="77777777" w:rsidR="001C2812" w:rsidRDefault="004E283B" w:rsidP="00985738">
            <w:pPr>
              <w:pStyle w:val="TableTextLeft"/>
            </w:pPr>
            <w:r>
              <w:t xml:space="preserve">  </w:t>
            </w:r>
            <w:r w:rsidR="00985738" w:rsidRPr="00985738">
              <w:t>Mediation and</w:t>
            </w:r>
          </w:p>
          <w:p w14:paraId="50594D59" w14:textId="4DB030DE" w:rsidR="00985738" w:rsidRPr="00985738" w:rsidRDefault="001C2812" w:rsidP="00985738">
            <w:pPr>
              <w:pStyle w:val="TableTextLeft"/>
            </w:pPr>
            <w:r>
              <w:t xml:space="preserve">  </w:t>
            </w:r>
            <w:r w:rsidR="00985738" w:rsidRPr="00985738">
              <w:t>Peacemaking</w:t>
            </w:r>
          </w:p>
          <w:p w14:paraId="40C4878E" w14:textId="77777777" w:rsidR="001C2812" w:rsidRDefault="00985738" w:rsidP="00985738">
            <w:pPr>
              <w:pStyle w:val="TableTextLeft"/>
            </w:pPr>
            <w:r w:rsidRPr="00985738">
              <w:t>Remote Australia</w:t>
            </w:r>
          </w:p>
          <w:p w14:paraId="60F37E15" w14:textId="3882F5A8" w:rsidR="00B660ED" w:rsidRDefault="001C2812" w:rsidP="00985738">
            <w:pPr>
              <w:pStyle w:val="TableTextLeft"/>
            </w:pPr>
            <w:r>
              <w:t xml:space="preserve">  </w:t>
            </w:r>
            <w:r w:rsidR="00B660ED" w:rsidRPr="00985738">
              <w:t>S</w:t>
            </w:r>
            <w:r w:rsidR="00985738" w:rsidRPr="00985738">
              <w:t>trategies</w:t>
            </w:r>
          </w:p>
          <w:p w14:paraId="053D67B5" w14:textId="4C7DF029" w:rsidR="00D03733" w:rsidRPr="00B660ED" w:rsidRDefault="00B660ED" w:rsidP="00025159">
            <w:pPr>
              <w:pStyle w:val="TableTextLeft"/>
            </w:pPr>
            <w:r>
              <w:t xml:space="preserve"> </w:t>
            </w:r>
            <w:r w:rsidR="00D03733" w:rsidRPr="00D445D9">
              <w:t xml:space="preserve"> implementation plan</w:t>
            </w:r>
          </w:p>
        </w:tc>
        <w:tc>
          <w:tcPr>
            <w:tcW w:w="1559" w:type="dxa"/>
          </w:tcPr>
          <w:p w14:paraId="1FC032D8" w14:textId="77777777" w:rsidR="00D03733" w:rsidRPr="002E132A" w:rsidRDefault="00D03733" w:rsidP="00025159">
            <w:pPr>
              <w:pStyle w:val="TableTextLeft"/>
              <w:rPr>
                <w:b/>
              </w:rPr>
            </w:pPr>
            <w:r w:rsidRPr="002E132A">
              <w:t xml:space="preserve">Part 2 – Community </w:t>
            </w:r>
            <w:r w:rsidRPr="002E132A">
              <w:br/>
              <w:t>services</w:t>
            </w:r>
          </w:p>
        </w:tc>
        <w:tc>
          <w:tcPr>
            <w:tcW w:w="1985" w:type="dxa"/>
            <w:shd w:val="clear" w:color="auto" w:fill="auto"/>
          </w:tcPr>
          <w:p w14:paraId="2B6B42C4" w14:textId="77777777" w:rsidR="00D03733" w:rsidRPr="00D03733" w:rsidRDefault="00D03733" w:rsidP="00025159">
            <w:pPr>
              <w:pStyle w:val="TableTextLeft"/>
              <w:rPr>
                <w:b/>
              </w:rPr>
            </w:pPr>
            <w:r w:rsidRPr="00D03733">
              <w:t>Northern Territory Remote Aboriginal Investment –</w:t>
            </w:r>
            <w:r w:rsidRPr="00D03733">
              <w:br/>
              <w:t>future arrangements</w:t>
            </w:r>
          </w:p>
        </w:tc>
        <w:tc>
          <w:tcPr>
            <w:tcW w:w="2317" w:type="dxa"/>
          </w:tcPr>
          <w:p w14:paraId="4CED18D1" w14:textId="77777777" w:rsidR="00D03733" w:rsidRPr="00D03733" w:rsidRDefault="00D03733" w:rsidP="00025159">
            <w:pPr>
              <w:pStyle w:val="TableTextLeft"/>
              <w:rPr>
                <w:b/>
              </w:rPr>
            </w:pPr>
            <w:r w:rsidRPr="00D03733">
              <w:t xml:space="preserve">Payments – Prime Minister </w:t>
            </w:r>
            <w:r w:rsidRPr="00D03733">
              <w:br/>
              <w:t>and Cabinet</w:t>
            </w:r>
          </w:p>
        </w:tc>
      </w:tr>
      <w:tr w:rsidR="00D03733" w:rsidRPr="00D03733" w14:paraId="6ACE3E42" w14:textId="77777777">
        <w:trPr>
          <w:cantSplit/>
        </w:trPr>
        <w:tc>
          <w:tcPr>
            <w:tcW w:w="1843" w:type="dxa"/>
          </w:tcPr>
          <w:p w14:paraId="62B0F9C7" w14:textId="77777777" w:rsidR="00D03733" w:rsidRPr="00D445D9" w:rsidRDefault="00D03733" w:rsidP="00025159">
            <w:pPr>
              <w:pStyle w:val="TableTextLeft"/>
              <w:rPr>
                <w:b/>
              </w:rPr>
            </w:pPr>
            <w:r w:rsidRPr="00D445D9">
              <w:t>Port Augusta Safety and Wellbeing Partnership</w:t>
            </w:r>
          </w:p>
        </w:tc>
        <w:tc>
          <w:tcPr>
            <w:tcW w:w="1559" w:type="dxa"/>
          </w:tcPr>
          <w:p w14:paraId="3A6B2BD9" w14:textId="77777777" w:rsidR="00D03733" w:rsidRPr="002E132A" w:rsidRDefault="00D03733" w:rsidP="00025159">
            <w:pPr>
              <w:pStyle w:val="TableTextLeft"/>
              <w:rPr>
                <w:b/>
              </w:rPr>
            </w:pPr>
            <w:r w:rsidRPr="002E132A">
              <w:t xml:space="preserve">Part 2 – Community </w:t>
            </w:r>
            <w:r w:rsidRPr="002E132A">
              <w:br/>
              <w:t>services</w:t>
            </w:r>
          </w:p>
        </w:tc>
        <w:tc>
          <w:tcPr>
            <w:tcW w:w="1985" w:type="dxa"/>
            <w:shd w:val="clear" w:color="auto" w:fill="auto"/>
          </w:tcPr>
          <w:p w14:paraId="3C7DF488" w14:textId="77777777" w:rsidR="00D03733" w:rsidRPr="00D03733" w:rsidRDefault="00D03733" w:rsidP="00025159">
            <w:pPr>
              <w:pStyle w:val="TableTextLeft"/>
              <w:rPr>
                <w:b/>
              </w:rPr>
            </w:pPr>
            <w:r w:rsidRPr="00D03733">
              <w:t>Closing the Gap – further investments</w:t>
            </w:r>
          </w:p>
        </w:tc>
        <w:tc>
          <w:tcPr>
            <w:tcW w:w="2317" w:type="dxa"/>
          </w:tcPr>
          <w:p w14:paraId="471AD0EF" w14:textId="77777777" w:rsidR="00D03733" w:rsidRPr="00D03733" w:rsidRDefault="00D03733" w:rsidP="00025159">
            <w:pPr>
              <w:pStyle w:val="TableTextLeft"/>
              <w:rPr>
                <w:b/>
              </w:rPr>
            </w:pPr>
            <w:r w:rsidRPr="00D03733">
              <w:t xml:space="preserve">Payments – Cross Portfolio </w:t>
            </w:r>
          </w:p>
        </w:tc>
      </w:tr>
      <w:tr w:rsidR="00D03733" w:rsidRPr="00D03733" w14:paraId="54AE4860" w14:textId="77777777">
        <w:trPr>
          <w:cantSplit/>
        </w:trPr>
        <w:tc>
          <w:tcPr>
            <w:tcW w:w="1843" w:type="dxa"/>
          </w:tcPr>
          <w:p w14:paraId="0537573A" w14:textId="1870B7B4" w:rsidR="00D03733" w:rsidRPr="00D445D9" w:rsidRDefault="00D03733" w:rsidP="00025159">
            <w:pPr>
              <w:pStyle w:val="TableTextLeft"/>
            </w:pPr>
            <w:r w:rsidRPr="00D445D9">
              <w:t>Advancing Prefabricated and Modular Construction</w:t>
            </w:r>
            <w:r w:rsidR="00B82BAD">
              <w:t xml:space="preserve"> Projects</w:t>
            </w:r>
          </w:p>
        </w:tc>
        <w:tc>
          <w:tcPr>
            <w:tcW w:w="1559" w:type="dxa"/>
          </w:tcPr>
          <w:p w14:paraId="3719F941" w14:textId="77777777" w:rsidR="00D03733" w:rsidRPr="002E132A" w:rsidRDefault="00D03733" w:rsidP="00025159">
            <w:pPr>
              <w:pStyle w:val="TableTextLeft"/>
            </w:pPr>
            <w:r w:rsidRPr="002E132A">
              <w:t>Part 2 – Affordable Housing</w:t>
            </w:r>
          </w:p>
        </w:tc>
        <w:tc>
          <w:tcPr>
            <w:tcW w:w="1985" w:type="dxa"/>
            <w:shd w:val="clear" w:color="auto" w:fill="auto"/>
          </w:tcPr>
          <w:p w14:paraId="7A7BFA64" w14:textId="77777777" w:rsidR="00D03733" w:rsidRPr="00D03733" w:rsidRDefault="00D03733" w:rsidP="00025159">
            <w:pPr>
              <w:pStyle w:val="TableTextLeft"/>
            </w:pPr>
            <w:r w:rsidRPr="00D03733">
              <w:t>Housing Support</w:t>
            </w:r>
          </w:p>
        </w:tc>
        <w:tc>
          <w:tcPr>
            <w:tcW w:w="2317" w:type="dxa"/>
          </w:tcPr>
          <w:p w14:paraId="0141CEFC" w14:textId="77777777" w:rsidR="00D03733" w:rsidRPr="00D03733" w:rsidRDefault="00D03733" w:rsidP="00025159">
            <w:pPr>
              <w:pStyle w:val="TableTextLeft"/>
            </w:pPr>
            <w:r w:rsidRPr="00D03733">
              <w:t>Payments – Treasury</w:t>
            </w:r>
          </w:p>
        </w:tc>
      </w:tr>
      <w:tr w:rsidR="00D03733" w:rsidRPr="00D03733" w14:paraId="13356663" w14:textId="77777777">
        <w:trPr>
          <w:cantSplit/>
        </w:trPr>
        <w:tc>
          <w:tcPr>
            <w:tcW w:w="1843" w:type="dxa"/>
          </w:tcPr>
          <w:p w14:paraId="3D1B78DF" w14:textId="77777777" w:rsidR="00D03733" w:rsidRPr="00D445D9" w:rsidRDefault="00D03733" w:rsidP="00025159">
            <w:pPr>
              <w:pStyle w:val="TableTextLeft"/>
              <w:rPr>
                <w:b/>
              </w:rPr>
            </w:pPr>
            <w:r w:rsidRPr="00D445D9">
              <w:t xml:space="preserve">Infrastructure </w:t>
            </w:r>
            <w:r w:rsidRPr="00D445D9">
              <w:br/>
              <w:t xml:space="preserve">Investment </w:t>
            </w:r>
            <w:r w:rsidRPr="00D445D9">
              <w:br/>
              <w:t>Program</w:t>
            </w:r>
          </w:p>
        </w:tc>
        <w:tc>
          <w:tcPr>
            <w:tcW w:w="1559" w:type="dxa"/>
          </w:tcPr>
          <w:p w14:paraId="61F8DAD3" w14:textId="77777777" w:rsidR="00D03733" w:rsidRPr="002E132A" w:rsidRDefault="00D03733" w:rsidP="00025159">
            <w:pPr>
              <w:pStyle w:val="TableTextLeft"/>
              <w:rPr>
                <w:b/>
              </w:rPr>
            </w:pPr>
            <w:r w:rsidRPr="002E132A">
              <w:t>Part 2 – Infrastructure</w:t>
            </w:r>
          </w:p>
        </w:tc>
        <w:tc>
          <w:tcPr>
            <w:tcW w:w="1985" w:type="dxa"/>
            <w:shd w:val="clear" w:color="auto" w:fill="auto"/>
          </w:tcPr>
          <w:p w14:paraId="22EFCC5C" w14:textId="77777777" w:rsidR="00D03733" w:rsidRPr="00D03733" w:rsidRDefault="00D03733" w:rsidP="00025159">
            <w:pPr>
              <w:pStyle w:val="TableTextLeft"/>
              <w:rPr>
                <w:b/>
              </w:rPr>
            </w:pPr>
            <w:r w:rsidRPr="00D03733">
              <w:t xml:space="preserve">Building a Better Future Through Considered </w:t>
            </w:r>
            <w:r w:rsidRPr="00D03733">
              <w:br/>
              <w:t>Infrastructure Investment</w:t>
            </w:r>
          </w:p>
        </w:tc>
        <w:tc>
          <w:tcPr>
            <w:tcW w:w="2317" w:type="dxa"/>
          </w:tcPr>
          <w:p w14:paraId="647FBAFD" w14:textId="77777777" w:rsidR="00D03733" w:rsidRPr="00D03733" w:rsidRDefault="00D03733" w:rsidP="00025159">
            <w:pPr>
              <w:pStyle w:val="TableTextLeft"/>
              <w:rPr>
                <w:b/>
              </w:rPr>
            </w:pPr>
            <w:r w:rsidRPr="00D03733">
              <w:t xml:space="preserve">Payments – Infrastructure, </w:t>
            </w:r>
            <w:r w:rsidRPr="00D03733">
              <w:br/>
              <w:t xml:space="preserve">Transport, Regional </w:t>
            </w:r>
            <w:r w:rsidRPr="00D03733">
              <w:br/>
              <w:t xml:space="preserve">Development, </w:t>
            </w:r>
            <w:r w:rsidRPr="00D03733">
              <w:br/>
              <w:t xml:space="preserve">Communications and </w:t>
            </w:r>
            <w:r w:rsidRPr="00D03733">
              <w:br/>
              <w:t>the Arts</w:t>
            </w:r>
          </w:p>
        </w:tc>
      </w:tr>
      <w:tr w:rsidR="00D03733" w:rsidRPr="00D03733" w14:paraId="2555D549" w14:textId="77777777">
        <w:trPr>
          <w:cantSplit/>
        </w:trPr>
        <w:tc>
          <w:tcPr>
            <w:tcW w:w="1843" w:type="dxa"/>
          </w:tcPr>
          <w:p w14:paraId="02A59BB7" w14:textId="77777777" w:rsidR="00D03733" w:rsidRPr="00D445D9" w:rsidRDefault="00D03733" w:rsidP="00025159">
            <w:pPr>
              <w:pStyle w:val="TableTextLeft"/>
              <w:rPr>
                <w:b/>
              </w:rPr>
            </w:pPr>
            <w:r w:rsidRPr="00D445D9">
              <w:t>Hillcrest Tragedy Memorial</w:t>
            </w:r>
          </w:p>
        </w:tc>
        <w:tc>
          <w:tcPr>
            <w:tcW w:w="1559" w:type="dxa"/>
          </w:tcPr>
          <w:p w14:paraId="2653745A" w14:textId="77777777" w:rsidR="00D03733" w:rsidRPr="002E132A" w:rsidRDefault="00D03733" w:rsidP="00025159">
            <w:pPr>
              <w:pStyle w:val="TableTextLeft"/>
              <w:rPr>
                <w:b/>
              </w:rPr>
            </w:pPr>
            <w:r w:rsidRPr="002E132A">
              <w:t>Part 2 – Infrastructure</w:t>
            </w:r>
          </w:p>
        </w:tc>
        <w:tc>
          <w:tcPr>
            <w:tcW w:w="1985" w:type="dxa"/>
            <w:shd w:val="clear" w:color="auto" w:fill="auto"/>
          </w:tcPr>
          <w:p w14:paraId="6AA3755D" w14:textId="77777777" w:rsidR="00D03733" w:rsidRPr="00D03733" w:rsidRDefault="00D03733" w:rsidP="00025159">
            <w:pPr>
              <w:pStyle w:val="TableTextLeft"/>
              <w:rPr>
                <w:b/>
              </w:rPr>
            </w:pPr>
            <w:r w:rsidRPr="00D03733">
              <w:t>Hillcrest Tragedy Memorial</w:t>
            </w:r>
          </w:p>
        </w:tc>
        <w:tc>
          <w:tcPr>
            <w:tcW w:w="2317" w:type="dxa"/>
          </w:tcPr>
          <w:p w14:paraId="1BDA6B5F" w14:textId="77777777" w:rsidR="00D03733" w:rsidRPr="00D03733" w:rsidRDefault="00D03733" w:rsidP="00025159">
            <w:pPr>
              <w:pStyle w:val="TableTextLeft"/>
              <w:rPr>
                <w:b/>
              </w:rPr>
            </w:pPr>
            <w:r w:rsidRPr="00D03733">
              <w:t xml:space="preserve">Payments – Infrastructure, </w:t>
            </w:r>
            <w:r w:rsidRPr="00D03733">
              <w:br/>
              <w:t xml:space="preserve">Transport, Regional </w:t>
            </w:r>
            <w:r w:rsidRPr="00D03733">
              <w:br/>
              <w:t xml:space="preserve">Development, </w:t>
            </w:r>
            <w:r w:rsidRPr="00D03733">
              <w:br/>
              <w:t xml:space="preserve">Communications and </w:t>
            </w:r>
            <w:r w:rsidRPr="00D03733">
              <w:br/>
              <w:t>the Arts</w:t>
            </w:r>
          </w:p>
        </w:tc>
      </w:tr>
      <w:tr w:rsidR="00D03733" w:rsidRPr="00D03733" w14:paraId="2052555F" w14:textId="77777777">
        <w:trPr>
          <w:cantSplit/>
        </w:trPr>
        <w:tc>
          <w:tcPr>
            <w:tcW w:w="1843" w:type="dxa"/>
          </w:tcPr>
          <w:p w14:paraId="68E406B7" w14:textId="77777777" w:rsidR="00D03733" w:rsidRPr="00D445D9" w:rsidRDefault="00D03733" w:rsidP="00025159">
            <w:pPr>
              <w:pStyle w:val="TableTextLeft"/>
              <w:rPr>
                <w:b/>
              </w:rPr>
            </w:pPr>
            <w:r w:rsidRPr="00D445D9">
              <w:t xml:space="preserve">National Water </w:t>
            </w:r>
            <w:r w:rsidRPr="00D445D9">
              <w:br/>
              <w:t>Grid Fund</w:t>
            </w:r>
          </w:p>
        </w:tc>
        <w:tc>
          <w:tcPr>
            <w:tcW w:w="1559" w:type="dxa"/>
          </w:tcPr>
          <w:p w14:paraId="0EE29956" w14:textId="77777777" w:rsidR="00D03733" w:rsidRPr="002E132A" w:rsidRDefault="00D03733" w:rsidP="00025159">
            <w:pPr>
              <w:pStyle w:val="TableTextLeft"/>
              <w:rPr>
                <w:b/>
              </w:rPr>
            </w:pPr>
            <w:r w:rsidRPr="002E132A">
              <w:t>Part 2 – Infrastructure</w:t>
            </w:r>
          </w:p>
        </w:tc>
        <w:tc>
          <w:tcPr>
            <w:tcW w:w="1985" w:type="dxa"/>
            <w:shd w:val="clear" w:color="auto" w:fill="auto"/>
          </w:tcPr>
          <w:p w14:paraId="26213F93" w14:textId="77777777" w:rsidR="00D03733" w:rsidRPr="00D03733" w:rsidRDefault="00D03733" w:rsidP="00025159">
            <w:pPr>
              <w:pStyle w:val="TableTextLeft"/>
              <w:rPr>
                <w:b/>
              </w:rPr>
            </w:pPr>
            <w:r w:rsidRPr="00D03733">
              <w:t>National Water Grid Fund – responsible investment in water infrastructure</w:t>
            </w:r>
          </w:p>
        </w:tc>
        <w:tc>
          <w:tcPr>
            <w:tcW w:w="2317" w:type="dxa"/>
          </w:tcPr>
          <w:p w14:paraId="6490C13E" w14:textId="77777777" w:rsidR="00D03733" w:rsidRPr="00D03733" w:rsidRDefault="00D03733" w:rsidP="00025159">
            <w:pPr>
              <w:pStyle w:val="TableTextLeft"/>
              <w:rPr>
                <w:b/>
              </w:rPr>
            </w:pPr>
            <w:r w:rsidRPr="00D03733">
              <w:t>Payments – Climate Change, Energy, the Environment and Water</w:t>
            </w:r>
          </w:p>
        </w:tc>
      </w:tr>
      <w:tr w:rsidR="00D03733" w:rsidRPr="00D03733" w14:paraId="3E608C1F" w14:textId="77777777">
        <w:trPr>
          <w:cantSplit/>
        </w:trPr>
        <w:tc>
          <w:tcPr>
            <w:tcW w:w="1843" w:type="dxa"/>
          </w:tcPr>
          <w:p w14:paraId="11A1DBEE" w14:textId="77777777" w:rsidR="00D03733" w:rsidRPr="00D445D9" w:rsidRDefault="00D03733" w:rsidP="00025159">
            <w:pPr>
              <w:pStyle w:val="TableTextLeft"/>
              <w:rPr>
                <w:b/>
              </w:rPr>
            </w:pPr>
            <w:r w:rsidRPr="00D445D9">
              <w:t>Port Augusta Wharf Refurbishment</w:t>
            </w:r>
          </w:p>
        </w:tc>
        <w:tc>
          <w:tcPr>
            <w:tcW w:w="1559" w:type="dxa"/>
          </w:tcPr>
          <w:p w14:paraId="097EF8B4" w14:textId="77777777" w:rsidR="00D03733" w:rsidRPr="002E132A" w:rsidRDefault="00D03733" w:rsidP="00025159">
            <w:pPr>
              <w:pStyle w:val="TableTextLeft"/>
              <w:rPr>
                <w:b/>
              </w:rPr>
            </w:pPr>
            <w:r w:rsidRPr="002E132A">
              <w:t>Part 2 – Infrastructure</w:t>
            </w:r>
          </w:p>
        </w:tc>
        <w:tc>
          <w:tcPr>
            <w:tcW w:w="1985" w:type="dxa"/>
            <w:shd w:val="clear" w:color="auto" w:fill="auto"/>
          </w:tcPr>
          <w:p w14:paraId="6717D08E" w14:textId="77777777" w:rsidR="00D03733" w:rsidRPr="00D03733" w:rsidRDefault="00D03733" w:rsidP="00025159">
            <w:pPr>
              <w:pStyle w:val="TableTextLeft"/>
              <w:rPr>
                <w:b/>
              </w:rPr>
            </w:pPr>
            <w:r w:rsidRPr="00D03733">
              <w:t xml:space="preserve">Building a Better Future Through Considered </w:t>
            </w:r>
            <w:r w:rsidRPr="00D03733">
              <w:br/>
              <w:t xml:space="preserve">Infrastructure Investment </w:t>
            </w:r>
          </w:p>
        </w:tc>
        <w:tc>
          <w:tcPr>
            <w:tcW w:w="2317" w:type="dxa"/>
          </w:tcPr>
          <w:p w14:paraId="17A8B626" w14:textId="77777777" w:rsidR="00D03733" w:rsidRPr="00D03733" w:rsidRDefault="00D03733" w:rsidP="00025159">
            <w:pPr>
              <w:pStyle w:val="TableTextLeft"/>
              <w:rPr>
                <w:b/>
              </w:rPr>
            </w:pPr>
            <w:r w:rsidRPr="00D03733">
              <w:t xml:space="preserve">Payments – Infrastructure, </w:t>
            </w:r>
            <w:r w:rsidRPr="00D03733">
              <w:br/>
              <w:t xml:space="preserve">Transport, Regional </w:t>
            </w:r>
            <w:r w:rsidRPr="00D03733">
              <w:br/>
              <w:t xml:space="preserve">Development, </w:t>
            </w:r>
            <w:r w:rsidRPr="00D03733">
              <w:br/>
              <w:t xml:space="preserve">Communications and </w:t>
            </w:r>
            <w:r w:rsidRPr="00D03733">
              <w:br/>
              <w:t>the Arts</w:t>
            </w:r>
          </w:p>
        </w:tc>
      </w:tr>
    </w:tbl>
    <w:p w14:paraId="58B07FDB" w14:textId="16DFB83B" w:rsidR="00B31078" w:rsidRPr="00B31078" w:rsidRDefault="00B31078" w:rsidP="00B31078">
      <w:pPr>
        <w:pStyle w:val="TableHeadingcontinued"/>
      </w:pPr>
      <w:r w:rsidRPr="00C94004">
        <w:t>Table 1.4: Measures affecting payments to the states</w:t>
      </w:r>
      <w:r>
        <w:t xml:space="preserve"> (continued)</w:t>
      </w:r>
    </w:p>
    <w:tbl>
      <w:tblPr>
        <w:tblW w:w="5000" w:type="pct"/>
        <w:tblInd w:w="-3" w:type="dxa"/>
        <w:tblBorders>
          <w:top w:val="single" w:sz="2" w:space="0" w:color="293F5B"/>
          <w:left w:val="single" w:sz="2" w:space="0" w:color="293F5B"/>
          <w:bottom w:val="single" w:sz="2" w:space="0" w:color="293F5B"/>
          <w:right w:val="single" w:sz="2" w:space="0" w:color="293F5B"/>
          <w:insideH w:val="single" w:sz="2" w:space="0" w:color="293F5B"/>
          <w:insideV w:val="single" w:sz="2" w:space="0" w:color="293F5B"/>
        </w:tblBorders>
        <w:tblLayout w:type="fixed"/>
        <w:tblLook w:val="04A0" w:firstRow="1" w:lastRow="0" w:firstColumn="1" w:lastColumn="0" w:noHBand="0" w:noVBand="1"/>
      </w:tblPr>
      <w:tblGrid>
        <w:gridCol w:w="1843"/>
        <w:gridCol w:w="1559"/>
        <w:gridCol w:w="1985"/>
        <w:gridCol w:w="2317"/>
      </w:tblGrid>
      <w:tr w:rsidR="00AB3B45" w:rsidRPr="00D03733" w14:paraId="0926F24A" w14:textId="77777777">
        <w:trPr>
          <w:cantSplit/>
        </w:trPr>
        <w:tc>
          <w:tcPr>
            <w:tcW w:w="1843" w:type="dxa"/>
          </w:tcPr>
          <w:p w14:paraId="4E12B05C" w14:textId="76BA4316" w:rsidR="00AB3B45" w:rsidRPr="004C07B0" w:rsidRDefault="00AB3B45" w:rsidP="00AB3B45">
            <w:pPr>
              <w:pStyle w:val="TableColumnHeadingLeft"/>
              <w:rPr>
                <w:rFonts w:ascii="Arial" w:hAnsi="Arial" w:cs="Arial"/>
                <w:b w:val="0"/>
                <w:bCs/>
                <w:color w:val="000000"/>
                <w:szCs w:val="16"/>
              </w:rPr>
            </w:pPr>
            <w:r w:rsidRPr="00C94004">
              <w:t>Payment</w:t>
            </w:r>
          </w:p>
        </w:tc>
        <w:tc>
          <w:tcPr>
            <w:tcW w:w="1559" w:type="dxa"/>
          </w:tcPr>
          <w:p w14:paraId="3E0492A9" w14:textId="62ACA36B" w:rsidR="00AB3B45" w:rsidRPr="004C07B0" w:rsidRDefault="00AB3B45" w:rsidP="00AB3B45">
            <w:pPr>
              <w:pStyle w:val="TableColumnHeadingLeft"/>
              <w:rPr>
                <w:rFonts w:ascii="Arial" w:hAnsi="Arial" w:cs="Arial"/>
                <w:b w:val="0"/>
                <w:bCs/>
                <w:color w:val="000000"/>
                <w:szCs w:val="16"/>
              </w:rPr>
            </w:pPr>
            <w:r w:rsidRPr="00C94004">
              <w:t>Section of Budget Paper 3</w:t>
            </w:r>
          </w:p>
        </w:tc>
        <w:tc>
          <w:tcPr>
            <w:tcW w:w="1985" w:type="dxa"/>
            <w:shd w:val="clear" w:color="auto" w:fill="auto"/>
          </w:tcPr>
          <w:p w14:paraId="507B440C" w14:textId="1406269A" w:rsidR="00AB3B45" w:rsidRPr="00D03733" w:rsidRDefault="00AB3B45" w:rsidP="00AB3B45">
            <w:pPr>
              <w:pStyle w:val="TableColumnHeadingLeft"/>
              <w:rPr>
                <w:rFonts w:ascii="Arial" w:hAnsi="Arial" w:cs="Arial"/>
                <w:b w:val="0"/>
                <w:bCs/>
                <w:color w:val="000000"/>
                <w:szCs w:val="16"/>
              </w:rPr>
            </w:pPr>
            <w:r w:rsidRPr="00C94004">
              <w:t>Measure title</w:t>
            </w:r>
          </w:p>
        </w:tc>
        <w:tc>
          <w:tcPr>
            <w:tcW w:w="2317" w:type="dxa"/>
          </w:tcPr>
          <w:p w14:paraId="23EE545B" w14:textId="4B03968B" w:rsidR="00AB3B45" w:rsidRPr="00D03733" w:rsidRDefault="00AB3B45" w:rsidP="00AB3B45">
            <w:pPr>
              <w:pStyle w:val="TableColumnHeadingLeft"/>
              <w:rPr>
                <w:rFonts w:ascii="Arial" w:hAnsi="Arial" w:cs="Arial"/>
                <w:b w:val="0"/>
                <w:bCs/>
                <w:color w:val="000000"/>
                <w:szCs w:val="16"/>
              </w:rPr>
            </w:pPr>
            <w:r w:rsidRPr="00C94004">
              <w:t>Section of Budget Paper 2</w:t>
            </w:r>
          </w:p>
        </w:tc>
      </w:tr>
      <w:tr w:rsidR="007B75A8" w:rsidRPr="00D03733" w14:paraId="32BB06B3" w14:textId="77777777" w:rsidTr="00B82BAD">
        <w:trPr>
          <w:cantSplit/>
        </w:trPr>
        <w:tc>
          <w:tcPr>
            <w:tcW w:w="1843" w:type="dxa"/>
          </w:tcPr>
          <w:p w14:paraId="1B7DF2EC" w14:textId="1C6D53BA" w:rsidR="007B75A8" w:rsidRPr="00D445D9" w:rsidRDefault="007B75A8" w:rsidP="007B75A8">
            <w:pPr>
              <w:pStyle w:val="TableTextLeft"/>
            </w:pPr>
            <w:r w:rsidRPr="00D445D9">
              <w:t>Energy Bill Relief</w:t>
            </w:r>
          </w:p>
        </w:tc>
        <w:tc>
          <w:tcPr>
            <w:tcW w:w="1559" w:type="dxa"/>
          </w:tcPr>
          <w:p w14:paraId="49DCFC55" w14:textId="2931CDD4" w:rsidR="007B75A8" w:rsidRPr="002E132A" w:rsidRDefault="007B75A8" w:rsidP="007B75A8">
            <w:pPr>
              <w:pStyle w:val="TableTextLeft"/>
            </w:pPr>
            <w:r w:rsidRPr="002E132A">
              <w:t xml:space="preserve">Part 2 – Environment, </w:t>
            </w:r>
            <w:r w:rsidRPr="002E132A">
              <w:br/>
              <w:t>energy and water</w:t>
            </w:r>
          </w:p>
        </w:tc>
        <w:tc>
          <w:tcPr>
            <w:tcW w:w="1985" w:type="dxa"/>
            <w:shd w:val="clear" w:color="auto" w:fill="auto"/>
          </w:tcPr>
          <w:p w14:paraId="3DC93659" w14:textId="76B20DE3" w:rsidR="007B75A8" w:rsidRPr="00D03733" w:rsidRDefault="007B75A8" w:rsidP="007B75A8">
            <w:pPr>
              <w:pStyle w:val="TableTextLeft"/>
            </w:pPr>
            <w:r w:rsidRPr="00D03733">
              <w:t>Energy Bill Relief Fund Extension</w:t>
            </w:r>
          </w:p>
        </w:tc>
        <w:tc>
          <w:tcPr>
            <w:tcW w:w="2317" w:type="dxa"/>
          </w:tcPr>
          <w:p w14:paraId="6B36DCA1" w14:textId="27CBAF6F" w:rsidR="007B75A8" w:rsidRPr="00D03733" w:rsidRDefault="007B75A8" w:rsidP="007B75A8">
            <w:pPr>
              <w:pStyle w:val="TableTextLeft"/>
            </w:pPr>
            <w:r w:rsidRPr="00D03733">
              <w:t>Payments – Treasury</w:t>
            </w:r>
          </w:p>
        </w:tc>
      </w:tr>
      <w:tr w:rsidR="007B75A8" w:rsidRPr="00D03733" w14:paraId="29D29FB9" w14:textId="77777777" w:rsidTr="00B82BAD">
        <w:trPr>
          <w:cantSplit/>
        </w:trPr>
        <w:tc>
          <w:tcPr>
            <w:tcW w:w="1843" w:type="dxa"/>
          </w:tcPr>
          <w:p w14:paraId="4BFCBE65" w14:textId="4C15F370" w:rsidR="007B75A8" w:rsidRPr="00D445D9" w:rsidRDefault="007B75A8" w:rsidP="007B75A8">
            <w:pPr>
              <w:pStyle w:val="TableTextLeft"/>
            </w:pPr>
            <w:r w:rsidRPr="00D445D9">
              <w:t xml:space="preserve">Bushfire </w:t>
            </w:r>
            <w:r>
              <w:t>c</w:t>
            </w:r>
            <w:r w:rsidRPr="00D445D9">
              <w:t xml:space="preserve">ommunity </w:t>
            </w:r>
            <w:r>
              <w:t>r</w:t>
            </w:r>
            <w:r w:rsidRPr="00D445D9">
              <w:t xml:space="preserve">ecovery and </w:t>
            </w:r>
            <w:r>
              <w:t>r</w:t>
            </w:r>
            <w:r w:rsidRPr="00D445D9">
              <w:t xml:space="preserve">esilience </w:t>
            </w:r>
            <w:r>
              <w:t>p</w:t>
            </w:r>
            <w:r w:rsidRPr="00D445D9">
              <w:t>rogram</w:t>
            </w:r>
          </w:p>
        </w:tc>
        <w:tc>
          <w:tcPr>
            <w:tcW w:w="1559" w:type="dxa"/>
          </w:tcPr>
          <w:p w14:paraId="3A20F977" w14:textId="0128FFC9" w:rsidR="007B75A8" w:rsidRPr="002E132A" w:rsidRDefault="007B75A8" w:rsidP="007B75A8">
            <w:pPr>
              <w:pStyle w:val="TableTextLeft"/>
            </w:pPr>
            <w:r w:rsidRPr="002E132A">
              <w:t xml:space="preserve">Part 2 – Environment, </w:t>
            </w:r>
            <w:r w:rsidRPr="002E132A">
              <w:br/>
              <w:t>energy and water</w:t>
            </w:r>
          </w:p>
        </w:tc>
        <w:tc>
          <w:tcPr>
            <w:tcW w:w="1985" w:type="dxa"/>
            <w:shd w:val="clear" w:color="auto" w:fill="auto"/>
          </w:tcPr>
          <w:p w14:paraId="1E0F1CBB" w14:textId="1CE96B4F" w:rsidR="007B75A8" w:rsidRPr="00D03733" w:rsidRDefault="007B75A8" w:rsidP="007B75A8">
            <w:pPr>
              <w:pStyle w:val="TableTextLeft"/>
            </w:pPr>
            <w:r w:rsidRPr="00D03733">
              <w:t>Disaster Support</w:t>
            </w:r>
          </w:p>
        </w:tc>
        <w:tc>
          <w:tcPr>
            <w:tcW w:w="2317" w:type="dxa"/>
          </w:tcPr>
          <w:p w14:paraId="44CDE4E3" w14:textId="41C66C66" w:rsidR="007B75A8" w:rsidRPr="00D03733" w:rsidRDefault="007B75A8" w:rsidP="007B75A8">
            <w:pPr>
              <w:pStyle w:val="TableTextLeft"/>
            </w:pPr>
            <w:r w:rsidRPr="00D03733">
              <w:t>Payments – Home Affairs</w:t>
            </w:r>
          </w:p>
        </w:tc>
      </w:tr>
      <w:tr w:rsidR="007B75A8" w:rsidRPr="00D03733" w14:paraId="01DA9866" w14:textId="77777777" w:rsidTr="00B82BAD">
        <w:trPr>
          <w:cantSplit/>
        </w:trPr>
        <w:tc>
          <w:tcPr>
            <w:tcW w:w="1843" w:type="dxa"/>
          </w:tcPr>
          <w:p w14:paraId="35CFC338" w14:textId="77777777" w:rsidR="007B75A8" w:rsidRPr="00E73D11" w:rsidRDefault="007B75A8" w:rsidP="007B75A8">
            <w:pPr>
              <w:pStyle w:val="TableTextLeft"/>
              <w:rPr>
                <w:b/>
              </w:rPr>
            </w:pPr>
            <w:r w:rsidRPr="00D445D9">
              <w:t>Hydrogen Highways(a)</w:t>
            </w:r>
          </w:p>
        </w:tc>
        <w:tc>
          <w:tcPr>
            <w:tcW w:w="1559" w:type="dxa"/>
          </w:tcPr>
          <w:p w14:paraId="7E811362" w14:textId="77777777" w:rsidR="007B75A8" w:rsidRPr="002E132A" w:rsidRDefault="007B75A8" w:rsidP="007B75A8">
            <w:pPr>
              <w:pStyle w:val="TableTextLeft"/>
              <w:rPr>
                <w:b/>
              </w:rPr>
            </w:pPr>
            <w:r w:rsidRPr="002E132A">
              <w:t xml:space="preserve">Part 2 – Environment, </w:t>
            </w:r>
            <w:r w:rsidRPr="002E132A">
              <w:br/>
              <w:t>energy and water</w:t>
            </w:r>
          </w:p>
        </w:tc>
        <w:tc>
          <w:tcPr>
            <w:tcW w:w="1985" w:type="dxa"/>
            <w:shd w:val="clear" w:color="auto" w:fill="auto"/>
          </w:tcPr>
          <w:p w14:paraId="38D180DA" w14:textId="77777777" w:rsidR="007B75A8" w:rsidRPr="00D03733" w:rsidRDefault="007B75A8" w:rsidP="007B75A8">
            <w:pPr>
              <w:pStyle w:val="TableTextLeft"/>
              <w:rPr>
                <w:b/>
              </w:rPr>
            </w:pPr>
            <w:r w:rsidRPr="00D03733">
              <w:t>Climate Change, Energy, the Environment and Water – savings</w:t>
            </w:r>
          </w:p>
        </w:tc>
        <w:tc>
          <w:tcPr>
            <w:tcW w:w="2317" w:type="dxa"/>
          </w:tcPr>
          <w:p w14:paraId="5848F48D" w14:textId="77777777" w:rsidR="007B75A8" w:rsidRPr="00D03733" w:rsidRDefault="007B75A8" w:rsidP="007B75A8">
            <w:pPr>
              <w:pStyle w:val="TableTextLeft"/>
              <w:rPr>
                <w:b/>
              </w:rPr>
            </w:pPr>
            <w:r w:rsidRPr="00D03733">
              <w:t>Payments – Climate Change, Energy, the Environment and Water</w:t>
            </w:r>
          </w:p>
        </w:tc>
      </w:tr>
      <w:tr w:rsidR="007B75A8" w:rsidRPr="00D03733" w14:paraId="78389E5E" w14:textId="77777777">
        <w:trPr>
          <w:cantSplit/>
        </w:trPr>
        <w:tc>
          <w:tcPr>
            <w:tcW w:w="1843" w:type="dxa"/>
          </w:tcPr>
          <w:p w14:paraId="2B20317A" w14:textId="77777777" w:rsidR="007B75A8" w:rsidRPr="004C07B0" w:rsidRDefault="007B75A8" w:rsidP="007B75A8">
            <w:pPr>
              <w:pStyle w:val="TableTextLeft"/>
              <w:rPr>
                <w:b/>
              </w:rPr>
            </w:pPr>
            <w:r w:rsidRPr="004C07B0">
              <w:t>Management of established pests and weeds</w:t>
            </w:r>
          </w:p>
        </w:tc>
        <w:tc>
          <w:tcPr>
            <w:tcW w:w="1559" w:type="dxa"/>
          </w:tcPr>
          <w:p w14:paraId="0D16E8DE" w14:textId="77777777" w:rsidR="007B75A8" w:rsidRPr="004C07B0" w:rsidRDefault="007B75A8" w:rsidP="007B75A8">
            <w:pPr>
              <w:pStyle w:val="TableTextLeft"/>
              <w:rPr>
                <w:b/>
              </w:rPr>
            </w:pPr>
            <w:r w:rsidRPr="004C07B0">
              <w:t xml:space="preserve">Part 2 – Environment, </w:t>
            </w:r>
            <w:r w:rsidRPr="004C07B0">
              <w:br/>
              <w:t>energy and water</w:t>
            </w:r>
          </w:p>
        </w:tc>
        <w:tc>
          <w:tcPr>
            <w:tcW w:w="1985" w:type="dxa"/>
            <w:shd w:val="clear" w:color="auto" w:fill="auto"/>
          </w:tcPr>
          <w:p w14:paraId="42F0546E" w14:textId="77777777" w:rsidR="007B75A8" w:rsidRPr="00D03733" w:rsidRDefault="007B75A8" w:rsidP="007B75A8">
            <w:pPr>
              <w:pStyle w:val="TableTextLeft"/>
              <w:rPr>
                <w:b/>
              </w:rPr>
            </w:pPr>
            <w:r w:rsidRPr="00D03733">
              <w:t>Agricultural Priorities</w:t>
            </w:r>
          </w:p>
        </w:tc>
        <w:tc>
          <w:tcPr>
            <w:tcW w:w="2317" w:type="dxa"/>
          </w:tcPr>
          <w:p w14:paraId="18E3DA41" w14:textId="77777777" w:rsidR="007B75A8" w:rsidRPr="00D03733" w:rsidRDefault="007B75A8" w:rsidP="007B75A8">
            <w:pPr>
              <w:pStyle w:val="TableTextLeft"/>
              <w:rPr>
                <w:b/>
              </w:rPr>
            </w:pPr>
            <w:r w:rsidRPr="00D03733">
              <w:t xml:space="preserve">Payments – Agriculture, </w:t>
            </w:r>
            <w:r w:rsidRPr="00D03733">
              <w:br/>
              <w:t>Fisheries and Forestry</w:t>
            </w:r>
          </w:p>
        </w:tc>
      </w:tr>
      <w:tr w:rsidR="007B75A8" w:rsidRPr="00296486" w14:paraId="2453AE66" w14:textId="77777777">
        <w:trPr>
          <w:cantSplit/>
        </w:trPr>
        <w:tc>
          <w:tcPr>
            <w:tcW w:w="1843" w:type="dxa"/>
          </w:tcPr>
          <w:p w14:paraId="2F20632D" w14:textId="77777777" w:rsidR="007B75A8" w:rsidRPr="00D445D9" w:rsidRDefault="007B75A8" w:rsidP="007B75A8">
            <w:pPr>
              <w:pStyle w:val="TableTextLeft"/>
              <w:rPr>
                <w:b/>
              </w:rPr>
            </w:pPr>
            <w:r w:rsidRPr="00D445D9">
              <w:t>Assistance for the Whyalla steel industry</w:t>
            </w:r>
          </w:p>
        </w:tc>
        <w:tc>
          <w:tcPr>
            <w:tcW w:w="1559" w:type="dxa"/>
          </w:tcPr>
          <w:p w14:paraId="088985E6" w14:textId="77777777" w:rsidR="007B75A8" w:rsidRPr="002E132A" w:rsidRDefault="007B75A8" w:rsidP="007B75A8">
            <w:pPr>
              <w:pStyle w:val="TableTextLeft"/>
              <w:rPr>
                <w:b/>
              </w:rPr>
            </w:pPr>
            <w:r w:rsidRPr="002E132A">
              <w:t>Part 2 – Other</w:t>
            </w:r>
          </w:p>
        </w:tc>
        <w:tc>
          <w:tcPr>
            <w:tcW w:w="1985" w:type="dxa"/>
            <w:shd w:val="clear" w:color="auto" w:fill="auto"/>
          </w:tcPr>
          <w:p w14:paraId="1EE28626" w14:textId="21266A8E" w:rsidR="007B75A8" w:rsidRPr="00296486" w:rsidRDefault="007B75A8" w:rsidP="007B75A8">
            <w:pPr>
              <w:pStyle w:val="TableTextLeft"/>
              <w:rPr>
                <w:b/>
              </w:rPr>
            </w:pPr>
            <w:r w:rsidRPr="00296486">
              <w:t>Building Australia</w:t>
            </w:r>
            <w:r w:rsidR="009B6F84">
              <w:rPr>
                <w:b/>
              </w:rPr>
              <w:t>’</w:t>
            </w:r>
            <w:r w:rsidRPr="00296486">
              <w:t xml:space="preserve">s Future </w:t>
            </w:r>
            <w:r>
              <w:t>–</w:t>
            </w:r>
            <w:r w:rsidRPr="00296486">
              <w:t xml:space="preserve"> Support for Australian Made Metals</w:t>
            </w:r>
          </w:p>
        </w:tc>
        <w:tc>
          <w:tcPr>
            <w:tcW w:w="2317" w:type="dxa"/>
          </w:tcPr>
          <w:p w14:paraId="73411F1E" w14:textId="77777777" w:rsidR="007B75A8" w:rsidRPr="00296486" w:rsidRDefault="007B75A8" w:rsidP="007B75A8">
            <w:pPr>
              <w:pStyle w:val="TableTextLeft"/>
              <w:rPr>
                <w:b/>
              </w:rPr>
            </w:pPr>
            <w:r w:rsidRPr="00296486">
              <w:t>Payments – Industry Science and Resources</w:t>
            </w:r>
          </w:p>
        </w:tc>
      </w:tr>
      <w:tr w:rsidR="007B75A8" w:rsidRPr="00D03733" w14:paraId="280F02AF" w14:textId="77777777">
        <w:trPr>
          <w:cantSplit/>
        </w:trPr>
        <w:tc>
          <w:tcPr>
            <w:tcW w:w="1843" w:type="dxa"/>
          </w:tcPr>
          <w:p w14:paraId="39563321" w14:textId="77777777" w:rsidR="007B75A8" w:rsidRPr="00DD0AF5" w:rsidRDefault="007B75A8" w:rsidP="007B75A8">
            <w:pPr>
              <w:pStyle w:val="TableTextLeft"/>
              <w:rPr>
                <w:b/>
              </w:rPr>
            </w:pPr>
            <w:r w:rsidRPr="00D445D9">
              <w:t xml:space="preserve">Northern Territory Remote Aboriginal Investment </w:t>
            </w:r>
            <w:r>
              <w:t>–</w:t>
            </w:r>
            <w:r w:rsidRPr="00D445D9">
              <w:t xml:space="preserve"> Evaluation</w:t>
            </w:r>
          </w:p>
        </w:tc>
        <w:tc>
          <w:tcPr>
            <w:tcW w:w="1559" w:type="dxa"/>
          </w:tcPr>
          <w:p w14:paraId="3AF45C0B" w14:textId="77777777" w:rsidR="007B75A8" w:rsidRPr="00DD0AF5" w:rsidRDefault="007B75A8" w:rsidP="007B75A8">
            <w:pPr>
              <w:pStyle w:val="TableTextLeft"/>
              <w:rPr>
                <w:b/>
              </w:rPr>
            </w:pPr>
            <w:r w:rsidRPr="002E132A">
              <w:t>Part 2 – Other</w:t>
            </w:r>
          </w:p>
        </w:tc>
        <w:tc>
          <w:tcPr>
            <w:tcW w:w="1985" w:type="dxa"/>
            <w:shd w:val="clear" w:color="auto" w:fill="auto"/>
          </w:tcPr>
          <w:p w14:paraId="4B7BF0C8" w14:textId="77777777" w:rsidR="007B75A8" w:rsidRPr="00D03733" w:rsidRDefault="007B75A8" w:rsidP="007B75A8">
            <w:pPr>
              <w:pStyle w:val="TableTextLeft"/>
              <w:rPr>
                <w:b/>
              </w:rPr>
            </w:pPr>
            <w:r w:rsidRPr="00D03733">
              <w:t>Northern Territory Remote Aboriginal Investment –</w:t>
            </w:r>
            <w:r w:rsidRPr="00D03733">
              <w:br/>
              <w:t>future arrangements</w:t>
            </w:r>
          </w:p>
        </w:tc>
        <w:tc>
          <w:tcPr>
            <w:tcW w:w="2317" w:type="dxa"/>
          </w:tcPr>
          <w:p w14:paraId="6CD0F9E0" w14:textId="77777777" w:rsidR="007B75A8" w:rsidRPr="00D03733" w:rsidRDefault="007B75A8" w:rsidP="007B75A8">
            <w:pPr>
              <w:pStyle w:val="TableTextLeft"/>
              <w:rPr>
                <w:b/>
              </w:rPr>
            </w:pPr>
            <w:r w:rsidRPr="00D03733">
              <w:t xml:space="preserve">Payments – Prime Minister </w:t>
            </w:r>
            <w:r w:rsidRPr="00D03733">
              <w:br/>
              <w:t>and Cabinet</w:t>
            </w:r>
          </w:p>
        </w:tc>
      </w:tr>
      <w:tr w:rsidR="007B75A8" w:rsidRPr="00D03733" w14:paraId="5A8CFC41" w14:textId="77777777">
        <w:trPr>
          <w:cantSplit/>
        </w:trPr>
        <w:tc>
          <w:tcPr>
            <w:tcW w:w="1843" w:type="dxa"/>
          </w:tcPr>
          <w:p w14:paraId="62E6B43C" w14:textId="39C42D84" w:rsidR="007B75A8" w:rsidRPr="00DD0AF5" w:rsidRDefault="007B75A8" w:rsidP="007B75A8">
            <w:pPr>
              <w:pStyle w:val="TableTextLeft"/>
              <w:rPr>
                <w:b/>
              </w:rPr>
            </w:pPr>
            <w:r w:rsidRPr="00D445D9">
              <w:t xml:space="preserve">Specialised and </w:t>
            </w:r>
            <w:r>
              <w:t>t</w:t>
            </w:r>
            <w:r w:rsidRPr="00D445D9">
              <w:t>rauma</w:t>
            </w:r>
            <w:r w:rsidR="009B6F84">
              <w:rPr>
                <w:b/>
              </w:rPr>
              <w:noBreakHyphen/>
            </w:r>
            <w:r>
              <w:t>i</w:t>
            </w:r>
            <w:r w:rsidRPr="00D445D9">
              <w:t xml:space="preserve">nformed </w:t>
            </w:r>
            <w:r>
              <w:t>l</w:t>
            </w:r>
            <w:r w:rsidRPr="00D445D9">
              <w:t xml:space="preserve">egal </w:t>
            </w:r>
            <w:r>
              <w:t>s</w:t>
            </w:r>
            <w:r w:rsidRPr="00D445D9">
              <w:t xml:space="preserve">ervices for </w:t>
            </w:r>
            <w:r>
              <w:t>v</w:t>
            </w:r>
            <w:r w:rsidRPr="00D445D9">
              <w:t>ictim</w:t>
            </w:r>
            <w:r w:rsidR="009B6F84">
              <w:rPr>
                <w:b/>
              </w:rPr>
              <w:noBreakHyphen/>
            </w:r>
            <w:r>
              <w:t>s</w:t>
            </w:r>
            <w:r w:rsidRPr="00D445D9">
              <w:t xml:space="preserve">urvivors of </w:t>
            </w:r>
            <w:r>
              <w:t>s</w:t>
            </w:r>
            <w:r w:rsidRPr="00D445D9">
              <w:t xml:space="preserve">exual </w:t>
            </w:r>
            <w:r>
              <w:t>a</w:t>
            </w:r>
            <w:r w:rsidRPr="00D445D9">
              <w:t>ssault</w:t>
            </w:r>
          </w:p>
        </w:tc>
        <w:tc>
          <w:tcPr>
            <w:tcW w:w="1559" w:type="dxa"/>
          </w:tcPr>
          <w:p w14:paraId="479D58A2" w14:textId="77777777" w:rsidR="007B75A8" w:rsidRPr="00DD0AF5" w:rsidRDefault="007B75A8" w:rsidP="007B75A8">
            <w:pPr>
              <w:pStyle w:val="TableTextLeft"/>
              <w:rPr>
                <w:b/>
              </w:rPr>
            </w:pPr>
            <w:r w:rsidRPr="002E132A">
              <w:t>Part 2 – Other</w:t>
            </w:r>
          </w:p>
        </w:tc>
        <w:tc>
          <w:tcPr>
            <w:tcW w:w="1985" w:type="dxa"/>
            <w:shd w:val="clear" w:color="auto" w:fill="auto"/>
          </w:tcPr>
          <w:p w14:paraId="7A5E1BD6" w14:textId="77777777" w:rsidR="007B75A8" w:rsidRPr="00D03733" w:rsidRDefault="007B75A8" w:rsidP="007B75A8">
            <w:pPr>
              <w:pStyle w:val="TableTextLeft"/>
              <w:rPr>
                <w:b/>
              </w:rPr>
            </w:pPr>
            <w:r w:rsidRPr="00D03733">
              <w:t>Strengthening Justice System Response to Sexual Violence</w:t>
            </w:r>
          </w:p>
        </w:tc>
        <w:tc>
          <w:tcPr>
            <w:tcW w:w="2317" w:type="dxa"/>
          </w:tcPr>
          <w:p w14:paraId="075ECA8B" w14:textId="7AD84332" w:rsidR="007B75A8" w:rsidRPr="00D03733" w:rsidRDefault="007B75A8" w:rsidP="007B75A8">
            <w:pPr>
              <w:pStyle w:val="TableTextLeft"/>
              <w:rPr>
                <w:b/>
              </w:rPr>
            </w:pPr>
            <w:r w:rsidRPr="00D03733">
              <w:t xml:space="preserve">Payments – Attorney </w:t>
            </w:r>
            <w:r w:rsidRPr="00D03733">
              <w:br/>
              <w:t>General</w:t>
            </w:r>
            <w:r w:rsidR="009B6F84">
              <w:rPr>
                <w:b/>
              </w:rPr>
              <w:t>’</w:t>
            </w:r>
            <w:r w:rsidRPr="00D03733">
              <w:t>s</w:t>
            </w:r>
          </w:p>
        </w:tc>
      </w:tr>
      <w:tr w:rsidR="007B75A8" w:rsidRPr="00D03733" w14:paraId="5D9FA939" w14:textId="77777777">
        <w:trPr>
          <w:cantSplit/>
        </w:trPr>
        <w:tc>
          <w:tcPr>
            <w:tcW w:w="1843" w:type="dxa"/>
          </w:tcPr>
          <w:p w14:paraId="6DB62792" w14:textId="77777777" w:rsidR="007B75A8" w:rsidRPr="00DD0AF5" w:rsidRDefault="007B75A8" w:rsidP="007B75A8">
            <w:pPr>
              <w:pStyle w:val="TableTextLeft"/>
              <w:rPr>
                <w:b/>
              </w:rPr>
            </w:pPr>
            <w:r w:rsidRPr="00D445D9">
              <w:t>Support to Host Giant Pandas in South Australia</w:t>
            </w:r>
          </w:p>
        </w:tc>
        <w:tc>
          <w:tcPr>
            <w:tcW w:w="1559" w:type="dxa"/>
          </w:tcPr>
          <w:p w14:paraId="001903B4" w14:textId="77777777" w:rsidR="007B75A8" w:rsidRPr="00DD0AF5" w:rsidRDefault="007B75A8" w:rsidP="007B75A8">
            <w:pPr>
              <w:pStyle w:val="TableTextLeft"/>
              <w:rPr>
                <w:b/>
              </w:rPr>
            </w:pPr>
            <w:r w:rsidRPr="002E132A">
              <w:t>Part 2 – Other</w:t>
            </w:r>
          </w:p>
        </w:tc>
        <w:tc>
          <w:tcPr>
            <w:tcW w:w="1985" w:type="dxa"/>
            <w:shd w:val="clear" w:color="auto" w:fill="auto"/>
          </w:tcPr>
          <w:p w14:paraId="5AAFC703" w14:textId="77777777" w:rsidR="007B75A8" w:rsidRPr="00D03733" w:rsidRDefault="007B75A8" w:rsidP="007B75A8">
            <w:pPr>
              <w:pStyle w:val="TableTextLeft"/>
              <w:rPr>
                <w:b/>
              </w:rPr>
            </w:pPr>
            <w:r w:rsidRPr="00D03733">
              <w:t>Supporting the Giant Pandas at Adelaide Zoo</w:t>
            </w:r>
          </w:p>
        </w:tc>
        <w:tc>
          <w:tcPr>
            <w:tcW w:w="2317" w:type="dxa"/>
          </w:tcPr>
          <w:p w14:paraId="2472A7E4" w14:textId="77777777" w:rsidR="007B75A8" w:rsidRPr="00D03733" w:rsidRDefault="007B75A8" w:rsidP="007B75A8">
            <w:pPr>
              <w:pStyle w:val="TableTextLeft"/>
              <w:rPr>
                <w:b/>
              </w:rPr>
            </w:pPr>
            <w:r w:rsidRPr="00D03733">
              <w:t>Payments – Foreign Affairs and Trade</w:t>
            </w:r>
          </w:p>
        </w:tc>
      </w:tr>
      <w:tr w:rsidR="007B75A8" w:rsidRPr="00D03733" w14:paraId="38290081" w14:textId="77777777">
        <w:trPr>
          <w:cantSplit/>
        </w:trPr>
        <w:tc>
          <w:tcPr>
            <w:tcW w:w="1843" w:type="dxa"/>
          </w:tcPr>
          <w:p w14:paraId="713DED65" w14:textId="78CC1E4D" w:rsidR="007B75A8" w:rsidRDefault="007B75A8" w:rsidP="007B75A8">
            <w:pPr>
              <w:pStyle w:val="TableTextLeft"/>
              <w:rPr>
                <w:b/>
              </w:rPr>
            </w:pPr>
            <w:r>
              <w:t>GST entitlement</w:t>
            </w:r>
          </w:p>
        </w:tc>
        <w:tc>
          <w:tcPr>
            <w:tcW w:w="1559" w:type="dxa"/>
          </w:tcPr>
          <w:p w14:paraId="6FC932E6" w14:textId="49B35700" w:rsidR="007B75A8" w:rsidRPr="002E132A" w:rsidRDefault="007B75A8" w:rsidP="007B75A8">
            <w:pPr>
              <w:pStyle w:val="TableTextLeft"/>
              <w:rPr>
                <w:b/>
              </w:rPr>
            </w:pPr>
            <w:r w:rsidRPr="002E132A">
              <w:t xml:space="preserve">Part </w:t>
            </w:r>
            <w:r>
              <w:t>3</w:t>
            </w:r>
            <w:r w:rsidRPr="002E132A">
              <w:t xml:space="preserve"> – </w:t>
            </w:r>
            <w:r>
              <w:t>GST payments</w:t>
            </w:r>
          </w:p>
        </w:tc>
        <w:tc>
          <w:tcPr>
            <w:tcW w:w="1985" w:type="dxa"/>
            <w:shd w:val="clear" w:color="auto" w:fill="auto"/>
          </w:tcPr>
          <w:p w14:paraId="14B2A176" w14:textId="001D6B8D" w:rsidR="007B75A8" w:rsidRPr="00286591" w:rsidRDefault="007B75A8" w:rsidP="007B75A8">
            <w:pPr>
              <w:pStyle w:val="TableTextLeft"/>
              <w:rPr>
                <w:b/>
              </w:rPr>
            </w:pPr>
            <w:r w:rsidRPr="007C7AA5">
              <w:t>Strengthening Tax Integrity</w:t>
            </w:r>
          </w:p>
        </w:tc>
        <w:tc>
          <w:tcPr>
            <w:tcW w:w="2317" w:type="dxa"/>
          </w:tcPr>
          <w:p w14:paraId="23E8E1BE" w14:textId="03B3BDD1" w:rsidR="007B75A8" w:rsidRDefault="007B75A8" w:rsidP="007B75A8">
            <w:pPr>
              <w:pStyle w:val="TableTextLeft"/>
              <w:rPr>
                <w:b/>
              </w:rPr>
            </w:pPr>
            <w:r>
              <w:t>Receipts</w:t>
            </w:r>
            <w:r w:rsidRPr="00D03733">
              <w:t xml:space="preserve"> – </w:t>
            </w:r>
            <w:r>
              <w:t>Treasury</w:t>
            </w:r>
          </w:p>
        </w:tc>
      </w:tr>
      <w:tr w:rsidR="007B75A8" w:rsidRPr="00D03733" w14:paraId="67823625" w14:textId="77777777">
        <w:trPr>
          <w:cantSplit/>
        </w:trPr>
        <w:tc>
          <w:tcPr>
            <w:tcW w:w="1843" w:type="dxa"/>
          </w:tcPr>
          <w:p w14:paraId="70176232" w14:textId="6F00039E" w:rsidR="007B75A8" w:rsidRPr="00D445D9" w:rsidRDefault="007B75A8" w:rsidP="007B75A8">
            <w:pPr>
              <w:pStyle w:val="TableTextLeft"/>
              <w:rPr>
                <w:b/>
              </w:rPr>
            </w:pPr>
            <w:r>
              <w:t>GST entitlement</w:t>
            </w:r>
          </w:p>
        </w:tc>
        <w:tc>
          <w:tcPr>
            <w:tcW w:w="1559" w:type="dxa"/>
          </w:tcPr>
          <w:p w14:paraId="4C1F033C" w14:textId="3FCA9490" w:rsidR="007B75A8" w:rsidRPr="002E132A" w:rsidRDefault="007B75A8" w:rsidP="007B75A8">
            <w:pPr>
              <w:pStyle w:val="TableTextLeft"/>
              <w:rPr>
                <w:b/>
              </w:rPr>
            </w:pPr>
            <w:r w:rsidRPr="002E132A">
              <w:t xml:space="preserve">Part </w:t>
            </w:r>
            <w:r>
              <w:t>3</w:t>
            </w:r>
            <w:r w:rsidRPr="002E132A">
              <w:t xml:space="preserve"> – </w:t>
            </w:r>
            <w:r>
              <w:t>GST payments</w:t>
            </w:r>
          </w:p>
        </w:tc>
        <w:tc>
          <w:tcPr>
            <w:tcW w:w="1985" w:type="dxa"/>
            <w:shd w:val="clear" w:color="auto" w:fill="auto"/>
          </w:tcPr>
          <w:p w14:paraId="3E47F448" w14:textId="77777777" w:rsidR="007B75A8" w:rsidRPr="00286591" w:rsidRDefault="007B75A8" w:rsidP="007B75A8">
            <w:pPr>
              <w:pStyle w:val="TableTextLeft"/>
              <w:rPr>
                <w:b/>
              </w:rPr>
            </w:pPr>
            <w:r w:rsidRPr="00286591">
              <w:t xml:space="preserve">Supporting the Hospitality Sector and </w:t>
            </w:r>
          </w:p>
          <w:p w14:paraId="5CCC045D" w14:textId="5741750F" w:rsidR="007B75A8" w:rsidRPr="00D03733" w:rsidRDefault="007B75A8" w:rsidP="007B75A8">
            <w:pPr>
              <w:pStyle w:val="TableTextLeft"/>
              <w:rPr>
                <w:b/>
              </w:rPr>
            </w:pPr>
            <w:r w:rsidRPr="00286591">
              <w:t>Alcohol Producers</w:t>
            </w:r>
          </w:p>
        </w:tc>
        <w:tc>
          <w:tcPr>
            <w:tcW w:w="2317" w:type="dxa"/>
          </w:tcPr>
          <w:p w14:paraId="19D04F63" w14:textId="558151CC" w:rsidR="007B75A8" w:rsidRPr="00D03733" w:rsidRDefault="007B75A8" w:rsidP="007B75A8">
            <w:pPr>
              <w:pStyle w:val="TableTextLeft"/>
              <w:rPr>
                <w:b/>
              </w:rPr>
            </w:pPr>
            <w:r>
              <w:t>Receipts</w:t>
            </w:r>
            <w:r w:rsidRPr="00D03733">
              <w:t xml:space="preserve"> – </w:t>
            </w:r>
            <w:r>
              <w:t>Treasury</w:t>
            </w:r>
          </w:p>
        </w:tc>
      </w:tr>
    </w:tbl>
    <w:p w14:paraId="28DE33A7" w14:textId="117C8BCD" w:rsidR="00B51775" w:rsidRPr="002213D7" w:rsidRDefault="002213D7" w:rsidP="00B51775">
      <w:pPr>
        <w:pStyle w:val="ChartandTableFootnoteAlpha"/>
        <w:numPr>
          <w:ilvl w:val="0"/>
          <w:numId w:val="39"/>
        </w:numPr>
        <w:rPr>
          <w:color w:val="auto"/>
        </w:rPr>
      </w:pPr>
      <w:r w:rsidRPr="002A7088">
        <w:rPr>
          <w:color w:val="auto"/>
        </w:rPr>
        <w:t xml:space="preserve">Measure redirects funding allocated to states in the </w:t>
      </w:r>
      <w:r w:rsidRPr="002A7088">
        <w:rPr>
          <w:rStyle w:val="Emphasis"/>
          <w:color w:val="auto"/>
        </w:rPr>
        <w:t>Mid</w:t>
      </w:r>
      <w:r w:rsidR="009B6F84">
        <w:rPr>
          <w:rStyle w:val="Emphasis"/>
          <w:color w:val="auto"/>
        </w:rPr>
        <w:noBreakHyphen/>
      </w:r>
      <w:r w:rsidRPr="002A7088">
        <w:rPr>
          <w:rStyle w:val="Emphasis"/>
          <w:color w:val="auto"/>
        </w:rPr>
        <w:t>Year Economic and Fiscal Outlook 202</w:t>
      </w:r>
      <w:r>
        <w:rPr>
          <w:rStyle w:val="Emphasis"/>
          <w:color w:val="auto"/>
        </w:rPr>
        <w:t>4</w:t>
      </w:r>
      <w:r w:rsidRPr="002A7088">
        <w:rPr>
          <w:rStyle w:val="Emphasis"/>
          <w:color w:val="auto"/>
        </w:rPr>
        <w:t>–2</w:t>
      </w:r>
      <w:r>
        <w:rPr>
          <w:rStyle w:val="Emphasis"/>
          <w:color w:val="auto"/>
        </w:rPr>
        <w:t>5</w:t>
      </w:r>
      <w:r w:rsidRPr="002A7088">
        <w:rPr>
          <w:color w:val="auto"/>
        </w:rPr>
        <w:t xml:space="preserve"> to fund other Australian Government policy priorities. </w:t>
      </w:r>
    </w:p>
    <w:p w14:paraId="149CE2F6" w14:textId="77777777" w:rsidR="00B51775" w:rsidRPr="00B51775" w:rsidRDefault="00B51775" w:rsidP="00F87D3A">
      <w:pPr>
        <w:pStyle w:val="TableLine"/>
      </w:pPr>
    </w:p>
    <w:sectPr w:rsidR="00B51775" w:rsidRPr="00B51775" w:rsidSect="007526E3">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93B78" w14:textId="77777777" w:rsidR="00FE56DD" w:rsidRDefault="00FE56DD" w:rsidP="00E40261">
      <w:pPr>
        <w:spacing w:after="0" w:line="240" w:lineRule="auto"/>
      </w:pPr>
      <w:r>
        <w:separator/>
      </w:r>
    </w:p>
  </w:endnote>
  <w:endnote w:type="continuationSeparator" w:id="0">
    <w:p w14:paraId="5D9043EE" w14:textId="77777777" w:rsidR="00FE56DD" w:rsidRDefault="00FE56DD" w:rsidP="00E40261">
      <w:pPr>
        <w:spacing w:after="0" w:line="240" w:lineRule="auto"/>
      </w:pPr>
      <w:r>
        <w:continuationSeparator/>
      </w:r>
    </w:p>
  </w:endnote>
  <w:endnote w:type="continuationNotice" w:id="1">
    <w:p w14:paraId="25259DF9" w14:textId="77777777" w:rsidR="00FE56DD" w:rsidRDefault="00FE56D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6B3C" w14:textId="5931BAF0"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0309FA">
      <w:fldChar w:fldCharType="begin"/>
    </w:r>
    <w:r w:rsidR="000309FA">
      <w:instrText>SUBJECT   \* MERGEFORMAT</w:instrText>
    </w:r>
    <w:r w:rsidR="000309FA">
      <w:fldChar w:fldCharType="separate"/>
    </w:r>
    <w:r w:rsidR="00531572">
      <w:t>Part 1: Australia’s Federal Relations</w:t>
    </w:r>
    <w:r w:rsidR="000309F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ACAA" w14:textId="42B92C59" w:rsidR="0007571E" w:rsidRDefault="000309FA" w:rsidP="009F3CAB">
    <w:pPr>
      <w:pStyle w:val="FooterOdd"/>
    </w:pPr>
    <w:r>
      <w:fldChar w:fldCharType="begin"/>
    </w:r>
    <w:r>
      <w:instrText>SUBJECT   \* MERGEFORMAT</w:instrText>
    </w:r>
    <w:r>
      <w:fldChar w:fldCharType="separate"/>
    </w:r>
    <w:r w:rsidR="00531572">
      <w:t>Part 1: Australia’s Federal Relations</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D858" w14:textId="43D5A2D0" w:rsidR="0007571E" w:rsidRDefault="000309FA" w:rsidP="00360947">
    <w:pPr>
      <w:pStyle w:val="FooterOdd"/>
    </w:pPr>
    <w:r>
      <w:fldChar w:fldCharType="begin"/>
    </w:r>
    <w:r>
      <w:instrText>SUBJECT   \* MERGEFORMAT</w:instrText>
    </w:r>
    <w:r>
      <w:fldChar w:fldCharType="separate"/>
    </w:r>
    <w:r w:rsidR="00531572">
      <w:t>Part 1: Australia’s Federal Relations</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D8FA" w14:textId="77777777" w:rsidR="00FE56DD" w:rsidRPr="003C1CA4" w:rsidRDefault="00FE56DD"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0C8AF34B" w14:textId="77777777" w:rsidR="00FE56DD" w:rsidRDefault="00FE56DD" w:rsidP="00E40261">
      <w:pPr>
        <w:spacing w:after="0" w:line="240" w:lineRule="auto"/>
      </w:pPr>
      <w:r>
        <w:continuationSeparator/>
      </w:r>
    </w:p>
  </w:footnote>
  <w:footnote w:type="continuationNotice" w:id="1">
    <w:p w14:paraId="3DD1F0AB" w14:textId="77777777" w:rsidR="00FE56DD" w:rsidRDefault="00FE56D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0D02" w14:textId="208B8ADF"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442CD3A2" w14:textId="77777777">
      <w:trPr>
        <w:trHeight w:hRule="exact" w:val="340"/>
      </w:trPr>
      <w:tc>
        <w:tcPr>
          <w:tcW w:w="7797" w:type="dxa"/>
        </w:tcPr>
        <w:p w14:paraId="30F1B801" w14:textId="5E5541F6" w:rsidR="0007571E" w:rsidRPr="008C56E1" w:rsidRDefault="0007571E" w:rsidP="00F60EA1">
          <w:pPr>
            <w:pStyle w:val="HeaderEven"/>
          </w:pPr>
          <w:r w:rsidRPr="008C56E1">
            <w:rPr>
              <w:noProof/>
              <w:position w:val="-8"/>
            </w:rPr>
            <w:drawing>
              <wp:inline distT="0" distB="0" distL="0" distR="0" wp14:anchorId="47766977" wp14:editId="2E6814BC">
                <wp:extent cx="864091" cy="198000"/>
                <wp:effectExtent l="0" t="0" r="0" b="0"/>
                <wp:docPr id="974694567" name="Picture 974694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0309FA">
            <w:fldChar w:fldCharType="begin"/>
          </w:r>
          <w:r w:rsidR="000309FA">
            <w:instrText>TITLE   \* MERGEFORMAT</w:instrText>
          </w:r>
          <w:r w:rsidR="000309FA">
            <w:fldChar w:fldCharType="separate"/>
          </w:r>
          <w:r w:rsidR="00531572">
            <w:t>Budget Paper No. 3</w:t>
          </w:r>
          <w:r w:rsidR="000309FA">
            <w:fldChar w:fldCharType="end"/>
          </w:r>
        </w:p>
      </w:tc>
    </w:tr>
  </w:tbl>
  <w:p w14:paraId="06BFC7F5" w14:textId="77777777" w:rsidR="0007571E" w:rsidRPr="00AA5439" w:rsidRDefault="0007571E" w:rsidP="00AA5439">
    <w:pPr>
      <w:pStyle w:val="HeaderEven"/>
      <w:rPr>
        <w:sz w:val="2"/>
        <w:szCs w:val="4"/>
      </w:rPr>
    </w:pPr>
  </w:p>
  <w:p w14:paraId="0666B290"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0BB7A719" w14:textId="77777777" w:rsidTr="001051B9">
      <w:trPr>
        <w:trHeight w:hRule="exact" w:val="340"/>
      </w:trPr>
      <w:tc>
        <w:tcPr>
          <w:tcW w:w="7797" w:type="dxa"/>
          <w:tcMar>
            <w:left w:w="108" w:type="dxa"/>
            <w:right w:w="108" w:type="dxa"/>
          </w:tcMar>
        </w:tcPr>
        <w:p w14:paraId="317FB7B7" w14:textId="61E73CA2" w:rsidR="0007571E" w:rsidRPr="00D13BF9" w:rsidRDefault="000309FA" w:rsidP="00D13BF9">
          <w:pPr>
            <w:pStyle w:val="HeaderOdd"/>
          </w:pPr>
          <w:r>
            <w:fldChar w:fldCharType="begin"/>
          </w:r>
          <w:r>
            <w:instrText>TITLE   \* MERGEFORMAT</w:instrText>
          </w:r>
          <w:r>
            <w:fldChar w:fldCharType="separate"/>
          </w:r>
          <w:r w:rsidR="00531572">
            <w:t>Budget Paper No. 3</w:t>
          </w:r>
          <w:r>
            <w:fldChar w:fldCharType="end"/>
          </w:r>
          <w:r w:rsidR="0007571E" w:rsidRPr="00081542">
            <w:t> | </w:t>
          </w:r>
          <w:r w:rsidR="0007571E" w:rsidRPr="002709D2">
            <w:rPr>
              <w:noProof/>
              <w:position w:val="-8"/>
              <w:vertAlign w:val="subscript"/>
            </w:rPr>
            <w:drawing>
              <wp:inline distT="0" distB="0" distL="0" distR="0" wp14:anchorId="645B894D" wp14:editId="40A6E5EA">
                <wp:extent cx="864091" cy="198000"/>
                <wp:effectExtent l="0" t="0" r="0" b="0"/>
                <wp:docPr id="15371864" name="Picture 15371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1F9225BA" w14:textId="730EF119"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EC0C" w14:textId="5F9E9E3F" w:rsidR="0007571E" w:rsidRDefault="0007571E">
    <w:pPr>
      <w:pStyle w:val="Header"/>
      <w:rPr>
        <w:sz w:val="2"/>
        <w:szCs w:val="2"/>
      </w:rPr>
    </w:pPr>
  </w:p>
  <w:p w14:paraId="2C385BC2" w14:textId="77777777" w:rsidR="0007571E" w:rsidRDefault="0007571E">
    <w:pPr>
      <w:pStyle w:val="Header"/>
      <w:rPr>
        <w:sz w:val="2"/>
        <w:szCs w:val="2"/>
      </w:rPr>
    </w:pPr>
  </w:p>
  <w:p w14:paraId="78650D28" w14:textId="77777777"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0" behindDoc="0" locked="0" layoutInCell="1" allowOverlap="1" wp14:anchorId="6402376D" wp14:editId="44152D6F">
              <wp:simplePos x="0" y="0"/>
              <wp:positionH relativeFrom="column">
                <wp:posOffset>7560945</wp:posOffset>
              </wp:positionH>
              <wp:positionV relativeFrom="margin">
                <wp:align>bottom</wp:align>
              </wp:positionV>
              <wp:extent cx="399600" cy="4896000"/>
              <wp:effectExtent l="0" t="0" r="635" b="0"/>
              <wp:wrapNone/>
              <wp:docPr id="843381355" name="Text Box 843381355"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63A0A" w14:textId="5A065CEB" w:rsidR="0007571E" w:rsidRPr="00137C7E" w:rsidRDefault="000309FA" w:rsidP="001D33D6">
                          <w:pPr>
                            <w:pStyle w:val="HeaderOdd"/>
                          </w:pPr>
                          <w:r>
                            <w:fldChar w:fldCharType="begin"/>
                          </w:r>
                          <w:r>
                            <w:instrText>TITLE   \* MERGEFORMAT</w:instrText>
                          </w:r>
                          <w:r>
                            <w:fldChar w:fldCharType="separate"/>
                          </w:r>
                          <w:r w:rsidR="00531572">
                            <w:t>Budget Paper No. 3</w:t>
                          </w:r>
                          <w:r>
                            <w:fldChar w:fldCharType="end"/>
                          </w:r>
                          <w:r w:rsidR="0007571E">
                            <w:t xml:space="preserve">  |  </w:t>
                          </w:r>
                          <w:r w:rsidR="0007571E" w:rsidRPr="000635BE">
                            <w:rPr>
                              <w:rFonts w:ascii="Arial Bold" w:hAnsi="Arial Bold"/>
                              <w:b/>
                              <w:bCs/>
                              <w:noProof/>
                              <w:position w:val="-10"/>
                            </w:rPr>
                            <w:drawing>
                              <wp:inline distT="0" distB="0" distL="0" distR="0" wp14:anchorId="7DE87CF1" wp14:editId="69F03ED2">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2376D" id="_x0000_t202" coordsize="21600,21600" o:spt="202" path="m,l,21600r21600,l21600,xe">
              <v:stroke joinstyle="miter"/>
              <v:path gradientshapeok="t" o:connecttype="rect"/>
            </v:shapetype>
            <v:shape id="Text Box 843381355" o:spid="_x0000_s1026"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2B263A0A" w14:textId="5A065CEB" w:rsidR="0007571E" w:rsidRPr="00137C7E" w:rsidRDefault="000309FA" w:rsidP="001D33D6">
                    <w:pPr>
                      <w:pStyle w:val="HeaderOdd"/>
                    </w:pPr>
                    <w:r>
                      <w:fldChar w:fldCharType="begin"/>
                    </w:r>
                    <w:r>
                      <w:instrText>TITLE   \* MERGEFORMAT</w:instrText>
                    </w:r>
                    <w:r>
                      <w:fldChar w:fldCharType="separate"/>
                    </w:r>
                    <w:r w:rsidR="00531572">
                      <w:t>Budget Paper No. 3</w:t>
                    </w:r>
                    <w:r>
                      <w:fldChar w:fldCharType="end"/>
                    </w:r>
                    <w:r w:rsidR="0007571E">
                      <w:t xml:space="preserve">  |  </w:t>
                    </w:r>
                    <w:r w:rsidR="0007571E" w:rsidRPr="000635BE">
                      <w:rPr>
                        <w:rFonts w:ascii="Arial Bold" w:hAnsi="Arial Bold"/>
                        <w:b/>
                        <w:bCs/>
                        <w:noProof/>
                        <w:position w:val="-10"/>
                      </w:rPr>
                      <w:drawing>
                        <wp:inline distT="0" distB="0" distL="0" distR="0" wp14:anchorId="7DE87CF1" wp14:editId="69F03ED2">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2E705FF"/>
    <w:multiLevelType w:val="multilevel"/>
    <w:tmpl w:val="A80E94D8"/>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3CC466E5"/>
    <w:multiLevelType w:val="multilevel"/>
    <w:tmpl w:val="A80E94D8"/>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6" w15:restartNumberingAfterBreak="0">
    <w:nsid w:val="4B084398"/>
    <w:multiLevelType w:val="multilevel"/>
    <w:tmpl w:val="A80E94D8"/>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553E7503"/>
    <w:multiLevelType w:val="multilevel"/>
    <w:tmpl w:val="A80E94D8"/>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B57515"/>
    <w:multiLevelType w:val="multilevel"/>
    <w:tmpl w:val="A80E94D8"/>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651A6F02"/>
    <w:multiLevelType w:val="multilevel"/>
    <w:tmpl w:val="A80E94D8"/>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15:restartNumberingAfterBreak="0">
    <w:nsid w:val="692877BF"/>
    <w:multiLevelType w:val="multilevel"/>
    <w:tmpl w:val="A80E94D8"/>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6E0211C7"/>
    <w:multiLevelType w:val="multilevel"/>
    <w:tmpl w:val="A80E94D8"/>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6E131A4E"/>
    <w:multiLevelType w:val="multilevel"/>
    <w:tmpl w:val="A80E94D8"/>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0FF2538"/>
    <w:multiLevelType w:val="multilevel"/>
    <w:tmpl w:val="A80E94D8"/>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5"/>
  </w:num>
  <w:num w:numId="2" w16cid:durableId="70975900">
    <w:abstractNumId w:val="11"/>
  </w:num>
  <w:num w:numId="3" w16cid:durableId="1903564601">
    <w:abstractNumId w:val="10"/>
  </w:num>
  <w:num w:numId="4" w16cid:durableId="778522229">
    <w:abstractNumId w:val="12"/>
  </w:num>
  <w:num w:numId="5" w16cid:durableId="308556280">
    <w:abstractNumId w:val="21"/>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26"/>
  </w:num>
  <w:num w:numId="22" w16cid:durableId="1518692781">
    <w:abstractNumId w:val="18"/>
  </w:num>
  <w:num w:numId="23" w16cid:durableId="8072384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0889193">
    <w:abstractNumId w:val="17"/>
  </w:num>
  <w:num w:numId="25" w16cid:durableId="927276093">
    <w:abstractNumId w:val="24"/>
  </w:num>
  <w:num w:numId="26" w16cid:durableId="427240113">
    <w:abstractNumId w:val="14"/>
  </w:num>
  <w:num w:numId="27" w16cid:durableId="2097436190">
    <w:abstractNumId w:val="20"/>
  </w:num>
  <w:num w:numId="28" w16cid:durableId="149560107">
    <w:abstractNumId w:val="22"/>
  </w:num>
  <w:num w:numId="29" w16cid:durableId="1822193551">
    <w:abstractNumId w:val="13"/>
  </w:num>
  <w:num w:numId="30" w16cid:durableId="1832675380">
    <w:abstractNumId w:val="23"/>
  </w:num>
  <w:num w:numId="31" w16cid:durableId="1775321034">
    <w:abstractNumId w:val="25"/>
  </w:num>
  <w:num w:numId="32" w16cid:durableId="2093695031">
    <w:abstractNumId w:val="19"/>
  </w:num>
  <w:num w:numId="33" w16cid:durableId="383069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07933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3386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8439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30690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1542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79439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14802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44787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20912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1904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740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31884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B51775"/>
    <w:rsid w:val="000004EA"/>
    <w:rsid w:val="00004D1B"/>
    <w:rsid w:val="000056D4"/>
    <w:rsid w:val="00005A5B"/>
    <w:rsid w:val="00010EA9"/>
    <w:rsid w:val="00011DBB"/>
    <w:rsid w:val="00012531"/>
    <w:rsid w:val="00013EA8"/>
    <w:rsid w:val="000143E5"/>
    <w:rsid w:val="00014C72"/>
    <w:rsid w:val="00014E6A"/>
    <w:rsid w:val="0001615C"/>
    <w:rsid w:val="00017A75"/>
    <w:rsid w:val="00020598"/>
    <w:rsid w:val="00024BA4"/>
    <w:rsid w:val="00025159"/>
    <w:rsid w:val="00025EC8"/>
    <w:rsid w:val="0003052B"/>
    <w:rsid w:val="00032D0D"/>
    <w:rsid w:val="00033350"/>
    <w:rsid w:val="0003411F"/>
    <w:rsid w:val="00035D8D"/>
    <w:rsid w:val="000368DF"/>
    <w:rsid w:val="00037165"/>
    <w:rsid w:val="00041060"/>
    <w:rsid w:val="000417DE"/>
    <w:rsid w:val="00041C2C"/>
    <w:rsid w:val="00044150"/>
    <w:rsid w:val="00047226"/>
    <w:rsid w:val="000537D8"/>
    <w:rsid w:val="000546EB"/>
    <w:rsid w:val="000553AE"/>
    <w:rsid w:val="0005674C"/>
    <w:rsid w:val="0005709E"/>
    <w:rsid w:val="00057145"/>
    <w:rsid w:val="000579F3"/>
    <w:rsid w:val="00057AC6"/>
    <w:rsid w:val="00057B11"/>
    <w:rsid w:val="00057D09"/>
    <w:rsid w:val="00061B70"/>
    <w:rsid w:val="00062060"/>
    <w:rsid w:val="000621EC"/>
    <w:rsid w:val="000622DA"/>
    <w:rsid w:val="000625C3"/>
    <w:rsid w:val="000635BE"/>
    <w:rsid w:val="00064D56"/>
    <w:rsid w:val="000652B4"/>
    <w:rsid w:val="00065D25"/>
    <w:rsid w:val="0006644E"/>
    <w:rsid w:val="00066B1B"/>
    <w:rsid w:val="0007057D"/>
    <w:rsid w:val="00071C3A"/>
    <w:rsid w:val="00072551"/>
    <w:rsid w:val="0007507D"/>
    <w:rsid w:val="0007571E"/>
    <w:rsid w:val="00075D7F"/>
    <w:rsid w:val="0007745E"/>
    <w:rsid w:val="0007792E"/>
    <w:rsid w:val="00077EA3"/>
    <w:rsid w:val="00080087"/>
    <w:rsid w:val="00081542"/>
    <w:rsid w:val="000825EF"/>
    <w:rsid w:val="00082798"/>
    <w:rsid w:val="0008399A"/>
    <w:rsid w:val="0008584B"/>
    <w:rsid w:val="0008597F"/>
    <w:rsid w:val="00087542"/>
    <w:rsid w:val="00090376"/>
    <w:rsid w:val="00090721"/>
    <w:rsid w:val="00090805"/>
    <w:rsid w:val="0009098F"/>
    <w:rsid w:val="00091875"/>
    <w:rsid w:val="00091978"/>
    <w:rsid w:val="00092EF7"/>
    <w:rsid w:val="00092F45"/>
    <w:rsid w:val="0009432E"/>
    <w:rsid w:val="00095F63"/>
    <w:rsid w:val="000971A5"/>
    <w:rsid w:val="000A01B7"/>
    <w:rsid w:val="000A1C30"/>
    <w:rsid w:val="000A2BCC"/>
    <w:rsid w:val="000A46B5"/>
    <w:rsid w:val="000A4760"/>
    <w:rsid w:val="000A6616"/>
    <w:rsid w:val="000A6BDB"/>
    <w:rsid w:val="000A6E17"/>
    <w:rsid w:val="000A72C2"/>
    <w:rsid w:val="000B38A8"/>
    <w:rsid w:val="000B4236"/>
    <w:rsid w:val="000B523B"/>
    <w:rsid w:val="000B5C75"/>
    <w:rsid w:val="000C0892"/>
    <w:rsid w:val="000C0F30"/>
    <w:rsid w:val="000C2553"/>
    <w:rsid w:val="000C25CF"/>
    <w:rsid w:val="000C29BC"/>
    <w:rsid w:val="000C3ED1"/>
    <w:rsid w:val="000C5E38"/>
    <w:rsid w:val="000D15B4"/>
    <w:rsid w:val="000D1BCB"/>
    <w:rsid w:val="000D2037"/>
    <w:rsid w:val="000D515D"/>
    <w:rsid w:val="000D6D9C"/>
    <w:rsid w:val="000D78F4"/>
    <w:rsid w:val="000D7BA6"/>
    <w:rsid w:val="000E02B4"/>
    <w:rsid w:val="000E105B"/>
    <w:rsid w:val="000E142F"/>
    <w:rsid w:val="000E149B"/>
    <w:rsid w:val="000E1977"/>
    <w:rsid w:val="000E2DB0"/>
    <w:rsid w:val="000E3DAD"/>
    <w:rsid w:val="000E464B"/>
    <w:rsid w:val="000E468D"/>
    <w:rsid w:val="000E500C"/>
    <w:rsid w:val="000E62DD"/>
    <w:rsid w:val="000E62F5"/>
    <w:rsid w:val="000E69BF"/>
    <w:rsid w:val="000E6AE1"/>
    <w:rsid w:val="000F0325"/>
    <w:rsid w:val="000F049B"/>
    <w:rsid w:val="000F0955"/>
    <w:rsid w:val="000F1204"/>
    <w:rsid w:val="000F1450"/>
    <w:rsid w:val="000F3761"/>
    <w:rsid w:val="000F39F7"/>
    <w:rsid w:val="000F4F21"/>
    <w:rsid w:val="000F515C"/>
    <w:rsid w:val="000F7D6B"/>
    <w:rsid w:val="00100F3C"/>
    <w:rsid w:val="00103F65"/>
    <w:rsid w:val="00103F8E"/>
    <w:rsid w:val="00104D69"/>
    <w:rsid w:val="001051B9"/>
    <w:rsid w:val="00106AF3"/>
    <w:rsid w:val="00107DB2"/>
    <w:rsid w:val="0011175D"/>
    <w:rsid w:val="00112602"/>
    <w:rsid w:val="00112F59"/>
    <w:rsid w:val="00113228"/>
    <w:rsid w:val="00113CBB"/>
    <w:rsid w:val="00113D06"/>
    <w:rsid w:val="0011480D"/>
    <w:rsid w:val="00114A6B"/>
    <w:rsid w:val="00116436"/>
    <w:rsid w:val="00116967"/>
    <w:rsid w:val="00117B5F"/>
    <w:rsid w:val="00120A39"/>
    <w:rsid w:val="00120F78"/>
    <w:rsid w:val="00120FD2"/>
    <w:rsid w:val="00121776"/>
    <w:rsid w:val="00123311"/>
    <w:rsid w:val="0012349F"/>
    <w:rsid w:val="0012608E"/>
    <w:rsid w:val="00126557"/>
    <w:rsid w:val="00126576"/>
    <w:rsid w:val="001275C6"/>
    <w:rsid w:val="0013042E"/>
    <w:rsid w:val="00131ACA"/>
    <w:rsid w:val="0013280D"/>
    <w:rsid w:val="00132DB4"/>
    <w:rsid w:val="00132EC7"/>
    <w:rsid w:val="00132F55"/>
    <w:rsid w:val="00135914"/>
    <w:rsid w:val="001362C7"/>
    <w:rsid w:val="00137810"/>
    <w:rsid w:val="00141747"/>
    <w:rsid w:val="00142E1F"/>
    <w:rsid w:val="00145295"/>
    <w:rsid w:val="0014715D"/>
    <w:rsid w:val="001472CA"/>
    <w:rsid w:val="00147CB9"/>
    <w:rsid w:val="00150FD4"/>
    <w:rsid w:val="001523F9"/>
    <w:rsid w:val="00153762"/>
    <w:rsid w:val="00154EB6"/>
    <w:rsid w:val="001560B1"/>
    <w:rsid w:val="00156746"/>
    <w:rsid w:val="001602D3"/>
    <w:rsid w:val="00160928"/>
    <w:rsid w:val="00163298"/>
    <w:rsid w:val="00164BF9"/>
    <w:rsid w:val="00165C5B"/>
    <w:rsid w:val="001671C2"/>
    <w:rsid w:val="00167690"/>
    <w:rsid w:val="00167AA1"/>
    <w:rsid w:val="0017024D"/>
    <w:rsid w:val="001708A6"/>
    <w:rsid w:val="00170BCC"/>
    <w:rsid w:val="0017151F"/>
    <w:rsid w:val="00172CFE"/>
    <w:rsid w:val="00174A9A"/>
    <w:rsid w:val="00176078"/>
    <w:rsid w:val="0018093C"/>
    <w:rsid w:val="0018159D"/>
    <w:rsid w:val="0018707E"/>
    <w:rsid w:val="001873C5"/>
    <w:rsid w:val="00187F77"/>
    <w:rsid w:val="00191039"/>
    <w:rsid w:val="0019115B"/>
    <w:rsid w:val="00192CB0"/>
    <w:rsid w:val="00193167"/>
    <w:rsid w:val="001935BA"/>
    <w:rsid w:val="00193E8D"/>
    <w:rsid w:val="00194550"/>
    <w:rsid w:val="001957A3"/>
    <w:rsid w:val="00195C7A"/>
    <w:rsid w:val="0019702D"/>
    <w:rsid w:val="001970E6"/>
    <w:rsid w:val="0019752F"/>
    <w:rsid w:val="0019768F"/>
    <w:rsid w:val="001A0DB9"/>
    <w:rsid w:val="001A0DE3"/>
    <w:rsid w:val="001A18F1"/>
    <w:rsid w:val="001A4A40"/>
    <w:rsid w:val="001A4BE5"/>
    <w:rsid w:val="001A5A92"/>
    <w:rsid w:val="001A6502"/>
    <w:rsid w:val="001A7712"/>
    <w:rsid w:val="001B02C6"/>
    <w:rsid w:val="001B1798"/>
    <w:rsid w:val="001B3722"/>
    <w:rsid w:val="001B3C09"/>
    <w:rsid w:val="001B482E"/>
    <w:rsid w:val="001B5870"/>
    <w:rsid w:val="001B6556"/>
    <w:rsid w:val="001B712D"/>
    <w:rsid w:val="001B7232"/>
    <w:rsid w:val="001B7BC8"/>
    <w:rsid w:val="001C08CE"/>
    <w:rsid w:val="001C0C52"/>
    <w:rsid w:val="001C1890"/>
    <w:rsid w:val="001C22CB"/>
    <w:rsid w:val="001C26FF"/>
    <w:rsid w:val="001C2812"/>
    <w:rsid w:val="001C29BA"/>
    <w:rsid w:val="001C2C55"/>
    <w:rsid w:val="001C3592"/>
    <w:rsid w:val="001C3B4C"/>
    <w:rsid w:val="001C42CA"/>
    <w:rsid w:val="001C4C80"/>
    <w:rsid w:val="001C5E21"/>
    <w:rsid w:val="001C628E"/>
    <w:rsid w:val="001D086C"/>
    <w:rsid w:val="001D0B21"/>
    <w:rsid w:val="001D15E1"/>
    <w:rsid w:val="001D193D"/>
    <w:rsid w:val="001D21FD"/>
    <w:rsid w:val="001D33D6"/>
    <w:rsid w:val="001D5596"/>
    <w:rsid w:val="001D72D9"/>
    <w:rsid w:val="001D7B0A"/>
    <w:rsid w:val="001E07EB"/>
    <w:rsid w:val="001E0940"/>
    <w:rsid w:val="001E3108"/>
    <w:rsid w:val="001E31EA"/>
    <w:rsid w:val="001E3B80"/>
    <w:rsid w:val="001E410A"/>
    <w:rsid w:val="001E430E"/>
    <w:rsid w:val="001E4968"/>
    <w:rsid w:val="001E4A88"/>
    <w:rsid w:val="001E4F03"/>
    <w:rsid w:val="001E5903"/>
    <w:rsid w:val="001E594E"/>
    <w:rsid w:val="001E6642"/>
    <w:rsid w:val="001E6DC2"/>
    <w:rsid w:val="001E6FD3"/>
    <w:rsid w:val="001E7489"/>
    <w:rsid w:val="001E7699"/>
    <w:rsid w:val="001F08E1"/>
    <w:rsid w:val="001F0C58"/>
    <w:rsid w:val="001F1FA4"/>
    <w:rsid w:val="001F24B1"/>
    <w:rsid w:val="001F3DCC"/>
    <w:rsid w:val="001F4212"/>
    <w:rsid w:val="001F64DA"/>
    <w:rsid w:val="001F6545"/>
    <w:rsid w:val="001F7DEB"/>
    <w:rsid w:val="002000B5"/>
    <w:rsid w:val="00200B83"/>
    <w:rsid w:val="00200C04"/>
    <w:rsid w:val="002023FE"/>
    <w:rsid w:val="00202BD7"/>
    <w:rsid w:val="00203FF7"/>
    <w:rsid w:val="002042B9"/>
    <w:rsid w:val="00206563"/>
    <w:rsid w:val="00206A05"/>
    <w:rsid w:val="00206B60"/>
    <w:rsid w:val="0020736B"/>
    <w:rsid w:val="00207570"/>
    <w:rsid w:val="002101CB"/>
    <w:rsid w:val="00210217"/>
    <w:rsid w:val="002113A1"/>
    <w:rsid w:val="00211A4D"/>
    <w:rsid w:val="00212761"/>
    <w:rsid w:val="00212DAA"/>
    <w:rsid w:val="00213434"/>
    <w:rsid w:val="00213E88"/>
    <w:rsid w:val="00217D44"/>
    <w:rsid w:val="00217FED"/>
    <w:rsid w:val="002213D7"/>
    <w:rsid w:val="002219D4"/>
    <w:rsid w:val="00223340"/>
    <w:rsid w:val="002236CD"/>
    <w:rsid w:val="002237BA"/>
    <w:rsid w:val="00223F89"/>
    <w:rsid w:val="00225FDE"/>
    <w:rsid w:val="0022654A"/>
    <w:rsid w:val="00226BFD"/>
    <w:rsid w:val="002278F4"/>
    <w:rsid w:val="00227AAB"/>
    <w:rsid w:val="00232808"/>
    <w:rsid w:val="002328BC"/>
    <w:rsid w:val="00232F95"/>
    <w:rsid w:val="002330E1"/>
    <w:rsid w:val="0023402D"/>
    <w:rsid w:val="00234D97"/>
    <w:rsid w:val="00237264"/>
    <w:rsid w:val="00237F04"/>
    <w:rsid w:val="00237F32"/>
    <w:rsid w:val="0024000D"/>
    <w:rsid w:val="00240145"/>
    <w:rsid w:val="00240225"/>
    <w:rsid w:val="00240654"/>
    <w:rsid w:val="00240ADD"/>
    <w:rsid w:val="0024198F"/>
    <w:rsid w:val="00241CE6"/>
    <w:rsid w:val="002423E9"/>
    <w:rsid w:val="00242462"/>
    <w:rsid w:val="00242479"/>
    <w:rsid w:val="00242FF7"/>
    <w:rsid w:val="002436E1"/>
    <w:rsid w:val="00243CC1"/>
    <w:rsid w:val="002443BE"/>
    <w:rsid w:val="0024521A"/>
    <w:rsid w:val="00245D6A"/>
    <w:rsid w:val="002471E0"/>
    <w:rsid w:val="00247462"/>
    <w:rsid w:val="00247684"/>
    <w:rsid w:val="00250208"/>
    <w:rsid w:val="0025317E"/>
    <w:rsid w:val="00253DF8"/>
    <w:rsid w:val="00254852"/>
    <w:rsid w:val="002556FF"/>
    <w:rsid w:val="00260B8D"/>
    <w:rsid w:val="002611D8"/>
    <w:rsid w:val="002621F8"/>
    <w:rsid w:val="00264128"/>
    <w:rsid w:val="00264202"/>
    <w:rsid w:val="00265120"/>
    <w:rsid w:val="00265150"/>
    <w:rsid w:val="002653EB"/>
    <w:rsid w:val="002661BF"/>
    <w:rsid w:val="002664BA"/>
    <w:rsid w:val="00266B41"/>
    <w:rsid w:val="00266D0F"/>
    <w:rsid w:val="00267200"/>
    <w:rsid w:val="002709D2"/>
    <w:rsid w:val="00271066"/>
    <w:rsid w:val="00271338"/>
    <w:rsid w:val="00273040"/>
    <w:rsid w:val="00274009"/>
    <w:rsid w:val="0027456E"/>
    <w:rsid w:val="00275087"/>
    <w:rsid w:val="00277137"/>
    <w:rsid w:val="00277CC0"/>
    <w:rsid w:val="00280712"/>
    <w:rsid w:val="00281716"/>
    <w:rsid w:val="00282665"/>
    <w:rsid w:val="00282A18"/>
    <w:rsid w:val="002836D2"/>
    <w:rsid w:val="00283F02"/>
    <w:rsid w:val="00286591"/>
    <w:rsid w:val="00286B72"/>
    <w:rsid w:val="00287006"/>
    <w:rsid w:val="00290526"/>
    <w:rsid w:val="002922D5"/>
    <w:rsid w:val="00292C38"/>
    <w:rsid w:val="00292D93"/>
    <w:rsid w:val="0029309A"/>
    <w:rsid w:val="00296486"/>
    <w:rsid w:val="00296FC7"/>
    <w:rsid w:val="002A0579"/>
    <w:rsid w:val="002A077C"/>
    <w:rsid w:val="002A0FC1"/>
    <w:rsid w:val="002A3D6B"/>
    <w:rsid w:val="002A4605"/>
    <w:rsid w:val="002A4968"/>
    <w:rsid w:val="002A5BEC"/>
    <w:rsid w:val="002A62CB"/>
    <w:rsid w:val="002A6A16"/>
    <w:rsid w:val="002A7088"/>
    <w:rsid w:val="002B0492"/>
    <w:rsid w:val="002B0D28"/>
    <w:rsid w:val="002B1CC8"/>
    <w:rsid w:val="002B4E21"/>
    <w:rsid w:val="002B5713"/>
    <w:rsid w:val="002B586B"/>
    <w:rsid w:val="002B6106"/>
    <w:rsid w:val="002B79C5"/>
    <w:rsid w:val="002B7C6B"/>
    <w:rsid w:val="002C1839"/>
    <w:rsid w:val="002C2097"/>
    <w:rsid w:val="002C2332"/>
    <w:rsid w:val="002C2368"/>
    <w:rsid w:val="002C3DEB"/>
    <w:rsid w:val="002C596C"/>
    <w:rsid w:val="002C74BC"/>
    <w:rsid w:val="002C7830"/>
    <w:rsid w:val="002D1179"/>
    <w:rsid w:val="002D15EC"/>
    <w:rsid w:val="002D17AB"/>
    <w:rsid w:val="002D196B"/>
    <w:rsid w:val="002D2308"/>
    <w:rsid w:val="002D2434"/>
    <w:rsid w:val="002D2B82"/>
    <w:rsid w:val="002D2BBD"/>
    <w:rsid w:val="002D32B8"/>
    <w:rsid w:val="002D3D8C"/>
    <w:rsid w:val="002D40A3"/>
    <w:rsid w:val="002D4ABA"/>
    <w:rsid w:val="002D4BCF"/>
    <w:rsid w:val="002D4DEB"/>
    <w:rsid w:val="002D686B"/>
    <w:rsid w:val="002D789E"/>
    <w:rsid w:val="002E0BEB"/>
    <w:rsid w:val="002E10D6"/>
    <w:rsid w:val="002E132A"/>
    <w:rsid w:val="002E13D8"/>
    <w:rsid w:val="002E1444"/>
    <w:rsid w:val="002E3297"/>
    <w:rsid w:val="002E4208"/>
    <w:rsid w:val="002E5755"/>
    <w:rsid w:val="002E60D2"/>
    <w:rsid w:val="002E638A"/>
    <w:rsid w:val="002E7B71"/>
    <w:rsid w:val="002F04B7"/>
    <w:rsid w:val="002F1DB6"/>
    <w:rsid w:val="002F24D8"/>
    <w:rsid w:val="002F2733"/>
    <w:rsid w:val="002F31D9"/>
    <w:rsid w:val="002F40F3"/>
    <w:rsid w:val="002F4B9E"/>
    <w:rsid w:val="002F59E6"/>
    <w:rsid w:val="002F5AC6"/>
    <w:rsid w:val="002F5E12"/>
    <w:rsid w:val="00300062"/>
    <w:rsid w:val="003002F4"/>
    <w:rsid w:val="00300A13"/>
    <w:rsid w:val="00300BCF"/>
    <w:rsid w:val="00300EB0"/>
    <w:rsid w:val="00301206"/>
    <w:rsid w:val="00303F4F"/>
    <w:rsid w:val="00304441"/>
    <w:rsid w:val="00304565"/>
    <w:rsid w:val="00305105"/>
    <w:rsid w:val="00306A0C"/>
    <w:rsid w:val="00307503"/>
    <w:rsid w:val="00307EDA"/>
    <w:rsid w:val="00310721"/>
    <w:rsid w:val="003109FD"/>
    <w:rsid w:val="00310BE3"/>
    <w:rsid w:val="00311C1C"/>
    <w:rsid w:val="0031222F"/>
    <w:rsid w:val="0031520C"/>
    <w:rsid w:val="003155A0"/>
    <w:rsid w:val="00315C36"/>
    <w:rsid w:val="00315EAD"/>
    <w:rsid w:val="00316589"/>
    <w:rsid w:val="003170B1"/>
    <w:rsid w:val="00317696"/>
    <w:rsid w:val="00322236"/>
    <w:rsid w:val="00324CE5"/>
    <w:rsid w:val="00327011"/>
    <w:rsid w:val="00327C54"/>
    <w:rsid w:val="00327E7B"/>
    <w:rsid w:val="003303B0"/>
    <w:rsid w:val="00332F27"/>
    <w:rsid w:val="003343A9"/>
    <w:rsid w:val="00334484"/>
    <w:rsid w:val="003353DC"/>
    <w:rsid w:val="003354F2"/>
    <w:rsid w:val="00337220"/>
    <w:rsid w:val="003373C0"/>
    <w:rsid w:val="00337A25"/>
    <w:rsid w:val="00337C39"/>
    <w:rsid w:val="00337D6A"/>
    <w:rsid w:val="003421CD"/>
    <w:rsid w:val="00344A39"/>
    <w:rsid w:val="0034518A"/>
    <w:rsid w:val="003451F5"/>
    <w:rsid w:val="003452AA"/>
    <w:rsid w:val="00345461"/>
    <w:rsid w:val="00345D21"/>
    <w:rsid w:val="00345ED6"/>
    <w:rsid w:val="003478ED"/>
    <w:rsid w:val="00347DC2"/>
    <w:rsid w:val="00347FC0"/>
    <w:rsid w:val="003506C0"/>
    <w:rsid w:val="003511E2"/>
    <w:rsid w:val="0035157F"/>
    <w:rsid w:val="003520A3"/>
    <w:rsid w:val="00352DE0"/>
    <w:rsid w:val="0035382F"/>
    <w:rsid w:val="00353FB6"/>
    <w:rsid w:val="003553A0"/>
    <w:rsid w:val="00356B9D"/>
    <w:rsid w:val="00360235"/>
    <w:rsid w:val="00360373"/>
    <w:rsid w:val="00360775"/>
    <w:rsid w:val="00360947"/>
    <w:rsid w:val="00364C81"/>
    <w:rsid w:val="003671B9"/>
    <w:rsid w:val="003677AC"/>
    <w:rsid w:val="0037080C"/>
    <w:rsid w:val="003732EC"/>
    <w:rsid w:val="00373921"/>
    <w:rsid w:val="0037522A"/>
    <w:rsid w:val="00375F55"/>
    <w:rsid w:val="00376036"/>
    <w:rsid w:val="00376330"/>
    <w:rsid w:val="003769BE"/>
    <w:rsid w:val="00376AC4"/>
    <w:rsid w:val="00377927"/>
    <w:rsid w:val="00377FC0"/>
    <w:rsid w:val="0038042D"/>
    <w:rsid w:val="003809E6"/>
    <w:rsid w:val="00381D29"/>
    <w:rsid w:val="00382AD6"/>
    <w:rsid w:val="00382E3D"/>
    <w:rsid w:val="00383472"/>
    <w:rsid w:val="00383A46"/>
    <w:rsid w:val="00383A7F"/>
    <w:rsid w:val="00383B15"/>
    <w:rsid w:val="003848B0"/>
    <w:rsid w:val="00384E52"/>
    <w:rsid w:val="00385481"/>
    <w:rsid w:val="00386B60"/>
    <w:rsid w:val="003902C5"/>
    <w:rsid w:val="003903D0"/>
    <w:rsid w:val="00390DEB"/>
    <w:rsid w:val="003915B5"/>
    <w:rsid w:val="00392279"/>
    <w:rsid w:val="00394C7D"/>
    <w:rsid w:val="003950E4"/>
    <w:rsid w:val="003963E8"/>
    <w:rsid w:val="0039697D"/>
    <w:rsid w:val="00396E72"/>
    <w:rsid w:val="00396F89"/>
    <w:rsid w:val="003A0569"/>
    <w:rsid w:val="003A0EA5"/>
    <w:rsid w:val="003A1020"/>
    <w:rsid w:val="003A1945"/>
    <w:rsid w:val="003A21C8"/>
    <w:rsid w:val="003A231B"/>
    <w:rsid w:val="003A3AC2"/>
    <w:rsid w:val="003A3FF4"/>
    <w:rsid w:val="003A57C9"/>
    <w:rsid w:val="003B0810"/>
    <w:rsid w:val="003B0CC3"/>
    <w:rsid w:val="003B1742"/>
    <w:rsid w:val="003B298F"/>
    <w:rsid w:val="003B2DA9"/>
    <w:rsid w:val="003B3472"/>
    <w:rsid w:val="003B362F"/>
    <w:rsid w:val="003B3670"/>
    <w:rsid w:val="003B3B35"/>
    <w:rsid w:val="003B44D9"/>
    <w:rsid w:val="003B46A9"/>
    <w:rsid w:val="003B4F4E"/>
    <w:rsid w:val="003B5815"/>
    <w:rsid w:val="003B5D37"/>
    <w:rsid w:val="003B5D89"/>
    <w:rsid w:val="003B66F5"/>
    <w:rsid w:val="003B74CD"/>
    <w:rsid w:val="003B7A68"/>
    <w:rsid w:val="003C05BC"/>
    <w:rsid w:val="003C0AE2"/>
    <w:rsid w:val="003C0EFE"/>
    <w:rsid w:val="003C1313"/>
    <w:rsid w:val="003C1580"/>
    <w:rsid w:val="003C16B0"/>
    <w:rsid w:val="003C1CA4"/>
    <w:rsid w:val="003C2450"/>
    <w:rsid w:val="003C3CE3"/>
    <w:rsid w:val="003C5A1E"/>
    <w:rsid w:val="003C700B"/>
    <w:rsid w:val="003C767B"/>
    <w:rsid w:val="003D13A1"/>
    <w:rsid w:val="003D1712"/>
    <w:rsid w:val="003D25EE"/>
    <w:rsid w:val="003D3F3E"/>
    <w:rsid w:val="003D4D59"/>
    <w:rsid w:val="003D6630"/>
    <w:rsid w:val="003D6B9B"/>
    <w:rsid w:val="003D74E4"/>
    <w:rsid w:val="003E0271"/>
    <w:rsid w:val="003E1889"/>
    <w:rsid w:val="003E1B97"/>
    <w:rsid w:val="003E34E1"/>
    <w:rsid w:val="003E4128"/>
    <w:rsid w:val="003E4541"/>
    <w:rsid w:val="003E6075"/>
    <w:rsid w:val="003E632B"/>
    <w:rsid w:val="003E6CA4"/>
    <w:rsid w:val="003F0051"/>
    <w:rsid w:val="003F01D9"/>
    <w:rsid w:val="003F06E1"/>
    <w:rsid w:val="003F14D9"/>
    <w:rsid w:val="003F1FD5"/>
    <w:rsid w:val="003F4092"/>
    <w:rsid w:val="003F42F4"/>
    <w:rsid w:val="003F4E81"/>
    <w:rsid w:val="003F6393"/>
    <w:rsid w:val="003F7D7E"/>
    <w:rsid w:val="004004D3"/>
    <w:rsid w:val="00401629"/>
    <w:rsid w:val="00402B9D"/>
    <w:rsid w:val="004045A5"/>
    <w:rsid w:val="00406055"/>
    <w:rsid w:val="00410537"/>
    <w:rsid w:val="00410AC2"/>
    <w:rsid w:val="004119DC"/>
    <w:rsid w:val="00412613"/>
    <w:rsid w:val="00412B86"/>
    <w:rsid w:val="00413365"/>
    <w:rsid w:val="0041377F"/>
    <w:rsid w:val="00413A5C"/>
    <w:rsid w:val="00413B73"/>
    <w:rsid w:val="00413D6B"/>
    <w:rsid w:val="00414D61"/>
    <w:rsid w:val="00415A40"/>
    <w:rsid w:val="00416F47"/>
    <w:rsid w:val="004170C5"/>
    <w:rsid w:val="00417A9D"/>
    <w:rsid w:val="00417CDB"/>
    <w:rsid w:val="004233DE"/>
    <w:rsid w:val="00423AF0"/>
    <w:rsid w:val="00424945"/>
    <w:rsid w:val="00425CA9"/>
    <w:rsid w:val="004260DE"/>
    <w:rsid w:val="00427AB1"/>
    <w:rsid w:val="004300CC"/>
    <w:rsid w:val="00430965"/>
    <w:rsid w:val="00430D04"/>
    <w:rsid w:val="00433470"/>
    <w:rsid w:val="00433F61"/>
    <w:rsid w:val="004341F1"/>
    <w:rsid w:val="00434B5E"/>
    <w:rsid w:val="00434FAC"/>
    <w:rsid w:val="00437B19"/>
    <w:rsid w:val="0044094E"/>
    <w:rsid w:val="004412BA"/>
    <w:rsid w:val="00441E44"/>
    <w:rsid w:val="004422D5"/>
    <w:rsid w:val="004439F4"/>
    <w:rsid w:val="00444892"/>
    <w:rsid w:val="0044501B"/>
    <w:rsid w:val="00446161"/>
    <w:rsid w:val="00446533"/>
    <w:rsid w:val="00447890"/>
    <w:rsid w:val="004479B6"/>
    <w:rsid w:val="00447E2C"/>
    <w:rsid w:val="00450870"/>
    <w:rsid w:val="00451EA4"/>
    <w:rsid w:val="00452D28"/>
    <w:rsid w:val="00453496"/>
    <w:rsid w:val="004536ED"/>
    <w:rsid w:val="00454803"/>
    <w:rsid w:val="00455CAB"/>
    <w:rsid w:val="00456383"/>
    <w:rsid w:val="004564B6"/>
    <w:rsid w:val="00457D5A"/>
    <w:rsid w:val="00460029"/>
    <w:rsid w:val="00461056"/>
    <w:rsid w:val="00463776"/>
    <w:rsid w:val="0046391C"/>
    <w:rsid w:val="0046410E"/>
    <w:rsid w:val="00465903"/>
    <w:rsid w:val="004712B9"/>
    <w:rsid w:val="004716CC"/>
    <w:rsid w:val="00471AEC"/>
    <w:rsid w:val="004731CD"/>
    <w:rsid w:val="00473A5E"/>
    <w:rsid w:val="00473EE5"/>
    <w:rsid w:val="0047474F"/>
    <w:rsid w:val="004750B3"/>
    <w:rsid w:val="00475FCB"/>
    <w:rsid w:val="00481D6E"/>
    <w:rsid w:val="00482040"/>
    <w:rsid w:val="00482870"/>
    <w:rsid w:val="00484DF1"/>
    <w:rsid w:val="0048553A"/>
    <w:rsid w:val="00485632"/>
    <w:rsid w:val="0048563A"/>
    <w:rsid w:val="00485D36"/>
    <w:rsid w:val="004868F1"/>
    <w:rsid w:val="00486CCA"/>
    <w:rsid w:val="004871DB"/>
    <w:rsid w:val="00491E12"/>
    <w:rsid w:val="00492831"/>
    <w:rsid w:val="00492F5C"/>
    <w:rsid w:val="004934A6"/>
    <w:rsid w:val="00493A37"/>
    <w:rsid w:val="0049577B"/>
    <w:rsid w:val="004965D9"/>
    <w:rsid w:val="004965E4"/>
    <w:rsid w:val="004966AB"/>
    <w:rsid w:val="004971E2"/>
    <w:rsid w:val="00497EBF"/>
    <w:rsid w:val="004A0172"/>
    <w:rsid w:val="004A0629"/>
    <w:rsid w:val="004A077B"/>
    <w:rsid w:val="004A1868"/>
    <w:rsid w:val="004A269C"/>
    <w:rsid w:val="004A3AC7"/>
    <w:rsid w:val="004A4ABE"/>
    <w:rsid w:val="004A4D9B"/>
    <w:rsid w:val="004A5B73"/>
    <w:rsid w:val="004A5E33"/>
    <w:rsid w:val="004A5FDD"/>
    <w:rsid w:val="004A62A2"/>
    <w:rsid w:val="004A6DB8"/>
    <w:rsid w:val="004B2F8C"/>
    <w:rsid w:val="004B3153"/>
    <w:rsid w:val="004B4220"/>
    <w:rsid w:val="004B4245"/>
    <w:rsid w:val="004B4823"/>
    <w:rsid w:val="004B6013"/>
    <w:rsid w:val="004B7619"/>
    <w:rsid w:val="004B7F98"/>
    <w:rsid w:val="004C0756"/>
    <w:rsid w:val="004C07B0"/>
    <w:rsid w:val="004C0FF0"/>
    <w:rsid w:val="004C127A"/>
    <w:rsid w:val="004C3F27"/>
    <w:rsid w:val="004C40C8"/>
    <w:rsid w:val="004C5EF0"/>
    <w:rsid w:val="004D181A"/>
    <w:rsid w:val="004D19CC"/>
    <w:rsid w:val="004D1DED"/>
    <w:rsid w:val="004D1F35"/>
    <w:rsid w:val="004D27B1"/>
    <w:rsid w:val="004D2BB3"/>
    <w:rsid w:val="004D2EDB"/>
    <w:rsid w:val="004D6C5E"/>
    <w:rsid w:val="004D6DC9"/>
    <w:rsid w:val="004D704E"/>
    <w:rsid w:val="004D70DB"/>
    <w:rsid w:val="004D7BD6"/>
    <w:rsid w:val="004E0ABB"/>
    <w:rsid w:val="004E283B"/>
    <w:rsid w:val="004E3C53"/>
    <w:rsid w:val="004E4CCC"/>
    <w:rsid w:val="004E7FFE"/>
    <w:rsid w:val="004F3DE5"/>
    <w:rsid w:val="004F3FD9"/>
    <w:rsid w:val="004F4323"/>
    <w:rsid w:val="004F57B4"/>
    <w:rsid w:val="004F60DD"/>
    <w:rsid w:val="004F7307"/>
    <w:rsid w:val="004F752F"/>
    <w:rsid w:val="004F7D81"/>
    <w:rsid w:val="005018B6"/>
    <w:rsid w:val="00501DF4"/>
    <w:rsid w:val="00502272"/>
    <w:rsid w:val="00503885"/>
    <w:rsid w:val="00503EBD"/>
    <w:rsid w:val="005048A0"/>
    <w:rsid w:val="00504984"/>
    <w:rsid w:val="005051BE"/>
    <w:rsid w:val="00505771"/>
    <w:rsid w:val="00505857"/>
    <w:rsid w:val="00505AAB"/>
    <w:rsid w:val="0050617A"/>
    <w:rsid w:val="005075D7"/>
    <w:rsid w:val="00507C3C"/>
    <w:rsid w:val="00507FAF"/>
    <w:rsid w:val="0051012A"/>
    <w:rsid w:val="00511897"/>
    <w:rsid w:val="00511C50"/>
    <w:rsid w:val="005124FE"/>
    <w:rsid w:val="00512C8D"/>
    <w:rsid w:val="00513FCE"/>
    <w:rsid w:val="00514E15"/>
    <w:rsid w:val="005151D9"/>
    <w:rsid w:val="00516738"/>
    <w:rsid w:val="00516F74"/>
    <w:rsid w:val="005178C6"/>
    <w:rsid w:val="00517C9E"/>
    <w:rsid w:val="00517CAE"/>
    <w:rsid w:val="00517EA3"/>
    <w:rsid w:val="00522551"/>
    <w:rsid w:val="00524AF8"/>
    <w:rsid w:val="00526B35"/>
    <w:rsid w:val="00526D45"/>
    <w:rsid w:val="00527EE1"/>
    <w:rsid w:val="00530233"/>
    <w:rsid w:val="00531572"/>
    <w:rsid w:val="00532259"/>
    <w:rsid w:val="00533173"/>
    <w:rsid w:val="005331CE"/>
    <w:rsid w:val="00533760"/>
    <w:rsid w:val="005349D8"/>
    <w:rsid w:val="00534A00"/>
    <w:rsid w:val="005352A1"/>
    <w:rsid w:val="00535505"/>
    <w:rsid w:val="00535F99"/>
    <w:rsid w:val="00536146"/>
    <w:rsid w:val="00536643"/>
    <w:rsid w:val="00536FBD"/>
    <w:rsid w:val="00537674"/>
    <w:rsid w:val="00537EF6"/>
    <w:rsid w:val="0054045B"/>
    <w:rsid w:val="0054287B"/>
    <w:rsid w:val="00544F86"/>
    <w:rsid w:val="005476BD"/>
    <w:rsid w:val="00547B3D"/>
    <w:rsid w:val="00547EDD"/>
    <w:rsid w:val="00550684"/>
    <w:rsid w:val="00551875"/>
    <w:rsid w:val="00551E91"/>
    <w:rsid w:val="00551EEF"/>
    <w:rsid w:val="005528A0"/>
    <w:rsid w:val="00552EE7"/>
    <w:rsid w:val="00553333"/>
    <w:rsid w:val="00553B43"/>
    <w:rsid w:val="00553F81"/>
    <w:rsid w:val="00556928"/>
    <w:rsid w:val="00557197"/>
    <w:rsid w:val="00557806"/>
    <w:rsid w:val="00560AB8"/>
    <w:rsid w:val="005618BE"/>
    <w:rsid w:val="00561943"/>
    <w:rsid w:val="005624F8"/>
    <w:rsid w:val="005628C1"/>
    <w:rsid w:val="00562EDC"/>
    <w:rsid w:val="00563E33"/>
    <w:rsid w:val="005642C7"/>
    <w:rsid w:val="0056510E"/>
    <w:rsid w:val="005651DC"/>
    <w:rsid w:val="00565709"/>
    <w:rsid w:val="00565A2B"/>
    <w:rsid w:val="005665AD"/>
    <w:rsid w:val="00566A71"/>
    <w:rsid w:val="00566CBC"/>
    <w:rsid w:val="0056780D"/>
    <w:rsid w:val="00567DDF"/>
    <w:rsid w:val="00567FC0"/>
    <w:rsid w:val="0057091A"/>
    <w:rsid w:val="0057283E"/>
    <w:rsid w:val="00573E2D"/>
    <w:rsid w:val="00574251"/>
    <w:rsid w:val="00574717"/>
    <w:rsid w:val="00574980"/>
    <w:rsid w:val="005757D4"/>
    <w:rsid w:val="00576DCA"/>
    <w:rsid w:val="00576EC8"/>
    <w:rsid w:val="00577453"/>
    <w:rsid w:val="00580067"/>
    <w:rsid w:val="00581A0C"/>
    <w:rsid w:val="00582DEB"/>
    <w:rsid w:val="005832CF"/>
    <w:rsid w:val="00584379"/>
    <w:rsid w:val="005847D8"/>
    <w:rsid w:val="00586650"/>
    <w:rsid w:val="00587459"/>
    <w:rsid w:val="00590270"/>
    <w:rsid w:val="0059038D"/>
    <w:rsid w:val="00592930"/>
    <w:rsid w:val="00592B1A"/>
    <w:rsid w:val="00593320"/>
    <w:rsid w:val="00593D2B"/>
    <w:rsid w:val="00594F43"/>
    <w:rsid w:val="00595831"/>
    <w:rsid w:val="005959A8"/>
    <w:rsid w:val="0059712E"/>
    <w:rsid w:val="00597D33"/>
    <w:rsid w:val="005A0E99"/>
    <w:rsid w:val="005A1748"/>
    <w:rsid w:val="005A43A4"/>
    <w:rsid w:val="005A462A"/>
    <w:rsid w:val="005A4A7E"/>
    <w:rsid w:val="005A58A0"/>
    <w:rsid w:val="005A5E8C"/>
    <w:rsid w:val="005A6F5F"/>
    <w:rsid w:val="005A7320"/>
    <w:rsid w:val="005A749D"/>
    <w:rsid w:val="005B050C"/>
    <w:rsid w:val="005B11A0"/>
    <w:rsid w:val="005B1549"/>
    <w:rsid w:val="005B27BD"/>
    <w:rsid w:val="005B2C4C"/>
    <w:rsid w:val="005B2F30"/>
    <w:rsid w:val="005B3010"/>
    <w:rsid w:val="005B335B"/>
    <w:rsid w:val="005B576E"/>
    <w:rsid w:val="005C0FE2"/>
    <w:rsid w:val="005C1138"/>
    <w:rsid w:val="005C1A41"/>
    <w:rsid w:val="005C3513"/>
    <w:rsid w:val="005C3BDD"/>
    <w:rsid w:val="005C4F37"/>
    <w:rsid w:val="005C7204"/>
    <w:rsid w:val="005D026D"/>
    <w:rsid w:val="005D0BE6"/>
    <w:rsid w:val="005D23CB"/>
    <w:rsid w:val="005D25B9"/>
    <w:rsid w:val="005D27C4"/>
    <w:rsid w:val="005D3D25"/>
    <w:rsid w:val="005D5BAC"/>
    <w:rsid w:val="005D61A6"/>
    <w:rsid w:val="005D6ADA"/>
    <w:rsid w:val="005D772D"/>
    <w:rsid w:val="005E047A"/>
    <w:rsid w:val="005E0A54"/>
    <w:rsid w:val="005E21F5"/>
    <w:rsid w:val="005E2512"/>
    <w:rsid w:val="005E3CD2"/>
    <w:rsid w:val="005E462D"/>
    <w:rsid w:val="005E47A3"/>
    <w:rsid w:val="005E4D9B"/>
    <w:rsid w:val="005E4F85"/>
    <w:rsid w:val="005E6A47"/>
    <w:rsid w:val="005E792C"/>
    <w:rsid w:val="005F0777"/>
    <w:rsid w:val="005F07C9"/>
    <w:rsid w:val="005F0D0E"/>
    <w:rsid w:val="005F0F2A"/>
    <w:rsid w:val="005F10B0"/>
    <w:rsid w:val="005F1714"/>
    <w:rsid w:val="005F2DF9"/>
    <w:rsid w:val="005F2F6A"/>
    <w:rsid w:val="005F5BE2"/>
    <w:rsid w:val="005F5F21"/>
    <w:rsid w:val="005F6EA9"/>
    <w:rsid w:val="005F72F5"/>
    <w:rsid w:val="0060305C"/>
    <w:rsid w:val="0060387E"/>
    <w:rsid w:val="00603D25"/>
    <w:rsid w:val="00603EEF"/>
    <w:rsid w:val="006047E5"/>
    <w:rsid w:val="00611049"/>
    <w:rsid w:val="00611CFE"/>
    <w:rsid w:val="006127EE"/>
    <w:rsid w:val="00612EA0"/>
    <w:rsid w:val="00613396"/>
    <w:rsid w:val="006137FB"/>
    <w:rsid w:val="0061404C"/>
    <w:rsid w:val="00614554"/>
    <w:rsid w:val="00614FC4"/>
    <w:rsid w:val="00617EDA"/>
    <w:rsid w:val="00617FC7"/>
    <w:rsid w:val="006229F6"/>
    <w:rsid w:val="00622B26"/>
    <w:rsid w:val="00622CDB"/>
    <w:rsid w:val="006237CA"/>
    <w:rsid w:val="006245E9"/>
    <w:rsid w:val="00624C0E"/>
    <w:rsid w:val="00624DE3"/>
    <w:rsid w:val="00625D3E"/>
    <w:rsid w:val="00626028"/>
    <w:rsid w:val="00626129"/>
    <w:rsid w:val="0062678C"/>
    <w:rsid w:val="00627CB6"/>
    <w:rsid w:val="00627F5B"/>
    <w:rsid w:val="006329BB"/>
    <w:rsid w:val="00633DAE"/>
    <w:rsid w:val="0063411F"/>
    <w:rsid w:val="00635EB2"/>
    <w:rsid w:val="00640164"/>
    <w:rsid w:val="0064135D"/>
    <w:rsid w:val="00641BBF"/>
    <w:rsid w:val="006428A2"/>
    <w:rsid w:val="00643145"/>
    <w:rsid w:val="00643918"/>
    <w:rsid w:val="00644243"/>
    <w:rsid w:val="00644DD2"/>
    <w:rsid w:val="006453B8"/>
    <w:rsid w:val="0064597A"/>
    <w:rsid w:val="00646A27"/>
    <w:rsid w:val="00646E81"/>
    <w:rsid w:val="00647170"/>
    <w:rsid w:val="00647AB7"/>
    <w:rsid w:val="006500B5"/>
    <w:rsid w:val="00651121"/>
    <w:rsid w:val="006513EA"/>
    <w:rsid w:val="00653D2B"/>
    <w:rsid w:val="00654469"/>
    <w:rsid w:val="006568AA"/>
    <w:rsid w:val="006579A2"/>
    <w:rsid w:val="00660FAF"/>
    <w:rsid w:val="006625B4"/>
    <w:rsid w:val="00662D10"/>
    <w:rsid w:val="00663454"/>
    <w:rsid w:val="00663BDE"/>
    <w:rsid w:val="0066470E"/>
    <w:rsid w:val="00664F1B"/>
    <w:rsid w:val="00666240"/>
    <w:rsid w:val="00666D0F"/>
    <w:rsid w:val="00667233"/>
    <w:rsid w:val="00667A69"/>
    <w:rsid w:val="00667F44"/>
    <w:rsid w:val="00670CE7"/>
    <w:rsid w:val="0067142A"/>
    <w:rsid w:val="00674681"/>
    <w:rsid w:val="00675374"/>
    <w:rsid w:val="006766A5"/>
    <w:rsid w:val="00676B66"/>
    <w:rsid w:val="006777D2"/>
    <w:rsid w:val="00677EBB"/>
    <w:rsid w:val="00680768"/>
    <w:rsid w:val="00682D05"/>
    <w:rsid w:val="0068327A"/>
    <w:rsid w:val="006837AC"/>
    <w:rsid w:val="006847CC"/>
    <w:rsid w:val="00685CBF"/>
    <w:rsid w:val="00687C1A"/>
    <w:rsid w:val="00691396"/>
    <w:rsid w:val="006914A1"/>
    <w:rsid w:val="006920D2"/>
    <w:rsid w:val="00692105"/>
    <w:rsid w:val="00692BED"/>
    <w:rsid w:val="0069448C"/>
    <w:rsid w:val="00695942"/>
    <w:rsid w:val="006962D9"/>
    <w:rsid w:val="0069742D"/>
    <w:rsid w:val="00697722"/>
    <w:rsid w:val="006A01C7"/>
    <w:rsid w:val="006A15CF"/>
    <w:rsid w:val="006A2D53"/>
    <w:rsid w:val="006A3E07"/>
    <w:rsid w:val="006A4420"/>
    <w:rsid w:val="006A4BE4"/>
    <w:rsid w:val="006A4CC8"/>
    <w:rsid w:val="006A5ABE"/>
    <w:rsid w:val="006A6D51"/>
    <w:rsid w:val="006A6E33"/>
    <w:rsid w:val="006A6ECC"/>
    <w:rsid w:val="006A7BB4"/>
    <w:rsid w:val="006B04B2"/>
    <w:rsid w:val="006B1BDB"/>
    <w:rsid w:val="006B35CD"/>
    <w:rsid w:val="006B431D"/>
    <w:rsid w:val="006B4932"/>
    <w:rsid w:val="006B5571"/>
    <w:rsid w:val="006B6EDA"/>
    <w:rsid w:val="006B7D4D"/>
    <w:rsid w:val="006C1494"/>
    <w:rsid w:val="006C189E"/>
    <w:rsid w:val="006C1966"/>
    <w:rsid w:val="006C19B7"/>
    <w:rsid w:val="006C1AEC"/>
    <w:rsid w:val="006C2667"/>
    <w:rsid w:val="006C29E7"/>
    <w:rsid w:val="006C2BA3"/>
    <w:rsid w:val="006C31E1"/>
    <w:rsid w:val="006C38B5"/>
    <w:rsid w:val="006C3E1F"/>
    <w:rsid w:val="006C4177"/>
    <w:rsid w:val="006C4384"/>
    <w:rsid w:val="006C44F9"/>
    <w:rsid w:val="006C4809"/>
    <w:rsid w:val="006C4A90"/>
    <w:rsid w:val="006C716A"/>
    <w:rsid w:val="006C7BF3"/>
    <w:rsid w:val="006C7E20"/>
    <w:rsid w:val="006D0748"/>
    <w:rsid w:val="006D0857"/>
    <w:rsid w:val="006D2E58"/>
    <w:rsid w:val="006D3DB9"/>
    <w:rsid w:val="006D4A4D"/>
    <w:rsid w:val="006D4D52"/>
    <w:rsid w:val="006D4EE1"/>
    <w:rsid w:val="006D58BC"/>
    <w:rsid w:val="006D5CF9"/>
    <w:rsid w:val="006D69BF"/>
    <w:rsid w:val="006D6F29"/>
    <w:rsid w:val="006D730D"/>
    <w:rsid w:val="006D7D4C"/>
    <w:rsid w:val="006E1F52"/>
    <w:rsid w:val="006E28DB"/>
    <w:rsid w:val="006E3F5C"/>
    <w:rsid w:val="006E4021"/>
    <w:rsid w:val="006E5D2C"/>
    <w:rsid w:val="006E6593"/>
    <w:rsid w:val="006E6C14"/>
    <w:rsid w:val="006E6EDD"/>
    <w:rsid w:val="006E7D0F"/>
    <w:rsid w:val="006E7F46"/>
    <w:rsid w:val="006F071B"/>
    <w:rsid w:val="006F1A00"/>
    <w:rsid w:val="006F1B80"/>
    <w:rsid w:val="006F34C2"/>
    <w:rsid w:val="006F42B9"/>
    <w:rsid w:val="006F46B6"/>
    <w:rsid w:val="006F4773"/>
    <w:rsid w:val="006F4AB0"/>
    <w:rsid w:val="006F54E0"/>
    <w:rsid w:val="006F6553"/>
    <w:rsid w:val="00701654"/>
    <w:rsid w:val="00702304"/>
    <w:rsid w:val="00702EC4"/>
    <w:rsid w:val="00703366"/>
    <w:rsid w:val="0070359F"/>
    <w:rsid w:val="007036FA"/>
    <w:rsid w:val="0070484E"/>
    <w:rsid w:val="00704981"/>
    <w:rsid w:val="00706A5E"/>
    <w:rsid w:val="0071179F"/>
    <w:rsid w:val="007129A0"/>
    <w:rsid w:val="00713F47"/>
    <w:rsid w:val="007157B1"/>
    <w:rsid w:val="00715BB9"/>
    <w:rsid w:val="00716664"/>
    <w:rsid w:val="007172CE"/>
    <w:rsid w:val="00717BF7"/>
    <w:rsid w:val="00717EE2"/>
    <w:rsid w:val="0072011E"/>
    <w:rsid w:val="00720669"/>
    <w:rsid w:val="00721C9C"/>
    <w:rsid w:val="00722CBF"/>
    <w:rsid w:val="0072449F"/>
    <w:rsid w:val="00725170"/>
    <w:rsid w:val="00726D89"/>
    <w:rsid w:val="00732987"/>
    <w:rsid w:val="00733DC7"/>
    <w:rsid w:val="0073498A"/>
    <w:rsid w:val="00736323"/>
    <w:rsid w:val="0073653F"/>
    <w:rsid w:val="00737A0A"/>
    <w:rsid w:val="00737DB7"/>
    <w:rsid w:val="007400E3"/>
    <w:rsid w:val="0074208E"/>
    <w:rsid w:val="00742AD4"/>
    <w:rsid w:val="00743792"/>
    <w:rsid w:val="00744300"/>
    <w:rsid w:val="0074527D"/>
    <w:rsid w:val="00746244"/>
    <w:rsid w:val="00746418"/>
    <w:rsid w:val="00750242"/>
    <w:rsid w:val="007504CA"/>
    <w:rsid w:val="0075209C"/>
    <w:rsid w:val="0075215F"/>
    <w:rsid w:val="007526E3"/>
    <w:rsid w:val="00753477"/>
    <w:rsid w:val="00754069"/>
    <w:rsid w:val="0075490B"/>
    <w:rsid w:val="007549FF"/>
    <w:rsid w:val="00754CF2"/>
    <w:rsid w:val="00755F34"/>
    <w:rsid w:val="00756A0E"/>
    <w:rsid w:val="007577B1"/>
    <w:rsid w:val="00757CA3"/>
    <w:rsid w:val="007613C9"/>
    <w:rsid w:val="007613FC"/>
    <w:rsid w:val="00762AEA"/>
    <w:rsid w:val="00762CC0"/>
    <w:rsid w:val="00762FFE"/>
    <w:rsid w:val="00763BA7"/>
    <w:rsid w:val="00764B2D"/>
    <w:rsid w:val="00765415"/>
    <w:rsid w:val="007655BB"/>
    <w:rsid w:val="00766ED7"/>
    <w:rsid w:val="0077017B"/>
    <w:rsid w:val="007703C7"/>
    <w:rsid w:val="00771E8A"/>
    <w:rsid w:val="007724CB"/>
    <w:rsid w:val="0077273E"/>
    <w:rsid w:val="00773029"/>
    <w:rsid w:val="00773B03"/>
    <w:rsid w:val="00774DAD"/>
    <w:rsid w:val="0077598D"/>
    <w:rsid w:val="00775A52"/>
    <w:rsid w:val="00777A8F"/>
    <w:rsid w:val="00780519"/>
    <w:rsid w:val="00780696"/>
    <w:rsid w:val="00780A45"/>
    <w:rsid w:val="00782273"/>
    <w:rsid w:val="007838CA"/>
    <w:rsid w:val="007844DC"/>
    <w:rsid w:val="0078527D"/>
    <w:rsid w:val="00787235"/>
    <w:rsid w:val="00787B74"/>
    <w:rsid w:val="00787BC6"/>
    <w:rsid w:val="00787DEE"/>
    <w:rsid w:val="007900B7"/>
    <w:rsid w:val="00791214"/>
    <w:rsid w:val="00791275"/>
    <w:rsid w:val="0079134B"/>
    <w:rsid w:val="007913DD"/>
    <w:rsid w:val="00791506"/>
    <w:rsid w:val="0079172B"/>
    <w:rsid w:val="00791915"/>
    <w:rsid w:val="00791B7C"/>
    <w:rsid w:val="00792F0C"/>
    <w:rsid w:val="0079303A"/>
    <w:rsid w:val="00793C09"/>
    <w:rsid w:val="0079405B"/>
    <w:rsid w:val="007947BA"/>
    <w:rsid w:val="00795C97"/>
    <w:rsid w:val="007A1534"/>
    <w:rsid w:val="007A1745"/>
    <w:rsid w:val="007A3ACD"/>
    <w:rsid w:val="007A4098"/>
    <w:rsid w:val="007A4D64"/>
    <w:rsid w:val="007A7017"/>
    <w:rsid w:val="007A7F3E"/>
    <w:rsid w:val="007B1180"/>
    <w:rsid w:val="007B2819"/>
    <w:rsid w:val="007B3DBD"/>
    <w:rsid w:val="007B4810"/>
    <w:rsid w:val="007B75A8"/>
    <w:rsid w:val="007C076F"/>
    <w:rsid w:val="007C13FE"/>
    <w:rsid w:val="007C1EA3"/>
    <w:rsid w:val="007C34E6"/>
    <w:rsid w:val="007C394B"/>
    <w:rsid w:val="007C46DC"/>
    <w:rsid w:val="007C7AA5"/>
    <w:rsid w:val="007D2F54"/>
    <w:rsid w:val="007D3DF4"/>
    <w:rsid w:val="007D3F68"/>
    <w:rsid w:val="007D4358"/>
    <w:rsid w:val="007D5AEF"/>
    <w:rsid w:val="007D72A2"/>
    <w:rsid w:val="007D76C4"/>
    <w:rsid w:val="007D78E9"/>
    <w:rsid w:val="007D7D17"/>
    <w:rsid w:val="007E02FB"/>
    <w:rsid w:val="007E1C56"/>
    <w:rsid w:val="007E20A2"/>
    <w:rsid w:val="007E4B3A"/>
    <w:rsid w:val="007E5C20"/>
    <w:rsid w:val="007E67F9"/>
    <w:rsid w:val="007E7360"/>
    <w:rsid w:val="007F0CC6"/>
    <w:rsid w:val="007F139C"/>
    <w:rsid w:val="007F48DA"/>
    <w:rsid w:val="007F491E"/>
    <w:rsid w:val="007F65AD"/>
    <w:rsid w:val="008014F1"/>
    <w:rsid w:val="00801564"/>
    <w:rsid w:val="00801961"/>
    <w:rsid w:val="0080296A"/>
    <w:rsid w:val="008039FE"/>
    <w:rsid w:val="00803BBD"/>
    <w:rsid w:val="00805467"/>
    <w:rsid w:val="00807615"/>
    <w:rsid w:val="00807907"/>
    <w:rsid w:val="008109FD"/>
    <w:rsid w:val="00810F59"/>
    <w:rsid w:val="00813FC5"/>
    <w:rsid w:val="0081490A"/>
    <w:rsid w:val="0081516A"/>
    <w:rsid w:val="00815F70"/>
    <w:rsid w:val="00817636"/>
    <w:rsid w:val="00820220"/>
    <w:rsid w:val="008208B9"/>
    <w:rsid w:val="00820ABA"/>
    <w:rsid w:val="00820C5D"/>
    <w:rsid w:val="00820CFE"/>
    <w:rsid w:val="00821EB0"/>
    <w:rsid w:val="008220A4"/>
    <w:rsid w:val="00823628"/>
    <w:rsid w:val="00823B4C"/>
    <w:rsid w:val="00823CEE"/>
    <w:rsid w:val="008240F1"/>
    <w:rsid w:val="00824E07"/>
    <w:rsid w:val="0082513B"/>
    <w:rsid w:val="008253FB"/>
    <w:rsid w:val="00826F15"/>
    <w:rsid w:val="00827921"/>
    <w:rsid w:val="00827B11"/>
    <w:rsid w:val="00827BB9"/>
    <w:rsid w:val="00827D10"/>
    <w:rsid w:val="008305BD"/>
    <w:rsid w:val="0083065B"/>
    <w:rsid w:val="008318F3"/>
    <w:rsid w:val="008322F1"/>
    <w:rsid w:val="00833562"/>
    <w:rsid w:val="008336E1"/>
    <w:rsid w:val="00833B10"/>
    <w:rsid w:val="00833EC4"/>
    <w:rsid w:val="008340D8"/>
    <w:rsid w:val="008348C2"/>
    <w:rsid w:val="00834EB6"/>
    <w:rsid w:val="00835C67"/>
    <w:rsid w:val="00842078"/>
    <w:rsid w:val="00844CF1"/>
    <w:rsid w:val="00847885"/>
    <w:rsid w:val="008478B1"/>
    <w:rsid w:val="00847E94"/>
    <w:rsid w:val="008508F2"/>
    <w:rsid w:val="0085153B"/>
    <w:rsid w:val="0085166C"/>
    <w:rsid w:val="00851D98"/>
    <w:rsid w:val="0085207A"/>
    <w:rsid w:val="008545C6"/>
    <w:rsid w:val="008547B2"/>
    <w:rsid w:val="00855147"/>
    <w:rsid w:val="0085522C"/>
    <w:rsid w:val="00855458"/>
    <w:rsid w:val="00856C49"/>
    <w:rsid w:val="00856C62"/>
    <w:rsid w:val="008571D1"/>
    <w:rsid w:val="00861D53"/>
    <w:rsid w:val="00861F6F"/>
    <w:rsid w:val="008620E9"/>
    <w:rsid w:val="008628FF"/>
    <w:rsid w:val="00862A05"/>
    <w:rsid w:val="0086366F"/>
    <w:rsid w:val="00863E98"/>
    <w:rsid w:val="00865333"/>
    <w:rsid w:val="0086673A"/>
    <w:rsid w:val="00867038"/>
    <w:rsid w:val="00867585"/>
    <w:rsid w:val="00870D0E"/>
    <w:rsid w:val="0087164E"/>
    <w:rsid w:val="00871946"/>
    <w:rsid w:val="00871C85"/>
    <w:rsid w:val="0087230F"/>
    <w:rsid w:val="0087232B"/>
    <w:rsid w:val="008724BA"/>
    <w:rsid w:val="008725DB"/>
    <w:rsid w:val="00873675"/>
    <w:rsid w:val="00873B34"/>
    <w:rsid w:val="00874536"/>
    <w:rsid w:val="00875489"/>
    <w:rsid w:val="00875BFB"/>
    <w:rsid w:val="0087782F"/>
    <w:rsid w:val="00877D79"/>
    <w:rsid w:val="00877E05"/>
    <w:rsid w:val="00880B32"/>
    <w:rsid w:val="00881984"/>
    <w:rsid w:val="00881D59"/>
    <w:rsid w:val="0088254D"/>
    <w:rsid w:val="0088377F"/>
    <w:rsid w:val="00883E8D"/>
    <w:rsid w:val="0088466C"/>
    <w:rsid w:val="008847F7"/>
    <w:rsid w:val="00885620"/>
    <w:rsid w:val="0088569D"/>
    <w:rsid w:val="008869BA"/>
    <w:rsid w:val="0088724F"/>
    <w:rsid w:val="00887823"/>
    <w:rsid w:val="00887F50"/>
    <w:rsid w:val="00890D16"/>
    <w:rsid w:val="0089122B"/>
    <w:rsid w:val="008913CD"/>
    <w:rsid w:val="00893D8E"/>
    <w:rsid w:val="00894284"/>
    <w:rsid w:val="00894C50"/>
    <w:rsid w:val="00895961"/>
    <w:rsid w:val="008968E5"/>
    <w:rsid w:val="00897CB3"/>
    <w:rsid w:val="008A123D"/>
    <w:rsid w:val="008A164C"/>
    <w:rsid w:val="008A1E6F"/>
    <w:rsid w:val="008A3033"/>
    <w:rsid w:val="008A324C"/>
    <w:rsid w:val="008A39C5"/>
    <w:rsid w:val="008A4C6A"/>
    <w:rsid w:val="008A6072"/>
    <w:rsid w:val="008A60D9"/>
    <w:rsid w:val="008A68EC"/>
    <w:rsid w:val="008A7A3E"/>
    <w:rsid w:val="008B0719"/>
    <w:rsid w:val="008B3115"/>
    <w:rsid w:val="008B40EA"/>
    <w:rsid w:val="008B4BB2"/>
    <w:rsid w:val="008B5C18"/>
    <w:rsid w:val="008B5EEF"/>
    <w:rsid w:val="008B6293"/>
    <w:rsid w:val="008B7BB6"/>
    <w:rsid w:val="008C12DB"/>
    <w:rsid w:val="008C1496"/>
    <w:rsid w:val="008C21CA"/>
    <w:rsid w:val="008C2AAD"/>
    <w:rsid w:val="008C2B2D"/>
    <w:rsid w:val="008C2B78"/>
    <w:rsid w:val="008C3090"/>
    <w:rsid w:val="008C3DE1"/>
    <w:rsid w:val="008C4FD4"/>
    <w:rsid w:val="008C56E1"/>
    <w:rsid w:val="008C712D"/>
    <w:rsid w:val="008C7196"/>
    <w:rsid w:val="008C77AD"/>
    <w:rsid w:val="008D0949"/>
    <w:rsid w:val="008D2367"/>
    <w:rsid w:val="008D3217"/>
    <w:rsid w:val="008D34B4"/>
    <w:rsid w:val="008D3CA1"/>
    <w:rsid w:val="008D3E8A"/>
    <w:rsid w:val="008D3EF8"/>
    <w:rsid w:val="008D3F42"/>
    <w:rsid w:val="008D3F8A"/>
    <w:rsid w:val="008D45DE"/>
    <w:rsid w:val="008D4819"/>
    <w:rsid w:val="008D6C64"/>
    <w:rsid w:val="008D71E5"/>
    <w:rsid w:val="008D7F20"/>
    <w:rsid w:val="008E0367"/>
    <w:rsid w:val="008E0434"/>
    <w:rsid w:val="008E0A5C"/>
    <w:rsid w:val="008E0F98"/>
    <w:rsid w:val="008E19CE"/>
    <w:rsid w:val="008E2755"/>
    <w:rsid w:val="008E2995"/>
    <w:rsid w:val="008E4967"/>
    <w:rsid w:val="008E4B4C"/>
    <w:rsid w:val="008E6E97"/>
    <w:rsid w:val="008E7225"/>
    <w:rsid w:val="008E7EDC"/>
    <w:rsid w:val="008F0185"/>
    <w:rsid w:val="008F0F14"/>
    <w:rsid w:val="008F2383"/>
    <w:rsid w:val="008F3040"/>
    <w:rsid w:val="008F55F8"/>
    <w:rsid w:val="008F6F95"/>
    <w:rsid w:val="008F717C"/>
    <w:rsid w:val="00900171"/>
    <w:rsid w:val="00901230"/>
    <w:rsid w:val="0090167E"/>
    <w:rsid w:val="0090194A"/>
    <w:rsid w:val="00901EA6"/>
    <w:rsid w:val="00903905"/>
    <w:rsid w:val="00903C76"/>
    <w:rsid w:val="0090637B"/>
    <w:rsid w:val="009068C3"/>
    <w:rsid w:val="009108FE"/>
    <w:rsid w:val="00911CCC"/>
    <w:rsid w:val="00912974"/>
    <w:rsid w:val="00912F5D"/>
    <w:rsid w:val="009145E0"/>
    <w:rsid w:val="009146BE"/>
    <w:rsid w:val="00914F27"/>
    <w:rsid w:val="00915E10"/>
    <w:rsid w:val="00915EAE"/>
    <w:rsid w:val="00915EB7"/>
    <w:rsid w:val="00916F3A"/>
    <w:rsid w:val="00917F57"/>
    <w:rsid w:val="009204E4"/>
    <w:rsid w:val="00924376"/>
    <w:rsid w:val="009259BD"/>
    <w:rsid w:val="009268D3"/>
    <w:rsid w:val="00926E46"/>
    <w:rsid w:val="009278CF"/>
    <w:rsid w:val="00930862"/>
    <w:rsid w:val="00932BEE"/>
    <w:rsid w:val="00932E75"/>
    <w:rsid w:val="0093363A"/>
    <w:rsid w:val="00933785"/>
    <w:rsid w:val="009345C5"/>
    <w:rsid w:val="00936BF3"/>
    <w:rsid w:val="009373DB"/>
    <w:rsid w:val="0093783D"/>
    <w:rsid w:val="009401CC"/>
    <w:rsid w:val="00940558"/>
    <w:rsid w:val="00940787"/>
    <w:rsid w:val="00940A6E"/>
    <w:rsid w:val="0094111D"/>
    <w:rsid w:val="00941579"/>
    <w:rsid w:val="009433F4"/>
    <w:rsid w:val="0094345F"/>
    <w:rsid w:val="00943C8B"/>
    <w:rsid w:val="00945C29"/>
    <w:rsid w:val="00945C75"/>
    <w:rsid w:val="00946BB1"/>
    <w:rsid w:val="00946C00"/>
    <w:rsid w:val="00946DEC"/>
    <w:rsid w:val="0095017F"/>
    <w:rsid w:val="0095033D"/>
    <w:rsid w:val="009507FA"/>
    <w:rsid w:val="0095269D"/>
    <w:rsid w:val="009526DA"/>
    <w:rsid w:val="00952999"/>
    <w:rsid w:val="009533A8"/>
    <w:rsid w:val="00953A6E"/>
    <w:rsid w:val="0095531D"/>
    <w:rsid w:val="009555A7"/>
    <w:rsid w:val="00955C97"/>
    <w:rsid w:val="00957E82"/>
    <w:rsid w:val="00960386"/>
    <w:rsid w:val="009609FA"/>
    <w:rsid w:val="0096116D"/>
    <w:rsid w:val="00962549"/>
    <w:rsid w:val="00967CEA"/>
    <w:rsid w:val="00970BD8"/>
    <w:rsid w:val="00970F68"/>
    <w:rsid w:val="00971B60"/>
    <w:rsid w:val="00971DAF"/>
    <w:rsid w:val="00971E72"/>
    <w:rsid w:val="00972A56"/>
    <w:rsid w:val="00973500"/>
    <w:rsid w:val="009742C8"/>
    <w:rsid w:val="009750BB"/>
    <w:rsid w:val="0097594D"/>
    <w:rsid w:val="0097629D"/>
    <w:rsid w:val="009768D9"/>
    <w:rsid w:val="00977047"/>
    <w:rsid w:val="0097791C"/>
    <w:rsid w:val="009804F5"/>
    <w:rsid w:val="00980DE4"/>
    <w:rsid w:val="00981DD9"/>
    <w:rsid w:val="00981E05"/>
    <w:rsid w:val="0098293D"/>
    <w:rsid w:val="00985170"/>
    <w:rsid w:val="00985738"/>
    <w:rsid w:val="00985D2B"/>
    <w:rsid w:val="0098629D"/>
    <w:rsid w:val="00987F72"/>
    <w:rsid w:val="009900E4"/>
    <w:rsid w:val="00990226"/>
    <w:rsid w:val="009915B4"/>
    <w:rsid w:val="00993360"/>
    <w:rsid w:val="009955D5"/>
    <w:rsid w:val="00995EF5"/>
    <w:rsid w:val="00997029"/>
    <w:rsid w:val="009979B8"/>
    <w:rsid w:val="009A0088"/>
    <w:rsid w:val="009A03DB"/>
    <w:rsid w:val="009A28D0"/>
    <w:rsid w:val="009A3065"/>
    <w:rsid w:val="009A3564"/>
    <w:rsid w:val="009A553C"/>
    <w:rsid w:val="009A5C7B"/>
    <w:rsid w:val="009A7519"/>
    <w:rsid w:val="009A7DCC"/>
    <w:rsid w:val="009B0792"/>
    <w:rsid w:val="009B0DB0"/>
    <w:rsid w:val="009B1D61"/>
    <w:rsid w:val="009B1D75"/>
    <w:rsid w:val="009B2861"/>
    <w:rsid w:val="009B286F"/>
    <w:rsid w:val="009B2CFA"/>
    <w:rsid w:val="009B387E"/>
    <w:rsid w:val="009B3AE9"/>
    <w:rsid w:val="009B5426"/>
    <w:rsid w:val="009B55B1"/>
    <w:rsid w:val="009B5D9D"/>
    <w:rsid w:val="009B5EF3"/>
    <w:rsid w:val="009B6F84"/>
    <w:rsid w:val="009B7A55"/>
    <w:rsid w:val="009B7D93"/>
    <w:rsid w:val="009C01B8"/>
    <w:rsid w:val="009C210F"/>
    <w:rsid w:val="009C37E9"/>
    <w:rsid w:val="009C3A40"/>
    <w:rsid w:val="009C3D17"/>
    <w:rsid w:val="009C3D25"/>
    <w:rsid w:val="009C3FE7"/>
    <w:rsid w:val="009C441A"/>
    <w:rsid w:val="009C4905"/>
    <w:rsid w:val="009C4AD0"/>
    <w:rsid w:val="009C5358"/>
    <w:rsid w:val="009D1E4A"/>
    <w:rsid w:val="009D42B6"/>
    <w:rsid w:val="009D44CF"/>
    <w:rsid w:val="009D47FF"/>
    <w:rsid w:val="009D4ACD"/>
    <w:rsid w:val="009D5587"/>
    <w:rsid w:val="009D67B4"/>
    <w:rsid w:val="009D69FD"/>
    <w:rsid w:val="009D7662"/>
    <w:rsid w:val="009E0EC2"/>
    <w:rsid w:val="009E1EEF"/>
    <w:rsid w:val="009E2418"/>
    <w:rsid w:val="009E36B5"/>
    <w:rsid w:val="009E3CAA"/>
    <w:rsid w:val="009E607D"/>
    <w:rsid w:val="009E633B"/>
    <w:rsid w:val="009E6770"/>
    <w:rsid w:val="009E7560"/>
    <w:rsid w:val="009E766A"/>
    <w:rsid w:val="009E7DC1"/>
    <w:rsid w:val="009F024E"/>
    <w:rsid w:val="009F05BB"/>
    <w:rsid w:val="009F0F31"/>
    <w:rsid w:val="009F3CAB"/>
    <w:rsid w:val="009F4D67"/>
    <w:rsid w:val="009F51AC"/>
    <w:rsid w:val="009F7B95"/>
    <w:rsid w:val="00A04475"/>
    <w:rsid w:val="00A048E9"/>
    <w:rsid w:val="00A076CB"/>
    <w:rsid w:val="00A076DC"/>
    <w:rsid w:val="00A078FA"/>
    <w:rsid w:val="00A11CB0"/>
    <w:rsid w:val="00A11CEA"/>
    <w:rsid w:val="00A11F5D"/>
    <w:rsid w:val="00A13183"/>
    <w:rsid w:val="00A13A28"/>
    <w:rsid w:val="00A144DC"/>
    <w:rsid w:val="00A169F1"/>
    <w:rsid w:val="00A169F7"/>
    <w:rsid w:val="00A201BF"/>
    <w:rsid w:val="00A201F4"/>
    <w:rsid w:val="00A2093D"/>
    <w:rsid w:val="00A22015"/>
    <w:rsid w:val="00A22B57"/>
    <w:rsid w:val="00A22C7C"/>
    <w:rsid w:val="00A2560E"/>
    <w:rsid w:val="00A25B32"/>
    <w:rsid w:val="00A26245"/>
    <w:rsid w:val="00A26645"/>
    <w:rsid w:val="00A2678F"/>
    <w:rsid w:val="00A267BA"/>
    <w:rsid w:val="00A268AC"/>
    <w:rsid w:val="00A276F8"/>
    <w:rsid w:val="00A27919"/>
    <w:rsid w:val="00A300EE"/>
    <w:rsid w:val="00A32519"/>
    <w:rsid w:val="00A32700"/>
    <w:rsid w:val="00A32A7C"/>
    <w:rsid w:val="00A33BD1"/>
    <w:rsid w:val="00A34F22"/>
    <w:rsid w:val="00A36880"/>
    <w:rsid w:val="00A40A63"/>
    <w:rsid w:val="00A413D9"/>
    <w:rsid w:val="00A41B1B"/>
    <w:rsid w:val="00A44DD0"/>
    <w:rsid w:val="00A46237"/>
    <w:rsid w:val="00A5084A"/>
    <w:rsid w:val="00A50A27"/>
    <w:rsid w:val="00A50AC0"/>
    <w:rsid w:val="00A5167A"/>
    <w:rsid w:val="00A51698"/>
    <w:rsid w:val="00A52774"/>
    <w:rsid w:val="00A52AFA"/>
    <w:rsid w:val="00A52C18"/>
    <w:rsid w:val="00A550DA"/>
    <w:rsid w:val="00A566E5"/>
    <w:rsid w:val="00A5779B"/>
    <w:rsid w:val="00A6096A"/>
    <w:rsid w:val="00A619E6"/>
    <w:rsid w:val="00A61CDF"/>
    <w:rsid w:val="00A61FCB"/>
    <w:rsid w:val="00A636D3"/>
    <w:rsid w:val="00A65FCF"/>
    <w:rsid w:val="00A66689"/>
    <w:rsid w:val="00A6685F"/>
    <w:rsid w:val="00A66AEE"/>
    <w:rsid w:val="00A70FE0"/>
    <w:rsid w:val="00A73629"/>
    <w:rsid w:val="00A73723"/>
    <w:rsid w:val="00A73822"/>
    <w:rsid w:val="00A74798"/>
    <w:rsid w:val="00A74F97"/>
    <w:rsid w:val="00A7552B"/>
    <w:rsid w:val="00A758AC"/>
    <w:rsid w:val="00A813C7"/>
    <w:rsid w:val="00A81475"/>
    <w:rsid w:val="00A819BF"/>
    <w:rsid w:val="00A82461"/>
    <w:rsid w:val="00A82DF0"/>
    <w:rsid w:val="00A83648"/>
    <w:rsid w:val="00A83BA9"/>
    <w:rsid w:val="00A85845"/>
    <w:rsid w:val="00A87063"/>
    <w:rsid w:val="00A9036B"/>
    <w:rsid w:val="00A9047D"/>
    <w:rsid w:val="00A937ED"/>
    <w:rsid w:val="00A94499"/>
    <w:rsid w:val="00A9702C"/>
    <w:rsid w:val="00A97580"/>
    <w:rsid w:val="00AA0135"/>
    <w:rsid w:val="00AA0802"/>
    <w:rsid w:val="00AA26A3"/>
    <w:rsid w:val="00AA3507"/>
    <w:rsid w:val="00AA39DF"/>
    <w:rsid w:val="00AA3A5C"/>
    <w:rsid w:val="00AA5439"/>
    <w:rsid w:val="00AA62F2"/>
    <w:rsid w:val="00AA6759"/>
    <w:rsid w:val="00AA71F1"/>
    <w:rsid w:val="00AA73C8"/>
    <w:rsid w:val="00AA7BF2"/>
    <w:rsid w:val="00AB11F4"/>
    <w:rsid w:val="00AB1252"/>
    <w:rsid w:val="00AB3B45"/>
    <w:rsid w:val="00AB3B8E"/>
    <w:rsid w:val="00AB4913"/>
    <w:rsid w:val="00AB4A02"/>
    <w:rsid w:val="00AB570C"/>
    <w:rsid w:val="00AB5E51"/>
    <w:rsid w:val="00AB63E5"/>
    <w:rsid w:val="00AB6AB0"/>
    <w:rsid w:val="00AC16AE"/>
    <w:rsid w:val="00AC2FED"/>
    <w:rsid w:val="00AC32FC"/>
    <w:rsid w:val="00AC3FE5"/>
    <w:rsid w:val="00AC4DC5"/>
    <w:rsid w:val="00AC4E13"/>
    <w:rsid w:val="00AC51D6"/>
    <w:rsid w:val="00AC61C8"/>
    <w:rsid w:val="00AC691D"/>
    <w:rsid w:val="00AD07AA"/>
    <w:rsid w:val="00AD0D4E"/>
    <w:rsid w:val="00AD0EC4"/>
    <w:rsid w:val="00AD1043"/>
    <w:rsid w:val="00AD1A15"/>
    <w:rsid w:val="00AD2003"/>
    <w:rsid w:val="00AD3AF6"/>
    <w:rsid w:val="00AD3F40"/>
    <w:rsid w:val="00AD40AB"/>
    <w:rsid w:val="00AD553C"/>
    <w:rsid w:val="00AD5A25"/>
    <w:rsid w:val="00AD627D"/>
    <w:rsid w:val="00AD6639"/>
    <w:rsid w:val="00AD66E3"/>
    <w:rsid w:val="00AD68DA"/>
    <w:rsid w:val="00AD6A66"/>
    <w:rsid w:val="00AD6FCE"/>
    <w:rsid w:val="00AD721F"/>
    <w:rsid w:val="00AD7828"/>
    <w:rsid w:val="00AE078D"/>
    <w:rsid w:val="00AE10A1"/>
    <w:rsid w:val="00AE17A2"/>
    <w:rsid w:val="00AE3BF9"/>
    <w:rsid w:val="00AE3E5A"/>
    <w:rsid w:val="00AE5144"/>
    <w:rsid w:val="00AE6239"/>
    <w:rsid w:val="00AE792E"/>
    <w:rsid w:val="00AF072B"/>
    <w:rsid w:val="00AF1680"/>
    <w:rsid w:val="00AF34F7"/>
    <w:rsid w:val="00AF3CC5"/>
    <w:rsid w:val="00AF4920"/>
    <w:rsid w:val="00AF5C34"/>
    <w:rsid w:val="00B00107"/>
    <w:rsid w:val="00B00520"/>
    <w:rsid w:val="00B01748"/>
    <w:rsid w:val="00B025D0"/>
    <w:rsid w:val="00B0357F"/>
    <w:rsid w:val="00B051A6"/>
    <w:rsid w:val="00B056DA"/>
    <w:rsid w:val="00B05A49"/>
    <w:rsid w:val="00B06B06"/>
    <w:rsid w:val="00B070A1"/>
    <w:rsid w:val="00B07362"/>
    <w:rsid w:val="00B0743A"/>
    <w:rsid w:val="00B10C1A"/>
    <w:rsid w:val="00B1403B"/>
    <w:rsid w:val="00B1497F"/>
    <w:rsid w:val="00B14AA6"/>
    <w:rsid w:val="00B17143"/>
    <w:rsid w:val="00B17311"/>
    <w:rsid w:val="00B2089F"/>
    <w:rsid w:val="00B21848"/>
    <w:rsid w:val="00B22069"/>
    <w:rsid w:val="00B223C3"/>
    <w:rsid w:val="00B22485"/>
    <w:rsid w:val="00B2277A"/>
    <w:rsid w:val="00B22C73"/>
    <w:rsid w:val="00B23123"/>
    <w:rsid w:val="00B249FA"/>
    <w:rsid w:val="00B26024"/>
    <w:rsid w:val="00B26C0C"/>
    <w:rsid w:val="00B26E71"/>
    <w:rsid w:val="00B27D0C"/>
    <w:rsid w:val="00B30A21"/>
    <w:rsid w:val="00B30ACF"/>
    <w:rsid w:val="00B31078"/>
    <w:rsid w:val="00B3260B"/>
    <w:rsid w:val="00B32871"/>
    <w:rsid w:val="00B3332E"/>
    <w:rsid w:val="00B338F6"/>
    <w:rsid w:val="00B33DF2"/>
    <w:rsid w:val="00B341A4"/>
    <w:rsid w:val="00B3536D"/>
    <w:rsid w:val="00B354E5"/>
    <w:rsid w:val="00B3559E"/>
    <w:rsid w:val="00B362A3"/>
    <w:rsid w:val="00B37F3C"/>
    <w:rsid w:val="00B42CFA"/>
    <w:rsid w:val="00B4462A"/>
    <w:rsid w:val="00B44D57"/>
    <w:rsid w:val="00B45D39"/>
    <w:rsid w:val="00B4669C"/>
    <w:rsid w:val="00B47003"/>
    <w:rsid w:val="00B473CB"/>
    <w:rsid w:val="00B501C7"/>
    <w:rsid w:val="00B51775"/>
    <w:rsid w:val="00B52494"/>
    <w:rsid w:val="00B53CB2"/>
    <w:rsid w:val="00B53D5A"/>
    <w:rsid w:val="00B552B2"/>
    <w:rsid w:val="00B55F3E"/>
    <w:rsid w:val="00B56521"/>
    <w:rsid w:val="00B609DD"/>
    <w:rsid w:val="00B60F21"/>
    <w:rsid w:val="00B61A52"/>
    <w:rsid w:val="00B61D14"/>
    <w:rsid w:val="00B62ED2"/>
    <w:rsid w:val="00B634BE"/>
    <w:rsid w:val="00B64A19"/>
    <w:rsid w:val="00B655D5"/>
    <w:rsid w:val="00B65626"/>
    <w:rsid w:val="00B660ED"/>
    <w:rsid w:val="00B668A0"/>
    <w:rsid w:val="00B67099"/>
    <w:rsid w:val="00B7067E"/>
    <w:rsid w:val="00B72822"/>
    <w:rsid w:val="00B73D64"/>
    <w:rsid w:val="00B742E3"/>
    <w:rsid w:val="00B74823"/>
    <w:rsid w:val="00B748D7"/>
    <w:rsid w:val="00B7509F"/>
    <w:rsid w:val="00B757F0"/>
    <w:rsid w:val="00B75873"/>
    <w:rsid w:val="00B82096"/>
    <w:rsid w:val="00B82BAD"/>
    <w:rsid w:val="00B82F37"/>
    <w:rsid w:val="00B85562"/>
    <w:rsid w:val="00B85757"/>
    <w:rsid w:val="00B85C12"/>
    <w:rsid w:val="00B86219"/>
    <w:rsid w:val="00B86E03"/>
    <w:rsid w:val="00B9174E"/>
    <w:rsid w:val="00B91AED"/>
    <w:rsid w:val="00B92F9F"/>
    <w:rsid w:val="00B93299"/>
    <w:rsid w:val="00B94FC6"/>
    <w:rsid w:val="00B9515C"/>
    <w:rsid w:val="00B96A23"/>
    <w:rsid w:val="00BA0BC3"/>
    <w:rsid w:val="00BA0BCD"/>
    <w:rsid w:val="00BA120B"/>
    <w:rsid w:val="00BA1743"/>
    <w:rsid w:val="00BA26C6"/>
    <w:rsid w:val="00BA291C"/>
    <w:rsid w:val="00BA2E8F"/>
    <w:rsid w:val="00BA3515"/>
    <w:rsid w:val="00BA486A"/>
    <w:rsid w:val="00BA5233"/>
    <w:rsid w:val="00BA524A"/>
    <w:rsid w:val="00BA5F64"/>
    <w:rsid w:val="00BA6420"/>
    <w:rsid w:val="00BA7246"/>
    <w:rsid w:val="00BA79A2"/>
    <w:rsid w:val="00BA79C9"/>
    <w:rsid w:val="00BA7DB6"/>
    <w:rsid w:val="00BB01AE"/>
    <w:rsid w:val="00BB207D"/>
    <w:rsid w:val="00BB2B37"/>
    <w:rsid w:val="00BB52EC"/>
    <w:rsid w:val="00BB59F5"/>
    <w:rsid w:val="00BB667A"/>
    <w:rsid w:val="00BB7BC2"/>
    <w:rsid w:val="00BB7C4F"/>
    <w:rsid w:val="00BB7F61"/>
    <w:rsid w:val="00BC4391"/>
    <w:rsid w:val="00BC44DA"/>
    <w:rsid w:val="00BC4E72"/>
    <w:rsid w:val="00BC6738"/>
    <w:rsid w:val="00BC6CEE"/>
    <w:rsid w:val="00BC71EF"/>
    <w:rsid w:val="00BD054D"/>
    <w:rsid w:val="00BD0C1B"/>
    <w:rsid w:val="00BD0F94"/>
    <w:rsid w:val="00BD17DE"/>
    <w:rsid w:val="00BD32AB"/>
    <w:rsid w:val="00BD4AFD"/>
    <w:rsid w:val="00BD4C5D"/>
    <w:rsid w:val="00BD4F8F"/>
    <w:rsid w:val="00BD5FA0"/>
    <w:rsid w:val="00BD60DE"/>
    <w:rsid w:val="00BD6953"/>
    <w:rsid w:val="00BD76DA"/>
    <w:rsid w:val="00BE0002"/>
    <w:rsid w:val="00BE0CD6"/>
    <w:rsid w:val="00BE1689"/>
    <w:rsid w:val="00BE2420"/>
    <w:rsid w:val="00BE5F81"/>
    <w:rsid w:val="00BE712B"/>
    <w:rsid w:val="00BE753D"/>
    <w:rsid w:val="00BE7B88"/>
    <w:rsid w:val="00BF0D0B"/>
    <w:rsid w:val="00BF15E0"/>
    <w:rsid w:val="00BF28D3"/>
    <w:rsid w:val="00BF31D2"/>
    <w:rsid w:val="00BF3A47"/>
    <w:rsid w:val="00BF46E4"/>
    <w:rsid w:val="00BF538D"/>
    <w:rsid w:val="00BF5572"/>
    <w:rsid w:val="00BF568A"/>
    <w:rsid w:val="00BF5E88"/>
    <w:rsid w:val="00BF5F93"/>
    <w:rsid w:val="00BF65C5"/>
    <w:rsid w:val="00BF78A7"/>
    <w:rsid w:val="00BF7A9B"/>
    <w:rsid w:val="00C0075E"/>
    <w:rsid w:val="00C019F1"/>
    <w:rsid w:val="00C02D1E"/>
    <w:rsid w:val="00C0381A"/>
    <w:rsid w:val="00C038BF"/>
    <w:rsid w:val="00C059A8"/>
    <w:rsid w:val="00C060D7"/>
    <w:rsid w:val="00C06C8C"/>
    <w:rsid w:val="00C07294"/>
    <w:rsid w:val="00C10E4B"/>
    <w:rsid w:val="00C1124B"/>
    <w:rsid w:val="00C12207"/>
    <w:rsid w:val="00C13485"/>
    <w:rsid w:val="00C144AA"/>
    <w:rsid w:val="00C17305"/>
    <w:rsid w:val="00C21110"/>
    <w:rsid w:val="00C21E2B"/>
    <w:rsid w:val="00C23440"/>
    <w:rsid w:val="00C23BDC"/>
    <w:rsid w:val="00C23E06"/>
    <w:rsid w:val="00C2526C"/>
    <w:rsid w:val="00C25294"/>
    <w:rsid w:val="00C256C6"/>
    <w:rsid w:val="00C277DC"/>
    <w:rsid w:val="00C27DF7"/>
    <w:rsid w:val="00C3079F"/>
    <w:rsid w:val="00C30AE2"/>
    <w:rsid w:val="00C31480"/>
    <w:rsid w:val="00C32B27"/>
    <w:rsid w:val="00C32F47"/>
    <w:rsid w:val="00C33129"/>
    <w:rsid w:val="00C33E67"/>
    <w:rsid w:val="00C33F07"/>
    <w:rsid w:val="00C354A9"/>
    <w:rsid w:val="00C3603E"/>
    <w:rsid w:val="00C36331"/>
    <w:rsid w:val="00C36479"/>
    <w:rsid w:val="00C36B01"/>
    <w:rsid w:val="00C3733D"/>
    <w:rsid w:val="00C378D2"/>
    <w:rsid w:val="00C37F01"/>
    <w:rsid w:val="00C41911"/>
    <w:rsid w:val="00C42380"/>
    <w:rsid w:val="00C4293F"/>
    <w:rsid w:val="00C43247"/>
    <w:rsid w:val="00C44195"/>
    <w:rsid w:val="00C4429D"/>
    <w:rsid w:val="00C44AB1"/>
    <w:rsid w:val="00C45A7C"/>
    <w:rsid w:val="00C45F22"/>
    <w:rsid w:val="00C461BE"/>
    <w:rsid w:val="00C46E26"/>
    <w:rsid w:val="00C50AAD"/>
    <w:rsid w:val="00C50E34"/>
    <w:rsid w:val="00C520F3"/>
    <w:rsid w:val="00C52411"/>
    <w:rsid w:val="00C55009"/>
    <w:rsid w:val="00C55337"/>
    <w:rsid w:val="00C567F2"/>
    <w:rsid w:val="00C56A01"/>
    <w:rsid w:val="00C601D0"/>
    <w:rsid w:val="00C6359D"/>
    <w:rsid w:val="00C637DE"/>
    <w:rsid w:val="00C641C9"/>
    <w:rsid w:val="00C64494"/>
    <w:rsid w:val="00C64CC1"/>
    <w:rsid w:val="00C656B7"/>
    <w:rsid w:val="00C66891"/>
    <w:rsid w:val="00C6694A"/>
    <w:rsid w:val="00C672A9"/>
    <w:rsid w:val="00C672E6"/>
    <w:rsid w:val="00C678D0"/>
    <w:rsid w:val="00C679A5"/>
    <w:rsid w:val="00C67B43"/>
    <w:rsid w:val="00C723F8"/>
    <w:rsid w:val="00C728F2"/>
    <w:rsid w:val="00C72BC1"/>
    <w:rsid w:val="00C73F58"/>
    <w:rsid w:val="00C7400A"/>
    <w:rsid w:val="00C756F7"/>
    <w:rsid w:val="00C75ABC"/>
    <w:rsid w:val="00C76F55"/>
    <w:rsid w:val="00C77D2F"/>
    <w:rsid w:val="00C82366"/>
    <w:rsid w:val="00C82487"/>
    <w:rsid w:val="00C82C18"/>
    <w:rsid w:val="00C8397E"/>
    <w:rsid w:val="00C84B1E"/>
    <w:rsid w:val="00C854A7"/>
    <w:rsid w:val="00C85866"/>
    <w:rsid w:val="00C85AEE"/>
    <w:rsid w:val="00C85C8D"/>
    <w:rsid w:val="00C87E0C"/>
    <w:rsid w:val="00C87EA2"/>
    <w:rsid w:val="00C904C2"/>
    <w:rsid w:val="00C915CA"/>
    <w:rsid w:val="00C91A11"/>
    <w:rsid w:val="00C92115"/>
    <w:rsid w:val="00C92D58"/>
    <w:rsid w:val="00C93398"/>
    <w:rsid w:val="00C9389A"/>
    <w:rsid w:val="00C94AB7"/>
    <w:rsid w:val="00C94BAB"/>
    <w:rsid w:val="00C9575B"/>
    <w:rsid w:val="00C95AF9"/>
    <w:rsid w:val="00C970F0"/>
    <w:rsid w:val="00C97360"/>
    <w:rsid w:val="00CA0453"/>
    <w:rsid w:val="00CA07B1"/>
    <w:rsid w:val="00CA0CA7"/>
    <w:rsid w:val="00CA32A8"/>
    <w:rsid w:val="00CA4298"/>
    <w:rsid w:val="00CA434A"/>
    <w:rsid w:val="00CA606E"/>
    <w:rsid w:val="00CA6275"/>
    <w:rsid w:val="00CA669F"/>
    <w:rsid w:val="00CA757D"/>
    <w:rsid w:val="00CB1C19"/>
    <w:rsid w:val="00CB2B5C"/>
    <w:rsid w:val="00CB3BD2"/>
    <w:rsid w:val="00CC2932"/>
    <w:rsid w:val="00CC2CA6"/>
    <w:rsid w:val="00CC5B25"/>
    <w:rsid w:val="00CC6004"/>
    <w:rsid w:val="00CD1C1D"/>
    <w:rsid w:val="00CD2516"/>
    <w:rsid w:val="00CD5477"/>
    <w:rsid w:val="00CD6584"/>
    <w:rsid w:val="00CD6FC6"/>
    <w:rsid w:val="00CD7F9D"/>
    <w:rsid w:val="00CE14DF"/>
    <w:rsid w:val="00CE245A"/>
    <w:rsid w:val="00CE458C"/>
    <w:rsid w:val="00CE4AE4"/>
    <w:rsid w:val="00CE5636"/>
    <w:rsid w:val="00CE565A"/>
    <w:rsid w:val="00CE566E"/>
    <w:rsid w:val="00CE6904"/>
    <w:rsid w:val="00CE6BC2"/>
    <w:rsid w:val="00CE6FA4"/>
    <w:rsid w:val="00CE7AB2"/>
    <w:rsid w:val="00CF10EE"/>
    <w:rsid w:val="00CF2D5E"/>
    <w:rsid w:val="00CF4960"/>
    <w:rsid w:val="00CF5182"/>
    <w:rsid w:val="00CF6112"/>
    <w:rsid w:val="00CF6C49"/>
    <w:rsid w:val="00CF7198"/>
    <w:rsid w:val="00CF7621"/>
    <w:rsid w:val="00D00A3C"/>
    <w:rsid w:val="00D00B9D"/>
    <w:rsid w:val="00D00EB2"/>
    <w:rsid w:val="00D01284"/>
    <w:rsid w:val="00D02A22"/>
    <w:rsid w:val="00D03527"/>
    <w:rsid w:val="00D03733"/>
    <w:rsid w:val="00D07577"/>
    <w:rsid w:val="00D079E0"/>
    <w:rsid w:val="00D10791"/>
    <w:rsid w:val="00D108EF"/>
    <w:rsid w:val="00D10EE9"/>
    <w:rsid w:val="00D12927"/>
    <w:rsid w:val="00D133D7"/>
    <w:rsid w:val="00D13BF9"/>
    <w:rsid w:val="00D13EFF"/>
    <w:rsid w:val="00D14606"/>
    <w:rsid w:val="00D146F0"/>
    <w:rsid w:val="00D155E9"/>
    <w:rsid w:val="00D163B3"/>
    <w:rsid w:val="00D1656D"/>
    <w:rsid w:val="00D1678F"/>
    <w:rsid w:val="00D1685E"/>
    <w:rsid w:val="00D20D6F"/>
    <w:rsid w:val="00D2120B"/>
    <w:rsid w:val="00D21EBC"/>
    <w:rsid w:val="00D221E6"/>
    <w:rsid w:val="00D2439A"/>
    <w:rsid w:val="00D245EE"/>
    <w:rsid w:val="00D249B7"/>
    <w:rsid w:val="00D26EC0"/>
    <w:rsid w:val="00D27078"/>
    <w:rsid w:val="00D270F4"/>
    <w:rsid w:val="00D27780"/>
    <w:rsid w:val="00D27A25"/>
    <w:rsid w:val="00D27D47"/>
    <w:rsid w:val="00D30CA3"/>
    <w:rsid w:val="00D31B93"/>
    <w:rsid w:val="00D31BFA"/>
    <w:rsid w:val="00D3538A"/>
    <w:rsid w:val="00D35484"/>
    <w:rsid w:val="00D36C95"/>
    <w:rsid w:val="00D3723C"/>
    <w:rsid w:val="00D37F1C"/>
    <w:rsid w:val="00D412DA"/>
    <w:rsid w:val="00D415CD"/>
    <w:rsid w:val="00D4304F"/>
    <w:rsid w:val="00D4441E"/>
    <w:rsid w:val="00D445D9"/>
    <w:rsid w:val="00D4560E"/>
    <w:rsid w:val="00D457D9"/>
    <w:rsid w:val="00D471F8"/>
    <w:rsid w:val="00D47C6E"/>
    <w:rsid w:val="00D47F07"/>
    <w:rsid w:val="00D50942"/>
    <w:rsid w:val="00D51587"/>
    <w:rsid w:val="00D51EE0"/>
    <w:rsid w:val="00D51FC7"/>
    <w:rsid w:val="00D5321D"/>
    <w:rsid w:val="00D53412"/>
    <w:rsid w:val="00D53F6D"/>
    <w:rsid w:val="00D5569F"/>
    <w:rsid w:val="00D570D2"/>
    <w:rsid w:val="00D57305"/>
    <w:rsid w:val="00D60BAC"/>
    <w:rsid w:val="00D60E59"/>
    <w:rsid w:val="00D613BD"/>
    <w:rsid w:val="00D62928"/>
    <w:rsid w:val="00D630B6"/>
    <w:rsid w:val="00D67FA5"/>
    <w:rsid w:val="00D722A6"/>
    <w:rsid w:val="00D728DC"/>
    <w:rsid w:val="00D73956"/>
    <w:rsid w:val="00D73A18"/>
    <w:rsid w:val="00D751CA"/>
    <w:rsid w:val="00D75803"/>
    <w:rsid w:val="00D75CFA"/>
    <w:rsid w:val="00D80174"/>
    <w:rsid w:val="00D8044F"/>
    <w:rsid w:val="00D81A31"/>
    <w:rsid w:val="00D821F4"/>
    <w:rsid w:val="00D82B0F"/>
    <w:rsid w:val="00D83C7C"/>
    <w:rsid w:val="00D859D3"/>
    <w:rsid w:val="00D87534"/>
    <w:rsid w:val="00D876C7"/>
    <w:rsid w:val="00D87816"/>
    <w:rsid w:val="00D87A68"/>
    <w:rsid w:val="00D90350"/>
    <w:rsid w:val="00D90661"/>
    <w:rsid w:val="00D93796"/>
    <w:rsid w:val="00D93B9B"/>
    <w:rsid w:val="00D947C0"/>
    <w:rsid w:val="00D959F8"/>
    <w:rsid w:val="00D964A3"/>
    <w:rsid w:val="00D967ED"/>
    <w:rsid w:val="00D974AC"/>
    <w:rsid w:val="00D9798F"/>
    <w:rsid w:val="00DA1C91"/>
    <w:rsid w:val="00DA1DFB"/>
    <w:rsid w:val="00DA2541"/>
    <w:rsid w:val="00DA26F9"/>
    <w:rsid w:val="00DA2DC0"/>
    <w:rsid w:val="00DA3452"/>
    <w:rsid w:val="00DA42A3"/>
    <w:rsid w:val="00DA48D4"/>
    <w:rsid w:val="00DA52F0"/>
    <w:rsid w:val="00DA58C6"/>
    <w:rsid w:val="00DA7032"/>
    <w:rsid w:val="00DA7BC3"/>
    <w:rsid w:val="00DB0CFC"/>
    <w:rsid w:val="00DB102E"/>
    <w:rsid w:val="00DB2590"/>
    <w:rsid w:val="00DB32B5"/>
    <w:rsid w:val="00DB36C7"/>
    <w:rsid w:val="00DB3FB0"/>
    <w:rsid w:val="00DB42C9"/>
    <w:rsid w:val="00DB452B"/>
    <w:rsid w:val="00DB513A"/>
    <w:rsid w:val="00DB5AB3"/>
    <w:rsid w:val="00DB5D01"/>
    <w:rsid w:val="00DB645A"/>
    <w:rsid w:val="00DB662B"/>
    <w:rsid w:val="00DB73D5"/>
    <w:rsid w:val="00DC0415"/>
    <w:rsid w:val="00DC0871"/>
    <w:rsid w:val="00DC2A4D"/>
    <w:rsid w:val="00DC4630"/>
    <w:rsid w:val="00DC4C0D"/>
    <w:rsid w:val="00DC5BCD"/>
    <w:rsid w:val="00DC7D5D"/>
    <w:rsid w:val="00DD0443"/>
    <w:rsid w:val="00DD0AF5"/>
    <w:rsid w:val="00DD26C8"/>
    <w:rsid w:val="00DD2B80"/>
    <w:rsid w:val="00DD310B"/>
    <w:rsid w:val="00DD3C86"/>
    <w:rsid w:val="00DD4924"/>
    <w:rsid w:val="00DD5F47"/>
    <w:rsid w:val="00DD6F06"/>
    <w:rsid w:val="00DD718A"/>
    <w:rsid w:val="00DD7F8E"/>
    <w:rsid w:val="00DE09A5"/>
    <w:rsid w:val="00DE1933"/>
    <w:rsid w:val="00DE35D6"/>
    <w:rsid w:val="00DE38A7"/>
    <w:rsid w:val="00DE4388"/>
    <w:rsid w:val="00DE448D"/>
    <w:rsid w:val="00DE45FD"/>
    <w:rsid w:val="00DE504B"/>
    <w:rsid w:val="00DE6FCC"/>
    <w:rsid w:val="00DE71D2"/>
    <w:rsid w:val="00DF06C8"/>
    <w:rsid w:val="00DF1474"/>
    <w:rsid w:val="00DF1854"/>
    <w:rsid w:val="00DF1A49"/>
    <w:rsid w:val="00DF25D6"/>
    <w:rsid w:val="00DF3165"/>
    <w:rsid w:val="00DF3D32"/>
    <w:rsid w:val="00DF4A1C"/>
    <w:rsid w:val="00DF541B"/>
    <w:rsid w:val="00DF5A91"/>
    <w:rsid w:val="00DF696A"/>
    <w:rsid w:val="00DF74DF"/>
    <w:rsid w:val="00DF76AA"/>
    <w:rsid w:val="00E041E5"/>
    <w:rsid w:val="00E043A1"/>
    <w:rsid w:val="00E0658D"/>
    <w:rsid w:val="00E069A1"/>
    <w:rsid w:val="00E07D41"/>
    <w:rsid w:val="00E07E43"/>
    <w:rsid w:val="00E10DD3"/>
    <w:rsid w:val="00E11903"/>
    <w:rsid w:val="00E11FAE"/>
    <w:rsid w:val="00E1339F"/>
    <w:rsid w:val="00E138F6"/>
    <w:rsid w:val="00E1496B"/>
    <w:rsid w:val="00E150A7"/>
    <w:rsid w:val="00E15E43"/>
    <w:rsid w:val="00E16197"/>
    <w:rsid w:val="00E17262"/>
    <w:rsid w:val="00E2070D"/>
    <w:rsid w:val="00E20C65"/>
    <w:rsid w:val="00E21AEF"/>
    <w:rsid w:val="00E231E8"/>
    <w:rsid w:val="00E24377"/>
    <w:rsid w:val="00E24C40"/>
    <w:rsid w:val="00E26111"/>
    <w:rsid w:val="00E2694A"/>
    <w:rsid w:val="00E303BF"/>
    <w:rsid w:val="00E30E04"/>
    <w:rsid w:val="00E31406"/>
    <w:rsid w:val="00E355AE"/>
    <w:rsid w:val="00E36561"/>
    <w:rsid w:val="00E371BB"/>
    <w:rsid w:val="00E40261"/>
    <w:rsid w:val="00E404C5"/>
    <w:rsid w:val="00E4071E"/>
    <w:rsid w:val="00E40CDF"/>
    <w:rsid w:val="00E428CF"/>
    <w:rsid w:val="00E43BD7"/>
    <w:rsid w:val="00E46015"/>
    <w:rsid w:val="00E4685E"/>
    <w:rsid w:val="00E47746"/>
    <w:rsid w:val="00E4788B"/>
    <w:rsid w:val="00E50272"/>
    <w:rsid w:val="00E50CCC"/>
    <w:rsid w:val="00E50F68"/>
    <w:rsid w:val="00E5147C"/>
    <w:rsid w:val="00E52E3F"/>
    <w:rsid w:val="00E5305C"/>
    <w:rsid w:val="00E53223"/>
    <w:rsid w:val="00E543CD"/>
    <w:rsid w:val="00E55BED"/>
    <w:rsid w:val="00E56709"/>
    <w:rsid w:val="00E57B5A"/>
    <w:rsid w:val="00E603E4"/>
    <w:rsid w:val="00E61B9B"/>
    <w:rsid w:val="00E6253E"/>
    <w:rsid w:val="00E62696"/>
    <w:rsid w:val="00E62A6D"/>
    <w:rsid w:val="00E643CF"/>
    <w:rsid w:val="00E6659C"/>
    <w:rsid w:val="00E66627"/>
    <w:rsid w:val="00E66821"/>
    <w:rsid w:val="00E70045"/>
    <w:rsid w:val="00E70282"/>
    <w:rsid w:val="00E703B9"/>
    <w:rsid w:val="00E71045"/>
    <w:rsid w:val="00E71051"/>
    <w:rsid w:val="00E71179"/>
    <w:rsid w:val="00E71484"/>
    <w:rsid w:val="00E71836"/>
    <w:rsid w:val="00E721EC"/>
    <w:rsid w:val="00E737BA"/>
    <w:rsid w:val="00E73D11"/>
    <w:rsid w:val="00E73F71"/>
    <w:rsid w:val="00E74BD8"/>
    <w:rsid w:val="00E7572B"/>
    <w:rsid w:val="00E767E3"/>
    <w:rsid w:val="00E77788"/>
    <w:rsid w:val="00E80210"/>
    <w:rsid w:val="00E819AA"/>
    <w:rsid w:val="00E839C0"/>
    <w:rsid w:val="00E842B3"/>
    <w:rsid w:val="00E84C5A"/>
    <w:rsid w:val="00E85029"/>
    <w:rsid w:val="00E90996"/>
    <w:rsid w:val="00E92EB1"/>
    <w:rsid w:val="00E93798"/>
    <w:rsid w:val="00E939C4"/>
    <w:rsid w:val="00E93DAE"/>
    <w:rsid w:val="00E945F9"/>
    <w:rsid w:val="00E946B6"/>
    <w:rsid w:val="00E95A94"/>
    <w:rsid w:val="00E95DAF"/>
    <w:rsid w:val="00E9626F"/>
    <w:rsid w:val="00EA1029"/>
    <w:rsid w:val="00EA1437"/>
    <w:rsid w:val="00EA298E"/>
    <w:rsid w:val="00EA31AE"/>
    <w:rsid w:val="00EA342D"/>
    <w:rsid w:val="00EA35B6"/>
    <w:rsid w:val="00EA3F45"/>
    <w:rsid w:val="00EA52E4"/>
    <w:rsid w:val="00EA55BA"/>
    <w:rsid w:val="00EA6B92"/>
    <w:rsid w:val="00EB00DB"/>
    <w:rsid w:val="00EB0AE8"/>
    <w:rsid w:val="00EB1982"/>
    <w:rsid w:val="00EB1F33"/>
    <w:rsid w:val="00EB24CE"/>
    <w:rsid w:val="00EB28BF"/>
    <w:rsid w:val="00EB33F0"/>
    <w:rsid w:val="00EB4514"/>
    <w:rsid w:val="00EB4917"/>
    <w:rsid w:val="00EB525F"/>
    <w:rsid w:val="00EB5C1B"/>
    <w:rsid w:val="00EB6597"/>
    <w:rsid w:val="00EB6934"/>
    <w:rsid w:val="00EB6CE8"/>
    <w:rsid w:val="00EC25C9"/>
    <w:rsid w:val="00EC2EDA"/>
    <w:rsid w:val="00EC3ACE"/>
    <w:rsid w:val="00EC61A1"/>
    <w:rsid w:val="00EC63F2"/>
    <w:rsid w:val="00EC78B3"/>
    <w:rsid w:val="00EC7B79"/>
    <w:rsid w:val="00EC7CE3"/>
    <w:rsid w:val="00ED0234"/>
    <w:rsid w:val="00ED1584"/>
    <w:rsid w:val="00ED180C"/>
    <w:rsid w:val="00ED4242"/>
    <w:rsid w:val="00ED426C"/>
    <w:rsid w:val="00ED5248"/>
    <w:rsid w:val="00ED60B9"/>
    <w:rsid w:val="00ED6D4F"/>
    <w:rsid w:val="00ED6F99"/>
    <w:rsid w:val="00ED7B7D"/>
    <w:rsid w:val="00EE11A4"/>
    <w:rsid w:val="00EE16EC"/>
    <w:rsid w:val="00EE2ABD"/>
    <w:rsid w:val="00EE4527"/>
    <w:rsid w:val="00EE493C"/>
    <w:rsid w:val="00EE4CE1"/>
    <w:rsid w:val="00EE4EB4"/>
    <w:rsid w:val="00EE5BAE"/>
    <w:rsid w:val="00EF1B7E"/>
    <w:rsid w:val="00EF284B"/>
    <w:rsid w:val="00EF2CB9"/>
    <w:rsid w:val="00EF338C"/>
    <w:rsid w:val="00EF4509"/>
    <w:rsid w:val="00EF4C8A"/>
    <w:rsid w:val="00EF6763"/>
    <w:rsid w:val="00EF685B"/>
    <w:rsid w:val="00F02D2B"/>
    <w:rsid w:val="00F032C0"/>
    <w:rsid w:val="00F0337E"/>
    <w:rsid w:val="00F03894"/>
    <w:rsid w:val="00F0513F"/>
    <w:rsid w:val="00F06342"/>
    <w:rsid w:val="00F06AFE"/>
    <w:rsid w:val="00F102E3"/>
    <w:rsid w:val="00F10553"/>
    <w:rsid w:val="00F10813"/>
    <w:rsid w:val="00F10A10"/>
    <w:rsid w:val="00F11365"/>
    <w:rsid w:val="00F11EB4"/>
    <w:rsid w:val="00F12506"/>
    <w:rsid w:val="00F15FA1"/>
    <w:rsid w:val="00F16E6F"/>
    <w:rsid w:val="00F22008"/>
    <w:rsid w:val="00F224C5"/>
    <w:rsid w:val="00F22903"/>
    <w:rsid w:val="00F23538"/>
    <w:rsid w:val="00F235A9"/>
    <w:rsid w:val="00F24612"/>
    <w:rsid w:val="00F251EF"/>
    <w:rsid w:val="00F251F6"/>
    <w:rsid w:val="00F2579A"/>
    <w:rsid w:val="00F259CF"/>
    <w:rsid w:val="00F260A0"/>
    <w:rsid w:val="00F26309"/>
    <w:rsid w:val="00F267B2"/>
    <w:rsid w:val="00F278C0"/>
    <w:rsid w:val="00F27922"/>
    <w:rsid w:val="00F301FD"/>
    <w:rsid w:val="00F30AC7"/>
    <w:rsid w:val="00F31924"/>
    <w:rsid w:val="00F32908"/>
    <w:rsid w:val="00F32BEB"/>
    <w:rsid w:val="00F33384"/>
    <w:rsid w:val="00F362DE"/>
    <w:rsid w:val="00F363CC"/>
    <w:rsid w:val="00F3743A"/>
    <w:rsid w:val="00F405C4"/>
    <w:rsid w:val="00F40EEB"/>
    <w:rsid w:val="00F4467B"/>
    <w:rsid w:val="00F448EB"/>
    <w:rsid w:val="00F46E59"/>
    <w:rsid w:val="00F51D7D"/>
    <w:rsid w:val="00F51DA2"/>
    <w:rsid w:val="00F51F93"/>
    <w:rsid w:val="00F53CFC"/>
    <w:rsid w:val="00F53D19"/>
    <w:rsid w:val="00F5428A"/>
    <w:rsid w:val="00F55C50"/>
    <w:rsid w:val="00F563AC"/>
    <w:rsid w:val="00F56BEC"/>
    <w:rsid w:val="00F57A2C"/>
    <w:rsid w:val="00F604D6"/>
    <w:rsid w:val="00F60884"/>
    <w:rsid w:val="00F60A96"/>
    <w:rsid w:val="00F60CA6"/>
    <w:rsid w:val="00F60EA1"/>
    <w:rsid w:val="00F615CC"/>
    <w:rsid w:val="00F61BEA"/>
    <w:rsid w:val="00F61C8E"/>
    <w:rsid w:val="00F62F8C"/>
    <w:rsid w:val="00F66751"/>
    <w:rsid w:val="00F67220"/>
    <w:rsid w:val="00F70157"/>
    <w:rsid w:val="00F703F8"/>
    <w:rsid w:val="00F706AF"/>
    <w:rsid w:val="00F71A65"/>
    <w:rsid w:val="00F723E2"/>
    <w:rsid w:val="00F724DD"/>
    <w:rsid w:val="00F73AD6"/>
    <w:rsid w:val="00F744F1"/>
    <w:rsid w:val="00F7456C"/>
    <w:rsid w:val="00F76559"/>
    <w:rsid w:val="00F812B6"/>
    <w:rsid w:val="00F81F38"/>
    <w:rsid w:val="00F82A9B"/>
    <w:rsid w:val="00F82F99"/>
    <w:rsid w:val="00F8304F"/>
    <w:rsid w:val="00F84616"/>
    <w:rsid w:val="00F84F40"/>
    <w:rsid w:val="00F85472"/>
    <w:rsid w:val="00F860C7"/>
    <w:rsid w:val="00F864C2"/>
    <w:rsid w:val="00F86736"/>
    <w:rsid w:val="00F87D3A"/>
    <w:rsid w:val="00F9064B"/>
    <w:rsid w:val="00F95497"/>
    <w:rsid w:val="00F9680D"/>
    <w:rsid w:val="00F970B4"/>
    <w:rsid w:val="00F97E74"/>
    <w:rsid w:val="00FA00AA"/>
    <w:rsid w:val="00FA077F"/>
    <w:rsid w:val="00FA1088"/>
    <w:rsid w:val="00FA14A3"/>
    <w:rsid w:val="00FA213A"/>
    <w:rsid w:val="00FA7D31"/>
    <w:rsid w:val="00FB04F3"/>
    <w:rsid w:val="00FB0B1D"/>
    <w:rsid w:val="00FB10F4"/>
    <w:rsid w:val="00FB1FB8"/>
    <w:rsid w:val="00FB2E4A"/>
    <w:rsid w:val="00FB301C"/>
    <w:rsid w:val="00FB3DDC"/>
    <w:rsid w:val="00FB4F54"/>
    <w:rsid w:val="00FB558B"/>
    <w:rsid w:val="00FB57BC"/>
    <w:rsid w:val="00FB5DDD"/>
    <w:rsid w:val="00FB6D25"/>
    <w:rsid w:val="00FB717A"/>
    <w:rsid w:val="00FB7268"/>
    <w:rsid w:val="00FC02F3"/>
    <w:rsid w:val="00FC0F6C"/>
    <w:rsid w:val="00FC1052"/>
    <w:rsid w:val="00FC32FA"/>
    <w:rsid w:val="00FC3F84"/>
    <w:rsid w:val="00FC488C"/>
    <w:rsid w:val="00FC4ABF"/>
    <w:rsid w:val="00FC51B2"/>
    <w:rsid w:val="00FC5DB9"/>
    <w:rsid w:val="00FC64A6"/>
    <w:rsid w:val="00FC70F3"/>
    <w:rsid w:val="00FC710F"/>
    <w:rsid w:val="00FC7371"/>
    <w:rsid w:val="00FD20E9"/>
    <w:rsid w:val="00FD234F"/>
    <w:rsid w:val="00FD4101"/>
    <w:rsid w:val="00FD4C49"/>
    <w:rsid w:val="00FD6438"/>
    <w:rsid w:val="00FD6FE1"/>
    <w:rsid w:val="00FD7738"/>
    <w:rsid w:val="00FD7BA7"/>
    <w:rsid w:val="00FE092E"/>
    <w:rsid w:val="00FE169E"/>
    <w:rsid w:val="00FE2DA9"/>
    <w:rsid w:val="00FE3C19"/>
    <w:rsid w:val="00FE3D92"/>
    <w:rsid w:val="00FE48A3"/>
    <w:rsid w:val="00FE4FED"/>
    <w:rsid w:val="00FE56DD"/>
    <w:rsid w:val="00FE7C3F"/>
    <w:rsid w:val="00FF0677"/>
    <w:rsid w:val="00FF179F"/>
    <w:rsid w:val="00FF484A"/>
    <w:rsid w:val="00FF5052"/>
    <w:rsid w:val="00FF55C7"/>
    <w:rsid w:val="00FF6D21"/>
    <w:rsid w:val="00FF713E"/>
    <w:rsid w:val="08A77C46"/>
    <w:rsid w:val="0F11C495"/>
    <w:rsid w:val="12EBA66E"/>
    <w:rsid w:val="15469241"/>
    <w:rsid w:val="38D90BFD"/>
    <w:rsid w:val="4FC148EE"/>
    <w:rsid w:val="6B79659D"/>
    <w:rsid w:val="7B076D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AE10D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09F"/>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B7509F"/>
    <w:pPr>
      <w:spacing w:after="240"/>
      <w:outlineLvl w:val="0"/>
    </w:pPr>
    <w:rPr>
      <w:rFonts w:ascii="Arial Bold" w:hAnsi="Arial Bold"/>
      <w:b/>
      <w:kern w:val="34"/>
      <w:sz w:val="36"/>
    </w:rPr>
  </w:style>
  <w:style w:type="paragraph" w:styleId="Heading2">
    <w:name w:val="heading 2"/>
    <w:basedOn w:val="HeadingBase"/>
    <w:next w:val="Normal"/>
    <w:link w:val="Heading2Char"/>
    <w:qFormat/>
    <w:rsid w:val="00B7509F"/>
    <w:pPr>
      <w:spacing w:before="240" w:after="240"/>
      <w:outlineLvl w:val="1"/>
    </w:pPr>
    <w:rPr>
      <w:rFonts w:ascii="Arial Bold" w:hAnsi="Arial Bold"/>
      <w:b/>
      <w:sz w:val="26"/>
    </w:rPr>
  </w:style>
  <w:style w:type="paragraph" w:styleId="Heading3">
    <w:name w:val="heading 3"/>
    <w:basedOn w:val="HeadingBase"/>
    <w:next w:val="Normal"/>
    <w:link w:val="Heading3Char"/>
    <w:qFormat/>
    <w:rsid w:val="00B7509F"/>
    <w:pPr>
      <w:spacing w:before="120" w:after="120"/>
      <w:outlineLvl w:val="2"/>
    </w:pPr>
    <w:rPr>
      <w:rFonts w:ascii="Arial Bold" w:hAnsi="Arial Bold"/>
      <w:b/>
      <w:sz w:val="22"/>
    </w:rPr>
  </w:style>
  <w:style w:type="paragraph" w:styleId="Heading4">
    <w:name w:val="heading 4"/>
    <w:basedOn w:val="HeadingBase"/>
    <w:next w:val="Normal"/>
    <w:link w:val="Heading4Char"/>
    <w:qFormat/>
    <w:rsid w:val="00B7509F"/>
    <w:pPr>
      <w:spacing w:after="120"/>
      <w:outlineLvl w:val="3"/>
    </w:pPr>
    <w:rPr>
      <w:rFonts w:ascii="Arial Bold" w:hAnsi="Arial Bold"/>
      <w:b/>
      <w:sz w:val="20"/>
    </w:rPr>
  </w:style>
  <w:style w:type="paragraph" w:styleId="Heading5">
    <w:name w:val="heading 5"/>
    <w:basedOn w:val="HeadingBase"/>
    <w:next w:val="Normal"/>
    <w:link w:val="Heading5Char"/>
    <w:qFormat/>
    <w:rsid w:val="00B7509F"/>
    <w:pPr>
      <w:spacing w:after="120"/>
      <w:outlineLvl w:val="4"/>
    </w:pPr>
    <w:rPr>
      <w:bCs/>
      <w:i/>
      <w:iCs/>
      <w:sz w:val="20"/>
      <w:szCs w:val="26"/>
    </w:rPr>
  </w:style>
  <w:style w:type="paragraph" w:styleId="Heading6">
    <w:name w:val="heading 6"/>
    <w:basedOn w:val="HeadingBase"/>
    <w:next w:val="Normal"/>
    <w:link w:val="Heading6Char"/>
    <w:rsid w:val="00B7509F"/>
    <w:pPr>
      <w:spacing w:after="120"/>
      <w:outlineLvl w:val="5"/>
    </w:pPr>
    <w:rPr>
      <w:bCs/>
      <w:sz w:val="20"/>
      <w:szCs w:val="22"/>
    </w:rPr>
  </w:style>
  <w:style w:type="paragraph" w:styleId="Heading7">
    <w:name w:val="heading 7"/>
    <w:basedOn w:val="HeadingBase"/>
    <w:next w:val="Normal"/>
    <w:link w:val="Heading7Char"/>
    <w:rsid w:val="00B7509F"/>
    <w:pPr>
      <w:spacing w:before="120"/>
      <w:outlineLvl w:val="6"/>
    </w:pPr>
    <w:rPr>
      <w:sz w:val="20"/>
      <w:szCs w:val="24"/>
    </w:rPr>
  </w:style>
  <w:style w:type="paragraph" w:styleId="Heading8">
    <w:name w:val="heading 8"/>
    <w:basedOn w:val="HeadingBase"/>
    <w:next w:val="Normal"/>
    <w:link w:val="Heading8Char"/>
    <w:rsid w:val="00B7509F"/>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B7509F"/>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B7509F"/>
    <w:pPr>
      <w:tabs>
        <w:tab w:val="center" w:pos="4153"/>
        <w:tab w:val="right" w:pos="8306"/>
      </w:tabs>
    </w:pPr>
  </w:style>
  <w:style w:type="character" w:customStyle="1" w:styleId="HeaderChar">
    <w:name w:val="Header Char"/>
    <w:basedOn w:val="DefaultParagraphFont"/>
    <w:link w:val="Header"/>
    <w:rsid w:val="00B7509F"/>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B7509F"/>
    <w:pPr>
      <w:tabs>
        <w:tab w:val="center" w:pos="4153"/>
        <w:tab w:val="right" w:pos="8306"/>
      </w:tabs>
    </w:pPr>
  </w:style>
  <w:style w:type="character" w:customStyle="1" w:styleId="FooterChar">
    <w:name w:val="Footer Char"/>
    <w:basedOn w:val="DefaultParagraphFont"/>
    <w:link w:val="Footer"/>
    <w:rsid w:val="00B7509F"/>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B7509F"/>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B7509F"/>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B7509F"/>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B7509F"/>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B7509F"/>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B7509F"/>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B7509F"/>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B7509F"/>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B7509F"/>
    <w:pPr>
      <w:jc w:val="center"/>
    </w:pPr>
    <w:rPr>
      <w:rFonts w:ascii="Arial Bold" w:hAnsi="Arial Bold"/>
      <w:b/>
      <w:caps/>
      <w:sz w:val="22"/>
    </w:rPr>
  </w:style>
  <w:style w:type="paragraph" w:customStyle="1" w:styleId="FileProperties">
    <w:name w:val="File Properties"/>
    <w:basedOn w:val="Normal"/>
    <w:rsid w:val="00B7509F"/>
    <w:pPr>
      <w:spacing w:before="0"/>
    </w:pPr>
    <w:rPr>
      <w:i/>
    </w:rPr>
  </w:style>
  <w:style w:type="paragraph" w:customStyle="1" w:styleId="AlphaParagraph">
    <w:name w:val="Alpha Paragraph"/>
    <w:basedOn w:val="Normal"/>
    <w:rsid w:val="00B7509F"/>
    <w:pPr>
      <w:numPr>
        <w:numId w:val="1"/>
      </w:numPr>
      <w:tabs>
        <w:tab w:val="clear" w:pos="567"/>
        <w:tab w:val="num" w:pos="360"/>
      </w:tabs>
      <w:ind w:left="0" w:firstLine="0"/>
    </w:pPr>
  </w:style>
  <w:style w:type="paragraph" w:customStyle="1" w:styleId="HeadingBase">
    <w:name w:val="Heading Base"/>
    <w:rsid w:val="00B7509F"/>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B7509F"/>
    <w:rPr>
      <w:bCs/>
      <w:color w:val="002A54" w:themeColor="text2"/>
      <w:szCs w:val="52"/>
    </w:rPr>
  </w:style>
  <w:style w:type="paragraph" w:customStyle="1" w:styleId="BoxText">
    <w:name w:val="Box Text"/>
    <w:basedOn w:val="Normal"/>
    <w:link w:val="BoxTextChar"/>
    <w:qFormat/>
    <w:rsid w:val="00B7509F"/>
    <w:pPr>
      <w:spacing w:before="120" w:after="120" w:line="240" w:lineRule="auto"/>
    </w:pPr>
  </w:style>
  <w:style w:type="paragraph" w:customStyle="1" w:styleId="BoxBullet">
    <w:name w:val="Box Bullet"/>
    <w:basedOn w:val="BoxText"/>
    <w:rsid w:val="00B7509F"/>
    <w:pPr>
      <w:numPr>
        <w:numId w:val="2"/>
      </w:numPr>
    </w:pPr>
  </w:style>
  <w:style w:type="paragraph" w:customStyle="1" w:styleId="BoxHeading">
    <w:name w:val="Box Heading"/>
    <w:basedOn w:val="HeadingBase"/>
    <w:next w:val="BoxText"/>
    <w:rsid w:val="00B7509F"/>
    <w:pPr>
      <w:spacing w:before="120" w:after="120"/>
    </w:pPr>
    <w:rPr>
      <w:b/>
      <w:sz w:val="20"/>
    </w:rPr>
  </w:style>
  <w:style w:type="character" w:customStyle="1" w:styleId="Heading6Char">
    <w:name w:val="Heading 6 Char"/>
    <w:basedOn w:val="DefaultParagraphFont"/>
    <w:link w:val="Heading6"/>
    <w:rsid w:val="00B7509F"/>
    <w:rPr>
      <w:rFonts w:ascii="Arial" w:eastAsia="Times New Roman" w:hAnsi="Arial" w:cs="Times New Roman"/>
      <w:bCs/>
      <w:sz w:val="20"/>
      <w:lang w:eastAsia="en-AU"/>
    </w:rPr>
  </w:style>
  <w:style w:type="paragraph" w:customStyle="1" w:styleId="Bullet">
    <w:name w:val="Bullet"/>
    <w:basedOn w:val="Normal"/>
    <w:link w:val="BulletChar"/>
    <w:qFormat/>
    <w:rsid w:val="00B7509F"/>
    <w:pPr>
      <w:numPr>
        <w:numId w:val="7"/>
      </w:numPr>
      <w:spacing w:after="160"/>
      <w:ind w:left="284" w:hanging="284"/>
    </w:pPr>
  </w:style>
  <w:style w:type="paragraph" w:styleId="Caption">
    <w:name w:val="caption"/>
    <w:basedOn w:val="Normal"/>
    <w:next w:val="Normal"/>
    <w:rsid w:val="00B7509F"/>
    <w:rPr>
      <w:b/>
      <w:bCs/>
    </w:rPr>
  </w:style>
  <w:style w:type="paragraph" w:customStyle="1" w:styleId="ChartandTableFootnote">
    <w:name w:val="Chart and Table Footnote"/>
    <w:basedOn w:val="HeadingBase"/>
    <w:next w:val="Normal"/>
    <w:rsid w:val="00B7509F"/>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B7509F"/>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B7509F"/>
    <w:pPr>
      <w:keepNext w:val="0"/>
      <w:tabs>
        <w:tab w:val="left" w:pos="284"/>
      </w:tabs>
      <w:jc w:val="both"/>
    </w:pPr>
    <w:rPr>
      <w:color w:val="000000"/>
      <w:sz w:val="15"/>
    </w:rPr>
  </w:style>
  <w:style w:type="paragraph" w:customStyle="1" w:styleId="ChartGraphic">
    <w:name w:val="Chart Graphic"/>
    <w:basedOn w:val="HeadingBase"/>
    <w:rsid w:val="00B7509F"/>
    <w:rPr>
      <w:sz w:val="20"/>
    </w:rPr>
  </w:style>
  <w:style w:type="paragraph" w:customStyle="1" w:styleId="TableLine">
    <w:name w:val="Table Line"/>
    <w:basedOn w:val="Normal"/>
    <w:next w:val="Normal"/>
    <w:autoRedefine/>
    <w:rsid w:val="00B7509F"/>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B7509F"/>
    <w:pPr>
      <w:spacing w:after="60"/>
    </w:pPr>
    <w:rPr>
      <w:sz w:val="19"/>
    </w:rPr>
  </w:style>
  <w:style w:type="character" w:styleId="CommentReference">
    <w:name w:val="annotation reference"/>
    <w:basedOn w:val="DefaultParagraphFont"/>
    <w:semiHidden/>
    <w:rsid w:val="00B7509F"/>
    <w:rPr>
      <w:sz w:val="16"/>
      <w:szCs w:val="16"/>
    </w:rPr>
  </w:style>
  <w:style w:type="paragraph" w:styleId="CommentText">
    <w:name w:val="annotation text"/>
    <w:basedOn w:val="Normal"/>
    <w:link w:val="CommentTextChar"/>
    <w:semiHidden/>
    <w:rsid w:val="00B7509F"/>
  </w:style>
  <w:style w:type="character" w:customStyle="1" w:styleId="CommentTextChar">
    <w:name w:val="Comment Text Char"/>
    <w:basedOn w:val="DefaultParagraphFont"/>
    <w:link w:val="CommentText"/>
    <w:semiHidden/>
    <w:rsid w:val="00B7509F"/>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B7509F"/>
    <w:rPr>
      <w:b/>
      <w:bCs/>
    </w:rPr>
  </w:style>
  <w:style w:type="character" w:customStyle="1" w:styleId="CommentSubjectChar">
    <w:name w:val="Comment Subject Char"/>
    <w:basedOn w:val="CommentTextChar"/>
    <w:link w:val="CommentSubject"/>
    <w:semiHidden/>
    <w:rsid w:val="00B7509F"/>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B7509F"/>
    <w:pPr>
      <w:spacing w:after="720"/>
      <w:outlineLvl w:val="9"/>
    </w:pPr>
  </w:style>
  <w:style w:type="character" w:styleId="Strong">
    <w:name w:val="Strong"/>
    <w:basedOn w:val="DefaultParagraphFont"/>
    <w:uiPriority w:val="22"/>
    <w:qFormat/>
    <w:rsid w:val="00B7509F"/>
    <w:rPr>
      <w:b/>
      <w:bCs/>
      <w:color w:val="auto"/>
    </w:rPr>
  </w:style>
  <w:style w:type="paragraph" w:customStyle="1" w:styleId="Dash">
    <w:name w:val="Dash"/>
    <w:basedOn w:val="Normal"/>
    <w:qFormat/>
    <w:rsid w:val="00B7509F"/>
    <w:pPr>
      <w:numPr>
        <w:ilvl w:val="1"/>
        <w:numId w:val="7"/>
      </w:numPr>
      <w:tabs>
        <w:tab w:val="left" w:pos="567"/>
      </w:tabs>
    </w:pPr>
  </w:style>
  <w:style w:type="paragraph" w:styleId="DocumentMap">
    <w:name w:val="Document Map"/>
    <w:basedOn w:val="Normal"/>
    <w:link w:val="DocumentMapChar"/>
    <w:semiHidden/>
    <w:rsid w:val="00B7509F"/>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09F"/>
    <w:rPr>
      <w:rFonts w:ascii="Tahoma" w:eastAsia="Times New Roman" w:hAnsi="Tahoma" w:cs="Tahoma"/>
      <w:sz w:val="19"/>
      <w:szCs w:val="20"/>
      <w:shd w:val="clear" w:color="auto" w:fill="000080"/>
      <w:lang w:eastAsia="en-AU"/>
    </w:rPr>
  </w:style>
  <w:style w:type="paragraph" w:customStyle="1" w:styleId="DoubleDot">
    <w:name w:val="Double Dot"/>
    <w:basedOn w:val="Normal"/>
    <w:rsid w:val="00B7509F"/>
    <w:pPr>
      <w:numPr>
        <w:ilvl w:val="2"/>
        <w:numId w:val="7"/>
      </w:numPr>
      <w:tabs>
        <w:tab w:val="clear" w:pos="850"/>
        <w:tab w:val="num" w:pos="360"/>
        <w:tab w:val="left" w:pos="851"/>
      </w:tabs>
    </w:pPr>
  </w:style>
  <w:style w:type="paragraph" w:customStyle="1" w:styleId="FigureHeading">
    <w:name w:val="Figure Heading"/>
    <w:basedOn w:val="HeadingBase"/>
    <w:next w:val="ChartGraphic"/>
    <w:rsid w:val="00B7509F"/>
    <w:pPr>
      <w:spacing w:before="120" w:after="20"/>
    </w:pPr>
    <w:rPr>
      <w:b/>
      <w:sz w:val="20"/>
    </w:rPr>
  </w:style>
  <w:style w:type="paragraph" w:customStyle="1" w:styleId="FooterBase">
    <w:name w:val="Footer Base"/>
    <w:rsid w:val="00B7509F"/>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B7509F"/>
    <w:pPr>
      <w:pBdr>
        <w:top w:val="single" w:sz="4" w:space="10" w:color="002A54" w:themeColor="text2"/>
      </w:pBdr>
      <w:jc w:val="left"/>
    </w:pPr>
    <w:rPr>
      <w:sz w:val="18"/>
    </w:rPr>
  </w:style>
  <w:style w:type="paragraph" w:customStyle="1" w:styleId="FooterOdd">
    <w:name w:val="Footer Odd"/>
    <w:basedOn w:val="Footer"/>
    <w:qFormat/>
    <w:rsid w:val="00B7509F"/>
    <w:pPr>
      <w:pBdr>
        <w:top w:val="single" w:sz="4" w:space="10" w:color="002A54" w:themeColor="text2"/>
      </w:pBdr>
      <w:jc w:val="right"/>
    </w:pPr>
    <w:rPr>
      <w:sz w:val="18"/>
    </w:rPr>
  </w:style>
  <w:style w:type="character" w:styleId="FootnoteReference">
    <w:name w:val="footnote reference"/>
    <w:basedOn w:val="DefaultParagraphFont"/>
    <w:rsid w:val="00B7509F"/>
    <w:rPr>
      <w:vertAlign w:val="superscript"/>
    </w:rPr>
  </w:style>
  <w:style w:type="paragraph" w:styleId="FootnoteText">
    <w:name w:val="footnote text"/>
    <w:basedOn w:val="Normal"/>
    <w:link w:val="FootnoteTextChar"/>
    <w:rsid w:val="00B7509F"/>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B7509F"/>
    <w:rPr>
      <w:rFonts w:ascii="Book Antiqua" w:eastAsia="Times New Roman" w:hAnsi="Book Antiqua" w:cs="Times New Roman"/>
      <w:sz w:val="18"/>
      <w:szCs w:val="20"/>
      <w:lang w:eastAsia="en-AU"/>
    </w:rPr>
  </w:style>
  <w:style w:type="character" w:customStyle="1" w:styleId="FramedHeader">
    <w:name w:val="Framed Header"/>
    <w:basedOn w:val="DefaultParagraphFont"/>
    <w:rsid w:val="00B7509F"/>
    <w:rPr>
      <w:rFonts w:ascii="Book Antiqua" w:hAnsi="Book Antiqua"/>
      <w:i/>
      <w:dstrike w:val="0"/>
      <w:color w:val="auto"/>
      <w:sz w:val="20"/>
      <w:vertAlign w:val="baseline"/>
    </w:rPr>
  </w:style>
  <w:style w:type="paragraph" w:customStyle="1" w:styleId="HeaderBase">
    <w:name w:val="Header Base"/>
    <w:rsid w:val="00B7509F"/>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B7509F"/>
  </w:style>
  <w:style w:type="paragraph" w:customStyle="1" w:styleId="HeaderOdd">
    <w:name w:val="Header Odd"/>
    <w:basedOn w:val="HeaderBase"/>
    <w:rsid w:val="00B7509F"/>
    <w:pPr>
      <w:jc w:val="right"/>
    </w:pPr>
  </w:style>
  <w:style w:type="character" w:customStyle="1" w:styleId="Heading1Char">
    <w:name w:val="Heading 1 Char"/>
    <w:basedOn w:val="DefaultParagraphFont"/>
    <w:link w:val="Heading1"/>
    <w:rsid w:val="00B7509F"/>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B7509F"/>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B7509F"/>
    <w:rPr>
      <w:rFonts w:ascii="Arial Bold" w:eastAsia="Times New Roman" w:hAnsi="Arial Bold" w:cs="Times New Roman"/>
      <w:b/>
      <w:szCs w:val="20"/>
      <w:lang w:eastAsia="en-AU"/>
    </w:rPr>
  </w:style>
  <w:style w:type="paragraph" w:customStyle="1" w:styleId="Heading3noTOC">
    <w:name w:val="Heading 3 no TOC"/>
    <w:basedOn w:val="Heading3"/>
    <w:rsid w:val="00B7509F"/>
    <w:pPr>
      <w:outlineLvl w:val="9"/>
    </w:pPr>
  </w:style>
  <w:style w:type="character" w:customStyle="1" w:styleId="Heading4Char">
    <w:name w:val="Heading 4 Char"/>
    <w:basedOn w:val="DefaultParagraphFont"/>
    <w:link w:val="Heading4"/>
    <w:rsid w:val="00B7509F"/>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B7509F"/>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B7509F"/>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B7509F"/>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B7509F"/>
    <w:rPr>
      <w:rFonts w:ascii="Times New Roman" w:hAnsi="Times New Roman"/>
      <w:vanish/>
      <w:sz w:val="16"/>
    </w:rPr>
  </w:style>
  <w:style w:type="character" w:styleId="Hyperlink">
    <w:name w:val="Hyperlink"/>
    <w:basedOn w:val="DefaultParagraphFont"/>
    <w:uiPriority w:val="99"/>
    <w:unhideWhenUsed/>
    <w:rsid w:val="00B7509F"/>
    <w:rPr>
      <w:color w:val="auto"/>
      <w:u w:val="single"/>
    </w:rPr>
  </w:style>
  <w:style w:type="paragraph" w:styleId="Index4">
    <w:name w:val="index 4"/>
    <w:basedOn w:val="Normal"/>
    <w:next w:val="Normal"/>
    <w:autoRedefine/>
    <w:semiHidden/>
    <w:rsid w:val="00B7509F"/>
    <w:pPr>
      <w:ind w:left="800" w:hanging="200"/>
    </w:pPr>
  </w:style>
  <w:style w:type="paragraph" w:styleId="Index5">
    <w:name w:val="index 5"/>
    <w:basedOn w:val="Normal"/>
    <w:next w:val="Normal"/>
    <w:autoRedefine/>
    <w:semiHidden/>
    <w:rsid w:val="00B7509F"/>
    <w:pPr>
      <w:ind w:left="1000" w:hanging="200"/>
    </w:pPr>
  </w:style>
  <w:style w:type="paragraph" w:styleId="Index6">
    <w:name w:val="index 6"/>
    <w:basedOn w:val="Normal"/>
    <w:next w:val="Normal"/>
    <w:autoRedefine/>
    <w:semiHidden/>
    <w:rsid w:val="00B7509F"/>
    <w:pPr>
      <w:ind w:left="1200" w:hanging="200"/>
    </w:pPr>
  </w:style>
  <w:style w:type="paragraph" w:styleId="Index7">
    <w:name w:val="index 7"/>
    <w:basedOn w:val="Normal"/>
    <w:next w:val="Normal"/>
    <w:autoRedefine/>
    <w:semiHidden/>
    <w:rsid w:val="00B7509F"/>
    <w:pPr>
      <w:ind w:left="1400" w:hanging="200"/>
    </w:pPr>
  </w:style>
  <w:style w:type="paragraph" w:styleId="Index8">
    <w:name w:val="index 8"/>
    <w:basedOn w:val="Normal"/>
    <w:next w:val="Normal"/>
    <w:autoRedefine/>
    <w:semiHidden/>
    <w:rsid w:val="00B7509F"/>
    <w:pPr>
      <w:ind w:left="1600" w:hanging="200"/>
    </w:pPr>
  </w:style>
  <w:style w:type="paragraph" w:styleId="Index9">
    <w:name w:val="index 9"/>
    <w:basedOn w:val="Normal"/>
    <w:next w:val="Normal"/>
    <w:autoRedefine/>
    <w:semiHidden/>
    <w:rsid w:val="00B7509F"/>
    <w:pPr>
      <w:ind w:left="1800" w:hanging="200"/>
    </w:pPr>
  </w:style>
  <w:style w:type="paragraph" w:styleId="MacroText">
    <w:name w:val="macro"/>
    <w:link w:val="MacroTextChar"/>
    <w:unhideWhenUsed/>
    <w:rsid w:val="00B7509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B7509F"/>
    <w:rPr>
      <w:rFonts w:ascii="Courier New" w:eastAsia="Times New Roman" w:hAnsi="Courier New" w:cs="Courier New"/>
      <w:sz w:val="20"/>
      <w:szCs w:val="20"/>
      <w:lang w:eastAsia="en-AU"/>
    </w:rPr>
  </w:style>
  <w:style w:type="paragraph" w:styleId="NormalIndent">
    <w:name w:val="Normal Indent"/>
    <w:basedOn w:val="Normal"/>
    <w:rsid w:val="00B7509F"/>
    <w:pPr>
      <w:ind w:left="567"/>
    </w:pPr>
  </w:style>
  <w:style w:type="paragraph" w:customStyle="1" w:styleId="NoteTableHeading">
    <w:name w:val="Note Table Heading"/>
    <w:basedOn w:val="HeadingBase"/>
    <w:next w:val="Normal"/>
    <w:rsid w:val="00B7509F"/>
    <w:pPr>
      <w:spacing w:before="240"/>
    </w:pPr>
    <w:rPr>
      <w:b/>
      <w:sz w:val="20"/>
    </w:rPr>
  </w:style>
  <w:style w:type="paragraph" w:customStyle="1" w:styleId="OverviewParagraph">
    <w:name w:val="Overview Paragraph"/>
    <w:basedOn w:val="Normal"/>
    <w:rsid w:val="00B7509F"/>
    <w:pPr>
      <w:spacing w:before="120" w:after="120" w:line="240" w:lineRule="auto"/>
    </w:pPr>
  </w:style>
  <w:style w:type="character" w:styleId="PageNumber">
    <w:name w:val="page number"/>
    <w:basedOn w:val="DefaultParagraphFont"/>
    <w:rsid w:val="00B7509F"/>
    <w:rPr>
      <w:rFonts w:ascii="Arial" w:hAnsi="Arial" w:cs="Arial"/>
    </w:rPr>
  </w:style>
  <w:style w:type="paragraph" w:customStyle="1" w:styleId="SingleParagraph">
    <w:name w:val="Single Paragraph"/>
    <w:basedOn w:val="Normal"/>
    <w:rsid w:val="00B7509F"/>
    <w:pPr>
      <w:spacing w:before="0" w:after="0"/>
    </w:pPr>
  </w:style>
  <w:style w:type="paragraph" w:customStyle="1" w:styleId="Source">
    <w:name w:val="Source"/>
    <w:basedOn w:val="Normal"/>
    <w:rsid w:val="00B7509F"/>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B7509F"/>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B7509F"/>
    <w:pPr>
      <w:jc w:val="center"/>
    </w:pPr>
  </w:style>
  <w:style w:type="paragraph" w:customStyle="1" w:styleId="TableColumnHeadingLeft">
    <w:name w:val="Table Column Heading Left"/>
    <w:basedOn w:val="TableColumnHeadingBase"/>
    <w:next w:val="Normal"/>
    <w:rsid w:val="00B7509F"/>
  </w:style>
  <w:style w:type="paragraph" w:customStyle="1" w:styleId="TableColumnHeadingRight">
    <w:name w:val="Table Column Heading Right"/>
    <w:basedOn w:val="TableColumnHeadingBase"/>
    <w:next w:val="Normal"/>
    <w:rsid w:val="00B7509F"/>
    <w:pPr>
      <w:jc w:val="right"/>
    </w:pPr>
  </w:style>
  <w:style w:type="paragraph" w:customStyle="1" w:styleId="TableGraphic">
    <w:name w:val="Table Graphic"/>
    <w:basedOn w:val="Normal"/>
    <w:next w:val="Normal"/>
    <w:rsid w:val="00B7509F"/>
    <w:pPr>
      <w:spacing w:after="0" w:line="240" w:lineRule="auto"/>
      <w:ind w:right="-113"/>
    </w:pPr>
  </w:style>
  <w:style w:type="table" w:styleId="TableGrid">
    <w:name w:val="Table Grid"/>
    <w:basedOn w:val="TableNormal"/>
    <w:rsid w:val="00B7509F"/>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B7509F"/>
    <w:pPr>
      <w:spacing w:before="120" w:after="20"/>
    </w:pPr>
    <w:rPr>
      <w:b/>
      <w:sz w:val="20"/>
    </w:rPr>
  </w:style>
  <w:style w:type="paragraph" w:customStyle="1" w:styleId="TableHeadingcontinued">
    <w:name w:val="Table Heading continued"/>
    <w:basedOn w:val="HeadingBase"/>
    <w:next w:val="TableGraphic"/>
    <w:rsid w:val="00B7509F"/>
    <w:pPr>
      <w:spacing w:before="120" w:after="20"/>
    </w:pPr>
    <w:rPr>
      <w:rFonts w:ascii="Arial Bold" w:hAnsi="Arial Bold"/>
      <w:b/>
      <w:sz w:val="20"/>
    </w:rPr>
  </w:style>
  <w:style w:type="paragraph" w:styleId="TableofFigures">
    <w:name w:val="table of figures"/>
    <w:basedOn w:val="Normal"/>
    <w:next w:val="Normal"/>
    <w:rsid w:val="00B7509F"/>
  </w:style>
  <w:style w:type="paragraph" w:customStyle="1" w:styleId="TableTextBase">
    <w:name w:val="Table Text Base"/>
    <w:basedOn w:val="Normal"/>
    <w:rsid w:val="00B7509F"/>
    <w:pPr>
      <w:spacing w:before="20" w:after="20" w:line="240" w:lineRule="auto"/>
    </w:pPr>
    <w:rPr>
      <w:rFonts w:ascii="Arial" w:hAnsi="Arial"/>
      <w:sz w:val="16"/>
    </w:rPr>
  </w:style>
  <w:style w:type="paragraph" w:customStyle="1" w:styleId="TableTextCentred">
    <w:name w:val="Table Text Centred"/>
    <w:basedOn w:val="TableTextBase"/>
    <w:rsid w:val="00B7509F"/>
    <w:pPr>
      <w:jc w:val="center"/>
    </w:pPr>
  </w:style>
  <w:style w:type="paragraph" w:customStyle="1" w:styleId="TableTextIndented">
    <w:name w:val="Table Text Indented"/>
    <w:basedOn w:val="TableTextBase"/>
    <w:rsid w:val="00B7509F"/>
    <w:pPr>
      <w:ind w:left="284"/>
    </w:pPr>
  </w:style>
  <w:style w:type="paragraph" w:customStyle="1" w:styleId="TableTextLeft">
    <w:name w:val="Table Text Left"/>
    <w:basedOn w:val="TableTextBase"/>
    <w:rsid w:val="00B7509F"/>
  </w:style>
  <w:style w:type="paragraph" w:customStyle="1" w:styleId="TableTextRight">
    <w:name w:val="Table Text Right"/>
    <w:basedOn w:val="TableTextBase"/>
    <w:rsid w:val="00B7509F"/>
    <w:pPr>
      <w:jc w:val="right"/>
    </w:pPr>
  </w:style>
  <w:style w:type="paragraph" w:styleId="TOAHeading">
    <w:name w:val="toa heading"/>
    <w:basedOn w:val="Normal"/>
    <w:next w:val="Normal"/>
    <w:rsid w:val="00B7509F"/>
    <w:pPr>
      <w:spacing w:before="120"/>
    </w:pPr>
    <w:rPr>
      <w:rFonts w:ascii="Arial" w:hAnsi="Arial" w:cs="Arial"/>
      <w:b/>
      <w:bCs/>
      <w:sz w:val="24"/>
      <w:szCs w:val="24"/>
    </w:rPr>
  </w:style>
  <w:style w:type="paragraph" w:styleId="TOC1">
    <w:name w:val="toc 1"/>
    <w:basedOn w:val="HeaderBase"/>
    <w:next w:val="Normal"/>
    <w:uiPriority w:val="2"/>
    <w:rsid w:val="00B7509F"/>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B7509F"/>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B7509F"/>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B7509F"/>
    <w:pPr>
      <w:tabs>
        <w:tab w:val="right" w:leader="dot" w:pos="7700"/>
      </w:tabs>
      <w:spacing w:before="40"/>
      <w:ind w:right="851"/>
    </w:pPr>
    <w:rPr>
      <w:sz w:val="20"/>
    </w:rPr>
  </w:style>
  <w:style w:type="paragraph" w:styleId="TOC5">
    <w:name w:val="toc 5"/>
    <w:basedOn w:val="Normal"/>
    <w:next w:val="Normal"/>
    <w:autoRedefine/>
    <w:uiPriority w:val="2"/>
    <w:semiHidden/>
    <w:rsid w:val="00B7509F"/>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B7509F"/>
    <w:pPr>
      <w:tabs>
        <w:tab w:val="left" w:pos="851"/>
      </w:tabs>
      <w:ind w:left="851" w:hanging="851"/>
    </w:pPr>
    <w:rPr>
      <w:color w:val="000000"/>
    </w:rPr>
  </w:style>
  <w:style w:type="paragraph" w:styleId="TOC7">
    <w:name w:val="toc 7"/>
    <w:basedOn w:val="Normal"/>
    <w:next w:val="Normal"/>
    <w:autoRedefine/>
    <w:uiPriority w:val="2"/>
    <w:semiHidden/>
    <w:rsid w:val="00B7509F"/>
    <w:pPr>
      <w:ind w:left="1200"/>
    </w:pPr>
  </w:style>
  <w:style w:type="paragraph" w:styleId="TOC8">
    <w:name w:val="toc 8"/>
    <w:basedOn w:val="Normal"/>
    <w:next w:val="Normal"/>
    <w:autoRedefine/>
    <w:uiPriority w:val="2"/>
    <w:semiHidden/>
    <w:rsid w:val="00B7509F"/>
    <w:pPr>
      <w:ind w:left="1400"/>
    </w:pPr>
  </w:style>
  <w:style w:type="paragraph" w:styleId="TOC9">
    <w:name w:val="toc 9"/>
    <w:basedOn w:val="Normal"/>
    <w:next w:val="Normal"/>
    <w:autoRedefine/>
    <w:uiPriority w:val="2"/>
    <w:semiHidden/>
    <w:rsid w:val="00B7509F"/>
    <w:pPr>
      <w:ind w:left="1600"/>
    </w:pPr>
  </w:style>
  <w:style w:type="paragraph" w:customStyle="1" w:styleId="TPHeading1">
    <w:name w:val="TP Heading 1"/>
    <w:basedOn w:val="HeadingBase"/>
    <w:semiHidden/>
    <w:rsid w:val="00B7509F"/>
    <w:pPr>
      <w:spacing w:before="60" w:after="60"/>
      <w:ind w:left="1134"/>
    </w:pPr>
    <w:rPr>
      <w:rFonts w:ascii="Arial Bold" w:hAnsi="Arial Bold"/>
      <w:b/>
      <w:caps/>
      <w:spacing w:val="-10"/>
      <w:sz w:val="28"/>
    </w:rPr>
  </w:style>
  <w:style w:type="paragraph" w:customStyle="1" w:styleId="TPHeading2">
    <w:name w:val="TP Heading 2"/>
    <w:basedOn w:val="HeadingBase"/>
    <w:semiHidden/>
    <w:rsid w:val="00B7509F"/>
    <w:pPr>
      <w:ind w:left="1134"/>
    </w:pPr>
    <w:rPr>
      <w:caps/>
      <w:spacing w:val="-10"/>
      <w:sz w:val="28"/>
    </w:rPr>
  </w:style>
  <w:style w:type="paragraph" w:customStyle="1" w:styleId="TPHeading3">
    <w:name w:val="TP Heading 3"/>
    <w:basedOn w:val="HeadingBase"/>
    <w:semiHidden/>
    <w:rsid w:val="00B7509F"/>
    <w:pPr>
      <w:ind w:left="1134"/>
    </w:pPr>
    <w:rPr>
      <w:caps/>
      <w:spacing w:val="-10"/>
    </w:rPr>
  </w:style>
  <w:style w:type="paragraph" w:customStyle="1" w:styleId="TPHeading3bold">
    <w:name w:val="TP Heading 3 bold"/>
    <w:basedOn w:val="TPHeading3"/>
    <w:semiHidden/>
    <w:rsid w:val="00B7509F"/>
    <w:rPr>
      <w:rFonts w:cs="Arial"/>
      <w:b/>
      <w:sz w:val="22"/>
      <w:szCs w:val="22"/>
    </w:rPr>
  </w:style>
  <w:style w:type="paragraph" w:customStyle="1" w:styleId="TPHEADING3boldspace">
    <w:name w:val="TP HEADING 3 bold space"/>
    <w:basedOn w:val="TPHeading3bold"/>
    <w:semiHidden/>
    <w:rsid w:val="00B7509F"/>
    <w:pPr>
      <w:spacing w:after="120"/>
    </w:pPr>
  </w:style>
  <w:style w:type="paragraph" w:customStyle="1" w:styleId="TPHEADING3space">
    <w:name w:val="TP HEADING 3 space"/>
    <w:basedOn w:val="TPHeading3"/>
    <w:semiHidden/>
    <w:rsid w:val="00B7509F"/>
    <w:pPr>
      <w:spacing w:before="120" w:after="120"/>
    </w:pPr>
    <w:rPr>
      <w:rFonts w:cs="Arial"/>
      <w:sz w:val="22"/>
      <w:szCs w:val="22"/>
    </w:rPr>
  </w:style>
  <w:style w:type="paragraph" w:customStyle="1" w:styleId="TPHeading4">
    <w:name w:val="TP Heading 4"/>
    <w:basedOn w:val="TPHeading3"/>
    <w:semiHidden/>
    <w:rsid w:val="00B7509F"/>
    <w:rPr>
      <w:sz w:val="20"/>
    </w:rPr>
  </w:style>
  <w:style w:type="paragraph" w:customStyle="1" w:styleId="TPHEADING4space">
    <w:name w:val="TP HEADING 4 space"/>
    <w:basedOn w:val="TPHEADING3space"/>
    <w:semiHidden/>
    <w:rsid w:val="00B7509F"/>
  </w:style>
  <w:style w:type="paragraph" w:customStyle="1" w:styleId="ChartLine">
    <w:name w:val="Chart Line"/>
    <w:basedOn w:val="Normal"/>
    <w:autoRedefine/>
    <w:qFormat/>
    <w:rsid w:val="00B7509F"/>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B7509F"/>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B7509F"/>
    <w:rPr>
      <w:sz w:val="16"/>
    </w:rPr>
  </w:style>
  <w:style w:type="paragraph" w:customStyle="1" w:styleId="Box-continuedon">
    <w:name w:val="Box - continued on"/>
    <w:basedOn w:val="Normal"/>
    <w:qFormat/>
    <w:rsid w:val="00B7509F"/>
    <w:pPr>
      <w:jc w:val="right"/>
    </w:pPr>
    <w:rPr>
      <w:rFonts w:asciiTheme="majorHAnsi" w:hAnsiTheme="majorHAnsi" w:cstheme="majorHAnsi"/>
      <w:i/>
      <w:iCs/>
      <w:sz w:val="18"/>
      <w:szCs w:val="24"/>
    </w:rPr>
  </w:style>
  <w:style w:type="paragraph" w:customStyle="1" w:styleId="BoxHeading2">
    <w:name w:val="Box Heading 2"/>
    <w:basedOn w:val="BoxHeading"/>
    <w:autoRedefine/>
    <w:rsid w:val="00B7509F"/>
    <w:pPr>
      <w:spacing w:after="0"/>
    </w:pPr>
    <w:rPr>
      <w:b w:val="0"/>
      <w:bCs/>
      <w:szCs w:val="14"/>
    </w:rPr>
  </w:style>
  <w:style w:type="character" w:customStyle="1" w:styleId="Heading9Char">
    <w:name w:val="Heading 9 Char"/>
    <w:basedOn w:val="DefaultParagraphFont"/>
    <w:link w:val="Heading9"/>
    <w:uiPriority w:val="9"/>
    <w:rsid w:val="00B7509F"/>
    <w:rPr>
      <w:rFonts w:ascii="Cambria" w:eastAsia="Times New Roman" w:hAnsi="Cambria" w:cs="Times New Roman"/>
      <w:lang w:eastAsia="en-AU"/>
    </w:rPr>
  </w:style>
  <w:style w:type="paragraph" w:customStyle="1" w:styleId="GhostLine">
    <w:name w:val="Ghost Line"/>
    <w:basedOn w:val="NoSpacing"/>
    <w:qFormat/>
    <w:rsid w:val="00B7509F"/>
    <w:pPr>
      <w:jc w:val="both"/>
    </w:pPr>
    <w:rPr>
      <w:rFonts w:ascii="Book Antiqua" w:hAnsi="Book Antiqua"/>
      <w:sz w:val="2"/>
    </w:rPr>
  </w:style>
  <w:style w:type="paragraph" w:styleId="NoSpacing">
    <w:name w:val="No Spacing"/>
    <w:uiPriority w:val="1"/>
    <w:qFormat/>
    <w:rsid w:val="00B7509F"/>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B7509F"/>
    <w:rPr>
      <w:rFonts w:ascii="Book Antiqua" w:eastAsia="Times New Roman" w:hAnsi="Book Antiqua" w:cs="Times New Roman"/>
      <w:sz w:val="19"/>
      <w:szCs w:val="20"/>
      <w:lang w:eastAsia="en-AU"/>
    </w:rPr>
  </w:style>
  <w:style w:type="character" w:customStyle="1" w:styleId="A5">
    <w:name w:val="A5"/>
    <w:uiPriority w:val="99"/>
    <w:rsid w:val="00B7509F"/>
    <w:rPr>
      <w:rFonts w:cs="Swiss 721 BT"/>
      <w:color w:val="000000"/>
      <w:sz w:val="20"/>
      <w:szCs w:val="20"/>
    </w:rPr>
  </w:style>
  <w:style w:type="paragraph" w:customStyle="1" w:styleId="CreativeCommonsNormal">
    <w:name w:val="Creative Commons Normal"/>
    <w:basedOn w:val="Normal"/>
    <w:qFormat/>
    <w:rsid w:val="00B7509F"/>
    <w:pPr>
      <w:spacing w:before="120" w:after="120"/>
    </w:pPr>
  </w:style>
  <w:style w:type="paragraph" w:customStyle="1" w:styleId="CreativeCommonsH1">
    <w:name w:val="Creative Commons H1"/>
    <w:basedOn w:val="Normal"/>
    <w:qFormat/>
    <w:rsid w:val="00B7509F"/>
    <w:pPr>
      <w:spacing w:before="180" w:after="120"/>
    </w:pPr>
    <w:rPr>
      <w:b/>
      <w:bCs/>
    </w:rPr>
  </w:style>
  <w:style w:type="paragraph" w:customStyle="1" w:styleId="CreativeCommonsIndented">
    <w:name w:val="Creative Commons Indented"/>
    <w:basedOn w:val="CreativeCommonsNormal"/>
    <w:qFormat/>
    <w:rsid w:val="00B7509F"/>
    <w:pPr>
      <w:ind w:left="567"/>
    </w:pPr>
  </w:style>
  <w:style w:type="paragraph" w:customStyle="1" w:styleId="OutlineNumbered1">
    <w:name w:val="Outline Numbered 1"/>
    <w:basedOn w:val="Normal"/>
    <w:link w:val="OutlineNumbered1Char"/>
    <w:qFormat/>
    <w:rsid w:val="00B7509F"/>
    <w:pPr>
      <w:numPr>
        <w:numId w:val="22"/>
      </w:numPr>
    </w:pPr>
  </w:style>
  <w:style w:type="character" w:customStyle="1" w:styleId="OutlineNumbered1Char">
    <w:name w:val="Outline Numbered 1 Char"/>
    <w:basedOn w:val="DefaultParagraphFont"/>
    <w:link w:val="OutlineNumbered1"/>
    <w:rsid w:val="00B7509F"/>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B7509F"/>
    <w:pPr>
      <w:numPr>
        <w:ilvl w:val="1"/>
        <w:numId w:val="21"/>
      </w:numPr>
    </w:pPr>
  </w:style>
  <w:style w:type="paragraph" w:customStyle="1" w:styleId="OutlineNumbered3">
    <w:name w:val="Outline Numbered 3"/>
    <w:basedOn w:val="Normal"/>
    <w:qFormat/>
    <w:rsid w:val="00B7509F"/>
    <w:pPr>
      <w:numPr>
        <w:ilvl w:val="2"/>
        <w:numId w:val="21"/>
      </w:numPr>
    </w:pPr>
  </w:style>
  <w:style w:type="character" w:styleId="Emphasis">
    <w:name w:val="Emphasis"/>
    <w:basedOn w:val="DefaultParagraphFont"/>
    <w:uiPriority w:val="20"/>
    <w:qFormat/>
    <w:rsid w:val="00B7509F"/>
    <w:rPr>
      <w:i/>
      <w:iCs/>
    </w:rPr>
  </w:style>
  <w:style w:type="character" w:customStyle="1" w:styleId="BulletChar">
    <w:name w:val="Bullet Char"/>
    <w:link w:val="Bullet"/>
    <w:qFormat/>
    <w:locked/>
    <w:rsid w:val="00B51775"/>
    <w:rPr>
      <w:rFonts w:ascii="Book Antiqua" w:eastAsia="Times New Roman" w:hAnsi="Book Antiqua" w:cs="Times New Roman"/>
      <w:sz w:val="19"/>
      <w:szCs w:val="20"/>
      <w:lang w:eastAsia="en-AU"/>
    </w:rPr>
  </w:style>
  <w:style w:type="character" w:customStyle="1" w:styleId="ChartandTableFootnoteAlphaChar">
    <w:name w:val="Chart and Table Footnote Alpha Char"/>
    <w:link w:val="ChartandTableFootnoteAlpha"/>
    <w:locked/>
    <w:rsid w:val="00B51775"/>
    <w:rPr>
      <w:rFonts w:ascii="Arial" w:eastAsia="Times New Roman" w:hAnsi="Arial" w:cs="Times New Roman"/>
      <w:color w:val="000000"/>
      <w:sz w:val="16"/>
      <w:szCs w:val="20"/>
      <w:lang w:eastAsia="en-AU"/>
    </w:rPr>
  </w:style>
  <w:style w:type="paragraph" w:styleId="Revision">
    <w:name w:val="Revision"/>
    <w:hidden/>
    <w:uiPriority w:val="99"/>
    <w:semiHidden/>
    <w:rsid w:val="00B51775"/>
    <w:pPr>
      <w:spacing w:after="0" w:line="240" w:lineRule="auto"/>
    </w:pPr>
    <w:rPr>
      <w:rFonts w:eastAsia="Courier New" w:cs="Courier New"/>
      <w:sz w:val="19"/>
      <w:szCs w:val="20"/>
      <w:lang w:eastAsia="en-AU"/>
    </w:rPr>
  </w:style>
  <w:style w:type="paragraph" w:styleId="NormalWeb">
    <w:name w:val="Normal (Web)"/>
    <w:basedOn w:val="Normal"/>
    <w:uiPriority w:val="99"/>
    <w:semiHidden/>
    <w:unhideWhenUsed/>
    <w:rsid w:val="00B51775"/>
    <w:rPr>
      <w:rFonts w:ascii="Times New Roman" w:hAnsi="Times New Roman"/>
      <w:sz w:val="24"/>
      <w:szCs w:val="24"/>
    </w:rPr>
  </w:style>
  <w:style w:type="character" w:styleId="FollowedHyperlink">
    <w:name w:val="FollowedHyperlink"/>
    <w:basedOn w:val="DefaultParagraphFont"/>
    <w:uiPriority w:val="99"/>
    <w:semiHidden/>
    <w:unhideWhenUsed/>
    <w:rsid w:val="00B51775"/>
    <w:rPr>
      <w:color w:val="E61E26" w:themeColor="followedHyperlink"/>
      <w:u w:val="single"/>
    </w:rPr>
  </w:style>
  <w:style w:type="character" w:styleId="UnresolvedMention">
    <w:name w:val="Unresolved Mention"/>
    <w:basedOn w:val="DefaultParagraphFont"/>
    <w:uiPriority w:val="99"/>
    <w:semiHidden/>
    <w:unhideWhenUsed/>
    <w:rsid w:val="00B51775"/>
    <w:rPr>
      <w:color w:val="605E5C"/>
      <w:shd w:val="clear" w:color="auto" w:fill="E1DFDD"/>
    </w:rPr>
  </w:style>
  <w:style w:type="character" w:customStyle="1" w:styleId="ui-provider">
    <w:name w:val="ui-provider"/>
    <w:basedOn w:val="DefaultParagraphFont"/>
    <w:rsid w:val="00B51775"/>
  </w:style>
  <w:style w:type="character" w:styleId="Mention">
    <w:name w:val="Mention"/>
    <w:basedOn w:val="DefaultParagraphFont"/>
    <w:uiPriority w:val="99"/>
    <w:unhideWhenUsed/>
    <w:rsid w:val="006047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4409">
      <w:bodyDiv w:val="1"/>
      <w:marLeft w:val="0"/>
      <w:marRight w:val="0"/>
      <w:marTop w:val="0"/>
      <w:marBottom w:val="0"/>
      <w:divBdr>
        <w:top w:val="none" w:sz="0" w:space="0" w:color="auto"/>
        <w:left w:val="none" w:sz="0" w:space="0" w:color="auto"/>
        <w:bottom w:val="none" w:sz="0" w:space="0" w:color="auto"/>
        <w:right w:val="none" w:sz="0" w:space="0" w:color="auto"/>
      </w:divBdr>
    </w:div>
    <w:div w:id="365788221">
      <w:bodyDiv w:val="1"/>
      <w:marLeft w:val="0"/>
      <w:marRight w:val="0"/>
      <w:marTop w:val="0"/>
      <w:marBottom w:val="0"/>
      <w:divBdr>
        <w:top w:val="none" w:sz="0" w:space="0" w:color="auto"/>
        <w:left w:val="none" w:sz="0" w:space="0" w:color="auto"/>
        <w:bottom w:val="none" w:sz="0" w:space="0" w:color="auto"/>
        <w:right w:val="none" w:sz="0" w:space="0" w:color="auto"/>
      </w:divBdr>
    </w:div>
    <w:div w:id="531380885">
      <w:bodyDiv w:val="1"/>
      <w:marLeft w:val="0"/>
      <w:marRight w:val="0"/>
      <w:marTop w:val="0"/>
      <w:marBottom w:val="0"/>
      <w:divBdr>
        <w:top w:val="none" w:sz="0" w:space="0" w:color="auto"/>
        <w:left w:val="none" w:sz="0" w:space="0" w:color="auto"/>
        <w:bottom w:val="none" w:sz="0" w:space="0" w:color="auto"/>
        <w:right w:val="none" w:sz="0" w:space="0" w:color="auto"/>
      </w:divBdr>
    </w:div>
    <w:div w:id="539324697">
      <w:bodyDiv w:val="1"/>
      <w:marLeft w:val="0"/>
      <w:marRight w:val="0"/>
      <w:marTop w:val="0"/>
      <w:marBottom w:val="0"/>
      <w:divBdr>
        <w:top w:val="none" w:sz="0" w:space="0" w:color="auto"/>
        <w:left w:val="none" w:sz="0" w:space="0" w:color="auto"/>
        <w:bottom w:val="none" w:sz="0" w:space="0" w:color="auto"/>
        <w:right w:val="none" w:sz="0" w:space="0" w:color="auto"/>
      </w:divBdr>
    </w:div>
    <w:div w:id="578947891">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64811558">
      <w:bodyDiv w:val="1"/>
      <w:marLeft w:val="0"/>
      <w:marRight w:val="0"/>
      <w:marTop w:val="0"/>
      <w:marBottom w:val="0"/>
      <w:divBdr>
        <w:top w:val="none" w:sz="0" w:space="0" w:color="auto"/>
        <w:left w:val="none" w:sz="0" w:space="0" w:color="auto"/>
        <w:bottom w:val="none" w:sz="0" w:space="0" w:color="auto"/>
        <w:right w:val="none" w:sz="0" w:space="0" w:color="auto"/>
      </w:divBdr>
    </w:div>
    <w:div w:id="776868858">
      <w:bodyDiv w:val="1"/>
      <w:marLeft w:val="0"/>
      <w:marRight w:val="0"/>
      <w:marTop w:val="0"/>
      <w:marBottom w:val="0"/>
      <w:divBdr>
        <w:top w:val="none" w:sz="0" w:space="0" w:color="auto"/>
        <w:left w:val="none" w:sz="0" w:space="0" w:color="auto"/>
        <w:bottom w:val="none" w:sz="0" w:space="0" w:color="auto"/>
        <w:right w:val="none" w:sz="0" w:space="0" w:color="auto"/>
      </w:divBdr>
    </w:div>
    <w:div w:id="787355518">
      <w:bodyDiv w:val="1"/>
      <w:marLeft w:val="0"/>
      <w:marRight w:val="0"/>
      <w:marTop w:val="0"/>
      <w:marBottom w:val="0"/>
      <w:divBdr>
        <w:top w:val="none" w:sz="0" w:space="0" w:color="auto"/>
        <w:left w:val="none" w:sz="0" w:space="0" w:color="auto"/>
        <w:bottom w:val="none" w:sz="0" w:space="0" w:color="auto"/>
        <w:right w:val="none" w:sz="0" w:space="0" w:color="auto"/>
      </w:divBdr>
    </w:div>
    <w:div w:id="795951909">
      <w:bodyDiv w:val="1"/>
      <w:marLeft w:val="0"/>
      <w:marRight w:val="0"/>
      <w:marTop w:val="0"/>
      <w:marBottom w:val="0"/>
      <w:divBdr>
        <w:top w:val="none" w:sz="0" w:space="0" w:color="auto"/>
        <w:left w:val="none" w:sz="0" w:space="0" w:color="auto"/>
        <w:bottom w:val="none" w:sz="0" w:space="0" w:color="auto"/>
        <w:right w:val="none" w:sz="0" w:space="0" w:color="auto"/>
      </w:divBdr>
    </w:div>
    <w:div w:id="838933454">
      <w:bodyDiv w:val="1"/>
      <w:marLeft w:val="0"/>
      <w:marRight w:val="0"/>
      <w:marTop w:val="0"/>
      <w:marBottom w:val="0"/>
      <w:divBdr>
        <w:top w:val="none" w:sz="0" w:space="0" w:color="auto"/>
        <w:left w:val="none" w:sz="0" w:space="0" w:color="auto"/>
        <w:bottom w:val="none" w:sz="0" w:space="0" w:color="auto"/>
        <w:right w:val="none" w:sz="0" w:space="0" w:color="auto"/>
      </w:divBdr>
    </w:div>
    <w:div w:id="880478474">
      <w:bodyDiv w:val="1"/>
      <w:marLeft w:val="0"/>
      <w:marRight w:val="0"/>
      <w:marTop w:val="0"/>
      <w:marBottom w:val="0"/>
      <w:divBdr>
        <w:top w:val="none" w:sz="0" w:space="0" w:color="auto"/>
        <w:left w:val="none" w:sz="0" w:space="0" w:color="auto"/>
        <w:bottom w:val="none" w:sz="0" w:space="0" w:color="auto"/>
        <w:right w:val="none" w:sz="0" w:space="0" w:color="auto"/>
      </w:divBdr>
    </w:div>
    <w:div w:id="881333303">
      <w:bodyDiv w:val="1"/>
      <w:marLeft w:val="0"/>
      <w:marRight w:val="0"/>
      <w:marTop w:val="0"/>
      <w:marBottom w:val="0"/>
      <w:divBdr>
        <w:top w:val="none" w:sz="0" w:space="0" w:color="auto"/>
        <w:left w:val="none" w:sz="0" w:space="0" w:color="auto"/>
        <w:bottom w:val="none" w:sz="0" w:space="0" w:color="auto"/>
        <w:right w:val="none" w:sz="0" w:space="0" w:color="auto"/>
      </w:divBdr>
    </w:div>
    <w:div w:id="888340896">
      <w:bodyDiv w:val="1"/>
      <w:marLeft w:val="0"/>
      <w:marRight w:val="0"/>
      <w:marTop w:val="0"/>
      <w:marBottom w:val="0"/>
      <w:divBdr>
        <w:top w:val="none" w:sz="0" w:space="0" w:color="auto"/>
        <w:left w:val="none" w:sz="0" w:space="0" w:color="auto"/>
        <w:bottom w:val="none" w:sz="0" w:space="0" w:color="auto"/>
        <w:right w:val="none" w:sz="0" w:space="0" w:color="auto"/>
      </w:divBdr>
    </w:div>
    <w:div w:id="911550853">
      <w:bodyDiv w:val="1"/>
      <w:marLeft w:val="0"/>
      <w:marRight w:val="0"/>
      <w:marTop w:val="0"/>
      <w:marBottom w:val="0"/>
      <w:divBdr>
        <w:top w:val="none" w:sz="0" w:space="0" w:color="auto"/>
        <w:left w:val="none" w:sz="0" w:space="0" w:color="auto"/>
        <w:bottom w:val="none" w:sz="0" w:space="0" w:color="auto"/>
        <w:right w:val="none" w:sz="0" w:space="0" w:color="auto"/>
      </w:divBdr>
    </w:div>
    <w:div w:id="960570758">
      <w:bodyDiv w:val="1"/>
      <w:marLeft w:val="0"/>
      <w:marRight w:val="0"/>
      <w:marTop w:val="0"/>
      <w:marBottom w:val="0"/>
      <w:divBdr>
        <w:top w:val="none" w:sz="0" w:space="0" w:color="auto"/>
        <w:left w:val="none" w:sz="0" w:space="0" w:color="auto"/>
        <w:bottom w:val="none" w:sz="0" w:space="0" w:color="auto"/>
        <w:right w:val="none" w:sz="0" w:space="0" w:color="auto"/>
      </w:divBdr>
    </w:div>
    <w:div w:id="1091001025">
      <w:bodyDiv w:val="1"/>
      <w:marLeft w:val="0"/>
      <w:marRight w:val="0"/>
      <w:marTop w:val="0"/>
      <w:marBottom w:val="0"/>
      <w:divBdr>
        <w:top w:val="none" w:sz="0" w:space="0" w:color="auto"/>
        <w:left w:val="none" w:sz="0" w:space="0" w:color="auto"/>
        <w:bottom w:val="none" w:sz="0" w:space="0" w:color="auto"/>
        <w:right w:val="none" w:sz="0" w:space="0" w:color="auto"/>
      </w:divBdr>
    </w:div>
    <w:div w:id="1179345813">
      <w:bodyDiv w:val="1"/>
      <w:marLeft w:val="0"/>
      <w:marRight w:val="0"/>
      <w:marTop w:val="0"/>
      <w:marBottom w:val="0"/>
      <w:divBdr>
        <w:top w:val="none" w:sz="0" w:space="0" w:color="auto"/>
        <w:left w:val="none" w:sz="0" w:space="0" w:color="auto"/>
        <w:bottom w:val="none" w:sz="0" w:space="0" w:color="auto"/>
        <w:right w:val="none" w:sz="0" w:space="0" w:color="auto"/>
      </w:divBdr>
    </w:div>
    <w:div w:id="1190293863">
      <w:bodyDiv w:val="1"/>
      <w:marLeft w:val="0"/>
      <w:marRight w:val="0"/>
      <w:marTop w:val="0"/>
      <w:marBottom w:val="0"/>
      <w:divBdr>
        <w:top w:val="none" w:sz="0" w:space="0" w:color="auto"/>
        <w:left w:val="none" w:sz="0" w:space="0" w:color="auto"/>
        <w:bottom w:val="none" w:sz="0" w:space="0" w:color="auto"/>
        <w:right w:val="none" w:sz="0" w:space="0" w:color="auto"/>
      </w:divBdr>
    </w:div>
    <w:div w:id="1275284671">
      <w:bodyDiv w:val="1"/>
      <w:marLeft w:val="0"/>
      <w:marRight w:val="0"/>
      <w:marTop w:val="0"/>
      <w:marBottom w:val="0"/>
      <w:divBdr>
        <w:top w:val="none" w:sz="0" w:space="0" w:color="auto"/>
        <w:left w:val="none" w:sz="0" w:space="0" w:color="auto"/>
        <w:bottom w:val="none" w:sz="0" w:space="0" w:color="auto"/>
        <w:right w:val="none" w:sz="0" w:space="0" w:color="auto"/>
      </w:divBdr>
    </w:div>
    <w:div w:id="1308709242">
      <w:bodyDiv w:val="1"/>
      <w:marLeft w:val="0"/>
      <w:marRight w:val="0"/>
      <w:marTop w:val="0"/>
      <w:marBottom w:val="0"/>
      <w:divBdr>
        <w:top w:val="none" w:sz="0" w:space="0" w:color="auto"/>
        <w:left w:val="none" w:sz="0" w:space="0" w:color="auto"/>
        <w:bottom w:val="none" w:sz="0" w:space="0" w:color="auto"/>
        <w:right w:val="none" w:sz="0" w:space="0" w:color="auto"/>
      </w:divBdr>
    </w:div>
    <w:div w:id="1353343078">
      <w:bodyDiv w:val="1"/>
      <w:marLeft w:val="0"/>
      <w:marRight w:val="0"/>
      <w:marTop w:val="0"/>
      <w:marBottom w:val="0"/>
      <w:divBdr>
        <w:top w:val="none" w:sz="0" w:space="0" w:color="auto"/>
        <w:left w:val="none" w:sz="0" w:space="0" w:color="auto"/>
        <w:bottom w:val="none" w:sz="0" w:space="0" w:color="auto"/>
        <w:right w:val="none" w:sz="0" w:space="0" w:color="auto"/>
      </w:divBdr>
    </w:div>
    <w:div w:id="1366179750">
      <w:bodyDiv w:val="1"/>
      <w:marLeft w:val="0"/>
      <w:marRight w:val="0"/>
      <w:marTop w:val="0"/>
      <w:marBottom w:val="0"/>
      <w:divBdr>
        <w:top w:val="none" w:sz="0" w:space="0" w:color="auto"/>
        <w:left w:val="none" w:sz="0" w:space="0" w:color="auto"/>
        <w:bottom w:val="none" w:sz="0" w:space="0" w:color="auto"/>
        <w:right w:val="none" w:sz="0" w:space="0" w:color="auto"/>
      </w:divBdr>
    </w:div>
    <w:div w:id="1462067175">
      <w:bodyDiv w:val="1"/>
      <w:marLeft w:val="0"/>
      <w:marRight w:val="0"/>
      <w:marTop w:val="0"/>
      <w:marBottom w:val="0"/>
      <w:divBdr>
        <w:top w:val="none" w:sz="0" w:space="0" w:color="auto"/>
        <w:left w:val="none" w:sz="0" w:space="0" w:color="auto"/>
        <w:bottom w:val="none" w:sz="0" w:space="0" w:color="auto"/>
        <w:right w:val="none" w:sz="0" w:space="0" w:color="auto"/>
      </w:divBdr>
    </w:div>
    <w:div w:id="1497381426">
      <w:bodyDiv w:val="1"/>
      <w:marLeft w:val="0"/>
      <w:marRight w:val="0"/>
      <w:marTop w:val="0"/>
      <w:marBottom w:val="0"/>
      <w:divBdr>
        <w:top w:val="none" w:sz="0" w:space="0" w:color="auto"/>
        <w:left w:val="none" w:sz="0" w:space="0" w:color="auto"/>
        <w:bottom w:val="none" w:sz="0" w:space="0" w:color="auto"/>
        <w:right w:val="none" w:sz="0" w:space="0" w:color="auto"/>
      </w:divBdr>
    </w:div>
    <w:div w:id="1526405730">
      <w:bodyDiv w:val="1"/>
      <w:marLeft w:val="0"/>
      <w:marRight w:val="0"/>
      <w:marTop w:val="0"/>
      <w:marBottom w:val="0"/>
      <w:divBdr>
        <w:top w:val="none" w:sz="0" w:space="0" w:color="auto"/>
        <w:left w:val="none" w:sz="0" w:space="0" w:color="auto"/>
        <w:bottom w:val="none" w:sz="0" w:space="0" w:color="auto"/>
        <w:right w:val="none" w:sz="0" w:space="0" w:color="auto"/>
      </w:divBdr>
    </w:div>
    <w:div w:id="1533615396">
      <w:bodyDiv w:val="1"/>
      <w:marLeft w:val="0"/>
      <w:marRight w:val="0"/>
      <w:marTop w:val="0"/>
      <w:marBottom w:val="0"/>
      <w:divBdr>
        <w:top w:val="none" w:sz="0" w:space="0" w:color="auto"/>
        <w:left w:val="none" w:sz="0" w:space="0" w:color="auto"/>
        <w:bottom w:val="none" w:sz="0" w:space="0" w:color="auto"/>
        <w:right w:val="none" w:sz="0" w:space="0" w:color="auto"/>
      </w:divBdr>
    </w:div>
    <w:div w:id="1536776235">
      <w:bodyDiv w:val="1"/>
      <w:marLeft w:val="0"/>
      <w:marRight w:val="0"/>
      <w:marTop w:val="0"/>
      <w:marBottom w:val="0"/>
      <w:divBdr>
        <w:top w:val="none" w:sz="0" w:space="0" w:color="auto"/>
        <w:left w:val="none" w:sz="0" w:space="0" w:color="auto"/>
        <w:bottom w:val="none" w:sz="0" w:space="0" w:color="auto"/>
        <w:right w:val="none" w:sz="0" w:space="0" w:color="auto"/>
      </w:divBdr>
    </w:div>
    <w:div w:id="1675962072">
      <w:bodyDiv w:val="1"/>
      <w:marLeft w:val="0"/>
      <w:marRight w:val="0"/>
      <w:marTop w:val="0"/>
      <w:marBottom w:val="0"/>
      <w:divBdr>
        <w:top w:val="none" w:sz="0" w:space="0" w:color="auto"/>
        <w:left w:val="none" w:sz="0" w:space="0" w:color="auto"/>
        <w:bottom w:val="none" w:sz="0" w:space="0" w:color="auto"/>
        <w:right w:val="none" w:sz="0" w:space="0" w:color="auto"/>
      </w:divBdr>
    </w:div>
    <w:div w:id="1766614537">
      <w:bodyDiv w:val="1"/>
      <w:marLeft w:val="0"/>
      <w:marRight w:val="0"/>
      <w:marTop w:val="0"/>
      <w:marBottom w:val="0"/>
      <w:divBdr>
        <w:top w:val="none" w:sz="0" w:space="0" w:color="auto"/>
        <w:left w:val="none" w:sz="0" w:space="0" w:color="auto"/>
        <w:bottom w:val="none" w:sz="0" w:space="0" w:color="auto"/>
        <w:right w:val="none" w:sz="0" w:space="0" w:color="auto"/>
      </w:divBdr>
    </w:div>
    <w:div w:id="1776052360">
      <w:bodyDiv w:val="1"/>
      <w:marLeft w:val="0"/>
      <w:marRight w:val="0"/>
      <w:marTop w:val="0"/>
      <w:marBottom w:val="0"/>
      <w:divBdr>
        <w:top w:val="none" w:sz="0" w:space="0" w:color="auto"/>
        <w:left w:val="none" w:sz="0" w:space="0" w:color="auto"/>
        <w:bottom w:val="none" w:sz="0" w:space="0" w:color="auto"/>
        <w:right w:val="none" w:sz="0" w:space="0" w:color="auto"/>
      </w:divBdr>
    </w:div>
    <w:div w:id="1848861155">
      <w:bodyDiv w:val="1"/>
      <w:marLeft w:val="0"/>
      <w:marRight w:val="0"/>
      <w:marTop w:val="0"/>
      <w:marBottom w:val="0"/>
      <w:divBdr>
        <w:top w:val="none" w:sz="0" w:space="0" w:color="auto"/>
        <w:left w:val="none" w:sz="0" w:space="0" w:color="auto"/>
        <w:bottom w:val="none" w:sz="0" w:space="0" w:color="auto"/>
        <w:right w:val="none" w:sz="0" w:space="0" w:color="auto"/>
      </w:divBdr>
    </w:div>
    <w:div w:id="1954286115">
      <w:bodyDiv w:val="1"/>
      <w:marLeft w:val="0"/>
      <w:marRight w:val="0"/>
      <w:marTop w:val="0"/>
      <w:marBottom w:val="0"/>
      <w:divBdr>
        <w:top w:val="none" w:sz="0" w:space="0" w:color="auto"/>
        <w:left w:val="none" w:sz="0" w:space="0" w:color="auto"/>
        <w:bottom w:val="none" w:sz="0" w:space="0" w:color="auto"/>
        <w:right w:val="none" w:sz="0" w:space="0" w:color="auto"/>
      </w:divBdr>
    </w:div>
    <w:div w:id="2045208644">
      <w:bodyDiv w:val="1"/>
      <w:marLeft w:val="0"/>
      <w:marRight w:val="0"/>
      <w:marTop w:val="0"/>
      <w:marBottom w:val="0"/>
      <w:divBdr>
        <w:top w:val="none" w:sz="0" w:space="0" w:color="auto"/>
        <w:left w:val="none" w:sz="0" w:space="0" w:color="auto"/>
        <w:bottom w:val="none" w:sz="0" w:space="0" w:color="auto"/>
        <w:right w:val="none" w:sz="0" w:space="0" w:color="auto"/>
      </w:divBdr>
    </w:div>
    <w:div w:id="2078285698">
      <w:bodyDiv w:val="1"/>
      <w:marLeft w:val="0"/>
      <w:marRight w:val="0"/>
      <w:marTop w:val="0"/>
      <w:marBottom w:val="0"/>
      <w:divBdr>
        <w:top w:val="none" w:sz="0" w:space="0" w:color="auto"/>
        <w:left w:val="none" w:sz="0" w:space="0" w:color="auto"/>
        <w:bottom w:val="none" w:sz="0" w:space="0" w:color="auto"/>
        <w:right w:val="none" w:sz="0" w:space="0" w:color="auto"/>
      </w:divBdr>
    </w:div>
    <w:div w:id="213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federalfinancialrelations.gov.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E454C66E-CE2E-44E6-814D-F3472D6D3EFE}"/>
</file>

<file path=customXml/itemProps2.xml><?xml version="1.0" encoding="utf-8"?>
<ds:datastoreItem xmlns:ds="http://schemas.openxmlformats.org/officeDocument/2006/customXml" ds:itemID="{102A21FE-8743-4EF8-AE84-9A81D7657CA9}"/>
</file>

<file path=customXml/itemProps3.xml><?xml version="1.0" encoding="utf-8"?>
<ds:datastoreItem xmlns:ds="http://schemas.openxmlformats.org/officeDocument/2006/customXml" ds:itemID="{FAB8FF53-5A33-4726-8EA0-26A521C8CB4D}"/>
</file>

<file path=docProps/app.xml><?xml version="1.0" encoding="utf-8"?>
<Properties xmlns="http://schemas.openxmlformats.org/officeDocument/2006/extended-properties" xmlns:vt="http://schemas.openxmlformats.org/officeDocument/2006/docPropsVTypes">
  <Template>Normal.dotm</Template>
  <TotalTime>0</TotalTime>
  <Pages>11</Pages>
  <Words>2723</Words>
  <Characters>15526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Budget Paper No. 3</vt:lpstr>
    </vt:vector>
  </TitlesOfParts>
  <Manager/>
  <Company/>
  <LinksUpToDate>false</LinksUpToDate>
  <CharactersWithSpaces>18213</CharactersWithSpaces>
  <SharedDoc>false</SharedDoc>
  <HLinks>
    <vt:vector size="6" baseType="variant">
      <vt:variant>
        <vt:i4>1310795</vt:i4>
      </vt:variant>
      <vt:variant>
        <vt:i4>28</vt:i4>
      </vt:variant>
      <vt:variant>
        <vt:i4>0</vt:i4>
      </vt:variant>
      <vt:variant>
        <vt:i4>5</vt:i4>
      </vt:variant>
      <vt:variant>
        <vt:lpwstr>http://www.federalfinancialrelations.gov.au/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3</dc:title>
  <dc:subject>Part 1: Australia’s Federal Relations</dc:subject>
  <dc:creator>Australian Government</dc:creator>
  <cp:keywords/>
  <dc:description/>
  <cp:lastModifiedBy/>
  <cp:revision>1</cp:revision>
  <dcterms:created xsi:type="dcterms:W3CDTF">2025-03-23T01:54:00Z</dcterms:created>
  <dcterms:modified xsi:type="dcterms:W3CDTF">2025-03-23T01:55:00Z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2025-03-23T01:54:48Z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8501cb6e-0c9e-48c0-b966-a8eb76b27310</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