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043F" w14:textId="1D14E5B4" w:rsidR="00A0066F" w:rsidRPr="007B3123" w:rsidRDefault="00A0066F" w:rsidP="007B3123">
      <w:pPr>
        <w:pStyle w:val="Heading1"/>
        <w:rPr>
          <w:rStyle w:val="Strong"/>
        </w:rPr>
      </w:pPr>
      <w:r w:rsidRPr="007B3123">
        <w:rPr>
          <w:rStyle w:val="Strong"/>
        </w:rPr>
        <w:t>Appendix E: Appropriations and conditions</w:t>
      </w:r>
    </w:p>
    <w:p w14:paraId="5C4DC3E5" w14:textId="2BFA0148" w:rsidR="00A0066F" w:rsidRPr="007D4EDC" w:rsidRDefault="00810D02" w:rsidP="00A0066F">
      <w:r w:rsidRPr="00810D02">
        <w:t xml:space="preserve">Funding to state and territory governments (states) is provided through grants of financial assistance. This is supported by section 96 of the Constitution which provides that the Commonwealth Parliament ‘may grant financial assistance to any State on such terms and conditions as Parliament thinks fit’ (and </w:t>
      </w:r>
      <w:r w:rsidR="008F4012">
        <w:t xml:space="preserve">by </w:t>
      </w:r>
      <w:r w:rsidRPr="00810D02">
        <w:t>section 122 for Territories).</w:t>
      </w:r>
      <w:r w:rsidR="00D10D8F">
        <w:t xml:space="preserve"> </w:t>
      </w:r>
      <w:r w:rsidR="00D10D8F" w:rsidRPr="007D4EDC">
        <w:t>This is the mechanism used to enable payments under the Federal Financial Relations framework</w:t>
      </w:r>
      <w:r w:rsidR="00D10D8F">
        <w:t>.</w:t>
      </w:r>
    </w:p>
    <w:p w14:paraId="2E610E52" w14:textId="0FD18807" w:rsidR="00A0066F" w:rsidRPr="007D4EDC" w:rsidRDefault="00A0066F" w:rsidP="00A0066F">
      <w:r w:rsidRPr="007D4EDC">
        <w:t xml:space="preserve">Under the </w:t>
      </w:r>
      <w:hyperlink r:id="rId7" w:history="1">
        <w:hyperlink r:id="rId8" w:history="1">
          <w:r w:rsidRPr="007D4EDC">
            <w:rPr>
              <w:rStyle w:val="Hyperlink"/>
              <w:i/>
              <w:iCs/>
            </w:rPr>
            <w:t>Federal Financial Relations Act 2009</w:t>
          </w:r>
        </w:hyperlink>
        <w:r w:rsidRPr="007D4EDC">
          <w:rPr>
            <w:rStyle w:val="Hyperlink"/>
          </w:rPr>
          <w:t xml:space="preserve"> (FFR Act)</w:t>
        </w:r>
      </w:hyperlink>
      <w:r w:rsidRPr="007D4EDC">
        <w:t>,</w:t>
      </w:r>
      <w:r w:rsidRPr="007D4EDC">
        <w:rPr>
          <w:i/>
        </w:rPr>
        <w:t xml:space="preserve"> </w:t>
      </w:r>
      <w:r w:rsidRPr="007D4EDC">
        <w:t>the amount of National Partnership payments and other general revenue assistance in each financial year must not exceed specified debit limits. The limits are deliberately set well above the expected level of expenditure to ensure the Australian Government has sufficient scope not only to deal with existing commitments to the states but also to deal with large</w:t>
      </w:r>
      <w:r w:rsidR="00864766">
        <w:noBreakHyphen/>
      </w:r>
      <w:r w:rsidRPr="007D4EDC">
        <w:t xml:space="preserve">scale natural disasters or unforeseen agreements with the states that require large payments to be made in the current financial year. The debit limits, which are set out in </w:t>
      </w:r>
      <w:r w:rsidRPr="00C85102">
        <w:rPr>
          <w:rStyle w:val="Emphasis"/>
        </w:rPr>
        <w:t>Appropriation</w:t>
      </w:r>
      <w:r w:rsidR="00096DAA">
        <w:rPr>
          <w:rStyle w:val="Emphasis"/>
        </w:rPr>
        <w:t> </w:t>
      </w:r>
      <w:r w:rsidRPr="00C85102">
        <w:rPr>
          <w:rStyle w:val="Emphasis"/>
        </w:rPr>
        <w:t>Acts</w:t>
      </w:r>
      <w:r w:rsidR="00864766">
        <w:rPr>
          <w:rStyle w:val="Emphasis"/>
        </w:rPr>
        <w:t> </w:t>
      </w:r>
      <w:r w:rsidRPr="00C85102">
        <w:rPr>
          <w:rStyle w:val="Emphasis"/>
        </w:rPr>
        <w:t>No.2</w:t>
      </w:r>
      <w:r w:rsidRPr="007D4EDC">
        <w:t xml:space="preserve"> and </w:t>
      </w:r>
      <w:r w:rsidRPr="00C85102">
        <w:rPr>
          <w:rStyle w:val="Emphasis"/>
        </w:rPr>
        <w:t>No.4</w:t>
      </w:r>
      <w:r w:rsidRPr="007D4EDC">
        <w:t xml:space="preserve">, and </w:t>
      </w:r>
      <w:r w:rsidRPr="00C85102">
        <w:rPr>
          <w:rStyle w:val="Emphasis"/>
        </w:rPr>
        <w:t>Supply</w:t>
      </w:r>
      <w:r w:rsidR="00096DAA">
        <w:rPr>
          <w:rStyle w:val="Emphasis"/>
        </w:rPr>
        <w:t> </w:t>
      </w:r>
      <w:r w:rsidRPr="00C85102">
        <w:rPr>
          <w:rStyle w:val="Emphasis"/>
        </w:rPr>
        <w:t>Act</w:t>
      </w:r>
      <w:r w:rsidR="00096DAA">
        <w:rPr>
          <w:rStyle w:val="Emphasis"/>
        </w:rPr>
        <w:t> </w:t>
      </w:r>
      <w:r w:rsidRPr="00C85102">
        <w:rPr>
          <w:rStyle w:val="Emphasis"/>
        </w:rPr>
        <w:t>No.2</w:t>
      </w:r>
      <w:r w:rsidRPr="007D4EDC">
        <w:t xml:space="preserve"> as relevant, do not appropriate amounts to be paid to the states; they only set a limit to the amount that can be paid.</w:t>
      </w:r>
    </w:p>
    <w:p w14:paraId="0D6919C3" w14:textId="538FC2C4" w:rsidR="00AB3772" w:rsidRDefault="00A0066F" w:rsidP="00A0066F">
      <w:r w:rsidRPr="007D4EDC">
        <w:t>Agreements underpinning Commonwealth</w:t>
      </w:r>
      <w:r w:rsidR="00654720">
        <w:t>–</w:t>
      </w:r>
      <w:r w:rsidRPr="007D4EDC">
        <w:t xml:space="preserve">state payments are available on the </w:t>
      </w:r>
      <w:r w:rsidRPr="007D4EDC">
        <w:rPr>
          <w:spacing w:val="-2"/>
        </w:rPr>
        <w:t>Federal</w:t>
      </w:r>
      <w:r w:rsidR="00096DAA">
        <w:rPr>
          <w:spacing w:val="-2"/>
        </w:rPr>
        <w:t> </w:t>
      </w:r>
      <w:r w:rsidRPr="007D4EDC">
        <w:rPr>
          <w:spacing w:val="-2"/>
        </w:rPr>
        <w:t xml:space="preserve">Financial Relations website, at: </w:t>
      </w:r>
      <w:hyperlink r:id="rId9" w:history="1">
        <w:r w:rsidRPr="00F003B2">
          <w:rPr>
            <w:rStyle w:val="Hyperlink"/>
          </w:rPr>
          <w:t>www.federalfinancialrelations.gov.au</w:t>
        </w:r>
      </w:hyperlink>
      <w:r w:rsidRPr="007D4EDC">
        <w:rPr>
          <w:spacing w:val="-2"/>
        </w:rPr>
        <w:t xml:space="preserve">. </w:t>
      </w:r>
      <w:r w:rsidRPr="007D4EDC">
        <w:t xml:space="preserve">All legislation is available at: </w:t>
      </w:r>
      <w:hyperlink r:id="rId10" w:history="1">
        <w:r w:rsidRPr="007D4EDC">
          <w:rPr>
            <w:rStyle w:val="Hyperlink"/>
          </w:rPr>
          <w:t>www.legislation.gov.au</w:t>
        </w:r>
      </w:hyperlink>
      <w:r w:rsidRPr="007D4EDC">
        <w:rPr>
          <w:spacing w:val="-2"/>
        </w:rPr>
        <w:t>.</w:t>
      </w:r>
    </w:p>
    <w:p w14:paraId="140E13C0" w14:textId="77777777" w:rsidR="00AB3772" w:rsidRDefault="00AB3772" w:rsidP="00A0066F">
      <w:pPr>
        <w:sectPr w:rsidR="00AB3772" w:rsidSect="0089712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835" w:right="2098" w:bottom="2466" w:left="2098" w:header="1814" w:footer="1814" w:gutter="0"/>
          <w:cols w:space="708"/>
          <w:titlePg/>
          <w:docGrid w:linePitch="360"/>
        </w:sectPr>
      </w:pPr>
    </w:p>
    <w:p w14:paraId="6D55C821" w14:textId="77777777" w:rsidR="00AB3772" w:rsidRPr="007D4EDC" w:rsidRDefault="00AB3772" w:rsidP="00AB3772">
      <w:pPr>
        <w:pStyle w:val="TableHeading"/>
      </w:pPr>
      <w:r w:rsidRPr="007D4EDC">
        <w:lastRenderedPageBreak/>
        <w:t>Table E.1: Appropriation mechanisms and terms and conditions for state payments</w:t>
      </w:r>
    </w:p>
    <w:tbl>
      <w:tblPr>
        <w:tblStyle w:val="TableGrid"/>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1908"/>
        <w:gridCol w:w="4900"/>
        <w:gridCol w:w="4798"/>
      </w:tblGrid>
      <w:tr w:rsidR="00AB3772" w:rsidRPr="00885EE1" w14:paraId="398344CD" w14:textId="77777777" w:rsidTr="00897127">
        <w:trPr>
          <w:cantSplit/>
          <w:tblHeader/>
        </w:trPr>
        <w:tc>
          <w:tcPr>
            <w:tcW w:w="822" w:type="pct"/>
            <w:shd w:val="clear" w:color="auto" w:fill="E6F2FF"/>
          </w:tcPr>
          <w:p w14:paraId="0EEB8A02" w14:textId="77777777" w:rsidR="00AB3772" w:rsidRPr="00885EE1" w:rsidRDefault="00AB3772" w:rsidP="00B35796">
            <w:pPr>
              <w:pStyle w:val="TableColumnHeadingLeft"/>
              <w:rPr>
                <w:highlight w:val="yellow"/>
              </w:rPr>
            </w:pPr>
            <w:r w:rsidRPr="007D4EDC">
              <w:t>Payment type</w:t>
            </w:r>
          </w:p>
        </w:tc>
        <w:tc>
          <w:tcPr>
            <w:tcW w:w="2111" w:type="pct"/>
            <w:shd w:val="clear" w:color="auto" w:fill="E6F2FF"/>
          </w:tcPr>
          <w:p w14:paraId="7D1A377B" w14:textId="77777777" w:rsidR="00AB3772" w:rsidRPr="00885EE1" w:rsidRDefault="00AB3772" w:rsidP="00B35796">
            <w:pPr>
              <w:pStyle w:val="TableColumnHeadingLeft"/>
              <w:rPr>
                <w:highlight w:val="yellow"/>
              </w:rPr>
            </w:pPr>
            <w:r w:rsidRPr="007D4EDC">
              <w:t>Appropriation mechanism</w:t>
            </w:r>
          </w:p>
        </w:tc>
        <w:tc>
          <w:tcPr>
            <w:tcW w:w="2067" w:type="pct"/>
            <w:shd w:val="clear" w:color="auto" w:fill="E6F2FF"/>
          </w:tcPr>
          <w:p w14:paraId="71CF51D5" w14:textId="77777777" w:rsidR="00AB3772" w:rsidRPr="00885EE1" w:rsidRDefault="00AB3772" w:rsidP="00B35796">
            <w:pPr>
              <w:pStyle w:val="TableColumnHeadingLeft"/>
              <w:rPr>
                <w:highlight w:val="yellow"/>
              </w:rPr>
            </w:pPr>
            <w:r w:rsidRPr="007D4EDC">
              <w:t>Terms and conditions</w:t>
            </w:r>
          </w:p>
        </w:tc>
      </w:tr>
      <w:tr w:rsidR="00AB3772" w:rsidRPr="00885EE1" w14:paraId="6FC789DE" w14:textId="77777777" w:rsidTr="00897127">
        <w:trPr>
          <w:cantSplit/>
        </w:trPr>
        <w:tc>
          <w:tcPr>
            <w:tcW w:w="822" w:type="pct"/>
          </w:tcPr>
          <w:p w14:paraId="7BF34004" w14:textId="77777777" w:rsidR="00AB3772" w:rsidRPr="00885EE1" w:rsidRDefault="00AB3772" w:rsidP="00B35796">
            <w:pPr>
              <w:pStyle w:val="TableTextLeft"/>
              <w:rPr>
                <w:highlight w:val="yellow"/>
              </w:rPr>
            </w:pPr>
            <w:r w:rsidRPr="007D4EDC">
              <w:t>National Partnerships</w:t>
            </w:r>
          </w:p>
        </w:tc>
        <w:tc>
          <w:tcPr>
            <w:tcW w:w="2111" w:type="pct"/>
          </w:tcPr>
          <w:p w14:paraId="3DEBC799" w14:textId="75C4AF3D" w:rsidR="00AB3772" w:rsidRPr="00885EE1" w:rsidRDefault="00AB3772" w:rsidP="00B35796">
            <w:pPr>
              <w:pStyle w:val="TableTextLeft"/>
              <w:rPr>
                <w:highlight w:val="yellow"/>
              </w:rPr>
            </w:pPr>
            <w:r w:rsidRPr="007D4EDC">
              <w:t xml:space="preserve">The FFR Act (section 16) allows the Treasurer to </w:t>
            </w:r>
            <w:proofErr w:type="gramStart"/>
            <w:r w:rsidRPr="007D4EDC">
              <w:t>make a determination</w:t>
            </w:r>
            <w:proofErr w:type="gramEnd"/>
            <w:r w:rsidRPr="007D4EDC">
              <w:t xml:space="preserve"> crediting amounts to the </w:t>
            </w:r>
            <w:r w:rsidR="00A12FCB">
              <w:t xml:space="preserve">Federation </w:t>
            </w:r>
            <w:r w:rsidRPr="007D4EDC">
              <w:t>Reform Fund for the purpose of making these payments</w:t>
            </w:r>
            <w:r w:rsidRPr="007D4EDC">
              <w:rPr>
                <w:vertAlign w:val="superscript"/>
              </w:rPr>
              <w:t>(a)</w:t>
            </w:r>
            <w:r w:rsidR="00CB7511">
              <w:t xml:space="preserve">. </w:t>
            </w:r>
            <w:r w:rsidRPr="007D4EDC">
              <w:t xml:space="preserve">The </w:t>
            </w:r>
            <w:hyperlink r:id="rId17" w:history="1">
              <w:r w:rsidR="00A12FCB">
                <w:rPr>
                  <w:rStyle w:val="Hyperlink"/>
                  <w:i/>
                  <w:iCs/>
                </w:rPr>
                <w:t xml:space="preserve">Federation </w:t>
              </w:r>
              <w:r w:rsidR="00A12FCB" w:rsidRPr="007D4EDC">
                <w:rPr>
                  <w:rStyle w:val="Hyperlink"/>
                  <w:i/>
                  <w:iCs/>
                </w:rPr>
                <w:t>Reform Fund Act 2008</w:t>
              </w:r>
            </w:hyperlink>
            <w:r w:rsidRPr="007D4EDC">
              <w:t xml:space="preserve"> (section 6) and the </w:t>
            </w:r>
            <w:hyperlink r:id="rId18" w:history="1">
              <w:r w:rsidRPr="007D4EDC">
                <w:rPr>
                  <w:rStyle w:val="Hyperlink"/>
                  <w:i/>
                  <w:iCs/>
                </w:rPr>
                <w:t>Public Governance, Performance and Accountability Act 2013</w:t>
              </w:r>
            </w:hyperlink>
            <w:r w:rsidRPr="007D4EDC">
              <w:t xml:space="preserve"> (section 80) provide the appropriation for</w:t>
            </w:r>
            <w:r w:rsidRPr="007D4EDC" w:rsidDel="00E6018F">
              <w:t xml:space="preserve"> </w:t>
            </w:r>
            <w:r w:rsidRPr="007D4EDC">
              <w:t>these amounts.</w:t>
            </w:r>
          </w:p>
        </w:tc>
        <w:tc>
          <w:tcPr>
            <w:tcW w:w="2067" w:type="pct"/>
          </w:tcPr>
          <w:p w14:paraId="19551306" w14:textId="15839D11" w:rsidR="00AB3772" w:rsidRPr="00885EE1" w:rsidRDefault="00AB3772" w:rsidP="00B35796">
            <w:pPr>
              <w:pStyle w:val="TableTextLeft"/>
              <w:rPr>
                <w:highlight w:val="yellow"/>
              </w:rPr>
            </w:pPr>
            <w:r w:rsidRPr="007D4EDC">
              <w:t xml:space="preserve">The </w:t>
            </w:r>
            <w:r w:rsidR="00000471">
              <w:rPr>
                <w:rStyle w:val="Emphasis"/>
              </w:rPr>
              <w:t>Federation</w:t>
            </w:r>
            <w:r w:rsidR="00000471" w:rsidRPr="001C1A7A">
              <w:rPr>
                <w:rStyle w:val="Emphasis"/>
              </w:rPr>
              <w:t xml:space="preserve"> </w:t>
            </w:r>
            <w:r w:rsidRPr="001C1A7A">
              <w:rPr>
                <w:rStyle w:val="Emphasis"/>
              </w:rPr>
              <w:t>Reform Fund Act 2008</w:t>
            </w:r>
            <w:r w:rsidRPr="007D4EDC">
              <w:t xml:space="preserve"> (section 7) provides that the terms and conditions for National Partnership payments must be set out in a written agreement between the Australian Government and the recipient state. Agreements are signed either at first minister, Treasurer, or portfolio minister level.</w:t>
            </w:r>
          </w:p>
        </w:tc>
      </w:tr>
      <w:tr w:rsidR="00F02EC9" w:rsidRPr="00885EE1" w14:paraId="2CCA076E" w14:textId="77777777" w:rsidTr="00897127">
        <w:trPr>
          <w:cantSplit/>
        </w:trPr>
        <w:tc>
          <w:tcPr>
            <w:tcW w:w="822" w:type="pct"/>
          </w:tcPr>
          <w:p w14:paraId="5B992B7D" w14:textId="39642DE3" w:rsidR="00F02EC9" w:rsidRDefault="00F02EC9" w:rsidP="00F02EC9">
            <w:pPr>
              <w:pStyle w:val="TableTextLeft"/>
            </w:pPr>
            <w:r w:rsidRPr="007D4EDC">
              <w:t>National Health Reform (NHR)</w:t>
            </w:r>
          </w:p>
        </w:tc>
        <w:tc>
          <w:tcPr>
            <w:tcW w:w="2111" w:type="pct"/>
          </w:tcPr>
          <w:p w14:paraId="1E2645DC" w14:textId="074704C5" w:rsidR="00F02EC9" w:rsidRPr="007D4EDC" w:rsidRDefault="00F02EC9" w:rsidP="00F02EC9">
            <w:pPr>
              <w:pStyle w:val="TableTextLeft"/>
            </w:pPr>
            <w:r w:rsidRPr="007D4EDC">
              <w:t>NHR payments are made under the FFR Act (section 22). Monthly advance payments throughout the year are made under section 17.</w:t>
            </w:r>
          </w:p>
        </w:tc>
        <w:tc>
          <w:tcPr>
            <w:tcW w:w="2067" w:type="pct"/>
          </w:tcPr>
          <w:p w14:paraId="3D52CE88" w14:textId="4A8EBDAD" w:rsidR="00F02EC9" w:rsidRPr="007D4EDC" w:rsidRDefault="00F02EC9" w:rsidP="00F02EC9">
            <w:pPr>
              <w:pStyle w:val="TableTextLeft"/>
            </w:pPr>
            <w:r w:rsidRPr="007D4EDC">
              <w:t xml:space="preserve">The statutory framework for NHR payments is set out in the </w:t>
            </w:r>
            <w:hyperlink r:id="rId19" w:history="1">
              <w:r w:rsidRPr="007D4EDC">
                <w:rPr>
                  <w:rStyle w:val="Hyperlink"/>
                  <w:i/>
                  <w:iCs/>
                </w:rPr>
                <w:t>National Health Reform Act 2011</w:t>
              </w:r>
            </w:hyperlink>
            <w:r w:rsidRPr="007D4EDC">
              <w:t xml:space="preserve">. Terms and conditions are set out in the </w:t>
            </w:r>
            <w:hyperlink r:id="rId20" w:history="1">
              <w:r w:rsidRPr="007D4EDC">
                <w:rPr>
                  <w:rStyle w:val="Hyperlink"/>
                </w:rPr>
                <w:t>National Health Reform Agreement</w:t>
              </w:r>
            </w:hyperlink>
            <w:r w:rsidRPr="007D4EDC">
              <w:t>.</w:t>
            </w:r>
          </w:p>
        </w:tc>
      </w:tr>
      <w:tr w:rsidR="00F02EC9" w:rsidRPr="00885EE1" w14:paraId="2F723642" w14:textId="77777777" w:rsidTr="00897127">
        <w:trPr>
          <w:cantSplit/>
        </w:trPr>
        <w:tc>
          <w:tcPr>
            <w:tcW w:w="822" w:type="pct"/>
          </w:tcPr>
          <w:p w14:paraId="75C6BF81" w14:textId="4E200BC0" w:rsidR="00F02EC9" w:rsidRDefault="00F02EC9" w:rsidP="00F02EC9">
            <w:pPr>
              <w:pStyle w:val="TableTextLeft"/>
            </w:pPr>
            <w:r>
              <w:t>Better and Fairer Schools</w:t>
            </w:r>
          </w:p>
        </w:tc>
        <w:tc>
          <w:tcPr>
            <w:tcW w:w="2111" w:type="pct"/>
          </w:tcPr>
          <w:p w14:paraId="64ADB1B2" w14:textId="3E6FAB07" w:rsidR="00F02EC9" w:rsidRPr="007D4EDC" w:rsidRDefault="00F02EC9" w:rsidP="00F02EC9">
            <w:pPr>
              <w:pStyle w:val="TableTextLeft"/>
            </w:pPr>
            <w:r w:rsidRPr="007D4EDC">
              <w:t xml:space="preserve">Payments of recurrent funding are made under the </w:t>
            </w:r>
            <w:hyperlink r:id="rId21" w:history="1">
              <w:r w:rsidRPr="007D4EDC">
                <w:rPr>
                  <w:rStyle w:val="Hyperlink"/>
                  <w:i/>
                  <w:iCs/>
                </w:rPr>
                <w:t>Australian Education Act 2013</w:t>
              </w:r>
            </w:hyperlink>
            <w:r w:rsidRPr="007D4EDC">
              <w:t xml:space="preserve"> (AEA) (section 26). Special circumstances funding (section 69), prescribed circumstances funding (section 69A) and funding for non</w:t>
            </w:r>
            <w:r>
              <w:noBreakHyphen/>
            </w:r>
            <w:r w:rsidRPr="007D4EDC">
              <w:t>government representative bodies (section 70) are also made under the AEA, through ministerial determinations.</w:t>
            </w:r>
          </w:p>
        </w:tc>
        <w:tc>
          <w:tcPr>
            <w:tcW w:w="2067" w:type="pct"/>
          </w:tcPr>
          <w:p w14:paraId="7686E0FD" w14:textId="4FD5B8DB" w:rsidR="00F02EC9" w:rsidRPr="007D4EDC" w:rsidRDefault="00F02EC9" w:rsidP="00F02EC9">
            <w:pPr>
              <w:pStyle w:val="TableTextLeft"/>
            </w:pPr>
            <w:r w:rsidRPr="007D4EDC">
              <w:t xml:space="preserve">Terms and conditions are set out in the AEA and the </w:t>
            </w:r>
            <w:hyperlink r:id="rId22" w:history="1">
              <w:r w:rsidRPr="007D4EDC">
                <w:rPr>
                  <w:rStyle w:val="Hyperlink"/>
                  <w:i/>
                  <w:iCs/>
                </w:rPr>
                <w:t>Australian</w:t>
              </w:r>
              <w:r>
                <w:rPr>
                  <w:rStyle w:val="Hyperlink"/>
                  <w:i/>
                  <w:iCs/>
                </w:rPr>
                <w:t> </w:t>
              </w:r>
              <w:r w:rsidRPr="007D4EDC">
                <w:rPr>
                  <w:rStyle w:val="Hyperlink"/>
                  <w:i/>
                  <w:iCs/>
                </w:rPr>
                <w:t>Education Regulation</w:t>
              </w:r>
              <w:r w:rsidR="008A564C">
                <w:rPr>
                  <w:rStyle w:val="Hyperlink"/>
                  <w:i/>
                  <w:iCs/>
                </w:rPr>
                <w:t>s</w:t>
              </w:r>
              <w:r w:rsidRPr="007D4EDC">
                <w:rPr>
                  <w:rStyle w:val="Hyperlink"/>
                  <w:i/>
                  <w:iCs/>
                </w:rPr>
                <w:t xml:space="preserve"> 20</w:t>
              </w:r>
              <w:r>
                <w:rPr>
                  <w:rStyle w:val="Hyperlink"/>
                  <w:i/>
                  <w:iCs/>
                </w:rPr>
                <w:t>2</w:t>
              </w:r>
              <w:r w:rsidRPr="007D4EDC">
                <w:rPr>
                  <w:rStyle w:val="Hyperlink"/>
                  <w:i/>
                  <w:iCs/>
                </w:rPr>
                <w:t>3</w:t>
              </w:r>
            </w:hyperlink>
            <w:r>
              <w:t xml:space="preserve"> and the </w:t>
            </w:r>
            <w:hyperlink r:id="rId23" w:history="1">
              <w:r w:rsidRPr="004B79F3">
                <w:rPr>
                  <w:rStyle w:val="Hyperlink"/>
                </w:rPr>
                <w:t>Better and Fairer Schools Agreement 2025–2034</w:t>
              </w:r>
            </w:hyperlink>
            <w:r w:rsidRPr="007D4EDC">
              <w:t>.</w:t>
            </w:r>
          </w:p>
        </w:tc>
      </w:tr>
      <w:tr w:rsidR="00F02EC9" w:rsidRPr="00885EE1" w14:paraId="0BA0E00A" w14:textId="77777777" w:rsidTr="00897127">
        <w:trPr>
          <w:cantSplit/>
        </w:trPr>
        <w:tc>
          <w:tcPr>
            <w:tcW w:w="822" w:type="pct"/>
          </w:tcPr>
          <w:p w14:paraId="4227E63B" w14:textId="77777777" w:rsidR="00F02EC9" w:rsidRPr="007D4EDC" w:rsidRDefault="00F02EC9" w:rsidP="00F02EC9">
            <w:pPr>
              <w:pStyle w:val="TableTextLeft"/>
            </w:pPr>
            <w:r>
              <w:t>National Skills Agreement (NSA)</w:t>
            </w:r>
          </w:p>
        </w:tc>
        <w:tc>
          <w:tcPr>
            <w:tcW w:w="2111" w:type="pct"/>
          </w:tcPr>
          <w:p w14:paraId="0FB8432C" w14:textId="6B238D15" w:rsidR="00F02EC9" w:rsidRDefault="00F02EC9" w:rsidP="00F02EC9">
            <w:pPr>
              <w:pStyle w:val="TableTextLeft"/>
            </w:pPr>
            <w:r w:rsidRPr="007D4EDC">
              <w:t>N</w:t>
            </w:r>
            <w:r>
              <w:t>S</w:t>
            </w:r>
            <w:r w:rsidRPr="007D4EDC">
              <w:t xml:space="preserve">A </w:t>
            </w:r>
            <w:r>
              <w:t xml:space="preserve">‘flexible funding’ </w:t>
            </w:r>
            <w:r w:rsidRPr="007D4EDC">
              <w:t>payments are made under the FFR Act (section 22). Monthly advance payments throughout the year are made under section 17.</w:t>
            </w:r>
          </w:p>
          <w:p w14:paraId="2AF5AB61" w14:textId="77777777" w:rsidR="00F02EC9" w:rsidRDefault="00F02EC9" w:rsidP="00F02EC9">
            <w:pPr>
              <w:pStyle w:val="TableTextLeft"/>
            </w:pPr>
          </w:p>
          <w:p w14:paraId="2DBC6B27" w14:textId="2D7DEC68" w:rsidR="00F02EC9" w:rsidRPr="007D4EDC" w:rsidRDefault="00F02EC9" w:rsidP="00F02EC9">
            <w:pPr>
              <w:pStyle w:val="TableTextLeft"/>
            </w:pPr>
            <w:r>
              <w:t>NSA p</w:t>
            </w:r>
            <w:r w:rsidRPr="007D4EDC">
              <w:t xml:space="preserve">ayments </w:t>
            </w:r>
            <w:r>
              <w:t xml:space="preserve">for ‘Policy Initiatives’ </w:t>
            </w:r>
            <w:r w:rsidRPr="007D4EDC">
              <w:t>are made in line with payments for National Partnerships.</w:t>
            </w:r>
          </w:p>
        </w:tc>
        <w:tc>
          <w:tcPr>
            <w:tcW w:w="2067" w:type="pct"/>
          </w:tcPr>
          <w:p w14:paraId="30677283" w14:textId="77777777" w:rsidR="00F02EC9" w:rsidRPr="007D4EDC" w:rsidRDefault="00F02EC9" w:rsidP="00F02EC9">
            <w:pPr>
              <w:pStyle w:val="TableTextLeft"/>
            </w:pPr>
            <w:r w:rsidRPr="007D4EDC">
              <w:t xml:space="preserve">Terms and conditions are set out in the </w:t>
            </w:r>
            <w:hyperlink r:id="rId24" w:history="1">
              <w:r w:rsidRPr="00D040AD">
                <w:rPr>
                  <w:rStyle w:val="Hyperlink"/>
                </w:rPr>
                <w:t>NSA and subsidiary agreements</w:t>
              </w:r>
            </w:hyperlink>
            <w:r>
              <w:t xml:space="preserve">. </w:t>
            </w:r>
            <w:r w:rsidRPr="007D4EDC">
              <w:t>Agreements are signed either at first minister</w:t>
            </w:r>
            <w:r>
              <w:t xml:space="preserve"> </w:t>
            </w:r>
            <w:r w:rsidRPr="007D4EDC">
              <w:t>or portfolio minister level.</w:t>
            </w:r>
          </w:p>
        </w:tc>
      </w:tr>
      <w:tr w:rsidR="00F02EC9" w:rsidRPr="00885EE1" w14:paraId="32824CF0" w14:textId="77777777" w:rsidTr="00897127">
        <w:trPr>
          <w:cantSplit/>
        </w:trPr>
        <w:tc>
          <w:tcPr>
            <w:tcW w:w="822" w:type="pct"/>
          </w:tcPr>
          <w:p w14:paraId="35BF87F2" w14:textId="7E449E0E" w:rsidR="00F02EC9" w:rsidRPr="00517850" w:rsidRDefault="00F02EC9" w:rsidP="00F02EC9">
            <w:pPr>
              <w:pStyle w:val="TableTextLeft"/>
            </w:pPr>
            <w:r w:rsidRPr="00425B7E">
              <w:t>National Agreement on Social Housing and Homelessness</w:t>
            </w:r>
            <w:r>
              <w:t xml:space="preserve"> (NASHH)</w:t>
            </w:r>
          </w:p>
        </w:tc>
        <w:tc>
          <w:tcPr>
            <w:tcW w:w="2111" w:type="pct"/>
          </w:tcPr>
          <w:p w14:paraId="0FCF1E1E" w14:textId="5BD1B6C9" w:rsidR="00F02EC9" w:rsidRPr="00885EE1" w:rsidRDefault="00F02EC9" w:rsidP="00F02EC9">
            <w:pPr>
              <w:pStyle w:val="TableTextLeft"/>
              <w:rPr>
                <w:highlight w:val="yellow"/>
              </w:rPr>
            </w:pPr>
            <w:r>
              <w:t xml:space="preserve">NASHH </w:t>
            </w:r>
            <w:r w:rsidRPr="007D4EDC">
              <w:t>payments are made under the FFR Act (section 22). Monthly advance payments throughout the year are made under section 17.</w:t>
            </w:r>
          </w:p>
        </w:tc>
        <w:tc>
          <w:tcPr>
            <w:tcW w:w="2067" w:type="pct"/>
          </w:tcPr>
          <w:p w14:paraId="17C31827" w14:textId="3053083F" w:rsidR="00F02EC9" w:rsidRPr="00885EE1" w:rsidRDefault="00F02EC9" w:rsidP="00F02EC9">
            <w:pPr>
              <w:pStyle w:val="TableTextLeft"/>
              <w:rPr>
                <w:highlight w:val="yellow"/>
              </w:rPr>
            </w:pPr>
            <w:r>
              <w:t xml:space="preserve">Terms and conditions are set out in FFR Act (section 15C) and in the </w:t>
            </w:r>
            <w:hyperlink r:id="rId25" w:history="1">
              <w:r w:rsidRPr="002C6713">
                <w:rPr>
                  <w:rStyle w:val="Hyperlink"/>
                </w:rPr>
                <w:t>NASHH</w:t>
              </w:r>
              <w:r w:rsidRPr="00E428B2">
                <w:rPr>
                  <w:rStyle w:val="Hyperlink"/>
                </w:rPr>
                <w:t xml:space="preserve"> and </w:t>
              </w:r>
              <w:r w:rsidRPr="002C6713">
                <w:rPr>
                  <w:rStyle w:val="Hyperlink"/>
                </w:rPr>
                <w:t>b</w:t>
              </w:r>
              <w:r w:rsidRPr="00E428B2">
                <w:rPr>
                  <w:rStyle w:val="Hyperlink"/>
                </w:rPr>
                <w:t>ilateral schedules</w:t>
              </w:r>
            </w:hyperlink>
            <w:r>
              <w:t xml:space="preserve">, signed </w:t>
            </w:r>
            <w:r w:rsidRPr="00421AA6">
              <w:t>at portfolio minister level.</w:t>
            </w:r>
          </w:p>
        </w:tc>
      </w:tr>
      <w:tr w:rsidR="005765DA" w:rsidRPr="00885EE1" w14:paraId="3AED3D29" w14:textId="77777777" w:rsidTr="00897127">
        <w:trPr>
          <w:cantSplit/>
        </w:trPr>
        <w:tc>
          <w:tcPr>
            <w:tcW w:w="822" w:type="pct"/>
          </w:tcPr>
          <w:p w14:paraId="4BCE5294" w14:textId="7C7025FC" w:rsidR="005765DA" w:rsidRPr="00885EE1" w:rsidRDefault="005765DA" w:rsidP="005765DA">
            <w:pPr>
              <w:pStyle w:val="TableTextLeft"/>
              <w:rPr>
                <w:highlight w:val="yellow"/>
              </w:rPr>
            </w:pPr>
            <w:r w:rsidRPr="007D4EDC">
              <w:t>Energy Bill Relief (EBR)</w:t>
            </w:r>
          </w:p>
        </w:tc>
        <w:tc>
          <w:tcPr>
            <w:tcW w:w="2111" w:type="pct"/>
          </w:tcPr>
          <w:p w14:paraId="48BC4619" w14:textId="77777777" w:rsidR="005765DA" w:rsidRPr="00A12FCB" w:rsidRDefault="005765DA" w:rsidP="005765DA">
            <w:pPr>
              <w:pStyle w:val="TableTextLeft"/>
            </w:pPr>
            <w:r w:rsidRPr="00A12FCB">
              <w:t>EBR payments relating to the 2023–24 financial year are made under the FFR Act (section 22). Advance payments are made under section 17.</w:t>
            </w:r>
          </w:p>
          <w:p w14:paraId="79D9F95B" w14:textId="77777777" w:rsidR="005765DA" w:rsidRPr="00A12FCB" w:rsidRDefault="005765DA" w:rsidP="005765DA">
            <w:pPr>
              <w:pStyle w:val="TableTextLeft"/>
            </w:pPr>
          </w:p>
          <w:p w14:paraId="4542C4DE" w14:textId="1F636181" w:rsidR="005765DA" w:rsidRPr="00885EE1" w:rsidRDefault="005765DA" w:rsidP="005765DA">
            <w:pPr>
              <w:pStyle w:val="TableTextLeft"/>
              <w:rPr>
                <w:highlight w:val="yellow"/>
              </w:rPr>
            </w:pPr>
            <w:r w:rsidRPr="00A12FCB">
              <w:t>EBR payments relating to the 2024–25</w:t>
            </w:r>
            <w:r w:rsidR="006B32F5">
              <w:t xml:space="preserve"> and 2025–26</w:t>
            </w:r>
            <w:r w:rsidRPr="00A12FCB">
              <w:t xml:space="preserve"> financial year</w:t>
            </w:r>
            <w:r w:rsidR="00A2188D">
              <w:t>s</w:t>
            </w:r>
            <w:r w:rsidRPr="00A12FCB">
              <w:t xml:space="preserve"> </w:t>
            </w:r>
            <w:r>
              <w:t xml:space="preserve">are </w:t>
            </w:r>
            <w:r w:rsidRPr="00A12FCB">
              <w:t>made in line with payments for National Partnerships.</w:t>
            </w:r>
          </w:p>
        </w:tc>
        <w:tc>
          <w:tcPr>
            <w:tcW w:w="2067" w:type="pct"/>
          </w:tcPr>
          <w:p w14:paraId="2D874EF8" w14:textId="7693B1F5" w:rsidR="005765DA" w:rsidRPr="00885EE1" w:rsidRDefault="00D62D4C" w:rsidP="005765DA">
            <w:pPr>
              <w:pStyle w:val="TableTextLeft"/>
              <w:rPr>
                <w:highlight w:val="yellow"/>
              </w:rPr>
            </w:pPr>
            <w:r>
              <w:t>T</w:t>
            </w:r>
            <w:r w:rsidR="005765DA" w:rsidRPr="00A12FCB">
              <w:t xml:space="preserve">erms and conditions are set out in the </w:t>
            </w:r>
            <w:hyperlink r:id="rId26" w:history="1">
              <w:r w:rsidR="005765DA" w:rsidRPr="00A12FCB">
                <w:rPr>
                  <w:rStyle w:val="Hyperlink"/>
                </w:rPr>
                <w:t>EBR agreements</w:t>
              </w:r>
            </w:hyperlink>
            <w:r w:rsidR="005765DA" w:rsidRPr="00A12FCB">
              <w:t xml:space="preserve"> between the Australian Government and the states. </w:t>
            </w:r>
          </w:p>
        </w:tc>
      </w:tr>
    </w:tbl>
    <w:p w14:paraId="6AF3293C" w14:textId="77777777" w:rsidR="00AB3772" w:rsidRDefault="00AB3772" w:rsidP="00AB3772">
      <w:pPr>
        <w:pStyle w:val="SingleParagraph"/>
      </w:pPr>
    </w:p>
    <w:p w14:paraId="0D81D9B6" w14:textId="77777777" w:rsidR="00AB3772" w:rsidRPr="007D4EDC" w:rsidRDefault="00AB3772" w:rsidP="00AB3772">
      <w:pPr>
        <w:pStyle w:val="TableHeadingcontinued"/>
      </w:pPr>
      <w:r w:rsidRPr="007D4EDC">
        <w:lastRenderedPageBreak/>
        <w:t>Table E.1: Appropriation mechanisms and terms and conditions for state payments (continued)</w:t>
      </w:r>
    </w:p>
    <w:tbl>
      <w:tblPr>
        <w:tblStyle w:val="TableGrid"/>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tblLook w:val="04A0" w:firstRow="1" w:lastRow="0" w:firstColumn="1" w:lastColumn="0" w:noHBand="0" w:noVBand="1"/>
        <w:tblCaption w:val="Table"/>
      </w:tblPr>
      <w:tblGrid>
        <w:gridCol w:w="1908"/>
        <w:gridCol w:w="4900"/>
        <w:gridCol w:w="4798"/>
      </w:tblGrid>
      <w:tr w:rsidR="00AB3772" w:rsidRPr="00885EE1" w14:paraId="1717A026" w14:textId="77777777" w:rsidTr="005D5EBD">
        <w:trPr>
          <w:cantSplit/>
          <w:tblHeader/>
        </w:trPr>
        <w:tc>
          <w:tcPr>
            <w:tcW w:w="822" w:type="pct"/>
            <w:shd w:val="clear" w:color="auto" w:fill="E6F2FF"/>
          </w:tcPr>
          <w:p w14:paraId="4989D8C8" w14:textId="77777777" w:rsidR="00AB3772" w:rsidRPr="00885EE1" w:rsidRDefault="00AB3772" w:rsidP="00B35796">
            <w:pPr>
              <w:pStyle w:val="TableColumnHeadingLeft"/>
              <w:rPr>
                <w:highlight w:val="yellow"/>
              </w:rPr>
            </w:pPr>
            <w:r w:rsidRPr="007D4EDC">
              <w:t>Payment type</w:t>
            </w:r>
          </w:p>
        </w:tc>
        <w:tc>
          <w:tcPr>
            <w:tcW w:w="2111" w:type="pct"/>
            <w:shd w:val="clear" w:color="auto" w:fill="E6F2FF"/>
          </w:tcPr>
          <w:p w14:paraId="484E5D4D" w14:textId="77777777" w:rsidR="00AB3772" w:rsidRPr="00885EE1" w:rsidRDefault="00AB3772" w:rsidP="00B35796">
            <w:pPr>
              <w:pStyle w:val="TableColumnHeadingLeft"/>
              <w:rPr>
                <w:highlight w:val="yellow"/>
              </w:rPr>
            </w:pPr>
            <w:r w:rsidRPr="007D4EDC">
              <w:t>Appropriation mechanism</w:t>
            </w:r>
          </w:p>
        </w:tc>
        <w:tc>
          <w:tcPr>
            <w:tcW w:w="2067" w:type="pct"/>
            <w:shd w:val="clear" w:color="auto" w:fill="E6F2FF"/>
          </w:tcPr>
          <w:p w14:paraId="015E3B5A" w14:textId="77777777" w:rsidR="00AB3772" w:rsidRPr="00885EE1" w:rsidRDefault="00AB3772" w:rsidP="00B35796">
            <w:pPr>
              <w:pStyle w:val="TableColumnHeadingLeft"/>
              <w:rPr>
                <w:highlight w:val="yellow"/>
              </w:rPr>
            </w:pPr>
            <w:r w:rsidRPr="007D4EDC">
              <w:t>Terms and conditions</w:t>
            </w:r>
          </w:p>
        </w:tc>
      </w:tr>
      <w:tr w:rsidR="007D4824" w:rsidRPr="00885EE1" w14:paraId="0C8B7206" w14:textId="77777777" w:rsidTr="005D5EBD">
        <w:trPr>
          <w:cantSplit/>
        </w:trPr>
        <w:tc>
          <w:tcPr>
            <w:tcW w:w="822" w:type="pct"/>
          </w:tcPr>
          <w:p w14:paraId="00678AFB" w14:textId="35F0CF09" w:rsidR="007D4824" w:rsidRPr="00885EE1" w:rsidRDefault="007D4824" w:rsidP="007D4824">
            <w:pPr>
              <w:pStyle w:val="TableTextLeft"/>
              <w:rPr>
                <w:highlight w:val="yellow"/>
              </w:rPr>
            </w:pPr>
            <w:r>
              <w:t>National Access to Justice Partnership (NAJP)</w:t>
            </w:r>
          </w:p>
        </w:tc>
        <w:tc>
          <w:tcPr>
            <w:tcW w:w="2111" w:type="pct"/>
          </w:tcPr>
          <w:p w14:paraId="1F4B6E81" w14:textId="26FDF3C0" w:rsidR="007D4824" w:rsidRPr="00885EE1" w:rsidRDefault="007D4824" w:rsidP="007D4824">
            <w:pPr>
              <w:pStyle w:val="TableTextLeft"/>
              <w:rPr>
                <w:highlight w:val="yellow"/>
              </w:rPr>
            </w:pPr>
            <w:r>
              <w:t>NAJP payments</w:t>
            </w:r>
            <w:r w:rsidRPr="00A12FCB">
              <w:t xml:space="preserve"> </w:t>
            </w:r>
            <w:r>
              <w:t xml:space="preserve">are </w:t>
            </w:r>
            <w:r w:rsidRPr="00A12FCB">
              <w:t>made in line with payments for National Partnerships.</w:t>
            </w:r>
          </w:p>
        </w:tc>
        <w:tc>
          <w:tcPr>
            <w:tcW w:w="2067" w:type="pct"/>
          </w:tcPr>
          <w:p w14:paraId="2BDB063F" w14:textId="5799DDEA" w:rsidR="007D4824" w:rsidRPr="00885EE1" w:rsidRDefault="00387206" w:rsidP="007D4824">
            <w:pPr>
              <w:pStyle w:val="TableTextLeft"/>
              <w:rPr>
                <w:highlight w:val="yellow"/>
              </w:rPr>
            </w:pPr>
            <w:r w:rsidRPr="007D4EDC">
              <w:t xml:space="preserve">Terms and conditions are set out in the </w:t>
            </w:r>
            <w:hyperlink r:id="rId27" w:history="1">
              <w:r w:rsidR="00BF74F8" w:rsidRPr="00F05D54">
                <w:rPr>
                  <w:rStyle w:val="Hyperlink"/>
                </w:rPr>
                <w:t>NAJP</w:t>
              </w:r>
            </w:hyperlink>
          </w:p>
        </w:tc>
      </w:tr>
      <w:tr w:rsidR="007D4824" w:rsidRPr="007D4EDC" w14:paraId="0EC7F918" w14:textId="77777777" w:rsidTr="005D5EBD">
        <w:trPr>
          <w:cantSplit/>
        </w:trPr>
        <w:tc>
          <w:tcPr>
            <w:tcW w:w="822" w:type="pct"/>
          </w:tcPr>
          <w:p w14:paraId="5CA204D1" w14:textId="77777777" w:rsidR="007D4824" w:rsidRPr="00885EE1" w:rsidRDefault="007D4824" w:rsidP="007D4824">
            <w:pPr>
              <w:pStyle w:val="TableTextLeft"/>
              <w:rPr>
                <w:highlight w:val="yellow"/>
              </w:rPr>
            </w:pPr>
            <w:r w:rsidRPr="007D4EDC">
              <w:t>Water for the Environment Special Account</w:t>
            </w:r>
          </w:p>
        </w:tc>
        <w:tc>
          <w:tcPr>
            <w:tcW w:w="2111" w:type="pct"/>
          </w:tcPr>
          <w:p w14:paraId="4E9FA3B3" w14:textId="77777777" w:rsidR="007D4824" w:rsidRPr="00885EE1" w:rsidRDefault="007D4824" w:rsidP="007D4824">
            <w:pPr>
              <w:pStyle w:val="TableTextLeft"/>
              <w:rPr>
                <w:highlight w:val="yellow"/>
              </w:rPr>
            </w:pPr>
            <w:r w:rsidRPr="007D4EDC">
              <w:t xml:space="preserve">Payments are made under the </w:t>
            </w:r>
            <w:hyperlink r:id="rId28" w:history="1">
              <w:r w:rsidRPr="009A18C9">
                <w:rPr>
                  <w:rStyle w:val="Hyperlink"/>
                  <w:i/>
                  <w:iCs/>
                </w:rPr>
                <w:t>Water Act 2007</w:t>
              </w:r>
            </w:hyperlink>
            <w:r w:rsidRPr="007D4EDC">
              <w:t xml:space="preserve"> (section 86AD), through the Water for the Environment Special Account.</w:t>
            </w:r>
          </w:p>
        </w:tc>
        <w:tc>
          <w:tcPr>
            <w:tcW w:w="2067" w:type="pct"/>
          </w:tcPr>
          <w:p w14:paraId="5D57DD0C" w14:textId="09E2C442" w:rsidR="007D4824" w:rsidRPr="007D4EDC" w:rsidRDefault="007D4824" w:rsidP="007D4824">
            <w:pPr>
              <w:pStyle w:val="TableTextLeft"/>
            </w:pPr>
            <w:r w:rsidRPr="007D4EDC">
              <w:t xml:space="preserve">Under the </w:t>
            </w:r>
            <w:r w:rsidRPr="00747EC5">
              <w:rPr>
                <w:rStyle w:val="Emphasis"/>
              </w:rPr>
              <w:t>Water Act 2007</w:t>
            </w:r>
            <w:r w:rsidRPr="007D4EDC">
              <w:t xml:space="preserve"> (section 86AF), terms and conditions are set out in a ministerial</w:t>
            </w:r>
            <w:r>
              <w:noBreakHyphen/>
            </w:r>
            <w:r w:rsidRPr="007D4EDC">
              <w:t>level funding agreement between the Australian Government and relevant states.</w:t>
            </w:r>
          </w:p>
        </w:tc>
      </w:tr>
      <w:tr w:rsidR="007D4824" w:rsidRPr="007D4EDC" w14:paraId="559B290A" w14:textId="77777777" w:rsidTr="005D5EBD">
        <w:trPr>
          <w:cantSplit/>
        </w:trPr>
        <w:tc>
          <w:tcPr>
            <w:tcW w:w="822" w:type="pct"/>
          </w:tcPr>
          <w:p w14:paraId="28ABB821" w14:textId="77777777" w:rsidR="007D4824" w:rsidRPr="007D4EDC" w:rsidRDefault="007D4824" w:rsidP="007D4824">
            <w:pPr>
              <w:pStyle w:val="TableTextLeft"/>
            </w:pPr>
            <w:r w:rsidRPr="007D4EDC">
              <w:t xml:space="preserve">Financial Assistance Grants to local </w:t>
            </w:r>
            <w:r w:rsidRPr="00096DAA">
              <w:rPr>
                <w:rStyle w:val="Hyperlink"/>
                <w:u w:val="none"/>
              </w:rPr>
              <w:t>governments</w:t>
            </w:r>
          </w:p>
        </w:tc>
        <w:tc>
          <w:tcPr>
            <w:tcW w:w="2111" w:type="pct"/>
          </w:tcPr>
          <w:p w14:paraId="5EC39C7C" w14:textId="77777777" w:rsidR="007D4824" w:rsidRPr="007D4EDC" w:rsidRDefault="007D4824" w:rsidP="007D4824">
            <w:pPr>
              <w:pStyle w:val="TableTextLeft"/>
            </w:pPr>
            <w:r w:rsidRPr="007D4EDC">
              <w:t xml:space="preserve">Payments are made under the </w:t>
            </w:r>
            <w:hyperlink r:id="rId29" w:history="1">
              <w:r w:rsidRPr="007D4EDC">
                <w:rPr>
                  <w:rStyle w:val="Hyperlink"/>
                  <w:i/>
                  <w:iCs/>
                </w:rPr>
                <w:t>Local Government (Financial Assistance) Act 1995</w:t>
              </w:r>
            </w:hyperlink>
            <w:r w:rsidRPr="007D4EDC">
              <w:t xml:space="preserve"> (section 19).</w:t>
            </w:r>
          </w:p>
        </w:tc>
        <w:tc>
          <w:tcPr>
            <w:tcW w:w="2067" w:type="pct"/>
          </w:tcPr>
          <w:p w14:paraId="11571A5D" w14:textId="77777777" w:rsidR="007D4824" w:rsidRPr="007D4EDC" w:rsidRDefault="007D4824" w:rsidP="007D4824">
            <w:pPr>
              <w:pStyle w:val="TableTextLeft"/>
            </w:pPr>
            <w:r w:rsidRPr="007D4EDC">
              <w:t xml:space="preserve">Funding under the </w:t>
            </w:r>
            <w:hyperlink r:id="rId30" w:history="1">
              <w:r w:rsidRPr="00051530">
                <w:rPr>
                  <w:rStyle w:val="Hyperlink"/>
                </w:rPr>
                <w:t>Financial Assistance Grant program</w:t>
              </w:r>
            </w:hyperlink>
            <w:r w:rsidRPr="007D4EDC">
              <w:t xml:space="preserve"> is allocated in accordance with national principles (</w:t>
            </w:r>
            <w:r w:rsidRPr="00886D66">
              <w:rPr>
                <w:rStyle w:val="Emphasis"/>
              </w:rPr>
              <w:t>Local Government (Financial Assistance) Act 1995,</w:t>
            </w:r>
            <w:r w:rsidRPr="007D4EDC">
              <w:t xml:space="preserve"> section 6).</w:t>
            </w:r>
          </w:p>
        </w:tc>
      </w:tr>
      <w:tr w:rsidR="007D4824" w:rsidRPr="007D4EDC" w14:paraId="513CB8D0" w14:textId="77777777" w:rsidTr="005D5EBD">
        <w:trPr>
          <w:cantSplit/>
        </w:trPr>
        <w:tc>
          <w:tcPr>
            <w:tcW w:w="822" w:type="pct"/>
          </w:tcPr>
          <w:p w14:paraId="3C825ADF" w14:textId="77777777" w:rsidR="007D4824" w:rsidRPr="007D4EDC" w:rsidRDefault="007D4824" w:rsidP="007D4824">
            <w:pPr>
              <w:pStyle w:val="TableTextLeft"/>
            </w:pPr>
            <w:r w:rsidRPr="007D4EDC">
              <w:rPr>
                <w:rFonts w:cs="Arial"/>
              </w:rPr>
              <w:t>Sinking Fund on State Debt</w:t>
            </w:r>
          </w:p>
        </w:tc>
        <w:tc>
          <w:tcPr>
            <w:tcW w:w="2111" w:type="pct"/>
          </w:tcPr>
          <w:p w14:paraId="6FE4E89D" w14:textId="77777777" w:rsidR="007D4824" w:rsidRPr="007D4EDC" w:rsidRDefault="007D4824" w:rsidP="007D4824">
            <w:pPr>
              <w:pStyle w:val="TableTextLeft"/>
            </w:pPr>
            <w:r w:rsidRPr="007D4EDC">
              <w:rPr>
                <w:rFonts w:cs="Arial"/>
              </w:rPr>
              <w:t xml:space="preserve">Payments are made under the </w:t>
            </w:r>
            <w:hyperlink r:id="rId31" w:history="1">
              <w:r w:rsidRPr="007D4EDC">
                <w:rPr>
                  <w:rStyle w:val="Hyperlink"/>
                  <w:rFonts w:cs="Arial"/>
                  <w:i/>
                  <w:iCs/>
                </w:rPr>
                <w:t>Financial Agreement Act 1994</w:t>
              </w:r>
            </w:hyperlink>
            <w:r w:rsidRPr="007D4EDC">
              <w:rPr>
                <w:rStyle w:val="Hyperlink"/>
                <w:rFonts w:cs="Arial"/>
              </w:rPr>
              <w:t xml:space="preserve"> (FAA Act)</w:t>
            </w:r>
            <w:r w:rsidRPr="007D4EDC">
              <w:rPr>
                <w:rStyle w:val="Hyperlink"/>
                <w:rFonts w:cs="Arial"/>
                <w:u w:val="none"/>
              </w:rPr>
              <w:t xml:space="preserve"> (</w:t>
            </w:r>
            <w:r w:rsidRPr="007D4EDC">
              <w:rPr>
                <w:rFonts w:cs="Arial"/>
              </w:rPr>
              <w:t>section 5).</w:t>
            </w:r>
          </w:p>
        </w:tc>
        <w:tc>
          <w:tcPr>
            <w:tcW w:w="2067" w:type="pct"/>
          </w:tcPr>
          <w:p w14:paraId="3BBCB371" w14:textId="77777777" w:rsidR="007D4824" w:rsidRPr="007D4EDC" w:rsidRDefault="007D4824" w:rsidP="007D4824">
            <w:pPr>
              <w:pStyle w:val="TableTextLeft"/>
            </w:pPr>
            <w:r w:rsidRPr="007D4EDC">
              <w:rPr>
                <w:rFonts w:cs="Arial"/>
              </w:rPr>
              <w:t>The method and rate for determining the value of annual Australian Government contributions to the Debt Retirement Reserve Trust Account are prescribed in the Schedule to the FAA Act.</w:t>
            </w:r>
          </w:p>
        </w:tc>
      </w:tr>
      <w:tr w:rsidR="007D4824" w:rsidRPr="007D4EDC" w14:paraId="3F9BA630" w14:textId="77777777" w:rsidTr="005D5EBD">
        <w:trPr>
          <w:cantSplit/>
        </w:trPr>
        <w:tc>
          <w:tcPr>
            <w:tcW w:w="822" w:type="pct"/>
          </w:tcPr>
          <w:p w14:paraId="218AD756" w14:textId="77777777" w:rsidR="007D4824" w:rsidRPr="007D4EDC" w:rsidRDefault="007D4824" w:rsidP="007D4824">
            <w:pPr>
              <w:pStyle w:val="TableTextLeft"/>
            </w:pPr>
            <w:r w:rsidRPr="007D4EDC">
              <w:rPr>
                <w:rFonts w:cs="Arial"/>
              </w:rPr>
              <w:t>Payments under Appropriation Acts</w:t>
            </w:r>
          </w:p>
        </w:tc>
        <w:tc>
          <w:tcPr>
            <w:tcW w:w="2111" w:type="pct"/>
          </w:tcPr>
          <w:p w14:paraId="6673B490" w14:textId="03ACE126" w:rsidR="007D4824" w:rsidRPr="007D4EDC" w:rsidRDefault="007D4824" w:rsidP="007D4824">
            <w:pPr>
              <w:pStyle w:val="TableTextLeft"/>
            </w:pPr>
            <w:r w:rsidRPr="007D4EDC">
              <w:rPr>
                <w:rFonts w:cs="Arial"/>
              </w:rPr>
              <w:t>Some payments for schools, Roads to Recovery</w:t>
            </w:r>
            <w:r w:rsidRPr="007D4EDC">
              <w:rPr>
                <w:rFonts w:cs="Arial"/>
                <w:vertAlign w:val="superscript"/>
              </w:rPr>
              <w:t>(b)</w:t>
            </w:r>
            <w:r w:rsidRPr="007D4EDC">
              <w:rPr>
                <w:rFonts w:cs="Arial"/>
              </w:rPr>
              <w:t xml:space="preserve"> and Local Roads and Community Infrastructure Program</w:t>
            </w:r>
            <w:r w:rsidRPr="007D4EDC">
              <w:rPr>
                <w:rFonts w:cs="Arial"/>
                <w:vertAlign w:val="superscript"/>
              </w:rPr>
              <w:t>(b)</w:t>
            </w:r>
            <w:r w:rsidRPr="007D4EDC">
              <w:rPr>
                <w:rFonts w:cs="Arial"/>
              </w:rPr>
              <w:t xml:space="preserve"> are made under annual Appropriation Acts.</w:t>
            </w:r>
          </w:p>
        </w:tc>
        <w:tc>
          <w:tcPr>
            <w:tcW w:w="2067" w:type="pct"/>
          </w:tcPr>
          <w:p w14:paraId="7FE2EC99" w14:textId="0DEEC93B" w:rsidR="007D4824" w:rsidRPr="007D4EDC" w:rsidRDefault="007D4824" w:rsidP="007D4824">
            <w:pPr>
              <w:pStyle w:val="TableTextLeft"/>
            </w:pPr>
            <w:r w:rsidRPr="007D4EDC">
              <w:t xml:space="preserve">Terms and conditions are set out in ministerial determinations under the AEA, </w:t>
            </w:r>
            <w:r>
              <w:t xml:space="preserve">the </w:t>
            </w:r>
            <w:hyperlink r:id="rId32" w:history="1">
              <w:r w:rsidRPr="004C0299">
                <w:rPr>
                  <w:rStyle w:val="Hyperlink"/>
                  <w:i/>
                  <w:iCs/>
                </w:rPr>
                <w:t>National Land Transport Act 2014</w:t>
              </w:r>
            </w:hyperlink>
            <w:r w:rsidRPr="004C0299">
              <w:t xml:space="preserve"> </w:t>
            </w:r>
            <w:r>
              <w:t>relating to the Roads to Recovery Program</w:t>
            </w:r>
            <w:r w:rsidRPr="007D4EDC">
              <w:t xml:space="preserve"> and </w:t>
            </w:r>
            <w:hyperlink r:id="rId33" w:history="1">
              <w:r w:rsidRPr="007D4EDC">
                <w:rPr>
                  <w:rStyle w:val="Hyperlink"/>
                </w:rPr>
                <w:t>Local</w:t>
              </w:r>
              <w:r>
                <w:rPr>
                  <w:rStyle w:val="Hyperlink"/>
                </w:rPr>
                <w:t> </w:t>
              </w:r>
              <w:r w:rsidRPr="007D4EDC">
                <w:rPr>
                  <w:rStyle w:val="Hyperlink"/>
                </w:rPr>
                <w:t>Roads and Community Infrastructure Program Guidelines</w:t>
              </w:r>
            </w:hyperlink>
            <w:r w:rsidRPr="007D4EDC">
              <w:t>.</w:t>
            </w:r>
          </w:p>
        </w:tc>
      </w:tr>
      <w:tr w:rsidR="007D4824" w:rsidRPr="007D4EDC" w14:paraId="6A7DB949" w14:textId="77777777" w:rsidTr="005D5EBD">
        <w:trPr>
          <w:cantSplit/>
        </w:trPr>
        <w:tc>
          <w:tcPr>
            <w:tcW w:w="822" w:type="pct"/>
          </w:tcPr>
          <w:p w14:paraId="51435BF9" w14:textId="77777777" w:rsidR="007D4824" w:rsidRPr="007D4EDC" w:rsidRDefault="007D4824" w:rsidP="007D4824">
            <w:pPr>
              <w:pStyle w:val="TableTextLeft"/>
            </w:pPr>
            <w:r w:rsidRPr="007D4EDC">
              <w:rPr>
                <w:rFonts w:cs="Arial"/>
              </w:rPr>
              <w:t>GST payments</w:t>
            </w:r>
          </w:p>
        </w:tc>
        <w:tc>
          <w:tcPr>
            <w:tcW w:w="2111" w:type="pct"/>
          </w:tcPr>
          <w:p w14:paraId="202C45D0" w14:textId="77777777" w:rsidR="007D4824" w:rsidRPr="007D4EDC" w:rsidRDefault="007D4824" w:rsidP="007D4824">
            <w:pPr>
              <w:pStyle w:val="TableTextLeft"/>
            </w:pPr>
            <w:r w:rsidRPr="007D4EDC">
              <w:rPr>
                <w:rFonts w:cs="Arial"/>
              </w:rPr>
              <w:t>GST Payments are made under the FFR Act (section 22). Monthly advance payments throughout the year are made under section 17.</w:t>
            </w:r>
          </w:p>
        </w:tc>
        <w:tc>
          <w:tcPr>
            <w:tcW w:w="2067" w:type="pct"/>
          </w:tcPr>
          <w:p w14:paraId="5D7EF4AF" w14:textId="43055215" w:rsidR="007D4824" w:rsidRPr="007D4EDC" w:rsidRDefault="007D4824" w:rsidP="007D4824">
            <w:pPr>
              <w:pStyle w:val="TableTextLeft"/>
            </w:pPr>
            <w:r w:rsidRPr="007D4EDC">
              <w:rPr>
                <w:rFonts w:cs="Arial"/>
              </w:rPr>
              <w:t xml:space="preserve">The distribution of the GST among the states is set out in the FFR Act (section 5). Further provisions governing the GST payments are also included in the </w:t>
            </w:r>
            <w:hyperlink r:id="rId34" w:history="1">
              <w:r w:rsidR="00C30F48" w:rsidRPr="00612C08">
                <w:rPr>
                  <w:rStyle w:val="Hyperlink"/>
                  <w:rFonts w:cs="Arial"/>
                </w:rPr>
                <w:t>Intergovernmental Agreement on Federal Financial Relations</w:t>
              </w:r>
            </w:hyperlink>
            <w:r w:rsidR="00C30F48">
              <w:rPr>
                <w:rFonts w:cs="Arial"/>
              </w:rPr>
              <w:t xml:space="preserve"> </w:t>
            </w:r>
            <w:r w:rsidR="00612C08">
              <w:rPr>
                <w:rFonts w:cs="Arial"/>
              </w:rPr>
              <w:t>(</w:t>
            </w:r>
            <w:r w:rsidRPr="007D4EDC">
              <w:rPr>
                <w:rFonts w:cs="Arial"/>
              </w:rPr>
              <w:t>IGA</w:t>
            </w:r>
            <w:r w:rsidR="00612C08">
              <w:rPr>
                <w:rFonts w:cs="Arial"/>
              </w:rPr>
              <w:t>)</w:t>
            </w:r>
            <w:r w:rsidRPr="007D4EDC">
              <w:rPr>
                <w:rFonts w:cs="Arial"/>
              </w:rPr>
              <w:t>.</w:t>
            </w:r>
          </w:p>
        </w:tc>
      </w:tr>
      <w:tr w:rsidR="007D4824" w:rsidRPr="00A12FCB" w14:paraId="5DBD7A47" w14:textId="77777777" w:rsidTr="005D5EBD">
        <w:trPr>
          <w:cantSplit/>
        </w:trPr>
        <w:tc>
          <w:tcPr>
            <w:tcW w:w="822" w:type="pct"/>
          </w:tcPr>
          <w:p w14:paraId="743A0BF2" w14:textId="77777777" w:rsidR="007D4824" w:rsidRPr="00A12FCB" w:rsidRDefault="007D4824" w:rsidP="007D4824">
            <w:pPr>
              <w:pStyle w:val="TableTextLeft"/>
            </w:pPr>
            <w:r w:rsidRPr="00A12FCB">
              <w:rPr>
                <w:rFonts w:cs="Arial"/>
              </w:rPr>
              <w:t>Other general revenue assistance</w:t>
            </w:r>
          </w:p>
        </w:tc>
        <w:tc>
          <w:tcPr>
            <w:tcW w:w="2111" w:type="pct"/>
          </w:tcPr>
          <w:p w14:paraId="71E9285D" w14:textId="56F52897" w:rsidR="007D4824" w:rsidRPr="00A12FCB" w:rsidRDefault="007D4824" w:rsidP="007D4824">
            <w:pPr>
              <w:pStyle w:val="TableTextLeft"/>
            </w:pPr>
            <w:r w:rsidRPr="00A12FCB">
              <w:rPr>
                <w:rFonts w:cs="Arial"/>
              </w:rPr>
              <w:t xml:space="preserve">The FFR Act (section 9) allows the Treasurer to </w:t>
            </w:r>
            <w:proofErr w:type="gramStart"/>
            <w:r w:rsidRPr="00A12FCB">
              <w:rPr>
                <w:rFonts w:cs="Arial"/>
              </w:rPr>
              <w:t>make a determination</w:t>
            </w:r>
            <w:proofErr w:type="gramEnd"/>
            <w:r w:rsidRPr="00A12FCB">
              <w:rPr>
                <w:rFonts w:cs="Arial"/>
              </w:rPr>
              <w:t xml:space="preserve"> crediting amounts to the </w:t>
            </w:r>
            <w:r>
              <w:rPr>
                <w:rFonts w:cs="Arial"/>
              </w:rPr>
              <w:t>Federation</w:t>
            </w:r>
            <w:r w:rsidRPr="00A12FCB">
              <w:rPr>
                <w:rFonts w:cs="Arial"/>
              </w:rPr>
              <w:t xml:space="preserve"> Reform Fund for the purpose of making these payments. The </w:t>
            </w:r>
            <w:r>
              <w:rPr>
                <w:rStyle w:val="Emphasis"/>
              </w:rPr>
              <w:t xml:space="preserve">Federation </w:t>
            </w:r>
            <w:r w:rsidRPr="00A12FCB">
              <w:rPr>
                <w:rStyle w:val="Emphasis"/>
              </w:rPr>
              <w:t xml:space="preserve">Reform Fund Act 2008 </w:t>
            </w:r>
            <w:r w:rsidRPr="00A12FCB">
              <w:rPr>
                <w:rFonts w:cs="Arial"/>
              </w:rPr>
              <w:t xml:space="preserve">(section 6) and the </w:t>
            </w:r>
            <w:r w:rsidRPr="00A12FCB">
              <w:rPr>
                <w:rStyle w:val="Emphasis"/>
              </w:rPr>
              <w:t>Public Governance, Performance and Accountability Act 2013</w:t>
            </w:r>
            <w:r w:rsidRPr="00A12FCB">
              <w:rPr>
                <w:rFonts w:cs="Arial"/>
              </w:rPr>
              <w:t xml:space="preserve"> (section 80) provide the appropriation for these amounts.</w:t>
            </w:r>
          </w:p>
        </w:tc>
        <w:tc>
          <w:tcPr>
            <w:tcW w:w="2067" w:type="pct"/>
          </w:tcPr>
          <w:p w14:paraId="18BE75E4" w14:textId="77777777" w:rsidR="007D4824" w:rsidRPr="00A12FCB" w:rsidRDefault="007D4824" w:rsidP="007D4824">
            <w:pPr>
              <w:pStyle w:val="TableTextLeft"/>
            </w:pPr>
            <w:r w:rsidRPr="00A12FCB">
              <w:rPr>
                <w:rFonts w:cs="Arial"/>
              </w:rPr>
              <w:t xml:space="preserve">Terms and conditions are set out in </w:t>
            </w:r>
            <w:hyperlink r:id="rId35" w:history="1">
              <w:r w:rsidRPr="00A12FCB">
                <w:rPr>
                  <w:rFonts w:cs="Arial"/>
                </w:rPr>
                <w:t>Schedule D</w:t>
              </w:r>
            </w:hyperlink>
            <w:r w:rsidRPr="00A12FCB">
              <w:rPr>
                <w:rFonts w:cs="Arial"/>
              </w:rPr>
              <w:t xml:space="preserve"> to the IGA. </w:t>
            </w:r>
          </w:p>
        </w:tc>
      </w:tr>
    </w:tbl>
    <w:p w14:paraId="4908D673" w14:textId="16231222" w:rsidR="00AB3772" w:rsidRPr="007D4EDC" w:rsidRDefault="00AB3772" w:rsidP="00AB3772">
      <w:pPr>
        <w:pStyle w:val="ChartandTableFootnoteAlpha"/>
        <w:numPr>
          <w:ilvl w:val="0"/>
          <w:numId w:val="23"/>
        </w:numPr>
        <w:ind w:left="284" w:hanging="284"/>
        <w:rPr>
          <w:color w:val="auto"/>
        </w:rPr>
      </w:pPr>
      <w:r w:rsidRPr="00A12FCB">
        <w:rPr>
          <w:color w:val="auto"/>
        </w:rPr>
        <w:t xml:space="preserve">In limited circumstances, amounts from other Appropriation Acts can be credited to the </w:t>
      </w:r>
      <w:r w:rsidR="001004D9">
        <w:rPr>
          <w:color w:val="auto"/>
        </w:rPr>
        <w:t>Federation</w:t>
      </w:r>
      <w:r w:rsidR="001004D9" w:rsidRPr="00A12FCB">
        <w:rPr>
          <w:color w:val="auto"/>
        </w:rPr>
        <w:t xml:space="preserve"> </w:t>
      </w:r>
      <w:r w:rsidRPr="00A12FCB">
        <w:rPr>
          <w:color w:val="auto"/>
        </w:rPr>
        <w:t>Reform Fund for making</w:t>
      </w:r>
      <w:r w:rsidRPr="007D4EDC">
        <w:rPr>
          <w:color w:val="auto"/>
        </w:rPr>
        <w:t xml:space="preserve"> National Partnership payments.</w:t>
      </w:r>
    </w:p>
    <w:p w14:paraId="587EAC58" w14:textId="591845F8" w:rsidR="006774E3" w:rsidRPr="006774E3" w:rsidRDefault="00AB3772" w:rsidP="006774E3">
      <w:pPr>
        <w:pStyle w:val="ChartandTableFootnoteAlpha"/>
        <w:numPr>
          <w:ilvl w:val="0"/>
          <w:numId w:val="23"/>
        </w:numPr>
        <w:ind w:left="284" w:hanging="284"/>
        <w:rPr>
          <w:color w:val="auto"/>
        </w:rPr>
      </w:pPr>
      <w:r w:rsidRPr="007D4EDC">
        <w:rPr>
          <w:color w:val="auto"/>
        </w:rPr>
        <w:t>Includes payments made directly to local governments</w:t>
      </w:r>
      <w:r>
        <w:rPr>
          <w:color w:val="auto"/>
        </w:rPr>
        <w:t>.</w:t>
      </w:r>
    </w:p>
    <w:p w14:paraId="75EFD11E" w14:textId="178FEBE6" w:rsidR="00AB3772" w:rsidRPr="0051169D" w:rsidRDefault="00AB3772" w:rsidP="00AB3772">
      <w:pPr>
        <w:pStyle w:val="ChartLine"/>
      </w:pPr>
    </w:p>
    <w:sectPr w:rsidR="00AB3772" w:rsidRPr="0051169D" w:rsidSect="00897127">
      <w:headerReference w:type="even" r:id="rId36"/>
      <w:headerReference w:type="default" r:id="rId37"/>
      <w:footerReference w:type="even" r:id="rId38"/>
      <w:footerReference w:type="default" r:id="rId39"/>
      <w:headerReference w:type="first" r:id="rId40"/>
      <w:footerReference w:type="first" r:id="rId41"/>
      <w:pgSz w:w="16838" w:h="11906" w:orient="landscape" w:code="9"/>
      <w:pgMar w:top="2098" w:right="2756" w:bottom="2098" w:left="2466" w:header="1531"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ECDF4" w14:textId="77777777" w:rsidR="00F72EBE" w:rsidRDefault="00F72EBE" w:rsidP="00E40261">
      <w:pPr>
        <w:spacing w:after="0" w:line="240" w:lineRule="auto"/>
      </w:pPr>
      <w:r>
        <w:separator/>
      </w:r>
    </w:p>
  </w:endnote>
  <w:endnote w:type="continuationSeparator" w:id="0">
    <w:p w14:paraId="09B6CC2A" w14:textId="77777777" w:rsidR="00F72EBE" w:rsidRDefault="00F72EBE" w:rsidP="00E40261">
      <w:pPr>
        <w:spacing w:after="0" w:line="240" w:lineRule="auto"/>
      </w:pPr>
      <w:r>
        <w:continuationSeparator/>
      </w:r>
    </w:p>
  </w:endnote>
  <w:endnote w:type="continuationNotice" w:id="1">
    <w:p w14:paraId="0C8668BB" w14:textId="77777777" w:rsidR="00F72EBE" w:rsidRDefault="00F72EB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4435" w14:textId="4B93930F" w:rsidR="0007571E" w:rsidRDefault="0007571E" w:rsidP="00360947">
    <w:pPr>
      <w:pStyle w:val="FooterEven"/>
    </w:pPr>
    <w:r>
      <w:rPr>
        <w:b/>
        <w:noProof/>
        <w:sz w:val="32"/>
        <w:szCs w:val="32"/>
      </w:rPr>
      <mc:AlternateContent>
        <mc:Choice Requires="wps">
          <w:drawing>
            <wp:anchor distT="0" distB="0" distL="0" distR="0" simplePos="0" relativeHeight="251658247" behindDoc="0" locked="0" layoutInCell="1" allowOverlap="1" wp14:anchorId="70B9394D" wp14:editId="0CD83596">
              <wp:simplePos x="635" y="635"/>
              <wp:positionH relativeFrom="page">
                <wp:align>center</wp:align>
              </wp:positionH>
              <wp:positionV relativeFrom="page">
                <wp:align>bottom</wp:align>
              </wp:positionV>
              <wp:extent cx="443865" cy="443865"/>
              <wp:effectExtent l="0" t="0" r="0" b="0"/>
              <wp:wrapNone/>
              <wp:docPr id="516491510" name="Text Box 17"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BE996" w14:textId="77777777" w:rsidR="0007571E" w:rsidRPr="00CF6112" w:rsidRDefault="0007571E"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9394D" id="_x0000_t202" coordsize="21600,21600" o:spt="202" path="m,l,21600r21600,l21600,xe">
              <v:stroke joinstyle="miter"/>
              <v:path gradientshapeok="t" o:connecttype="rect"/>
            </v:shapetype>
            <v:shape id="Text Box 17" o:spid="_x0000_s1030" type="#_x0000_t202" alt="PROTECTED//CABINE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63BE996" w14:textId="77777777" w:rsidR="0007571E" w:rsidRPr="00CF6112" w:rsidRDefault="0007571E"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v:textbox>
              <w10:wrap anchorx="page" anchory="page"/>
            </v:shape>
          </w:pict>
        </mc:Fallback>
      </mc:AlternateConten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292A96">
      <w:fldChar w:fldCharType="begin"/>
    </w:r>
    <w:r w:rsidR="00292A96">
      <w:instrText xml:space="preserve"> SUBJECT   \* MERGEFORMAT </w:instrText>
    </w:r>
    <w:r w:rsidR="00292A96">
      <w:fldChar w:fldCharType="separate"/>
    </w:r>
    <w:r w:rsidR="00915185">
      <w:t>Appendix E: Appropriations and conditions</w:t>
    </w:r>
    <w:r w:rsidR="00292A96">
      <w:fldChar w:fldCharType="end"/>
    </w:r>
    <w:r>
      <w:rPr>
        <w:b/>
        <w:noProof/>
        <w:sz w:val="32"/>
        <w:szCs w:val="32"/>
      </w:rPr>
      <mc:AlternateContent>
        <mc:Choice Requires="wps">
          <w:drawing>
            <wp:anchor distT="0" distB="0" distL="0" distR="0" simplePos="0" relativeHeight="251658246" behindDoc="0" locked="0" layoutInCell="1" allowOverlap="1" wp14:anchorId="5D8C83A6" wp14:editId="72A34E12">
              <wp:simplePos x="635" y="635"/>
              <wp:positionH relativeFrom="page">
                <wp:align>center</wp:align>
              </wp:positionH>
              <wp:positionV relativeFrom="page">
                <wp:align>bottom</wp:align>
              </wp:positionV>
              <wp:extent cx="443865" cy="443865"/>
              <wp:effectExtent l="0" t="0" r="0" b="0"/>
              <wp:wrapNone/>
              <wp:docPr id="1705518339" name="Text Box 17"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11B89" w14:textId="77777777" w:rsidR="0007571E" w:rsidRPr="00CF6112" w:rsidRDefault="0007571E"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5D8C83A6" id="_x0000_s1031" type="#_x0000_t202" alt="PROTECTED//CABINE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FF11B89" w14:textId="77777777" w:rsidR="0007571E" w:rsidRPr="00CF6112" w:rsidRDefault="0007571E"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6613" w14:textId="269DD250" w:rsidR="0007571E" w:rsidRDefault="00292A96" w:rsidP="009F3CAB">
    <w:pPr>
      <w:pStyle w:val="FooterOdd"/>
    </w:pPr>
    <w:r>
      <w:fldChar w:fldCharType="begin"/>
    </w:r>
    <w:r>
      <w:instrText xml:space="preserve"> SUBJECT   \* MERGEFORMAT </w:instrText>
    </w:r>
    <w:r>
      <w:fldChar w:fldCharType="separate"/>
    </w:r>
    <w:r w:rsidR="00915185">
      <w:t>Appendix E: Appropriations and conditions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r w:rsidR="0007571E">
      <w:rPr>
        <w:noProof/>
        <w:sz w:val="32"/>
        <w:szCs w:val="32"/>
      </w:rPr>
      <mc:AlternateContent>
        <mc:Choice Requires="wps">
          <w:drawing>
            <wp:anchor distT="0" distB="0" distL="0" distR="0" simplePos="0" relativeHeight="251658241" behindDoc="0" locked="0" layoutInCell="1" allowOverlap="1" wp14:anchorId="7DF6EF6A" wp14:editId="054B9E7C">
              <wp:simplePos x="635" y="635"/>
              <wp:positionH relativeFrom="page">
                <wp:align>center</wp:align>
              </wp:positionH>
              <wp:positionV relativeFrom="page">
                <wp:align>bottom</wp:align>
              </wp:positionV>
              <wp:extent cx="443865" cy="443865"/>
              <wp:effectExtent l="0" t="0" r="0" b="0"/>
              <wp:wrapNone/>
              <wp:docPr id="76452449" name="Text Box 18"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EAE2" w14:textId="77777777" w:rsidR="0007571E" w:rsidRPr="00CF6112" w:rsidRDefault="0007571E"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6EF6A" id="_x0000_t202" coordsize="21600,21600" o:spt="202" path="m,l,21600r21600,l21600,xe">
              <v:stroke joinstyle="miter"/>
              <v:path gradientshapeok="t" o:connecttype="rect"/>
            </v:shapetype>
            <v:shape id="Text Box 18" o:spid="_x0000_s1032" type="#_x0000_t202" alt="PROTECTED//CABINE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2429EAE2" w14:textId="77777777" w:rsidR="0007571E" w:rsidRPr="00CF6112" w:rsidRDefault="0007571E"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E37E" w14:textId="4E5BA5D3" w:rsidR="0007571E" w:rsidRDefault="00292A96" w:rsidP="00360947">
    <w:pPr>
      <w:pStyle w:val="FooterOdd"/>
    </w:pPr>
    <w:r>
      <w:fldChar w:fldCharType="begin"/>
    </w:r>
    <w:r>
      <w:instrText xml:space="preserve"> SUBJECT   \* MERGEFORMAT </w:instrText>
    </w:r>
    <w:r>
      <w:fldChar w:fldCharType="separate"/>
    </w:r>
    <w:r w:rsidR="00915185">
      <w:t>Appendix E: Appropriations and conditions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747C" w14:textId="6D0CA46C" w:rsidR="00AB3772" w:rsidRDefault="00AB3772" w:rsidP="00360947">
    <w:pPr>
      <w:pStyle w:val="FooterEven"/>
    </w:pPr>
    <w:r>
      <w:rPr>
        <w:b/>
        <w:noProof/>
        <w:sz w:val="32"/>
        <w:szCs w:val="32"/>
      </w:rPr>
      <mc:AlternateContent>
        <mc:Choice Requires="wps">
          <w:drawing>
            <wp:anchor distT="0" distB="0" distL="0" distR="0" simplePos="0" relativeHeight="251658254" behindDoc="0" locked="0" layoutInCell="1" allowOverlap="1" wp14:anchorId="30DBA10C" wp14:editId="74BE27B1">
              <wp:simplePos x="635" y="635"/>
              <wp:positionH relativeFrom="page">
                <wp:align>center</wp:align>
              </wp:positionH>
              <wp:positionV relativeFrom="page">
                <wp:align>bottom</wp:align>
              </wp:positionV>
              <wp:extent cx="443865" cy="443865"/>
              <wp:effectExtent l="0" t="0" r="0" b="0"/>
              <wp:wrapNone/>
              <wp:docPr id="1938785471" name="Text Box 17"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4D1B8A" w14:textId="77777777" w:rsidR="00AB3772" w:rsidRPr="00CF6112" w:rsidRDefault="00AB3772"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DBA10C" id="_x0000_t202" coordsize="21600,21600" o:spt="202" path="m,l,21600r21600,l21600,xe">
              <v:stroke joinstyle="miter"/>
              <v:path gradientshapeok="t" o:connecttype="rect"/>
            </v:shapetype>
            <v:shape id="_x0000_s1036" type="#_x0000_t202" alt="PROTECTED//CABINET" style="position:absolute;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0B4D1B8A" w14:textId="77777777" w:rsidR="00AB3772" w:rsidRPr="00CF6112" w:rsidRDefault="00AB3772"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v:textbox>
              <w10:wrap anchorx="page" anchory="page"/>
            </v:shape>
          </w:pict>
        </mc:Fallback>
      </mc:AlternateContent>
    </w: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292A96">
      <w:fldChar w:fldCharType="begin"/>
    </w:r>
    <w:r w:rsidR="00292A96">
      <w:instrText xml:space="preserve"> SUBJECT   \* MERGEFORMAT </w:instrText>
    </w:r>
    <w:r w:rsidR="00292A96">
      <w:fldChar w:fldCharType="separate"/>
    </w:r>
    <w:r w:rsidR="00915185">
      <w:t>Appendix E: Appropriations and conditions</w:t>
    </w:r>
    <w:r w:rsidR="00292A96">
      <w:fldChar w:fldCharType="end"/>
    </w:r>
    <w:r>
      <w:rPr>
        <w:b/>
        <w:noProof/>
        <w:sz w:val="32"/>
        <w:szCs w:val="32"/>
      </w:rPr>
      <mc:AlternateContent>
        <mc:Choice Requires="wps">
          <w:drawing>
            <wp:anchor distT="0" distB="0" distL="0" distR="0" simplePos="0" relativeHeight="251658253" behindDoc="0" locked="0" layoutInCell="1" allowOverlap="1" wp14:anchorId="3E05A571" wp14:editId="79A8A881">
              <wp:simplePos x="635" y="635"/>
              <wp:positionH relativeFrom="page">
                <wp:align>center</wp:align>
              </wp:positionH>
              <wp:positionV relativeFrom="page">
                <wp:align>bottom</wp:align>
              </wp:positionV>
              <wp:extent cx="443865" cy="443865"/>
              <wp:effectExtent l="0" t="0" r="0" b="0"/>
              <wp:wrapNone/>
              <wp:docPr id="590158776" name="Text Box 17"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62659" w14:textId="77777777" w:rsidR="00AB3772" w:rsidRPr="00CF6112" w:rsidRDefault="00AB3772"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E05A571" id="_x0000_s1037" type="#_x0000_t202" alt="PROTECTED//CABINET"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8262659" w14:textId="77777777" w:rsidR="00AB3772" w:rsidRPr="00CF6112" w:rsidRDefault="00AB3772"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CB0D" w14:textId="6495F67E" w:rsidR="00AB3772" w:rsidRPr="00E61876" w:rsidRDefault="00E61876" w:rsidP="00E61876">
    <w:r w:rsidRPr="005E792C">
      <w:rPr>
        <w:noProof/>
        <w:sz w:val="2"/>
        <w:szCs w:val="2"/>
      </w:rPr>
      <mc:AlternateContent>
        <mc:Choice Requires="wps">
          <w:drawing>
            <wp:anchor distT="0" distB="0" distL="114300" distR="114300" simplePos="0" relativeHeight="251658259" behindDoc="0" locked="0" layoutInCell="1" allowOverlap="1" wp14:anchorId="57AB7888" wp14:editId="2EA253D8">
              <wp:simplePos x="0" y="0"/>
              <wp:positionH relativeFrom="column">
                <wp:posOffset>-540385</wp:posOffset>
              </wp:positionH>
              <wp:positionV relativeFrom="margin">
                <wp:align>top</wp:align>
              </wp:positionV>
              <wp:extent cx="399600" cy="4896000"/>
              <wp:effectExtent l="0" t="0" r="635" b="0"/>
              <wp:wrapNone/>
              <wp:docPr id="175616560"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699CB325" w14:textId="465DB136" w:rsidR="00E61876" w:rsidRDefault="00E61876" w:rsidP="00E61876">
                          <w:pPr>
                            <w:pStyle w:val="FooterEven"/>
                            <w:jc w:val="right"/>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r w:rsidR="00292A96">
                            <w:fldChar w:fldCharType="begin"/>
                          </w:r>
                          <w:r w:rsidR="00292A96">
                            <w:instrText xml:space="preserve"> SUBJECT   \* MERGEFORMAT </w:instrText>
                          </w:r>
                          <w:r w:rsidR="00292A96">
                            <w:fldChar w:fldCharType="separate"/>
                          </w:r>
                          <w:r w:rsidR="00915185">
                            <w:t>Appendix E: Appropriations and conditions</w:t>
                          </w:r>
                          <w:r w:rsidR="00292A96">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B7888" id="_x0000_t202" coordsize="21600,21600" o:spt="202" path="m,l,21600r21600,l21600,xe">
              <v:stroke joinstyle="miter"/>
              <v:path gradientshapeok="t" o:connecttype="rect"/>
            </v:shapetype>
            <v:shape id="Text Box 7" o:spid="_x0000_s1038" type="#_x0000_t202" alt="Landscape Page Number" style="position:absolute;margin-left:-42.55pt;margin-top:0;width:31.45pt;height:385.5pt;z-index:251658259;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" stroked="f">
              <v:textbox style="layout-flow:vertical" inset="0,0,0,0">
                <w:txbxContent>
                  <w:p w14:paraId="699CB325" w14:textId="465DB136" w:rsidR="00E61876" w:rsidRDefault="00E61876" w:rsidP="00E61876">
                    <w:pPr>
                      <w:pStyle w:val="FooterEven"/>
                      <w:jc w:val="right"/>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r w:rsidR="00292A96">
                      <w:fldChar w:fldCharType="begin"/>
                    </w:r>
                    <w:r w:rsidR="00292A96">
                      <w:instrText xml:space="preserve"> SUBJECT   \* MERGEFORMAT </w:instrText>
                    </w:r>
                    <w:r w:rsidR="00292A96">
                      <w:fldChar w:fldCharType="separate"/>
                    </w:r>
                    <w:r w:rsidR="00915185">
                      <w:t>Appendix E: Appropriations and conditions</w:t>
                    </w:r>
                    <w:r w:rsidR="00292A96">
                      <w:fldChar w:fldCharType="end"/>
                    </w:r>
                  </w:p>
                </w:txbxContent>
              </v:textbox>
              <w10:wrap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CE35" w14:textId="53E34560" w:rsidR="00AB3772" w:rsidRPr="006774E3" w:rsidRDefault="006774E3" w:rsidP="006774E3">
    <w:r w:rsidRPr="005E792C">
      <w:rPr>
        <w:noProof/>
        <w:sz w:val="2"/>
        <w:szCs w:val="2"/>
      </w:rPr>
      <mc:AlternateContent>
        <mc:Choice Requires="wps">
          <w:drawing>
            <wp:anchor distT="0" distB="0" distL="114300" distR="114300" simplePos="0" relativeHeight="251658258" behindDoc="0" locked="0" layoutInCell="1" allowOverlap="1" wp14:anchorId="11A024DC" wp14:editId="0EA274F8">
              <wp:simplePos x="0" y="0"/>
              <wp:positionH relativeFrom="column">
                <wp:posOffset>-540385</wp:posOffset>
              </wp:positionH>
              <wp:positionV relativeFrom="margin">
                <wp:align>top</wp:align>
              </wp:positionV>
              <wp:extent cx="399600" cy="4896000"/>
              <wp:effectExtent l="0" t="0" r="635" b="0"/>
              <wp:wrapNone/>
              <wp:docPr id="1995749028"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2144E460" w14:textId="73AC7AB4" w:rsidR="006774E3" w:rsidRDefault="006774E3" w:rsidP="006774E3">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r w:rsidR="00292A96">
                            <w:fldChar w:fldCharType="begin"/>
                          </w:r>
                          <w:r w:rsidR="00292A96">
                            <w:instrText xml:space="preserve"> SUBJECT   \* MERGEFORMAT </w:instrText>
                          </w:r>
                          <w:r w:rsidR="00292A96">
                            <w:fldChar w:fldCharType="separate"/>
                          </w:r>
                          <w:r w:rsidR="00915185">
                            <w:t>Appendix E: Appropriations and conditions</w:t>
                          </w:r>
                          <w:r w:rsidR="00292A96">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024DC" id="_x0000_t202" coordsize="21600,21600" o:spt="202" path="m,l,21600r21600,l21600,xe">
              <v:stroke joinstyle="miter"/>
              <v:path gradientshapeok="t" o:connecttype="rect"/>
            </v:shapetype>
            <v:shape id="_x0000_s1040" type="#_x0000_t202" alt="Landscape Page Number" style="position:absolute;margin-left:-42.55pt;margin-top:0;width:31.45pt;height:385.5pt;z-index:25165825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" stroked="f">
              <v:textbox style="layout-flow:vertical" inset="0,0,0,0">
                <w:txbxContent>
                  <w:p w14:paraId="2144E460" w14:textId="73AC7AB4" w:rsidR="006774E3" w:rsidRDefault="006774E3" w:rsidP="006774E3">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r w:rsidR="00292A96">
                      <w:fldChar w:fldCharType="begin"/>
                    </w:r>
                    <w:r w:rsidR="00292A96">
                      <w:instrText xml:space="preserve"> SUBJECT   \* MERGEFORMAT </w:instrText>
                    </w:r>
                    <w:r w:rsidR="00292A96">
                      <w:fldChar w:fldCharType="separate"/>
                    </w:r>
                    <w:r w:rsidR="00915185">
                      <w:t>Appendix E: Appropriations and conditions</w:t>
                    </w:r>
                    <w:r w:rsidR="00292A96">
                      <w:fldChar w:fldCharType="end"/>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DEB6D" w14:textId="77777777" w:rsidR="00F72EBE" w:rsidRPr="003C1CA4" w:rsidRDefault="00F72EBE"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7D3859E9" w14:textId="77777777" w:rsidR="00F72EBE" w:rsidRDefault="00F72EBE" w:rsidP="00E40261">
      <w:pPr>
        <w:spacing w:after="0" w:line="240" w:lineRule="auto"/>
      </w:pPr>
      <w:r>
        <w:continuationSeparator/>
      </w:r>
    </w:p>
  </w:footnote>
  <w:footnote w:type="continuationNotice" w:id="1">
    <w:p w14:paraId="68E8694D" w14:textId="77777777" w:rsidR="00F72EBE" w:rsidRDefault="00F72EB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7975" w14:textId="23E19D26" w:rsidR="0007571E" w:rsidRPr="00AA5439" w:rsidRDefault="00AB3772" w:rsidP="00AA5439">
    <w:pPr>
      <w:pStyle w:val="HeaderEven"/>
      <w:rPr>
        <w:sz w:val="2"/>
        <w:szCs w:val="2"/>
      </w:rPr>
    </w:pPr>
    <w:r w:rsidRPr="00AB3772">
      <w:rPr>
        <w:noProof/>
        <w:sz w:val="32"/>
        <w:szCs w:val="32"/>
      </w:rPr>
      <mc:AlternateContent>
        <mc:Choice Requires="wps">
          <w:drawing>
            <wp:anchor distT="0" distB="0" distL="114300" distR="114300" simplePos="0" relativeHeight="251658256" behindDoc="0" locked="0" layoutInCell="1" allowOverlap="1" wp14:anchorId="21568882" wp14:editId="0FBFA491">
              <wp:simplePos x="0" y="0"/>
              <wp:positionH relativeFrom="column">
                <wp:posOffset>7560945</wp:posOffset>
              </wp:positionH>
              <wp:positionV relativeFrom="margin">
                <wp:align>top</wp:align>
              </wp:positionV>
              <wp:extent cx="399600" cy="4896000"/>
              <wp:effectExtent l="0" t="0" r="635" b="0"/>
              <wp:wrapNone/>
              <wp:docPr id="7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8C23C" w14:textId="192877A5" w:rsidR="00AB3772" w:rsidRPr="00137C7E" w:rsidRDefault="00AB3772" w:rsidP="00CC6004">
                          <w:pPr>
                            <w:pStyle w:val="HeaderEven"/>
                          </w:pPr>
                          <w:r w:rsidRPr="005476BD">
                            <w:rPr>
                              <w:noProof/>
                              <w:position w:val="-8"/>
                            </w:rPr>
                            <w:drawing>
                              <wp:inline distT="0" distB="0" distL="0" distR="0" wp14:anchorId="55905ADA" wp14:editId="50E0EF20">
                                <wp:extent cx="864091" cy="198000"/>
                                <wp:effectExtent l="9207" t="0" r="0" b="2857"/>
                                <wp:docPr id="98783810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8109"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292A96">
                            <w:fldChar w:fldCharType="begin"/>
                          </w:r>
                          <w:r w:rsidR="00292A96">
                            <w:instrText xml:space="preserve"> TITLE   \* MERGEFORMAT </w:instrText>
                          </w:r>
                          <w:r w:rsidR="00292A96">
                            <w:fldChar w:fldCharType="separate"/>
                          </w:r>
                          <w:r w:rsidR="00915185">
                            <w:t>Budget Paper No. 3</w:t>
                          </w:r>
                          <w:r w:rsidR="00292A96">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68882"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5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" stroked="f">
              <v:textbox style="layout-flow:vertical" inset="0,0,0,0">
                <w:txbxContent>
                  <w:p w14:paraId="6C88C23C" w14:textId="192877A5" w:rsidR="00AB3772" w:rsidRPr="00137C7E" w:rsidRDefault="00AB3772" w:rsidP="00CC6004">
                    <w:pPr>
                      <w:pStyle w:val="HeaderEven"/>
                    </w:pPr>
                    <w:r w:rsidRPr="005476BD">
                      <w:rPr>
                        <w:noProof/>
                        <w:position w:val="-8"/>
                      </w:rPr>
                      <w:drawing>
                        <wp:inline distT="0" distB="0" distL="0" distR="0" wp14:anchorId="55905ADA" wp14:editId="50E0EF20">
                          <wp:extent cx="864091" cy="198000"/>
                          <wp:effectExtent l="9207" t="0" r="0" b="2857"/>
                          <wp:docPr id="98783810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8109"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292A96">
                      <w:fldChar w:fldCharType="begin"/>
                    </w:r>
                    <w:r w:rsidR="00292A96">
                      <w:instrText xml:space="preserve"> TITLE   \* MERGEFORMAT </w:instrText>
                    </w:r>
                    <w:r w:rsidR="00292A96">
                      <w:fldChar w:fldCharType="separate"/>
                    </w:r>
                    <w:r w:rsidR="00915185">
                      <w:t>Budget Paper No. 3</w:t>
                    </w:r>
                    <w:r w:rsidR="00292A96">
                      <w:fldChar w:fldCharType="end"/>
                    </w:r>
                  </w:p>
                </w:txbxContent>
              </v:textbox>
              <w10:wrap anchory="margin"/>
            </v:shape>
          </w:pict>
        </mc:Fallback>
      </mc:AlternateContent>
    </w:r>
    <w:r w:rsidR="0007571E">
      <w:rPr>
        <w:noProof/>
        <w:sz w:val="2"/>
        <w:szCs w:val="2"/>
      </w:rPr>
      <mc:AlternateContent>
        <mc:Choice Requires="wps">
          <w:drawing>
            <wp:anchor distT="0" distB="0" distL="0" distR="0" simplePos="0" relativeHeight="251658245" behindDoc="0" locked="0" layoutInCell="1" allowOverlap="1" wp14:anchorId="602A4283" wp14:editId="50468025">
              <wp:simplePos x="635" y="635"/>
              <wp:positionH relativeFrom="page">
                <wp:align>center</wp:align>
              </wp:positionH>
              <wp:positionV relativeFrom="page">
                <wp:align>top</wp:align>
              </wp:positionV>
              <wp:extent cx="443865" cy="443865"/>
              <wp:effectExtent l="0" t="0" r="0" b="0"/>
              <wp:wrapNone/>
              <wp:docPr id="509465099" name="Text Box 8"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7A2D72" w14:textId="77777777" w:rsidR="0007571E" w:rsidRPr="00CF6112" w:rsidRDefault="0007571E"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02A4283" id="Text Box 8" o:spid="_x0000_s1027" type="#_x0000_t202" alt="PROTECTED//CABINET"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97A2D72" w14:textId="77777777" w:rsidR="0007571E" w:rsidRPr="00CF6112" w:rsidRDefault="0007571E"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v:textbox>
              <w10:wrap anchorx="page" anchory="page"/>
            </v:shape>
          </w:pict>
        </mc:Fallback>
      </mc:AlternateContent>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4F3A796F" w14:textId="77777777" w:rsidTr="00B35796">
      <w:trPr>
        <w:trHeight w:hRule="exact" w:val="340"/>
      </w:trPr>
      <w:tc>
        <w:tcPr>
          <w:tcW w:w="7797" w:type="dxa"/>
        </w:tcPr>
        <w:p w14:paraId="11784D4F" w14:textId="440601B8" w:rsidR="0007571E" w:rsidRPr="008C56E1" w:rsidRDefault="0007571E" w:rsidP="00F60EA1">
          <w:pPr>
            <w:pStyle w:val="HeaderEven"/>
          </w:pPr>
          <w:r w:rsidRPr="008C56E1">
            <w:rPr>
              <w:noProof/>
              <w:position w:val="-8"/>
            </w:rPr>
            <w:drawing>
              <wp:inline distT="0" distB="0" distL="0" distR="0" wp14:anchorId="3BAEDC24" wp14:editId="5FF7D93A">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292A96">
            <w:fldChar w:fldCharType="begin"/>
          </w:r>
          <w:r w:rsidR="00292A96">
            <w:instrText xml:space="preserve"> TITLE   \* MERGEFORMAT </w:instrText>
          </w:r>
          <w:r w:rsidR="00292A96">
            <w:fldChar w:fldCharType="separate"/>
          </w:r>
          <w:r w:rsidR="00915185">
            <w:t>Budget Paper No. 3</w:t>
          </w:r>
          <w:r w:rsidR="00292A96">
            <w:fldChar w:fldCharType="end"/>
          </w:r>
        </w:p>
      </w:tc>
    </w:tr>
  </w:tbl>
  <w:p w14:paraId="115177D6" w14:textId="77777777" w:rsidR="0007571E" w:rsidRPr="00AA5439" w:rsidRDefault="0007571E" w:rsidP="00AA5439">
    <w:pPr>
      <w:pStyle w:val="HeaderEven"/>
      <w:rPr>
        <w:sz w:val="2"/>
        <w:szCs w:val="4"/>
      </w:rPr>
    </w:pPr>
  </w:p>
  <w:p w14:paraId="7D6EFE6B"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008A3793" w14:textId="77777777" w:rsidTr="001051B9">
      <w:trPr>
        <w:trHeight w:hRule="exact" w:val="340"/>
      </w:trPr>
      <w:tc>
        <w:tcPr>
          <w:tcW w:w="7797" w:type="dxa"/>
          <w:tcMar>
            <w:left w:w="108" w:type="dxa"/>
            <w:right w:w="108" w:type="dxa"/>
          </w:tcMar>
        </w:tcPr>
        <w:p w14:paraId="3053239E" w14:textId="11ECF23F" w:rsidR="0007571E" w:rsidRPr="00D13BF9" w:rsidRDefault="00AB3772" w:rsidP="00D13BF9">
          <w:pPr>
            <w:pStyle w:val="HeaderOdd"/>
          </w:pPr>
          <w:r w:rsidRPr="003353DC">
            <w:rPr>
              <w:noProof/>
              <w:sz w:val="32"/>
              <w:szCs w:val="32"/>
            </w:rPr>
            <mc:AlternateContent>
              <mc:Choice Requires="wps">
                <w:drawing>
                  <wp:anchor distT="0" distB="0" distL="114300" distR="114300" simplePos="0" relativeHeight="251658255" behindDoc="0" locked="1" layoutInCell="1" allowOverlap="1" wp14:anchorId="54CF8435" wp14:editId="380FCA68">
                    <wp:simplePos x="0" y="0"/>
                    <wp:positionH relativeFrom="column">
                      <wp:posOffset>7560945</wp:posOffset>
                    </wp:positionH>
                    <wp:positionV relativeFrom="margin">
                      <wp:align>top</wp:align>
                    </wp:positionV>
                    <wp:extent cx="399600" cy="4896000"/>
                    <wp:effectExtent l="0" t="0" r="635" b="0"/>
                    <wp:wrapNone/>
                    <wp:docPr id="84176585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99C3A" w14:textId="7163ECF1" w:rsidR="00AB3772" w:rsidRPr="00137C7E" w:rsidRDefault="00292A96" w:rsidP="00687C1A">
                                <w:pPr>
                                  <w:pStyle w:val="HeaderOdd"/>
                                </w:pPr>
                                <w:r>
                                  <w:fldChar w:fldCharType="begin"/>
                                </w:r>
                                <w:r>
                                  <w:instrText xml:space="preserve"> TITLE   \* MERGEFORMAT </w:instrText>
                                </w:r>
                                <w:r>
                                  <w:fldChar w:fldCharType="separate"/>
                                </w:r>
                                <w:r w:rsidR="00915185">
                                  <w:t>Budget Paper No. 3</w:t>
                                </w:r>
                                <w:r>
                                  <w:fldChar w:fldCharType="end"/>
                                </w:r>
                                <w:r w:rsidR="00AB3772" w:rsidRPr="006B1B1F">
                                  <w:t> </w:t>
                                </w:r>
                                <w:r w:rsidR="00AB3772">
                                  <w:t>|</w:t>
                                </w:r>
                                <w:r w:rsidR="00AB3772" w:rsidRPr="006B1B1F">
                                  <w:t> </w:t>
                                </w:r>
                                <w:r w:rsidR="00AB3772" w:rsidRPr="005476BD">
                                  <w:rPr>
                                    <w:noProof/>
                                    <w:position w:val="-8"/>
                                  </w:rPr>
                                  <w:drawing>
                                    <wp:inline distT="0" distB="0" distL="0" distR="0" wp14:anchorId="0D3B5BED" wp14:editId="0F79DB5B">
                                      <wp:extent cx="864091" cy="198000"/>
                                      <wp:effectExtent l="9207" t="0" r="0" b="2857"/>
                                      <wp:docPr id="74201081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0816"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F8435" id="_x0000_t202" coordsize="21600,21600" o:spt="202" path="m,l,21600r21600,l21600,xe">
                    <v:stroke joinstyle="miter"/>
                    <v:path gradientshapeok="t" o:connecttype="rect"/>
                  </v:shapetype>
                  <v:shape id="_x0000_s1028" type="#_x0000_t202" alt="Landscape Odd Header" style="position:absolute;left:0;text-align:left;margin-left:595.35pt;margin-top:0;width:31.45pt;height:385.5pt;z-index:251658255;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6yQZDu4BAADEAwAADgAAAAAAAAAAAAAAAAAuAgAAZHJzL2Uy&#10;b0RvYy54bWxQSwECLQAUAAYACAAAACEAYq6fkuAAAAAKAQAADwAAAAAAAAAAAAAAAABIBAAAZHJz&#10;L2Rvd25yZXYueG1sUEsFBgAAAAAEAAQA8wAAAFUFAAAAAA==&#10;" stroked="f">
                    <v:textbox style="layout-flow:vertical" inset="0,0,0,.2mm">
                      <w:txbxContent>
                        <w:p w14:paraId="6F899C3A" w14:textId="7163ECF1" w:rsidR="00AB3772" w:rsidRPr="00137C7E" w:rsidRDefault="00292A96" w:rsidP="00687C1A">
                          <w:pPr>
                            <w:pStyle w:val="HeaderOdd"/>
                          </w:pPr>
                          <w:r>
                            <w:fldChar w:fldCharType="begin"/>
                          </w:r>
                          <w:r>
                            <w:instrText xml:space="preserve"> TITLE   \* MERGEFORMAT </w:instrText>
                          </w:r>
                          <w:r>
                            <w:fldChar w:fldCharType="separate"/>
                          </w:r>
                          <w:r w:rsidR="00915185">
                            <w:t>Budget Paper No. 3</w:t>
                          </w:r>
                          <w:r>
                            <w:fldChar w:fldCharType="end"/>
                          </w:r>
                          <w:r w:rsidR="00AB3772" w:rsidRPr="006B1B1F">
                            <w:t> </w:t>
                          </w:r>
                          <w:r w:rsidR="00AB3772">
                            <w:t>|</w:t>
                          </w:r>
                          <w:r w:rsidR="00AB3772" w:rsidRPr="006B1B1F">
                            <w:t> </w:t>
                          </w:r>
                          <w:r w:rsidR="00AB3772" w:rsidRPr="005476BD">
                            <w:rPr>
                              <w:noProof/>
                              <w:position w:val="-8"/>
                            </w:rPr>
                            <w:drawing>
                              <wp:inline distT="0" distB="0" distL="0" distR="0" wp14:anchorId="0D3B5BED" wp14:editId="0F79DB5B">
                                <wp:extent cx="864091" cy="198000"/>
                                <wp:effectExtent l="9207" t="0" r="0" b="2857"/>
                                <wp:docPr id="74201081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0816"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v:textbox>
                    <w10:wrap anchory="margin"/>
                    <w10:anchorlock/>
                  </v:shape>
                </w:pict>
              </mc:Fallback>
            </mc:AlternateContent>
          </w:r>
          <w:r w:rsidR="00292A96">
            <w:fldChar w:fldCharType="begin"/>
          </w:r>
          <w:r w:rsidR="00292A96">
            <w:instrText xml:space="preserve"> TITLE   \* MERGEFORMAT </w:instrText>
          </w:r>
          <w:r w:rsidR="00292A96">
            <w:fldChar w:fldCharType="separate"/>
          </w:r>
          <w:r w:rsidR="00915185">
            <w:t>Budget Paper No. 3</w:t>
          </w:r>
          <w:r w:rsidR="00292A96">
            <w:fldChar w:fldCharType="end"/>
          </w:r>
          <w:r w:rsidR="0007571E" w:rsidRPr="00081542">
            <w:t> | </w:t>
          </w:r>
          <w:r w:rsidR="0007571E" w:rsidRPr="002709D2">
            <w:rPr>
              <w:noProof/>
              <w:position w:val="-8"/>
              <w:vertAlign w:val="subscript"/>
            </w:rPr>
            <w:drawing>
              <wp:inline distT="0" distB="0" distL="0" distR="0" wp14:anchorId="3C9643BF" wp14:editId="714ADC71">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182A757" w14:textId="77777777" w:rsidR="0007571E" w:rsidRPr="00562EDC" w:rsidRDefault="0007571E" w:rsidP="00562EDC">
    <w:pPr>
      <w:pStyle w:val="HeaderOdd"/>
      <w:jc w:val="left"/>
      <w:rPr>
        <w:sz w:val="2"/>
        <w:szCs w:val="4"/>
      </w:rPr>
    </w:pPr>
    <w:r>
      <w:rPr>
        <w:noProof/>
        <w:sz w:val="2"/>
        <w:szCs w:val="4"/>
      </w:rPr>
      <mc:AlternateContent>
        <mc:Choice Requires="wps">
          <w:drawing>
            <wp:anchor distT="0" distB="0" distL="0" distR="0" simplePos="0" relativeHeight="251658240" behindDoc="0" locked="0" layoutInCell="1" allowOverlap="1" wp14:anchorId="1CB6D377" wp14:editId="2CDB3627">
              <wp:simplePos x="635" y="635"/>
              <wp:positionH relativeFrom="page">
                <wp:align>center</wp:align>
              </wp:positionH>
              <wp:positionV relativeFrom="page">
                <wp:align>top</wp:align>
              </wp:positionV>
              <wp:extent cx="443865" cy="443865"/>
              <wp:effectExtent l="0" t="0" r="0" b="0"/>
              <wp:wrapNone/>
              <wp:docPr id="1106521113" name="Text Box 9"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A28DCA" w14:textId="77777777" w:rsidR="0007571E" w:rsidRPr="00CF6112" w:rsidRDefault="0007571E"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CB6D377" id="Text Box 9" o:spid="_x0000_s1029" type="#_x0000_t202" alt="PROTECTED//CABINET"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BA28DCA" w14:textId="77777777" w:rsidR="0007571E" w:rsidRPr="00CF6112" w:rsidRDefault="0007571E"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CBB6" w14:textId="33C8B84F" w:rsidR="0007571E" w:rsidRDefault="0007571E">
    <w:pPr>
      <w:pStyle w:val="Header"/>
      <w:rPr>
        <w:sz w:val="2"/>
        <w:szCs w:val="2"/>
      </w:rPr>
    </w:pPr>
  </w:p>
  <w:p w14:paraId="3FF8F1C3" w14:textId="77777777" w:rsidR="0007571E" w:rsidRDefault="0007571E">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0DAB4ECC" w14:textId="77777777" w:rsidTr="001051B9">
      <w:trPr>
        <w:trHeight w:hRule="exact" w:val="340"/>
      </w:trPr>
      <w:tc>
        <w:tcPr>
          <w:tcW w:w="7797" w:type="dxa"/>
          <w:tcMar>
            <w:left w:w="108" w:type="dxa"/>
            <w:right w:w="108" w:type="dxa"/>
          </w:tcMar>
        </w:tcPr>
        <w:bookmarkStart w:id="0" w:name="_Hlk190097373"/>
        <w:p w14:paraId="4C5FAE37" w14:textId="24242FAA" w:rsidR="0007571E" w:rsidRPr="00D13BF9" w:rsidRDefault="00C97719" w:rsidP="00D13BF9">
          <w:pPr>
            <w:pStyle w:val="HeaderOdd"/>
          </w:pPr>
          <w:r>
            <w:fldChar w:fldCharType="begin"/>
          </w:r>
          <w:r>
            <w:instrText xml:space="preserve"> TITLE   \* MERGEFORMAT </w:instrText>
          </w:r>
          <w:r>
            <w:fldChar w:fldCharType="separate"/>
          </w:r>
          <w:r w:rsidR="00915185">
            <w:t>Budget Paper No. 3</w:t>
          </w:r>
          <w:r>
            <w:fldChar w:fldCharType="end"/>
          </w:r>
          <w:r w:rsidR="0007571E" w:rsidRPr="00081542">
            <w:t> | </w:t>
          </w:r>
          <w:r w:rsidR="0007571E" w:rsidRPr="002709D2">
            <w:rPr>
              <w:noProof/>
              <w:position w:val="-8"/>
              <w:vertAlign w:val="subscript"/>
            </w:rPr>
            <w:drawing>
              <wp:inline distT="0" distB="0" distL="0" distR="0" wp14:anchorId="537D4330" wp14:editId="604279E3">
                <wp:extent cx="864091" cy="198000"/>
                <wp:effectExtent l="0" t="0" r="0" b="0"/>
                <wp:docPr id="911287578" name="Picture 911287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87578" name="Picture 91128757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bookmarkEnd w:id="0"/>
  <w:p w14:paraId="7FFAA147"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2" behindDoc="0" locked="0" layoutInCell="1" allowOverlap="1" wp14:anchorId="706788BD" wp14:editId="4EF5A3EF">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E0558" w14:textId="27476F8E" w:rsidR="0007571E" w:rsidRPr="00137C7E" w:rsidRDefault="00292A96" w:rsidP="001D33D6">
                          <w:pPr>
                            <w:pStyle w:val="HeaderOdd"/>
                          </w:pPr>
                          <w:r>
                            <w:fldChar w:fldCharType="begin"/>
                          </w:r>
                          <w:r>
                            <w:instrText xml:space="preserve"> TITLE   \* MERGEFORMAT </w:instrText>
                          </w:r>
                          <w:r>
                            <w:fldChar w:fldCharType="separate"/>
                          </w:r>
                          <w:r w:rsidR="00915185">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2F590262" wp14:editId="1DC44A1A">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788BD" id="_x0000_t202" coordsize="21600,21600" o:spt="202" path="m,l,21600r21600,l21600,xe">
              <v:stroke joinstyle="miter"/>
              <v:path gradientshapeok="t" o:connecttype="rect"/>
            </v:shapetype>
            <v:shape id="_x0000_s1033"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6IYsMe4BAADEAwAADgAAAAAAAAAAAAAAAAAuAgAAZHJzL2Uy&#10;b0RvYy54bWxQSwECLQAUAAYACAAAACEAYq6fkuAAAAAKAQAADwAAAAAAAAAAAAAAAABIBAAAZHJz&#10;L2Rvd25yZXYueG1sUEsFBgAAAAAEAAQA8wAAAFUFAAAAAA==&#10;" stroked="f">
              <v:textbox style="layout-flow:vertical" inset="0,0,0,.2mm">
                <w:txbxContent>
                  <w:p w14:paraId="541E0558" w14:textId="27476F8E" w:rsidR="0007571E" w:rsidRPr="00137C7E" w:rsidRDefault="00292A96" w:rsidP="001D33D6">
                    <w:pPr>
                      <w:pStyle w:val="HeaderOdd"/>
                    </w:pPr>
                    <w:r>
                      <w:fldChar w:fldCharType="begin"/>
                    </w:r>
                    <w:r>
                      <w:instrText xml:space="preserve"> TITLE   \* MERGEFORMAT </w:instrText>
                    </w:r>
                    <w:r>
                      <w:fldChar w:fldCharType="separate"/>
                    </w:r>
                    <w:r w:rsidR="00915185">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2F590262" wp14:editId="1DC44A1A">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5714" w14:textId="77777777" w:rsidR="00AB3772" w:rsidRPr="00AA5439" w:rsidRDefault="00AB3772" w:rsidP="00AA5439">
    <w:pPr>
      <w:pStyle w:val="HeaderEven"/>
      <w:rPr>
        <w:sz w:val="2"/>
        <w:szCs w:val="2"/>
      </w:rPr>
    </w:pPr>
    <w:r>
      <w:rPr>
        <w:noProof/>
        <w:sz w:val="2"/>
        <w:szCs w:val="2"/>
      </w:rPr>
      <mc:AlternateContent>
        <mc:Choice Requires="wps">
          <w:drawing>
            <wp:anchor distT="0" distB="0" distL="0" distR="0" simplePos="0" relativeHeight="251658252" behindDoc="0" locked="0" layoutInCell="1" allowOverlap="1" wp14:anchorId="68ED9C9A" wp14:editId="7E9DA492">
              <wp:simplePos x="635" y="635"/>
              <wp:positionH relativeFrom="page">
                <wp:align>center</wp:align>
              </wp:positionH>
              <wp:positionV relativeFrom="page">
                <wp:align>top</wp:align>
              </wp:positionV>
              <wp:extent cx="443865" cy="443865"/>
              <wp:effectExtent l="0" t="0" r="0" b="0"/>
              <wp:wrapNone/>
              <wp:docPr id="1542472473" name="Text Box 8"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772481" w14:textId="77777777" w:rsidR="00AB3772" w:rsidRPr="00CF6112" w:rsidRDefault="00AB3772"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ED9C9A" id="_x0000_t202" coordsize="21600,21600" o:spt="202" path="m,l,21600r21600,l21600,xe">
              <v:stroke joinstyle="miter"/>
              <v:path gradientshapeok="t" o:connecttype="rect"/>
            </v:shapetype>
            <v:shape id="_x0000_s1034" type="#_x0000_t202" alt="PROTECTED//CABINET" style="position:absolute;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6A772481" w14:textId="77777777" w:rsidR="00AB3772" w:rsidRPr="00CF6112" w:rsidRDefault="00AB3772" w:rsidP="00CF6112">
                    <w:pPr>
                      <w:spacing w:after="0"/>
                      <w:rPr>
                        <w:rFonts w:ascii="Calibri" w:eastAsia="Calibri" w:hAnsi="Calibri" w:cs="Calibri"/>
                        <w:noProof/>
                        <w:color w:val="FF0000"/>
                        <w:sz w:val="24"/>
                        <w:szCs w:val="24"/>
                      </w:rPr>
                    </w:pPr>
                    <w:r w:rsidRPr="00CF6112">
                      <w:rPr>
                        <w:rFonts w:ascii="Calibri" w:eastAsia="Calibri" w:hAnsi="Calibri" w:cs="Calibri"/>
                        <w:noProof/>
                        <w:color w:val="FF0000"/>
                        <w:sz w:val="24"/>
                        <w:szCs w:val="24"/>
                      </w:rPr>
                      <w:t>PROTECTED//CABINET</w:t>
                    </w:r>
                  </w:p>
                </w:txbxContent>
              </v:textbox>
              <w10:wrap anchorx="page" anchory="page"/>
            </v:shape>
          </w:pict>
        </mc:Fallback>
      </mc:AlternateContent>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AB3772" w14:paraId="4024529D" w14:textId="77777777" w:rsidTr="00B35796">
      <w:trPr>
        <w:trHeight w:hRule="exact" w:val="340"/>
      </w:trPr>
      <w:tc>
        <w:tcPr>
          <w:tcW w:w="7797" w:type="dxa"/>
        </w:tcPr>
        <w:p w14:paraId="28D9A1E3" w14:textId="60273E10" w:rsidR="00AB3772" w:rsidRPr="008C56E1" w:rsidRDefault="00AB3772" w:rsidP="00F60EA1">
          <w:pPr>
            <w:pStyle w:val="HeaderEven"/>
          </w:pPr>
          <w:r w:rsidRPr="008C56E1">
            <w:rPr>
              <w:noProof/>
              <w:position w:val="-8"/>
            </w:rPr>
            <w:drawing>
              <wp:inline distT="0" distB="0" distL="0" distR="0" wp14:anchorId="00BF7313" wp14:editId="6197969C">
                <wp:extent cx="864091" cy="198000"/>
                <wp:effectExtent l="0" t="0" r="0" b="0"/>
                <wp:docPr id="513626729" name="Picture 5136267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26729" name="Picture 51362672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292A96">
            <w:fldChar w:fldCharType="begin"/>
          </w:r>
          <w:r w:rsidR="00292A96">
            <w:instrText xml:space="preserve"> TITLE   \* MERGEFORMAT </w:instrText>
          </w:r>
          <w:r w:rsidR="00292A96">
            <w:fldChar w:fldCharType="separate"/>
          </w:r>
          <w:r w:rsidR="00915185">
            <w:t>Budget Paper No. 3</w:t>
          </w:r>
          <w:r w:rsidR="00292A96">
            <w:fldChar w:fldCharType="end"/>
          </w:r>
        </w:p>
      </w:tc>
    </w:tr>
  </w:tbl>
  <w:p w14:paraId="4C822002" w14:textId="77777777" w:rsidR="00AB3772" w:rsidRPr="00AA5439" w:rsidRDefault="00AB3772" w:rsidP="00AA5439">
    <w:pPr>
      <w:pStyle w:val="HeaderEven"/>
      <w:rPr>
        <w:sz w:val="2"/>
        <w:szCs w:val="4"/>
      </w:rPr>
    </w:pPr>
  </w:p>
  <w:p w14:paraId="3712D7CD" w14:textId="77777777" w:rsidR="00AB3772" w:rsidRPr="007703C7" w:rsidRDefault="00AB3772" w:rsidP="007703C7">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C089" w14:textId="3FA3C3C7" w:rsidR="00AB3772" w:rsidRPr="00562EDC" w:rsidRDefault="00E61876" w:rsidP="00562EDC">
    <w:pPr>
      <w:pStyle w:val="HeaderOdd"/>
      <w:jc w:val="left"/>
      <w:rPr>
        <w:sz w:val="2"/>
        <w:szCs w:val="4"/>
      </w:rPr>
    </w:pPr>
    <w:r w:rsidRPr="00081542">
      <w:rPr>
        <w:noProof/>
        <w:sz w:val="32"/>
        <w:szCs w:val="32"/>
      </w:rPr>
      <mc:AlternateContent>
        <mc:Choice Requires="wps">
          <w:drawing>
            <wp:anchor distT="0" distB="0" distL="114300" distR="114300" simplePos="0" relativeHeight="251658260" behindDoc="0" locked="0" layoutInCell="1" allowOverlap="1" wp14:anchorId="5F4E644B" wp14:editId="089A780C">
              <wp:simplePos x="0" y="0"/>
              <wp:positionH relativeFrom="column">
                <wp:posOffset>7560945</wp:posOffset>
              </wp:positionH>
              <wp:positionV relativeFrom="margin">
                <wp:align>top</wp:align>
              </wp:positionV>
              <wp:extent cx="399600" cy="4896000"/>
              <wp:effectExtent l="0" t="0" r="635" b="0"/>
              <wp:wrapNone/>
              <wp:docPr id="55489460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B2C09" w14:textId="68701970" w:rsidR="00E61876" w:rsidRPr="00137C7E" w:rsidRDefault="00E61876" w:rsidP="00E61876">
                          <w:pPr>
                            <w:pStyle w:val="HeaderEven"/>
                            <w:jc w:val="right"/>
                          </w:pPr>
                          <w:r w:rsidRPr="005476BD">
                            <w:rPr>
                              <w:noProof/>
                              <w:position w:val="-8"/>
                            </w:rPr>
                            <w:drawing>
                              <wp:inline distT="0" distB="0" distL="0" distR="0" wp14:anchorId="0072F7B2" wp14:editId="57027E0C">
                                <wp:extent cx="864091" cy="198000"/>
                                <wp:effectExtent l="9207" t="0" r="0" b="2857"/>
                                <wp:docPr id="11822643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64301"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292A96">
                            <w:fldChar w:fldCharType="begin"/>
                          </w:r>
                          <w:r w:rsidR="00292A96">
                            <w:instrText xml:space="preserve"> TITLE   \* MERGEFORMAT </w:instrText>
                          </w:r>
                          <w:r w:rsidR="00292A96">
                            <w:fldChar w:fldCharType="separate"/>
                          </w:r>
                          <w:r w:rsidR="00915185">
                            <w:t>Budget Paper No. 3</w:t>
                          </w:r>
                          <w:r w:rsidR="00292A96">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E644B" id="_x0000_t202" coordsize="21600,21600" o:spt="202" path="m,l,21600r21600,l21600,xe">
              <v:stroke joinstyle="miter"/>
              <v:path gradientshapeok="t" o:connecttype="rect"/>
            </v:shapetype>
            <v:shape id="_x0000_s1035" type="#_x0000_t202" alt="Landscape Odd Header" style="position:absolute;margin-left:595.35pt;margin-top:0;width:31.45pt;height:385.5pt;z-index:25165826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Z6Q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lbxNEIl1jc2ReRPOvuL/gIO0SjGypyoZfu2BtBT2&#10;s2PtkgHPAZ2D+hyAUz2yNfnyHG7jbNS9J9P1jDxPx+E969uaTP2li1O77JOsyMnTyYh/7nPVy5+3&#10;+Q0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odAvmekBAADBAwAADgAAAAAAAAAAAAAAAAAuAgAAZHJzL2Uyb0RvYy54&#10;bWxQSwECLQAUAAYACAAAACEAdDQgst8AAAAKAQAADwAAAAAAAAAAAAAAAABDBAAAZHJzL2Rvd25y&#10;ZXYueG1sUEsFBgAAAAAEAAQA8wAAAE8FAAAAAA==&#10;" stroked="f">
              <v:textbox style="layout-flow:vertical" inset="0,0,0,0">
                <w:txbxContent>
                  <w:p w14:paraId="1A4B2C09" w14:textId="68701970" w:rsidR="00E61876" w:rsidRPr="00137C7E" w:rsidRDefault="00E61876" w:rsidP="00E61876">
                    <w:pPr>
                      <w:pStyle w:val="HeaderEven"/>
                      <w:jc w:val="right"/>
                    </w:pPr>
                    <w:r w:rsidRPr="005476BD">
                      <w:rPr>
                        <w:noProof/>
                        <w:position w:val="-8"/>
                      </w:rPr>
                      <w:drawing>
                        <wp:inline distT="0" distB="0" distL="0" distR="0" wp14:anchorId="0072F7B2" wp14:editId="57027E0C">
                          <wp:extent cx="864091" cy="198000"/>
                          <wp:effectExtent l="9207" t="0" r="0" b="2857"/>
                          <wp:docPr id="11822643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64301"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292A96">
                      <w:fldChar w:fldCharType="begin"/>
                    </w:r>
                    <w:r w:rsidR="00292A96">
                      <w:instrText xml:space="preserve"> TITLE   \* MERGEFORMAT </w:instrText>
                    </w:r>
                    <w:r w:rsidR="00292A96">
                      <w:fldChar w:fldCharType="separate"/>
                    </w:r>
                    <w:r w:rsidR="00915185">
                      <w:t>Budget Paper No. 3</w:t>
                    </w:r>
                    <w:r w:rsidR="00292A96">
                      <w:fldChar w:fldCharType="end"/>
                    </w:r>
                  </w:p>
                </w:txbxContent>
              </v:textbox>
              <w10:wrap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26F6" w14:textId="25787BAF" w:rsidR="00AB3772" w:rsidRDefault="006774E3">
    <w:pPr>
      <w:pStyle w:val="Header"/>
      <w:rPr>
        <w:sz w:val="2"/>
        <w:szCs w:val="2"/>
      </w:rPr>
    </w:pPr>
    <w:r w:rsidRPr="00081542">
      <w:rPr>
        <w:noProof/>
        <w:sz w:val="32"/>
        <w:szCs w:val="32"/>
      </w:rPr>
      <mc:AlternateContent>
        <mc:Choice Requires="wps">
          <w:drawing>
            <wp:anchor distT="0" distB="0" distL="114300" distR="114300" simplePos="0" relativeHeight="251658257" behindDoc="0" locked="0" layoutInCell="1" allowOverlap="1" wp14:anchorId="29D64DEE" wp14:editId="771E4C69">
              <wp:simplePos x="0" y="0"/>
              <wp:positionH relativeFrom="column">
                <wp:posOffset>7560945</wp:posOffset>
              </wp:positionH>
              <wp:positionV relativeFrom="margin">
                <wp:align>top</wp:align>
              </wp:positionV>
              <wp:extent cx="399600" cy="4896000"/>
              <wp:effectExtent l="0" t="0" r="635" b="0"/>
              <wp:wrapNone/>
              <wp:docPr id="2054279043"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F659F" w14:textId="0971CC86" w:rsidR="006774E3" w:rsidRPr="00137C7E" w:rsidRDefault="006774E3" w:rsidP="006774E3">
                          <w:pPr>
                            <w:pStyle w:val="HeaderEven"/>
                          </w:pPr>
                          <w:r w:rsidRPr="005476BD">
                            <w:rPr>
                              <w:noProof/>
                              <w:position w:val="-8"/>
                            </w:rPr>
                            <w:drawing>
                              <wp:inline distT="0" distB="0" distL="0" distR="0" wp14:anchorId="041A4CCA" wp14:editId="70FA8D0F">
                                <wp:extent cx="864091" cy="198000"/>
                                <wp:effectExtent l="9207" t="0" r="0" b="2857"/>
                                <wp:docPr id="96194043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0431"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292A96">
                            <w:fldChar w:fldCharType="begin"/>
                          </w:r>
                          <w:r w:rsidR="00292A96">
                            <w:instrText xml:space="preserve"> TITLE   \* MERGEFORMAT </w:instrText>
                          </w:r>
                          <w:r w:rsidR="00292A96">
                            <w:fldChar w:fldCharType="separate"/>
                          </w:r>
                          <w:r w:rsidR="00915185">
                            <w:t>Budget Paper No. 3</w:t>
                          </w:r>
                          <w:r w:rsidR="00292A96">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64DEE" id="_x0000_t202" coordsize="21600,21600" o:spt="202" path="m,l,21600r21600,l21600,xe">
              <v:stroke joinstyle="miter"/>
              <v:path gradientshapeok="t" o:connecttype="rect"/>
            </v:shapetype>
            <v:shape id="_x0000_s1039" type="#_x0000_t202" alt="Landscape Odd Header" style="position:absolute;margin-left:595.35pt;margin-top:0;width:31.45pt;height:385.5pt;z-index:251658257;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" stroked="f">
              <v:textbox style="layout-flow:vertical" inset="0,0,0,0">
                <w:txbxContent>
                  <w:p w14:paraId="1DEF659F" w14:textId="0971CC86" w:rsidR="006774E3" w:rsidRPr="00137C7E" w:rsidRDefault="006774E3" w:rsidP="006774E3">
                    <w:pPr>
                      <w:pStyle w:val="HeaderEven"/>
                    </w:pPr>
                    <w:r w:rsidRPr="005476BD">
                      <w:rPr>
                        <w:noProof/>
                        <w:position w:val="-8"/>
                      </w:rPr>
                      <w:drawing>
                        <wp:inline distT="0" distB="0" distL="0" distR="0" wp14:anchorId="041A4CCA" wp14:editId="70FA8D0F">
                          <wp:extent cx="864091" cy="198000"/>
                          <wp:effectExtent l="9207" t="0" r="0" b="2857"/>
                          <wp:docPr id="96194043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0431"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292A96">
                      <w:fldChar w:fldCharType="begin"/>
                    </w:r>
                    <w:r w:rsidR="00292A96">
                      <w:instrText xml:space="preserve"> TITLE   \* MERGEFORMAT </w:instrText>
                    </w:r>
                    <w:r w:rsidR="00292A96">
                      <w:fldChar w:fldCharType="separate"/>
                    </w:r>
                    <w:r w:rsidR="00915185">
                      <w:t>Budget Paper No. 3</w:t>
                    </w:r>
                    <w:r w:rsidR="00292A96">
                      <w:fldChar w:fldCharType="end"/>
                    </w:r>
                  </w:p>
                </w:txbxContent>
              </v:textbox>
              <w10:wrap anchory="margin"/>
            </v:shape>
          </w:pict>
        </mc:Fallback>
      </mc:AlternateContent>
    </w:r>
  </w:p>
  <w:p w14:paraId="60987D90" w14:textId="77777777" w:rsidR="00AB3772" w:rsidRDefault="00AB3772">
    <w:pPr>
      <w:pStyle w:val="Header"/>
      <w:rPr>
        <w:sz w:val="2"/>
        <w:szCs w:val="2"/>
      </w:rPr>
    </w:pPr>
  </w:p>
  <w:p w14:paraId="578048F4" w14:textId="21DEF685" w:rsidR="00AB3772" w:rsidRPr="005B2F30" w:rsidRDefault="00AB377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B2E19AC"/>
    <w:multiLevelType w:val="singleLevel"/>
    <w:tmpl w:val="B6184AA4"/>
    <w:lvl w:ilvl="0">
      <w:start w:val="1"/>
      <w:numFmt w:val="lowerLetter"/>
      <w:lvlText w:val="%1)"/>
      <w:lvlJc w:val="left"/>
      <w:pPr>
        <w:ind w:left="360" w:hanging="360"/>
      </w:pPr>
      <w:rPr>
        <w:b w:val="0"/>
        <w:i w:val="0"/>
        <w:color w:val="000000"/>
        <w:sz w:val="16"/>
        <w:u w:val="none"/>
      </w:rPr>
    </w:lvl>
  </w:abstractNum>
  <w:abstractNum w:abstractNumId="1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5"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4"/>
  </w:num>
  <w:num w:numId="2" w16cid:durableId="70975900">
    <w:abstractNumId w:val="11"/>
  </w:num>
  <w:num w:numId="3" w16cid:durableId="1903564601">
    <w:abstractNumId w:val="10"/>
  </w:num>
  <w:num w:numId="4" w16cid:durableId="778522229">
    <w:abstractNumId w:val="12"/>
  </w:num>
  <w:num w:numId="5" w16cid:durableId="308556280">
    <w:abstractNumId w:val="16"/>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7"/>
  </w:num>
  <w:num w:numId="22" w16cid:durableId="1518692781">
    <w:abstractNumId w:val="15"/>
  </w:num>
  <w:num w:numId="23" w16cid:durableId="8099082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2815A5"/>
    <w:rsid w:val="00000471"/>
    <w:rsid w:val="000004EA"/>
    <w:rsid w:val="00011DBB"/>
    <w:rsid w:val="00012794"/>
    <w:rsid w:val="00013EA8"/>
    <w:rsid w:val="0001458F"/>
    <w:rsid w:val="00024BA4"/>
    <w:rsid w:val="00025570"/>
    <w:rsid w:val="00035D8D"/>
    <w:rsid w:val="00040E8A"/>
    <w:rsid w:val="000413D6"/>
    <w:rsid w:val="00044ACD"/>
    <w:rsid w:val="000546EB"/>
    <w:rsid w:val="00062060"/>
    <w:rsid w:val="000622DA"/>
    <w:rsid w:val="000635BE"/>
    <w:rsid w:val="0006607C"/>
    <w:rsid w:val="00073369"/>
    <w:rsid w:val="0007571E"/>
    <w:rsid w:val="000774AF"/>
    <w:rsid w:val="000814D0"/>
    <w:rsid w:val="00081542"/>
    <w:rsid w:val="0008399A"/>
    <w:rsid w:val="0008597F"/>
    <w:rsid w:val="00090721"/>
    <w:rsid w:val="00096DAA"/>
    <w:rsid w:val="000A4760"/>
    <w:rsid w:val="000B38A8"/>
    <w:rsid w:val="000C25CF"/>
    <w:rsid w:val="000D2182"/>
    <w:rsid w:val="000D78F4"/>
    <w:rsid w:val="000E105B"/>
    <w:rsid w:val="000E149B"/>
    <w:rsid w:val="001004D9"/>
    <w:rsid w:val="00103F65"/>
    <w:rsid w:val="001051B9"/>
    <w:rsid w:val="0011175D"/>
    <w:rsid w:val="00117B5F"/>
    <w:rsid w:val="00120E53"/>
    <w:rsid w:val="00132328"/>
    <w:rsid w:val="001472CA"/>
    <w:rsid w:val="00160928"/>
    <w:rsid w:val="0016209F"/>
    <w:rsid w:val="00171807"/>
    <w:rsid w:val="00172CFE"/>
    <w:rsid w:val="0019115B"/>
    <w:rsid w:val="001970E6"/>
    <w:rsid w:val="001A5A92"/>
    <w:rsid w:val="001A7712"/>
    <w:rsid w:val="001B369E"/>
    <w:rsid w:val="001B3722"/>
    <w:rsid w:val="001B7232"/>
    <w:rsid w:val="001C29BA"/>
    <w:rsid w:val="001C3B4C"/>
    <w:rsid w:val="001C5E21"/>
    <w:rsid w:val="001D1B89"/>
    <w:rsid w:val="001D33D6"/>
    <w:rsid w:val="001E1CC7"/>
    <w:rsid w:val="001E430E"/>
    <w:rsid w:val="001E6FD3"/>
    <w:rsid w:val="001F08E1"/>
    <w:rsid w:val="001F6B04"/>
    <w:rsid w:val="00206A05"/>
    <w:rsid w:val="0020736B"/>
    <w:rsid w:val="00210110"/>
    <w:rsid w:val="00210CE4"/>
    <w:rsid w:val="00237F04"/>
    <w:rsid w:val="00242462"/>
    <w:rsid w:val="00242479"/>
    <w:rsid w:val="0024345F"/>
    <w:rsid w:val="0024521A"/>
    <w:rsid w:val="00250208"/>
    <w:rsid w:val="002661BF"/>
    <w:rsid w:val="00267200"/>
    <w:rsid w:val="002673AF"/>
    <w:rsid w:val="002709D2"/>
    <w:rsid w:val="002815A5"/>
    <w:rsid w:val="00281716"/>
    <w:rsid w:val="002846F4"/>
    <w:rsid w:val="00292A96"/>
    <w:rsid w:val="002A6A16"/>
    <w:rsid w:val="002B6106"/>
    <w:rsid w:val="002B77BE"/>
    <w:rsid w:val="002C2097"/>
    <w:rsid w:val="002C3DEB"/>
    <w:rsid w:val="002C596C"/>
    <w:rsid w:val="002C5C2C"/>
    <w:rsid w:val="002C6713"/>
    <w:rsid w:val="002D3D8C"/>
    <w:rsid w:val="002D789E"/>
    <w:rsid w:val="002E10D6"/>
    <w:rsid w:val="002E638A"/>
    <w:rsid w:val="002E7B71"/>
    <w:rsid w:val="002F40F3"/>
    <w:rsid w:val="00304441"/>
    <w:rsid w:val="00304565"/>
    <w:rsid w:val="00305105"/>
    <w:rsid w:val="0031625A"/>
    <w:rsid w:val="003201B4"/>
    <w:rsid w:val="003303B0"/>
    <w:rsid w:val="003315E8"/>
    <w:rsid w:val="003353DC"/>
    <w:rsid w:val="003421CD"/>
    <w:rsid w:val="003451F5"/>
    <w:rsid w:val="00345F6D"/>
    <w:rsid w:val="003478ED"/>
    <w:rsid w:val="003506C0"/>
    <w:rsid w:val="00350ADB"/>
    <w:rsid w:val="00360947"/>
    <w:rsid w:val="00365FE9"/>
    <w:rsid w:val="00376330"/>
    <w:rsid w:val="00377927"/>
    <w:rsid w:val="00381D29"/>
    <w:rsid w:val="00382E3D"/>
    <w:rsid w:val="00387206"/>
    <w:rsid w:val="00387FC2"/>
    <w:rsid w:val="00392B53"/>
    <w:rsid w:val="003950E4"/>
    <w:rsid w:val="003A0F44"/>
    <w:rsid w:val="003A3AC2"/>
    <w:rsid w:val="003A57C9"/>
    <w:rsid w:val="003B3670"/>
    <w:rsid w:val="003C1580"/>
    <w:rsid w:val="003C1CA4"/>
    <w:rsid w:val="003E632B"/>
    <w:rsid w:val="003E6FEC"/>
    <w:rsid w:val="003E7252"/>
    <w:rsid w:val="003F3195"/>
    <w:rsid w:val="003F42F4"/>
    <w:rsid w:val="003F5AD6"/>
    <w:rsid w:val="00410AC2"/>
    <w:rsid w:val="0041499B"/>
    <w:rsid w:val="00414D61"/>
    <w:rsid w:val="004233DE"/>
    <w:rsid w:val="00430D04"/>
    <w:rsid w:val="00433F61"/>
    <w:rsid w:val="00444003"/>
    <w:rsid w:val="00445384"/>
    <w:rsid w:val="004479B6"/>
    <w:rsid w:val="00447E2C"/>
    <w:rsid w:val="0046391C"/>
    <w:rsid w:val="004647BD"/>
    <w:rsid w:val="00472326"/>
    <w:rsid w:val="0048563A"/>
    <w:rsid w:val="004A1302"/>
    <w:rsid w:val="004A5FDD"/>
    <w:rsid w:val="004B2A7E"/>
    <w:rsid w:val="004B6AA9"/>
    <w:rsid w:val="004C3E71"/>
    <w:rsid w:val="004C3F27"/>
    <w:rsid w:val="004C40C8"/>
    <w:rsid w:val="004D6985"/>
    <w:rsid w:val="004F1D26"/>
    <w:rsid w:val="004F3FD9"/>
    <w:rsid w:val="004F60DD"/>
    <w:rsid w:val="00505FBC"/>
    <w:rsid w:val="00506A5A"/>
    <w:rsid w:val="00513FCE"/>
    <w:rsid w:val="005151D9"/>
    <w:rsid w:val="00532259"/>
    <w:rsid w:val="0054175C"/>
    <w:rsid w:val="005476BD"/>
    <w:rsid w:val="00551E91"/>
    <w:rsid w:val="00557806"/>
    <w:rsid w:val="00562EDC"/>
    <w:rsid w:val="00563159"/>
    <w:rsid w:val="005642C7"/>
    <w:rsid w:val="00565DC1"/>
    <w:rsid w:val="00566A71"/>
    <w:rsid w:val="00570E58"/>
    <w:rsid w:val="00573E2D"/>
    <w:rsid w:val="005765DA"/>
    <w:rsid w:val="00580067"/>
    <w:rsid w:val="005A1748"/>
    <w:rsid w:val="005A23B4"/>
    <w:rsid w:val="005A43A4"/>
    <w:rsid w:val="005A6F5F"/>
    <w:rsid w:val="005B2F30"/>
    <w:rsid w:val="005B3010"/>
    <w:rsid w:val="005B67EB"/>
    <w:rsid w:val="005D23CB"/>
    <w:rsid w:val="005D5EBD"/>
    <w:rsid w:val="005D6ADA"/>
    <w:rsid w:val="005E4F85"/>
    <w:rsid w:val="005E792C"/>
    <w:rsid w:val="005F0777"/>
    <w:rsid w:val="00602E59"/>
    <w:rsid w:val="0060305C"/>
    <w:rsid w:val="006035C2"/>
    <w:rsid w:val="00612C08"/>
    <w:rsid w:val="00614554"/>
    <w:rsid w:val="00614FC4"/>
    <w:rsid w:val="00622CDB"/>
    <w:rsid w:val="00637683"/>
    <w:rsid w:val="00637FA6"/>
    <w:rsid w:val="00643D16"/>
    <w:rsid w:val="00646A27"/>
    <w:rsid w:val="00653D2B"/>
    <w:rsid w:val="00654720"/>
    <w:rsid w:val="006568AA"/>
    <w:rsid w:val="00664F1B"/>
    <w:rsid w:val="00666D0F"/>
    <w:rsid w:val="006774E3"/>
    <w:rsid w:val="00677EBB"/>
    <w:rsid w:val="00680768"/>
    <w:rsid w:val="00682D05"/>
    <w:rsid w:val="00687C1A"/>
    <w:rsid w:val="00687E3B"/>
    <w:rsid w:val="00691396"/>
    <w:rsid w:val="00692105"/>
    <w:rsid w:val="00692BED"/>
    <w:rsid w:val="00694D83"/>
    <w:rsid w:val="0069742D"/>
    <w:rsid w:val="006A076E"/>
    <w:rsid w:val="006A47C9"/>
    <w:rsid w:val="006B32F5"/>
    <w:rsid w:val="006C1494"/>
    <w:rsid w:val="006C3E1F"/>
    <w:rsid w:val="006C4809"/>
    <w:rsid w:val="006C4A90"/>
    <w:rsid w:val="006D4A4D"/>
    <w:rsid w:val="006D7D4C"/>
    <w:rsid w:val="006E0478"/>
    <w:rsid w:val="006E2EE2"/>
    <w:rsid w:val="006E7F46"/>
    <w:rsid w:val="006F10A6"/>
    <w:rsid w:val="006F46B6"/>
    <w:rsid w:val="00701F8D"/>
    <w:rsid w:val="00702304"/>
    <w:rsid w:val="00706366"/>
    <w:rsid w:val="0072449F"/>
    <w:rsid w:val="00724FA4"/>
    <w:rsid w:val="00743987"/>
    <w:rsid w:val="0074527D"/>
    <w:rsid w:val="00752FFB"/>
    <w:rsid w:val="00754CF2"/>
    <w:rsid w:val="00755F34"/>
    <w:rsid w:val="007577B1"/>
    <w:rsid w:val="0076239A"/>
    <w:rsid w:val="0076536A"/>
    <w:rsid w:val="007703C7"/>
    <w:rsid w:val="00786AC1"/>
    <w:rsid w:val="00787DEE"/>
    <w:rsid w:val="00791275"/>
    <w:rsid w:val="007913DD"/>
    <w:rsid w:val="00792F0C"/>
    <w:rsid w:val="00795365"/>
    <w:rsid w:val="007B3123"/>
    <w:rsid w:val="007B5237"/>
    <w:rsid w:val="007C34E6"/>
    <w:rsid w:val="007D4824"/>
    <w:rsid w:val="007D5AEF"/>
    <w:rsid w:val="007E2F62"/>
    <w:rsid w:val="00801FBA"/>
    <w:rsid w:val="00810D02"/>
    <w:rsid w:val="008240F1"/>
    <w:rsid w:val="00824E07"/>
    <w:rsid w:val="008253FB"/>
    <w:rsid w:val="0083224C"/>
    <w:rsid w:val="008336E1"/>
    <w:rsid w:val="00856C62"/>
    <w:rsid w:val="00864766"/>
    <w:rsid w:val="0087230F"/>
    <w:rsid w:val="00881984"/>
    <w:rsid w:val="00881D59"/>
    <w:rsid w:val="00885620"/>
    <w:rsid w:val="00897127"/>
    <w:rsid w:val="008A164C"/>
    <w:rsid w:val="008A44C3"/>
    <w:rsid w:val="008A564C"/>
    <w:rsid w:val="008A7A3E"/>
    <w:rsid w:val="008B1391"/>
    <w:rsid w:val="008B50F5"/>
    <w:rsid w:val="008C2AAD"/>
    <w:rsid w:val="008C56E1"/>
    <w:rsid w:val="008C5BA6"/>
    <w:rsid w:val="008D15B7"/>
    <w:rsid w:val="008D3CA1"/>
    <w:rsid w:val="008D3EF8"/>
    <w:rsid w:val="008D3F8A"/>
    <w:rsid w:val="008D45DE"/>
    <w:rsid w:val="008D71E5"/>
    <w:rsid w:val="008E19CE"/>
    <w:rsid w:val="008E4967"/>
    <w:rsid w:val="008E7225"/>
    <w:rsid w:val="008F4012"/>
    <w:rsid w:val="008F55F8"/>
    <w:rsid w:val="00915185"/>
    <w:rsid w:val="00915BD0"/>
    <w:rsid w:val="0091717C"/>
    <w:rsid w:val="009177DF"/>
    <w:rsid w:val="00932A38"/>
    <w:rsid w:val="0093363A"/>
    <w:rsid w:val="009345C5"/>
    <w:rsid w:val="009401CC"/>
    <w:rsid w:val="0094345F"/>
    <w:rsid w:val="00943C8B"/>
    <w:rsid w:val="00945C29"/>
    <w:rsid w:val="0095269D"/>
    <w:rsid w:val="009526DA"/>
    <w:rsid w:val="009602E9"/>
    <w:rsid w:val="0096132D"/>
    <w:rsid w:val="00972802"/>
    <w:rsid w:val="0097629D"/>
    <w:rsid w:val="0097639B"/>
    <w:rsid w:val="009804F5"/>
    <w:rsid w:val="00981E05"/>
    <w:rsid w:val="0098629D"/>
    <w:rsid w:val="00997029"/>
    <w:rsid w:val="009A1787"/>
    <w:rsid w:val="009A553C"/>
    <w:rsid w:val="009A67F3"/>
    <w:rsid w:val="009A7DCC"/>
    <w:rsid w:val="009B286F"/>
    <w:rsid w:val="009B2CFA"/>
    <w:rsid w:val="009B7B28"/>
    <w:rsid w:val="009C37E9"/>
    <w:rsid w:val="009C3A40"/>
    <w:rsid w:val="009C4905"/>
    <w:rsid w:val="009D2690"/>
    <w:rsid w:val="009D44CF"/>
    <w:rsid w:val="009D4ACD"/>
    <w:rsid w:val="009D7662"/>
    <w:rsid w:val="009E6C05"/>
    <w:rsid w:val="009E766A"/>
    <w:rsid w:val="009F3CAB"/>
    <w:rsid w:val="009F4D67"/>
    <w:rsid w:val="00A0066F"/>
    <w:rsid w:val="00A04475"/>
    <w:rsid w:val="00A0531C"/>
    <w:rsid w:val="00A102E0"/>
    <w:rsid w:val="00A10DB7"/>
    <w:rsid w:val="00A11F5D"/>
    <w:rsid w:val="00A12FCB"/>
    <w:rsid w:val="00A2188D"/>
    <w:rsid w:val="00A26245"/>
    <w:rsid w:val="00A26635"/>
    <w:rsid w:val="00A267BA"/>
    <w:rsid w:val="00A268AC"/>
    <w:rsid w:val="00A27919"/>
    <w:rsid w:val="00A36880"/>
    <w:rsid w:val="00A40A63"/>
    <w:rsid w:val="00A52AFA"/>
    <w:rsid w:val="00A7470D"/>
    <w:rsid w:val="00A813C7"/>
    <w:rsid w:val="00A819BF"/>
    <w:rsid w:val="00A85845"/>
    <w:rsid w:val="00A87063"/>
    <w:rsid w:val="00A92C38"/>
    <w:rsid w:val="00AA5439"/>
    <w:rsid w:val="00AA71F1"/>
    <w:rsid w:val="00AB3772"/>
    <w:rsid w:val="00AB397E"/>
    <w:rsid w:val="00AB5E51"/>
    <w:rsid w:val="00AB63E5"/>
    <w:rsid w:val="00AB7573"/>
    <w:rsid w:val="00AC2437"/>
    <w:rsid w:val="00AC2FED"/>
    <w:rsid w:val="00AD68DA"/>
    <w:rsid w:val="00B02CBE"/>
    <w:rsid w:val="00B051A6"/>
    <w:rsid w:val="00B05A49"/>
    <w:rsid w:val="00B26C0C"/>
    <w:rsid w:val="00B35796"/>
    <w:rsid w:val="00B42366"/>
    <w:rsid w:val="00B60BAA"/>
    <w:rsid w:val="00B62ED2"/>
    <w:rsid w:val="00B64A19"/>
    <w:rsid w:val="00B6591E"/>
    <w:rsid w:val="00B7067E"/>
    <w:rsid w:val="00B742E3"/>
    <w:rsid w:val="00B75873"/>
    <w:rsid w:val="00B765E4"/>
    <w:rsid w:val="00B77233"/>
    <w:rsid w:val="00B827EE"/>
    <w:rsid w:val="00B8586E"/>
    <w:rsid w:val="00B91AED"/>
    <w:rsid w:val="00B91E2E"/>
    <w:rsid w:val="00B96A23"/>
    <w:rsid w:val="00BA1C2E"/>
    <w:rsid w:val="00BA7246"/>
    <w:rsid w:val="00BB207D"/>
    <w:rsid w:val="00BB52EC"/>
    <w:rsid w:val="00BC4E72"/>
    <w:rsid w:val="00BC5ADA"/>
    <w:rsid w:val="00BD32AB"/>
    <w:rsid w:val="00BE2420"/>
    <w:rsid w:val="00BE41D6"/>
    <w:rsid w:val="00BE712B"/>
    <w:rsid w:val="00BF5E88"/>
    <w:rsid w:val="00BF65C5"/>
    <w:rsid w:val="00BF74F8"/>
    <w:rsid w:val="00C05B9C"/>
    <w:rsid w:val="00C060D7"/>
    <w:rsid w:val="00C12DA0"/>
    <w:rsid w:val="00C13051"/>
    <w:rsid w:val="00C21110"/>
    <w:rsid w:val="00C24506"/>
    <w:rsid w:val="00C256C6"/>
    <w:rsid w:val="00C30F48"/>
    <w:rsid w:val="00C33129"/>
    <w:rsid w:val="00C4293F"/>
    <w:rsid w:val="00C44195"/>
    <w:rsid w:val="00C461BE"/>
    <w:rsid w:val="00C46E26"/>
    <w:rsid w:val="00C56137"/>
    <w:rsid w:val="00C56A01"/>
    <w:rsid w:val="00C601D0"/>
    <w:rsid w:val="00C64CC1"/>
    <w:rsid w:val="00C710CB"/>
    <w:rsid w:val="00C75ABC"/>
    <w:rsid w:val="00C93398"/>
    <w:rsid w:val="00C9389A"/>
    <w:rsid w:val="00C94AB7"/>
    <w:rsid w:val="00C97360"/>
    <w:rsid w:val="00C97719"/>
    <w:rsid w:val="00CA68A6"/>
    <w:rsid w:val="00CA7C54"/>
    <w:rsid w:val="00CB7511"/>
    <w:rsid w:val="00CC22F3"/>
    <w:rsid w:val="00CC6004"/>
    <w:rsid w:val="00CD3A9E"/>
    <w:rsid w:val="00CF6112"/>
    <w:rsid w:val="00D10B09"/>
    <w:rsid w:val="00D10D8F"/>
    <w:rsid w:val="00D11498"/>
    <w:rsid w:val="00D13BF9"/>
    <w:rsid w:val="00D146F0"/>
    <w:rsid w:val="00D1656D"/>
    <w:rsid w:val="00D1685E"/>
    <w:rsid w:val="00D27078"/>
    <w:rsid w:val="00D270F4"/>
    <w:rsid w:val="00D31F96"/>
    <w:rsid w:val="00D47C6E"/>
    <w:rsid w:val="00D47FD5"/>
    <w:rsid w:val="00D50F6A"/>
    <w:rsid w:val="00D51587"/>
    <w:rsid w:val="00D5569F"/>
    <w:rsid w:val="00D60EB1"/>
    <w:rsid w:val="00D62928"/>
    <w:rsid w:val="00D62D4C"/>
    <w:rsid w:val="00D81A31"/>
    <w:rsid w:val="00D82B0F"/>
    <w:rsid w:val="00D93796"/>
    <w:rsid w:val="00DA1DFB"/>
    <w:rsid w:val="00DA42A3"/>
    <w:rsid w:val="00DA58C6"/>
    <w:rsid w:val="00DB513A"/>
    <w:rsid w:val="00DD33D2"/>
    <w:rsid w:val="00DD44D5"/>
    <w:rsid w:val="00DE4901"/>
    <w:rsid w:val="00DE504B"/>
    <w:rsid w:val="00DE71D2"/>
    <w:rsid w:val="00DF5A91"/>
    <w:rsid w:val="00E10F51"/>
    <w:rsid w:val="00E11FAE"/>
    <w:rsid w:val="00E2065F"/>
    <w:rsid w:val="00E21AEF"/>
    <w:rsid w:val="00E24377"/>
    <w:rsid w:val="00E40261"/>
    <w:rsid w:val="00E404C5"/>
    <w:rsid w:val="00E428B2"/>
    <w:rsid w:val="00E4685E"/>
    <w:rsid w:val="00E47746"/>
    <w:rsid w:val="00E555A6"/>
    <w:rsid w:val="00E61876"/>
    <w:rsid w:val="00E66681"/>
    <w:rsid w:val="00E66821"/>
    <w:rsid w:val="00E70282"/>
    <w:rsid w:val="00E71045"/>
    <w:rsid w:val="00E72687"/>
    <w:rsid w:val="00E80210"/>
    <w:rsid w:val="00E807C2"/>
    <w:rsid w:val="00E85029"/>
    <w:rsid w:val="00E93DAE"/>
    <w:rsid w:val="00EA52E4"/>
    <w:rsid w:val="00EA7A84"/>
    <w:rsid w:val="00EB6597"/>
    <w:rsid w:val="00EC7980"/>
    <w:rsid w:val="00EE4527"/>
    <w:rsid w:val="00EF1A6F"/>
    <w:rsid w:val="00EF1B7E"/>
    <w:rsid w:val="00EF338C"/>
    <w:rsid w:val="00EF4C8A"/>
    <w:rsid w:val="00F0206A"/>
    <w:rsid w:val="00F02EC9"/>
    <w:rsid w:val="00F05D54"/>
    <w:rsid w:val="00F11365"/>
    <w:rsid w:val="00F22903"/>
    <w:rsid w:val="00F27AAF"/>
    <w:rsid w:val="00F31924"/>
    <w:rsid w:val="00F362DE"/>
    <w:rsid w:val="00F3743A"/>
    <w:rsid w:val="00F50454"/>
    <w:rsid w:val="00F51DA2"/>
    <w:rsid w:val="00F51F93"/>
    <w:rsid w:val="00F563AC"/>
    <w:rsid w:val="00F60EA1"/>
    <w:rsid w:val="00F626D7"/>
    <w:rsid w:val="00F63AC6"/>
    <w:rsid w:val="00F70C96"/>
    <w:rsid w:val="00F71723"/>
    <w:rsid w:val="00F72EBE"/>
    <w:rsid w:val="00F76675"/>
    <w:rsid w:val="00F84F40"/>
    <w:rsid w:val="00F85472"/>
    <w:rsid w:val="00FA6A39"/>
    <w:rsid w:val="00FA7D31"/>
    <w:rsid w:val="00FB5DDD"/>
    <w:rsid w:val="00FC0F6C"/>
    <w:rsid w:val="00FC4BBB"/>
    <w:rsid w:val="00FC7371"/>
    <w:rsid w:val="00FD5FF9"/>
    <w:rsid w:val="00FE48A3"/>
    <w:rsid w:val="00FE653A"/>
    <w:rsid w:val="00FF2640"/>
    <w:rsid w:val="00FF5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53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7EB"/>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5B67EB"/>
    <w:pPr>
      <w:spacing w:after="240"/>
      <w:outlineLvl w:val="0"/>
    </w:pPr>
    <w:rPr>
      <w:rFonts w:ascii="Arial Bold" w:hAnsi="Arial Bold"/>
      <w:b/>
      <w:kern w:val="34"/>
      <w:sz w:val="36"/>
    </w:rPr>
  </w:style>
  <w:style w:type="paragraph" w:styleId="Heading2">
    <w:name w:val="heading 2"/>
    <w:basedOn w:val="HeadingBase"/>
    <w:next w:val="Normal"/>
    <w:link w:val="Heading2Char"/>
    <w:qFormat/>
    <w:rsid w:val="005B67EB"/>
    <w:pPr>
      <w:spacing w:before="240" w:after="240"/>
      <w:outlineLvl w:val="1"/>
    </w:pPr>
    <w:rPr>
      <w:rFonts w:ascii="Arial Bold" w:hAnsi="Arial Bold"/>
      <w:b/>
      <w:sz w:val="26"/>
    </w:rPr>
  </w:style>
  <w:style w:type="paragraph" w:styleId="Heading3">
    <w:name w:val="heading 3"/>
    <w:basedOn w:val="HeadingBase"/>
    <w:next w:val="Normal"/>
    <w:link w:val="Heading3Char"/>
    <w:qFormat/>
    <w:rsid w:val="005B67EB"/>
    <w:pPr>
      <w:spacing w:before="120" w:after="120"/>
      <w:outlineLvl w:val="2"/>
    </w:pPr>
    <w:rPr>
      <w:rFonts w:ascii="Arial Bold" w:hAnsi="Arial Bold"/>
      <w:b/>
      <w:sz w:val="22"/>
    </w:rPr>
  </w:style>
  <w:style w:type="paragraph" w:styleId="Heading4">
    <w:name w:val="heading 4"/>
    <w:basedOn w:val="HeadingBase"/>
    <w:next w:val="Normal"/>
    <w:link w:val="Heading4Char"/>
    <w:qFormat/>
    <w:rsid w:val="005B67EB"/>
    <w:pPr>
      <w:spacing w:after="120"/>
      <w:outlineLvl w:val="3"/>
    </w:pPr>
    <w:rPr>
      <w:rFonts w:ascii="Arial Bold" w:hAnsi="Arial Bold"/>
      <w:b/>
      <w:sz w:val="20"/>
    </w:rPr>
  </w:style>
  <w:style w:type="paragraph" w:styleId="Heading5">
    <w:name w:val="heading 5"/>
    <w:basedOn w:val="HeadingBase"/>
    <w:next w:val="Normal"/>
    <w:link w:val="Heading5Char"/>
    <w:qFormat/>
    <w:rsid w:val="005B67EB"/>
    <w:pPr>
      <w:spacing w:after="120"/>
      <w:outlineLvl w:val="4"/>
    </w:pPr>
    <w:rPr>
      <w:bCs/>
      <w:i/>
      <w:iCs/>
      <w:sz w:val="20"/>
      <w:szCs w:val="26"/>
    </w:rPr>
  </w:style>
  <w:style w:type="paragraph" w:styleId="Heading6">
    <w:name w:val="heading 6"/>
    <w:basedOn w:val="HeadingBase"/>
    <w:next w:val="Normal"/>
    <w:link w:val="Heading6Char"/>
    <w:rsid w:val="005B67EB"/>
    <w:pPr>
      <w:spacing w:after="120"/>
      <w:outlineLvl w:val="5"/>
    </w:pPr>
    <w:rPr>
      <w:bCs/>
      <w:sz w:val="20"/>
      <w:szCs w:val="22"/>
    </w:rPr>
  </w:style>
  <w:style w:type="paragraph" w:styleId="Heading7">
    <w:name w:val="heading 7"/>
    <w:basedOn w:val="HeadingBase"/>
    <w:next w:val="Normal"/>
    <w:link w:val="Heading7Char"/>
    <w:rsid w:val="005B67EB"/>
    <w:pPr>
      <w:spacing w:before="120"/>
      <w:outlineLvl w:val="6"/>
    </w:pPr>
    <w:rPr>
      <w:sz w:val="20"/>
      <w:szCs w:val="24"/>
    </w:rPr>
  </w:style>
  <w:style w:type="paragraph" w:styleId="Heading8">
    <w:name w:val="heading 8"/>
    <w:basedOn w:val="HeadingBase"/>
    <w:next w:val="Normal"/>
    <w:link w:val="Heading8Char"/>
    <w:rsid w:val="005B67EB"/>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5B67EB"/>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5B67EB"/>
    <w:pPr>
      <w:tabs>
        <w:tab w:val="center" w:pos="4153"/>
        <w:tab w:val="right" w:pos="8306"/>
      </w:tabs>
    </w:pPr>
  </w:style>
  <w:style w:type="character" w:customStyle="1" w:styleId="HeaderChar">
    <w:name w:val="Header Char"/>
    <w:basedOn w:val="DefaultParagraphFont"/>
    <w:link w:val="Header"/>
    <w:rsid w:val="005B67EB"/>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5B67EB"/>
    <w:pPr>
      <w:tabs>
        <w:tab w:val="center" w:pos="4153"/>
        <w:tab w:val="right" w:pos="8306"/>
      </w:tabs>
    </w:pPr>
  </w:style>
  <w:style w:type="character" w:customStyle="1" w:styleId="FooterChar">
    <w:name w:val="Footer Char"/>
    <w:basedOn w:val="DefaultParagraphFont"/>
    <w:link w:val="Footer"/>
    <w:rsid w:val="005B67EB"/>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5B67EB"/>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5B67EB"/>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5B67EB"/>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5B67EB"/>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5B67EB"/>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5B67EB"/>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5B67EB"/>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5B67EB"/>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5B67EB"/>
    <w:pPr>
      <w:jc w:val="center"/>
    </w:pPr>
    <w:rPr>
      <w:rFonts w:ascii="Arial Bold" w:hAnsi="Arial Bold"/>
      <w:b/>
      <w:caps/>
      <w:sz w:val="22"/>
    </w:rPr>
  </w:style>
  <w:style w:type="paragraph" w:customStyle="1" w:styleId="FileProperties">
    <w:name w:val="File Properties"/>
    <w:basedOn w:val="Normal"/>
    <w:rsid w:val="005B67EB"/>
    <w:pPr>
      <w:spacing w:before="0"/>
    </w:pPr>
    <w:rPr>
      <w:i/>
    </w:rPr>
  </w:style>
  <w:style w:type="paragraph" w:customStyle="1" w:styleId="AlphaParagraph">
    <w:name w:val="Alpha Paragraph"/>
    <w:basedOn w:val="Normal"/>
    <w:rsid w:val="005B67EB"/>
    <w:pPr>
      <w:numPr>
        <w:numId w:val="1"/>
      </w:numPr>
      <w:tabs>
        <w:tab w:val="clear" w:pos="567"/>
        <w:tab w:val="num" w:pos="360"/>
      </w:tabs>
      <w:ind w:left="0" w:firstLine="0"/>
    </w:pPr>
  </w:style>
  <w:style w:type="paragraph" w:customStyle="1" w:styleId="HeadingBase">
    <w:name w:val="Heading Base"/>
    <w:rsid w:val="005B67EB"/>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5B67EB"/>
    <w:rPr>
      <w:bCs/>
      <w:color w:val="002A54" w:themeColor="text2"/>
      <w:szCs w:val="52"/>
    </w:rPr>
  </w:style>
  <w:style w:type="paragraph" w:customStyle="1" w:styleId="BoxText">
    <w:name w:val="Box Text"/>
    <w:basedOn w:val="Normal"/>
    <w:link w:val="BoxTextChar"/>
    <w:qFormat/>
    <w:rsid w:val="005B67EB"/>
    <w:pPr>
      <w:spacing w:before="120" w:after="120" w:line="240" w:lineRule="auto"/>
    </w:pPr>
  </w:style>
  <w:style w:type="paragraph" w:customStyle="1" w:styleId="BoxBullet">
    <w:name w:val="Box Bullet"/>
    <w:basedOn w:val="BoxText"/>
    <w:rsid w:val="005B67EB"/>
    <w:pPr>
      <w:numPr>
        <w:numId w:val="2"/>
      </w:numPr>
    </w:pPr>
  </w:style>
  <w:style w:type="paragraph" w:customStyle="1" w:styleId="BoxHeading">
    <w:name w:val="Box Heading"/>
    <w:basedOn w:val="HeadingBase"/>
    <w:next w:val="BoxText"/>
    <w:rsid w:val="005B67EB"/>
    <w:pPr>
      <w:spacing w:before="120" w:after="120"/>
    </w:pPr>
    <w:rPr>
      <w:b/>
      <w:sz w:val="20"/>
    </w:rPr>
  </w:style>
  <w:style w:type="character" w:customStyle="1" w:styleId="Heading6Char">
    <w:name w:val="Heading 6 Char"/>
    <w:basedOn w:val="DefaultParagraphFont"/>
    <w:link w:val="Heading6"/>
    <w:rsid w:val="005B67EB"/>
    <w:rPr>
      <w:rFonts w:ascii="Arial" w:eastAsia="Times New Roman" w:hAnsi="Arial" w:cs="Times New Roman"/>
      <w:bCs/>
      <w:sz w:val="20"/>
      <w:lang w:eastAsia="en-AU"/>
    </w:rPr>
  </w:style>
  <w:style w:type="paragraph" w:customStyle="1" w:styleId="Bullet">
    <w:name w:val="Bullet"/>
    <w:basedOn w:val="Normal"/>
    <w:qFormat/>
    <w:rsid w:val="005B67EB"/>
    <w:pPr>
      <w:numPr>
        <w:numId w:val="7"/>
      </w:numPr>
      <w:spacing w:after="160"/>
      <w:ind w:left="284" w:hanging="284"/>
    </w:pPr>
  </w:style>
  <w:style w:type="paragraph" w:styleId="Caption">
    <w:name w:val="caption"/>
    <w:basedOn w:val="Normal"/>
    <w:next w:val="Normal"/>
    <w:rsid w:val="005B67EB"/>
    <w:rPr>
      <w:b/>
      <w:bCs/>
    </w:rPr>
  </w:style>
  <w:style w:type="paragraph" w:customStyle="1" w:styleId="ChartandTableFootnote">
    <w:name w:val="Chart and Table Footnote"/>
    <w:basedOn w:val="HeadingBase"/>
    <w:next w:val="Normal"/>
    <w:rsid w:val="005B67EB"/>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5B67EB"/>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5B67EB"/>
    <w:pPr>
      <w:keepNext w:val="0"/>
      <w:tabs>
        <w:tab w:val="left" w:pos="284"/>
      </w:tabs>
      <w:jc w:val="both"/>
    </w:pPr>
    <w:rPr>
      <w:color w:val="000000"/>
      <w:sz w:val="15"/>
    </w:rPr>
  </w:style>
  <w:style w:type="paragraph" w:customStyle="1" w:styleId="ChartGraphic">
    <w:name w:val="Chart Graphic"/>
    <w:basedOn w:val="HeadingBase"/>
    <w:rsid w:val="005B67EB"/>
    <w:rPr>
      <w:sz w:val="20"/>
    </w:rPr>
  </w:style>
  <w:style w:type="paragraph" w:customStyle="1" w:styleId="TableLine">
    <w:name w:val="Table Line"/>
    <w:basedOn w:val="Normal"/>
    <w:next w:val="Normal"/>
    <w:autoRedefine/>
    <w:rsid w:val="005B67EB"/>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5B67EB"/>
    <w:pPr>
      <w:spacing w:after="60"/>
    </w:pPr>
    <w:rPr>
      <w:sz w:val="19"/>
    </w:rPr>
  </w:style>
  <w:style w:type="character" w:styleId="CommentReference">
    <w:name w:val="annotation reference"/>
    <w:basedOn w:val="DefaultParagraphFont"/>
    <w:semiHidden/>
    <w:rsid w:val="005B67EB"/>
    <w:rPr>
      <w:sz w:val="16"/>
      <w:szCs w:val="16"/>
    </w:rPr>
  </w:style>
  <w:style w:type="paragraph" w:styleId="CommentText">
    <w:name w:val="annotation text"/>
    <w:basedOn w:val="Normal"/>
    <w:link w:val="CommentTextChar"/>
    <w:semiHidden/>
    <w:rsid w:val="005B67EB"/>
  </w:style>
  <w:style w:type="character" w:customStyle="1" w:styleId="CommentTextChar">
    <w:name w:val="Comment Text Char"/>
    <w:basedOn w:val="DefaultParagraphFont"/>
    <w:link w:val="CommentText"/>
    <w:semiHidden/>
    <w:rsid w:val="005B67EB"/>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5B67EB"/>
    <w:rPr>
      <w:b/>
      <w:bCs/>
    </w:rPr>
  </w:style>
  <w:style w:type="character" w:customStyle="1" w:styleId="CommentSubjectChar">
    <w:name w:val="Comment Subject Char"/>
    <w:basedOn w:val="CommentTextChar"/>
    <w:link w:val="CommentSubject"/>
    <w:semiHidden/>
    <w:rsid w:val="005B67EB"/>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5B67EB"/>
    <w:pPr>
      <w:spacing w:after="720"/>
      <w:outlineLvl w:val="9"/>
    </w:pPr>
  </w:style>
  <w:style w:type="character" w:styleId="Strong">
    <w:name w:val="Strong"/>
    <w:basedOn w:val="DefaultParagraphFont"/>
    <w:uiPriority w:val="22"/>
    <w:qFormat/>
    <w:rsid w:val="005B67EB"/>
    <w:rPr>
      <w:b/>
      <w:bCs/>
      <w:color w:val="auto"/>
    </w:rPr>
  </w:style>
  <w:style w:type="paragraph" w:customStyle="1" w:styleId="Dash">
    <w:name w:val="Dash"/>
    <w:basedOn w:val="Normal"/>
    <w:qFormat/>
    <w:rsid w:val="005B67EB"/>
    <w:pPr>
      <w:numPr>
        <w:ilvl w:val="1"/>
        <w:numId w:val="7"/>
      </w:numPr>
      <w:tabs>
        <w:tab w:val="left" w:pos="567"/>
      </w:tabs>
    </w:pPr>
  </w:style>
  <w:style w:type="paragraph" w:styleId="DocumentMap">
    <w:name w:val="Document Map"/>
    <w:basedOn w:val="Normal"/>
    <w:link w:val="DocumentMapChar"/>
    <w:semiHidden/>
    <w:rsid w:val="005B67EB"/>
    <w:pPr>
      <w:shd w:val="clear" w:color="auto" w:fill="000080"/>
    </w:pPr>
    <w:rPr>
      <w:rFonts w:ascii="Tahoma" w:hAnsi="Tahoma" w:cs="Tahoma"/>
    </w:rPr>
  </w:style>
  <w:style w:type="character" w:customStyle="1" w:styleId="DocumentMapChar">
    <w:name w:val="Document Map Char"/>
    <w:basedOn w:val="DefaultParagraphFont"/>
    <w:link w:val="DocumentMap"/>
    <w:semiHidden/>
    <w:rsid w:val="005B67EB"/>
    <w:rPr>
      <w:rFonts w:ascii="Tahoma" w:eastAsia="Times New Roman" w:hAnsi="Tahoma" w:cs="Tahoma"/>
      <w:sz w:val="19"/>
      <w:szCs w:val="20"/>
      <w:shd w:val="clear" w:color="auto" w:fill="000080"/>
      <w:lang w:eastAsia="en-AU"/>
    </w:rPr>
  </w:style>
  <w:style w:type="paragraph" w:customStyle="1" w:styleId="DoubleDot">
    <w:name w:val="Double Dot"/>
    <w:basedOn w:val="Normal"/>
    <w:rsid w:val="005B67EB"/>
    <w:pPr>
      <w:numPr>
        <w:ilvl w:val="2"/>
        <w:numId w:val="7"/>
      </w:numPr>
      <w:tabs>
        <w:tab w:val="clear" w:pos="850"/>
        <w:tab w:val="num" w:pos="360"/>
        <w:tab w:val="left" w:pos="851"/>
      </w:tabs>
    </w:pPr>
  </w:style>
  <w:style w:type="paragraph" w:customStyle="1" w:styleId="FigureHeading">
    <w:name w:val="Figure Heading"/>
    <w:basedOn w:val="HeadingBase"/>
    <w:next w:val="ChartGraphic"/>
    <w:rsid w:val="005B67EB"/>
    <w:pPr>
      <w:spacing w:before="120" w:after="20"/>
    </w:pPr>
    <w:rPr>
      <w:b/>
      <w:sz w:val="20"/>
    </w:rPr>
  </w:style>
  <w:style w:type="paragraph" w:customStyle="1" w:styleId="FooterBase">
    <w:name w:val="Footer Base"/>
    <w:rsid w:val="005B67EB"/>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5B67EB"/>
    <w:pPr>
      <w:pBdr>
        <w:top w:val="single" w:sz="4" w:space="10" w:color="002A54" w:themeColor="text2"/>
      </w:pBdr>
      <w:jc w:val="left"/>
    </w:pPr>
    <w:rPr>
      <w:sz w:val="18"/>
    </w:rPr>
  </w:style>
  <w:style w:type="paragraph" w:customStyle="1" w:styleId="FooterOdd">
    <w:name w:val="Footer Odd"/>
    <w:basedOn w:val="Footer"/>
    <w:qFormat/>
    <w:rsid w:val="005B67EB"/>
    <w:pPr>
      <w:pBdr>
        <w:top w:val="single" w:sz="4" w:space="10" w:color="002A54" w:themeColor="text2"/>
      </w:pBdr>
      <w:jc w:val="right"/>
    </w:pPr>
    <w:rPr>
      <w:sz w:val="18"/>
    </w:rPr>
  </w:style>
  <w:style w:type="character" w:styleId="FootnoteReference">
    <w:name w:val="footnote reference"/>
    <w:basedOn w:val="DefaultParagraphFont"/>
    <w:rsid w:val="005B67EB"/>
    <w:rPr>
      <w:vertAlign w:val="superscript"/>
    </w:rPr>
  </w:style>
  <w:style w:type="paragraph" w:styleId="FootnoteText">
    <w:name w:val="footnote text"/>
    <w:basedOn w:val="Normal"/>
    <w:link w:val="FootnoteTextChar"/>
    <w:rsid w:val="005B67EB"/>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5B67EB"/>
    <w:rPr>
      <w:rFonts w:ascii="Book Antiqua" w:eastAsia="Times New Roman" w:hAnsi="Book Antiqua" w:cs="Times New Roman"/>
      <w:sz w:val="18"/>
      <w:szCs w:val="20"/>
      <w:lang w:eastAsia="en-AU"/>
    </w:rPr>
  </w:style>
  <w:style w:type="character" w:customStyle="1" w:styleId="FramedHeader">
    <w:name w:val="Framed Header"/>
    <w:basedOn w:val="DefaultParagraphFont"/>
    <w:rsid w:val="005B67EB"/>
    <w:rPr>
      <w:rFonts w:ascii="Book Antiqua" w:hAnsi="Book Antiqua"/>
      <w:i/>
      <w:dstrike w:val="0"/>
      <w:color w:val="auto"/>
      <w:sz w:val="20"/>
      <w:vertAlign w:val="baseline"/>
    </w:rPr>
  </w:style>
  <w:style w:type="paragraph" w:customStyle="1" w:styleId="HeaderBase">
    <w:name w:val="Header Base"/>
    <w:rsid w:val="005B67EB"/>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5B67EB"/>
  </w:style>
  <w:style w:type="paragraph" w:customStyle="1" w:styleId="HeaderOdd">
    <w:name w:val="Header Odd"/>
    <w:basedOn w:val="HeaderBase"/>
    <w:rsid w:val="005B67EB"/>
    <w:pPr>
      <w:jc w:val="right"/>
    </w:pPr>
  </w:style>
  <w:style w:type="character" w:customStyle="1" w:styleId="Heading1Char">
    <w:name w:val="Heading 1 Char"/>
    <w:basedOn w:val="DefaultParagraphFont"/>
    <w:link w:val="Heading1"/>
    <w:rsid w:val="005B67EB"/>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5B67EB"/>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5B67EB"/>
    <w:rPr>
      <w:rFonts w:ascii="Arial Bold" w:eastAsia="Times New Roman" w:hAnsi="Arial Bold" w:cs="Times New Roman"/>
      <w:b/>
      <w:szCs w:val="20"/>
      <w:lang w:eastAsia="en-AU"/>
    </w:rPr>
  </w:style>
  <w:style w:type="paragraph" w:customStyle="1" w:styleId="Heading3noTOC">
    <w:name w:val="Heading 3 no TOC"/>
    <w:basedOn w:val="Heading3"/>
    <w:rsid w:val="005B67EB"/>
    <w:pPr>
      <w:outlineLvl w:val="9"/>
    </w:pPr>
  </w:style>
  <w:style w:type="character" w:customStyle="1" w:styleId="Heading4Char">
    <w:name w:val="Heading 4 Char"/>
    <w:basedOn w:val="DefaultParagraphFont"/>
    <w:link w:val="Heading4"/>
    <w:rsid w:val="005B67EB"/>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5B67EB"/>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5B67EB"/>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5B67EB"/>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5B67EB"/>
    <w:rPr>
      <w:rFonts w:ascii="Times New Roman" w:hAnsi="Times New Roman"/>
      <w:vanish/>
      <w:sz w:val="16"/>
    </w:rPr>
  </w:style>
  <w:style w:type="character" w:styleId="Hyperlink">
    <w:name w:val="Hyperlink"/>
    <w:basedOn w:val="DefaultParagraphFont"/>
    <w:uiPriority w:val="99"/>
    <w:unhideWhenUsed/>
    <w:rsid w:val="005B67EB"/>
    <w:rPr>
      <w:color w:val="auto"/>
      <w:u w:val="single"/>
    </w:rPr>
  </w:style>
  <w:style w:type="paragraph" w:styleId="Index4">
    <w:name w:val="index 4"/>
    <w:basedOn w:val="Normal"/>
    <w:next w:val="Normal"/>
    <w:autoRedefine/>
    <w:semiHidden/>
    <w:rsid w:val="005B67EB"/>
    <w:pPr>
      <w:ind w:left="800" w:hanging="200"/>
    </w:pPr>
  </w:style>
  <w:style w:type="paragraph" w:styleId="Index5">
    <w:name w:val="index 5"/>
    <w:basedOn w:val="Normal"/>
    <w:next w:val="Normal"/>
    <w:autoRedefine/>
    <w:semiHidden/>
    <w:rsid w:val="005B67EB"/>
    <w:pPr>
      <w:ind w:left="1000" w:hanging="200"/>
    </w:pPr>
  </w:style>
  <w:style w:type="paragraph" w:styleId="Index6">
    <w:name w:val="index 6"/>
    <w:basedOn w:val="Normal"/>
    <w:next w:val="Normal"/>
    <w:autoRedefine/>
    <w:semiHidden/>
    <w:rsid w:val="005B67EB"/>
    <w:pPr>
      <w:ind w:left="1200" w:hanging="200"/>
    </w:pPr>
  </w:style>
  <w:style w:type="paragraph" w:styleId="Index7">
    <w:name w:val="index 7"/>
    <w:basedOn w:val="Normal"/>
    <w:next w:val="Normal"/>
    <w:autoRedefine/>
    <w:semiHidden/>
    <w:rsid w:val="005B67EB"/>
    <w:pPr>
      <w:ind w:left="1400" w:hanging="200"/>
    </w:pPr>
  </w:style>
  <w:style w:type="paragraph" w:styleId="Index8">
    <w:name w:val="index 8"/>
    <w:basedOn w:val="Normal"/>
    <w:next w:val="Normal"/>
    <w:autoRedefine/>
    <w:semiHidden/>
    <w:rsid w:val="005B67EB"/>
    <w:pPr>
      <w:ind w:left="1600" w:hanging="200"/>
    </w:pPr>
  </w:style>
  <w:style w:type="paragraph" w:styleId="Index9">
    <w:name w:val="index 9"/>
    <w:basedOn w:val="Normal"/>
    <w:next w:val="Normal"/>
    <w:autoRedefine/>
    <w:semiHidden/>
    <w:rsid w:val="005B67EB"/>
    <w:pPr>
      <w:ind w:left="1800" w:hanging="200"/>
    </w:pPr>
  </w:style>
  <w:style w:type="paragraph" w:styleId="MacroText">
    <w:name w:val="macro"/>
    <w:link w:val="MacroTextChar"/>
    <w:unhideWhenUsed/>
    <w:rsid w:val="005B67EB"/>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5B67EB"/>
    <w:rPr>
      <w:rFonts w:ascii="Courier New" w:eastAsia="Times New Roman" w:hAnsi="Courier New" w:cs="Courier New"/>
      <w:sz w:val="20"/>
      <w:szCs w:val="20"/>
      <w:lang w:eastAsia="en-AU"/>
    </w:rPr>
  </w:style>
  <w:style w:type="paragraph" w:styleId="NormalIndent">
    <w:name w:val="Normal Indent"/>
    <w:basedOn w:val="Normal"/>
    <w:rsid w:val="005B67EB"/>
    <w:pPr>
      <w:ind w:left="567"/>
    </w:pPr>
  </w:style>
  <w:style w:type="paragraph" w:customStyle="1" w:styleId="NoteTableHeading">
    <w:name w:val="Note Table Heading"/>
    <w:basedOn w:val="HeadingBase"/>
    <w:next w:val="Normal"/>
    <w:rsid w:val="005B67EB"/>
    <w:pPr>
      <w:spacing w:before="240"/>
    </w:pPr>
    <w:rPr>
      <w:b/>
      <w:sz w:val="20"/>
    </w:rPr>
  </w:style>
  <w:style w:type="paragraph" w:customStyle="1" w:styleId="OverviewParagraph">
    <w:name w:val="Overview Paragraph"/>
    <w:basedOn w:val="Normal"/>
    <w:rsid w:val="005B67EB"/>
    <w:pPr>
      <w:spacing w:before="120" w:after="120" w:line="240" w:lineRule="auto"/>
    </w:pPr>
  </w:style>
  <w:style w:type="character" w:styleId="PageNumber">
    <w:name w:val="page number"/>
    <w:basedOn w:val="DefaultParagraphFont"/>
    <w:rsid w:val="005B67EB"/>
    <w:rPr>
      <w:rFonts w:ascii="Arial" w:hAnsi="Arial" w:cs="Arial"/>
    </w:rPr>
  </w:style>
  <w:style w:type="paragraph" w:customStyle="1" w:styleId="SingleParagraph">
    <w:name w:val="Single Paragraph"/>
    <w:basedOn w:val="Normal"/>
    <w:rsid w:val="005B67EB"/>
    <w:pPr>
      <w:spacing w:before="0" w:after="0"/>
    </w:pPr>
  </w:style>
  <w:style w:type="paragraph" w:customStyle="1" w:styleId="Source">
    <w:name w:val="Source"/>
    <w:basedOn w:val="Normal"/>
    <w:rsid w:val="005B67EB"/>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5B67EB"/>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5B67EB"/>
    <w:pPr>
      <w:jc w:val="center"/>
    </w:pPr>
  </w:style>
  <w:style w:type="paragraph" w:customStyle="1" w:styleId="TableColumnHeadingLeft">
    <w:name w:val="Table Column Heading Left"/>
    <w:basedOn w:val="TableColumnHeadingBase"/>
    <w:next w:val="Normal"/>
    <w:rsid w:val="005B67EB"/>
  </w:style>
  <w:style w:type="paragraph" w:customStyle="1" w:styleId="TableColumnHeadingRight">
    <w:name w:val="Table Column Heading Right"/>
    <w:basedOn w:val="TableColumnHeadingBase"/>
    <w:next w:val="Normal"/>
    <w:rsid w:val="005B67EB"/>
    <w:pPr>
      <w:jc w:val="right"/>
    </w:pPr>
  </w:style>
  <w:style w:type="paragraph" w:customStyle="1" w:styleId="TableGraphic">
    <w:name w:val="Table Graphic"/>
    <w:basedOn w:val="Normal"/>
    <w:next w:val="Normal"/>
    <w:rsid w:val="005B67EB"/>
    <w:pPr>
      <w:spacing w:after="0" w:line="240" w:lineRule="auto"/>
      <w:ind w:right="-113"/>
    </w:pPr>
  </w:style>
  <w:style w:type="table" w:styleId="TableGrid">
    <w:name w:val="Table Grid"/>
    <w:basedOn w:val="TableNormal"/>
    <w:rsid w:val="005B67EB"/>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5B67EB"/>
    <w:pPr>
      <w:spacing w:before="120" w:after="20"/>
    </w:pPr>
    <w:rPr>
      <w:b/>
      <w:sz w:val="20"/>
    </w:rPr>
  </w:style>
  <w:style w:type="paragraph" w:customStyle="1" w:styleId="TableHeadingcontinued">
    <w:name w:val="Table Heading continued"/>
    <w:basedOn w:val="HeadingBase"/>
    <w:next w:val="TableGraphic"/>
    <w:rsid w:val="005B67EB"/>
    <w:pPr>
      <w:spacing w:before="120" w:after="20"/>
    </w:pPr>
    <w:rPr>
      <w:rFonts w:ascii="Arial Bold" w:hAnsi="Arial Bold"/>
      <w:b/>
      <w:sz w:val="20"/>
    </w:rPr>
  </w:style>
  <w:style w:type="paragraph" w:styleId="TableofFigures">
    <w:name w:val="table of figures"/>
    <w:basedOn w:val="Normal"/>
    <w:next w:val="Normal"/>
    <w:rsid w:val="005B67EB"/>
  </w:style>
  <w:style w:type="paragraph" w:customStyle="1" w:styleId="TableTextBase">
    <w:name w:val="Table Text Base"/>
    <w:basedOn w:val="Normal"/>
    <w:rsid w:val="005B67EB"/>
    <w:pPr>
      <w:spacing w:before="20" w:after="20" w:line="240" w:lineRule="auto"/>
    </w:pPr>
    <w:rPr>
      <w:rFonts w:ascii="Arial" w:hAnsi="Arial"/>
      <w:sz w:val="16"/>
    </w:rPr>
  </w:style>
  <w:style w:type="paragraph" w:customStyle="1" w:styleId="TableTextCentred">
    <w:name w:val="Table Text Centred"/>
    <w:basedOn w:val="TableTextBase"/>
    <w:rsid w:val="005B67EB"/>
    <w:pPr>
      <w:jc w:val="center"/>
    </w:pPr>
  </w:style>
  <w:style w:type="paragraph" w:customStyle="1" w:styleId="TableTextIndented">
    <w:name w:val="Table Text Indented"/>
    <w:basedOn w:val="TableTextBase"/>
    <w:rsid w:val="005B67EB"/>
    <w:pPr>
      <w:ind w:left="284"/>
    </w:pPr>
  </w:style>
  <w:style w:type="paragraph" w:customStyle="1" w:styleId="TableTextLeft">
    <w:name w:val="Table Text Left"/>
    <w:basedOn w:val="TableTextBase"/>
    <w:rsid w:val="005B67EB"/>
  </w:style>
  <w:style w:type="paragraph" w:customStyle="1" w:styleId="TableTextRight">
    <w:name w:val="Table Text Right"/>
    <w:basedOn w:val="TableTextBase"/>
    <w:rsid w:val="005B67EB"/>
    <w:pPr>
      <w:jc w:val="right"/>
    </w:pPr>
  </w:style>
  <w:style w:type="paragraph" w:styleId="TOAHeading">
    <w:name w:val="toa heading"/>
    <w:basedOn w:val="Normal"/>
    <w:next w:val="Normal"/>
    <w:rsid w:val="005B67EB"/>
    <w:pPr>
      <w:spacing w:before="120"/>
    </w:pPr>
    <w:rPr>
      <w:rFonts w:ascii="Arial" w:hAnsi="Arial" w:cs="Arial"/>
      <w:b/>
      <w:bCs/>
      <w:sz w:val="24"/>
      <w:szCs w:val="24"/>
    </w:rPr>
  </w:style>
  <w:style w:type="paragraph" w:styleId="TOC1">
    <w:name w:val="toc 1"/>
    <w:basedOn w:val="HeaderBase"/>
    <w:next w:val="Normal"/>
    <w:uiPriority w:val="2"/>
    <w:rsid w:val="005B67EB"/>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5B67EB"/>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5B67EB"/>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5B67EB"/>
    <w:pPr>
      <w:tabs>
        <w:tab w:val="right" w:leader="dot" w:pos="7700"/>
      </w:tabs>
      <w:spacing w:before="40"/>
      <w:ind w:right="851"/>
    </w:pPr>
    <w:rPr>
      <w:sz w:val="20"/>
    </w:rPr>
  </w:style>
  <w:style w:type="paragraph" w:styleId="TOC5">
    <w:name w:val="toc 5"/>
    <w:basedOn w:val="Normal"/>
    <w:next w:val="Normal"/>
    <w:autoRedefine/>
    <w:uiPriority w:val="2"/>
    <w:semiHidden/>
    <w:rsid w:val="005B67EB"/>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5B67EB"/>
    <w:pPr>
      <w:tabs>
        <w:tab w:val="left" w:pos="851"/>
      </w:tabs>
      <w:ind w:left="851" w:hanging="851"/>
    </w:pPr>
    <w:rPr>
      <w:color w:val="000000"/>
    </w:rPr>
  </w:style>
  <w:style w:type="paragraph" w:styleId="TOC7">
    <w:name w:val="toc 7"/>
    <w:basedOn w:val="Normal"/>
    <w:next w:val="Normal"/>
    <w:autoRedefine/>
    <w:uiPriority w:val="2"/>
    <w:semiHidden/>
    <w:rsid w:val="005B67EB"/>
    <w:pPr>
      <w:ind w:left="1200"/>
    </w:pPr>
  </w:style>
  <w:style w:type="paragraph" w:styleId="TOC8">
    <w:name w:val="toc 8"/>
    <w:basedOn w:val="Normal"/>
    <w:next w:val="Normal"/>
    <w:autoRedefine/>
    <w:uiPriority w:val="2"/>
    <w:semiHidden/>
    <w:rsid w:val="005B67EB"/>
    <w:pPr>
      <w:ind w:left="1400"/>
    </w:pPr>
  </w:style>
  <w:style w:type="paragraph" w:styleId="TOC9">
    <w:name w:val="toc 9"/>
    <w:basedOn w:val="Normal"/>
    <w:next w:val="Normal"/>
    <w:autoRedefine/>
    <w:uiPriority w:val="2"/>
    <w:semiHidden/>
    <w:rsid w:val="005B67EB"/>
    <w:pPr>
      <w:ind w:left="1600"/>
    </w:pPr>
  </w:style>
  <w:style w:type="paragraph" w:customStyle="1" w:styleId="TPHeading1">
    <w:name w:val="TP Heading 1"/>
    <w:basedOn w:val="HeadingBase"/>
    <w:semiHidden/>
    <w:rsid w:val="005B67EB"/>
    <w:pPr>
      <w:spacing w:before="60" w:after="60"/>
      <w:ind w:left="1134"/>
    </w:pPr>
    <w:rPr>
      <w:rFonts w:ascii="Arial Bold" w:hAnsi="Arial Bold"/>
      <w:b/>
      <w:caps/>
      <w:spacing w:val="-10"/>
      <w:sz w:val="28"/>
    </w:rPr>
  </w:style>
  <w:style w:type="paragraph" w:customStyle="1" w:styleId="TPHeading2">
    <w:name w:val="TP Heading 2"/>
    <w:basedOn w:val="HeadingBase"/>
    <w:semiHidden/>
    <w:rsid w:val="005B67EB"/>
    <w:pPr>
      <w:ind w:left="1134"/>
    </w:pPr>
    <w:rPr>
      <w:caps/>
      <w:spacing w:val="-10"/>
      <w:sz w:val="28"/>
    </w:rPr>
  </w:style>
  <w:style w:type="paragraph" w:customStyle="1" w:styleId="TPHeading3">
    <w:name w:val="TP Heading 3"/>
    <w:basedOn w:val="HeadingBase"/>
    <w:semiHidden/>
    <w:rsid w:val="005B67EB"/>
    <w:pPr>
      <w:ind w:left="1134"/>
    </w:pPr>
    <w:rPr>
      <w:caps/>
      <w:spacing w:val="-10"/>
    </w:rPr>
  </w:style>
  <w:style w:type="paragraph" w:customStyle="1" w:styleId="TPHeading3bold">
    <w:name w:val="TP Heading 3 bold"/>
    <w:basedOn w:val="TPHeading3"/>
    <w:semiHidden/>
    <w:rsid w:val="005B67EB"/>
    <w:rPr>
      <w:rFonts w:cs="Arial"/>
      <w:b/>
      <w:sz w:val="22"/>
      <w:szCs w:val="22"/>
    </w:rPr>
  </w:style>
  <w:style w:type="paragraph" w:customStyle="1" w:styleId="TPHEADING3boldspace">
    <w:name w:val="TP HEADING 3 bold space"/>
    <w:basedOn w:val="TPHeading3bold"/>
    <w:semiHidden/>
    <w:rsid w:val="005B67EB"/>
    <w:pPr>
      <w:spacing w:after="120"/>
    </w:pPr>
  </w:style>
  <w:style w:type="paragraph" w:customStyle="1" w:styleId="TPHEADING3space">
    <w:name w:val="TP HEADING 3 space"/>
    <w:basedOn w:val="TPHeading3"/>
    <w:semiHidden/>
    <w:rsid w:val="005B67EB"/>
    <w:pPr>
      <w:spacing w:before="120" w:after="120"/>
    </w:pPr>
    <w:rPr>
      <w:rFonts w:cs="Arial"/>
      <w:sz w:val="22"/>
      <w:szCs w:val="22"/>
    </w:rPr>
  </w:style>
  <w:style w:type="paragraph" w:customStyle="1" w:styleId="TPHeading4">
    <w:name w:val="TP Heading 4"/>
    <w:basedOn w:val="TPHeading3"/>
    <w:semiHidden/>
    <w:rsid w:val="005B67EB"/>
    <w:rPr>
      <w:sz w:val="20"/>
    </w:rPr>
  </w:style>
  <w:style w:type="paragraph" w:customStyle="1" w:styleId="TPHEADING4space">
    <w:name w:val="TP HEADING 4 space"/>
    <w:basedOn w:val="TPHEADING3space"/>
    <w:semiHidden/>
    <w:rsid w:val="005B67EB"/>
  </w:style>
  <w:style w:type="paragraph" w:customStyle="1" w:styleId="ChartLine">
    <w:name w:val="Chart Line"/>
    <w:basedOn w:val="Normal"/>
    <w:autoRedefine/>
    <w:qFormat/>
    <w:rsid w:val="005B67EB"/>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5B67EB"/>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5B67EB"/>
    <w:rPr>
      <w:sz w:val="16"/>
    </w:rPr>
  </w:style>
  <w:style w:type="paragraph" w:customStyle="1" w:styleId="Box-continuedon">
    <w:name w:val="Box - continued on"/>
    <w:basedOn w:val="Normal"/>
    <w:qFormat/>
    <w:rsid w:val="005B67EB"/>
    <w:pPr>
      <w:jc w:val="right"/>
    </w:pPr>
    <w:rPr>
      <w:rFonts w:asciiTheme="majorHAnsi" w:hAnsiTheme="majorHAnsi" w:cstheme="majorHAnsi"/>
      <w:i/>
      <w:iCs/>
      <w:sz w:val="18"/>
      <w:szCs w:val="24"/>
    </w:rPr>
  </w:style>
  <w:style w:type="paragraph" w:customStyle="1" w:styleId="BoxHeading2">
    <w:name w:val="Box Heading 2"/>
    <w:basedOn w:val="BoxHeading"/>
    <w:autoRedefine/>
    <w:rsid w:val="005B67EB"/>
    <w:pPr>
      <w:spacing w:after="0"/>
    </w:pPr>
    <w:rPr>
      <w:b w:val="0"/>
      <w:bCs/>
      <w:szCs w:val="14"/>
    </w:rPr>
  </w:style>
  <w:style w:type="character" w:customStyle="1" w:styleId="Heading9Char">
    <w:name w:val="Heading 9 Char"/>
    <w:basedOn w:val="DefaultParagraphFont"/>
    <w:link w:val="Heading9"/>
    <w:uiPriority w:val="9"/>
    <w:rsid w:val="005B67EB"/>
    <w:rPr>
      <w:rFonts w:ascii="Cambria" w:eastAsia="Times New Roman" w:hAnsi="Cambria" w:cs="Times New Roman"/>
      <w:lang w:eastAsia="en-AU"/>
    </w:rPr>
  </w:style>
  <w:style w:type="paragraph" w:customStyle="1" w:styleId="GhostLine">
    <w:name w:val="Ghost Line"/>
    <w:basedOn w:val="NoSpacing"/>
    <w:qFormat/>
    <w:rsid w:val="005B67EB"/>
    <w:pPr>
      <w:jc w:val="both"/>
    </w:pPr>
    <w:rPr>
      <w:rFonts w:ascii="Book Antiqua" w:hAnsi="Book Antiqua"/>
      <w:sz w:val="2"/>
    </w:rPr>
  </w:style>
  <w:style w:type="paragraph" w:styleId="NoSpacing">
    <w:name w:val="No Spacing"/>
    <w:uiPriority w:val="1"/>
    <w:qFormat/>
    <w:rsid w:val="005B67EB"/>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5B67EB"/>
    <w:rPr>
      <w:rFonts w:ascii="Book Antiqua" w:eastAsia="Times New Roman" w:hAnsi="Book Antiqua" w:cs="Times New Roman"/>
      <w:sz w:val="19"/>
      <w:szCs w:val="20"/>
      <w:lang w:eastAsia="en-AU"/>
    </w:rPr>
  </w:style>
  <w:style w:type="character" w:customStyle="1" w:styleId="A5">
    <w:name w:val="A5"/>
    <w:uiPriority w:val="99"/>
    <w:rsid w:val="005B67EB"/>
    <w:rPr>
      <w:rFonts w:cs="Swiss 721 BT"/>
      <w:color w:val="000000"/>
      <w:sz w:val="20"/>
      <w:szCs w:val="20"/>
    </w:rPr>
  </w:style>
  <w:style w:type="paragraph" w:customStyle="1" w:styleId="CreativeCommonsNormal">
    <w:name w:val="Creative Commons Normal"/>
    <w:basedOn w:val="Normal"/>
    <w:qFormat/>
    <w:rsid w:val="005B67EB"/>
    <w:pPr>
      <w:spacing w:before="120" w:after="120"/>
    </w:pPr>
  </w:style>
  <w:style w:type="paragraph" w:customStyle="1" w:styleId="CreativeCommonsH1">
    <w:name w:val="Creative Commons H1"/>
    <w:basedOn w:val="Normal"/>
    <w:qFormat/>
    <w:rsid w:val="005B67EB"/>
    <w:pPr>
      <w:spacing w:before="180" w:after="120"/>
    </w:pPr>
    <w:rPr>
      <w:b/>
      <w:bCs/>
    </w:rPr>
  </w:style>
  <w:style w:type="paragraph" w:customStyle="1" w:styleId="CreativeCommonsIndented">
    <w:name w:val="Creative Commons Indented"/>
    <w:basedOn w:val="CreativeCommonsNormal"/>
    <w:qFormat/>
    <w:rsid w:val="005B67EB"/>
    <w:pPr>
      <w:ind w:left="567"/>
    </w:pPr>
  </w:style>
  <w:style w:type="paragraph" w:customStyle="1" w:styleId="OutlineNumbered1">
    <w:name w:val="Outline Numbered 1"/>
    <w:basedOn w:val="Normal"/>
    <w:link w:val="OutlineNumbered1Char"/>
    <w:qFormat/>
    <w:rsid w:val="005B67EB"/>
    <w:pPr>
      <w:numPr>
        <w:numId w:val="22"/>
      </w:numPr>
    </w:pPr>
  </w:style>
  <w:style w:type="character" w:customStyle="1" w:styleId="OutlineNumbered1Char">
    <w:name w:val="Outline Numbered 1 Char"/>
    <w:basedOn w:val="DefaultParagraphFont"/>
    <w:link w:val="OutlineNumbered1"/>
    <w:rsid w:val="005B67EB"/>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5B67EB"/>
    <w:pPr>
      <w:numPr>
        <w:ilvl w:val="1"/>
        <w:numId w:val="21"/>
      </w:numPr>
    </w:pPr>
  </w:style>
  <w:style w:type="paragraph" w:customStyle="1" w:styleId="OutlineNumbered3">
    <w:name w:val="Outline Numbered 3"/>
    <w:basedOn w:val="Normal"/>
    <w:qFormat/>
    <w:rsid w:val="005B67EB"/>
    <w:pPr>
      <w:numPr>
        <w:ilvl w:val="2"/>
        <w:numId w:val="21"/>
      </w:numPr>
    </w:pPr>
  </w:style>
  <w:style w:type="character" w:styleId="Emphasis">
    <w:name w:val="Emphasis"/>
    <w:basedOn w:val="DefaultParagraphFont"/>
    <w:uiPriority w:val="20"/>
    <w:qFormat/>
    <w:rsid w:val="005B67EB"/>
    <w:rPr>
      <w:i/>
      <w:iCs/>
    </w:rPr>
  </w:style>
  <w:style w:type="character" w:customStyle="1" w:styleId="ChartandTableFootnoteAlphaChar">
    <w:name w:val="Chart and Table Footnote Alpha Char"/>
    <w:link w:val="ChartandTableFootnoteAlpha"/>
    <w:rsid w:val="00AB3772"/>
    <w:rPr>
      <w:rFonts w:ascii="Arial" w:eastAsia="Times New Roman" w:hAnsi="Arial" w:cs="Times New Roman"/>
      <w:color w:val="000000"/>
      <w:sz w:val="16"/>
      <w:szCs w:val="20"/>
      <w:lang w:eastAsia="en-AU"/>
    </w:rPr>
  </w:style>
  <w:style w:type="paragraph" w:styleId="Revision">
    <w:name w:val="Revision"/>
    <w:hidden/>
    <w:uiPriority w:val="99"/>
    <w:semiHidden/>
    <w:rsid w:val="00A102E0"/>
    <w:pPr>
      <w:spacing w:after="0" w:line="240" w:lineRule="auto"/>
    </w:pPr>
    <w:rPr>
      <w:rFonts w:ascii="Book Antiqua" w:eastAsia="Times New Roman" w:hAnsi="Book Antiqua" w:cs="Times New Roman"/>
      <w:sz w:val="19"/>
      <w:szCs w:val="20"/>
      <w:lang w:eastAsia="en-AU"/>
    </w:rPr>
  </w:style>
  <w:style w:type="character" w:styleId="UnresolvedMention">
    <w:name w:val="Unresolved Mention"/>
    <w:basedOn w:val="DefaultParagraphFont"/>
    <w:uiPriority w:val="99"/>
    <w:semiHidden/>
    <w:unhideWhenUsed/>
    <w:rsid w:val="00FE653A"/>
    <w:rPr>
      <w:color w:val="605E5C"/>
      <w:shd w:val="clear" w:color="auto" w:fill="E1DFDD"/>
    </w:rPr>
  </w:style>
  <w:style w:type="paragraph" w:styleId="NormalWeb">
    <w:name w:val="Normal (Web)"/>
    <w:basedOn w:val="Normal"/>
    <w:uiPriority w:val="99"/>
    <w:semiHidden/>
    <w:unhideWhenUsed/>
    <w:rsid w:val="00864766"/>
    <w:rPr>
      <w:rFonts w:ascii="Times New Roman" w:hAnsi="Times New Roman"/>
      <w:sz w:val="24"/>
      <w:szCs w:val="24"/>
    </w:rPr>
  </w:style>
  <w:style w:type="character" w:styleId="FollowedHyperlink">
    <w:name w:val="FollowedHyperlink"/>
    <w:basedOn w:val="DefaultParagraphFont"/>
    <w:uiPriority w:val="99"/>
    <w:semiHidden/>
    <w:unhideWhenUsed/>
    <w:rsid w:val="00000471"/>
    <w:rPr>
      <w:color w:val="E61E2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au/Details/C2017C00269" TargetMode="External"/><Relationship Id="rId26" Type="http://schemas.openxmlformats.org/officeDocument/2006/relationships/hyperlink" Target="https://federalfinancialrelations.gov.au/agreements/energy-bill-relief-fund" TargetMode="External"/><Relationship Id="rId39" Type="http://schemas.openxmlformats.org/officeDocument/2006/relationships/footer" Target="footer5.xml"/><Relationship Id="rId21" Type="http://schemas.openxmlformats.org/officeDocument/2006/relationships/hyperlink" Target="https://www.legislation.gov.au/C2013A00067/latest/text" TargetMode="External"/><Relationship Id="rId34" Type="http://schemas.openxmlformats.org/officeDocument/2006/relationships/hyperlink" Target="https://federalfinancialrelations.gov.au/intergovernmental-agreement-federal-financial-relations" TargetMode="External"/><Relationship Id="rId42" Type="http://schemas.openxmlformats.org/officeDocument/2006/relationships/fontTable" Target="fontTable.xml"/><Relationship Id="rId7" Type="http://schemas.openxmlformats.org/officeDocument/2006/relationships/hyperlink" Target="https://www.legislation.gov.au/Details/C2020C00327" TargetMode="Externa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s://www.legislation.gov.au/Details/C2016C005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federalfinancialrelations.gov.au/agreements/national-agreement-skills" TargetMode="External"/><Relationship Id="rId32" Type="http://schemas.openxmlformats.org/officeDocument/2006/relationships/hyperlink" Target="https://www.legislation.gov.au/C2005A00093/latest/text" TargetMode="Externa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federalfinancialrelations.gov.au/agreements/better-and-fairer-schools-agreement" TargetMode="External"/><Relationship Id="rId28" Type="http://schemas.openxmlformats.org/officeDocument/2006/relationships/hyperlink" Target="https://www.legislation.gov.au/C2007A00137/latest/text" TargetMode="External"/><Relationship Id="rId36" Type="http://schemas.openxmlformats.org/officeDocument/2006/relationships/header" Target="header4.xml"/><Relationship Id="rId10" Type="http://schemas.openxmlformats.org/officeDocument/2006/relationships/hyperlink" Target="http://www.legislation.gov.au" TargetMode="External"/><Relationship Id="rId19" Type="http://schemas.openxmlformats.org/officeDocument/2006/relationships/hyperlink" Target="https://www.legislation.gov.au/C2011A00009/latest/text" TargetMode="External"/><Relationship Id="rId31" Type="http://schemas.openxmlformats.org/officeDocument/2006/relationships/hyperlink" Target="https://www.legislation.gov.au/Details/C2014C00538" TargetMode="External"/><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federalfinancialrelations.gov.au" TargetMode="External"/><Relationship Id="rId14" Type="http://schemas.openxmlformats.org/officeDocument/2006/relationships/footer" Target="footer2.xml"/><Relationship Id="rId22" Type="http://schemas.openxmlformats.org/officeDocument/2006/relationships/hyperlink" Target="https://www.legislation.gov.au/F2023L01020/latest/text" TargetMode="External"/><Relationship Id="rId27" Type="http://schemas.openxmlformats.org/officeDocument/2006/relationships/hyperlink" Target="https://federalfinancialrelations.gov.au/agreements/national-access-justice-partnership" TargetMode="External"/><Relationship Id="rId30" Type="http://schemas.openxmlformats.org/officeDocument/2006/relationships/hyperlink" Target="https://www.infrastructure.gov.au/territories-regions-cities/local-government/financial-assistance-grant-local-government" TargetMode="External"/><Relationship Id="rId35" Type="http://schemas.openxmlformats.org/officeDocument/2006/relationships/hyperlink" Target="http://www.federalfinancialrelations.gov.au/content/inter_agreement_and_schedules/current/Schedule_D.pdf" TargetMode="External"/><Relationship Id="rId43" Type="http://schemas.openxmlformats.org/officeDocument/2006/relationships/theme" Target="theme/theme1.xml"/><Relationship Id="rId8" Type="http://schemas.openxmlformats.org/officeDocument/2006/relationships/hyperlink" Target="https://www.legislation.gov.au/C2009A00011/latest/text"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egislation.gov.au/C2008A00156/latest/text" TargetMode="External"/><Relationship Id="rId25" Type="http://schemas.openxmlformats.org/officeDocument/2006/relationships/hyperlink" Target="https://federalfinancialrelations.gov.au/agreements/nashh" TargetMode="External"/><Relationship Id="rId33" Type="http://schemas.openxmlformats.org/officeDocument/2006/relationships/hyperlink" Target="https://investment.infrastructure.gov.au/about/local-initiatives/local-roads-and-community-infrastructure/resources.aspx" TargetMode="External"/><Relationship Id="rId38" Type="http://schemas.openxmlformats.org/officeDocument/2006/relationships/footer" Target="footer4.xml"/><Relationship Id="rId46" Type="http://schemas.openxmlformats.org/officeDocument/2006/relationships/customXml" Target="../customXml/item3.xml"/><Relationship Id="rId20" Type="http://schemas.openxmlformats.org/officeDocument/2006/relationships/hyperlink" Target="https://federalfinancialrelations.gov.au/agreements/national-health-reform-agreement" TargetMode="External"/><Relationship Id="rId41"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02A91847-4D3F-40B6-B43A-F83E0F4C6B11}"/>
</file>

<file path=customXml/itemProps2.xml><?xml version="1.0" encoding="utf-8"?>
<ds:datastoreItem xmlns:ds="http://schemas.openxmlformats.org/officeDocument/2006/customXml" ds:itemID="{E4FC7CEA-A2D0-43D1-B78C-9239B5266DE2}"/>
</file>

<file path=customXml/itemProps3.xml><?xml version="1.0" encoding="utf-8"?>
<ds:datastoreItem xmlns:ds="http://schemas.openxmlformats.org/officeDocument/2006/customXml" ds:itemID="{16CADD35-AD4B-44D0-B494-161684663F6A}"/>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5816</Characters>
  <Application>Microsoft Office Word</Application>
  <DocSecurity>0</DocSecurity>
  <Lines>148</Lines>
  <Paragraphs>55</Paragraphs>
  <ScaleCrop>false</ScaleCrop>
  <HeadingPairs>
    <vt:vector size="2" baseType="variant">
      <vt:variant>
        <vt:lpstr>Title</vt:lpstr>
      </vt:variant>
      <vt:variant>
        <vt:i4>1</vt:i4>
      </vt:variant>
    </vt:vector>
  </HeadingPairs>
  <TitlesOfParts>
    <vt:vector size="1" baseType="lpstr">
      <vt:lpstr>Budget Paper No. 3</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Appendix E: Appropriations and conditions</dc:subject>
  <dc:creator>Australian Government</dc:creator>
  <cp:keywords/>
  <dc:description/>
  <cp:lastModifiedBy/>
  <cp:revision>1</cp:revision>
  <dcterms:created xsi:type="dcterms:W3CDTF">2025-03-23T02:36:00Z</dcterms:created>
  <dcterms:modified xsi:type="dcterms:W3CDTF">2025-03-23T02:37:00Z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2025-03-23T02:37:10Z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2394e1d6-a00d-4499-bb40-c2f8e06b5944</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