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1582"/>
        <w:gridCol w:w="1582"/>
      </w:tblGrid>
      <w:tr w:rsidR="00165DEA" w14:paraId="260F3396" w14:textId="77777777" w:rsidTr="00165DEA">
        <w:trPr>
          <w:trHeight w:hRule="exact" w:val="272"/>
        </w:trPr>
        <w:tc>
          <w:tcPr>
            <w:tcW w:w="368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085B6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Summary of special appropriations table</w:t>
            </w:r>
          </w:p>
        </w:tc>
        <w:tc>
          <w:tcPr>
            <w:tcW w:w="128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68064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85E1C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165DEA" w14:paraId="64ED02E5" w14:textId="77777777" w:rsidTr="00165DEA">
        <w:trPr>
          <w:trHeight w:hRule="exact" w:val="227"/>
        </w:trPr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ACC0C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2B7EF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4721EB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6F7B59CE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4F2D0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Portfolio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41DC8" w14:textId="0C32BDB6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76430" w14:textId="736339DF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062BA89F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121E7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E94AC" w14:textId="7F7BA7BC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A910E" w14:textId="0D9A024E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644BD0FD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089C4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1246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DABF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833C14C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D60A3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Agriculture, Fisheries and Forestry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1282D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1,180,746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BF33D2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1,204,288</w:t>
            </w:r>
          </w:p>
        </w:tc>
      </w:tr>
      <w:tr w:rsidR="00165DEA" w14:paraId="2FDC322C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B81C8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DB8E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A0D8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653F960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7D8233" w14:textId="74A33DC1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Attorney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General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8AB8E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13,080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A35EF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12,580</w:t>
            </w:r>
          </w:p>
        </w:tc>
      </w:tr>
      <w:tr w:rsidR="00165DEA" w14:paraId="45E30F17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2B2C4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0C957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8FB07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CCC86B5" w14:textId="77777777" w:rsidTr="00165DEA">
        <w:trPr>
          <w:trHeight w:hRule="exact" w:val="22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6AD23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Climate Change, Energy, the Environment and Water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CF202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17,058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0CE57B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683,836</w:t>
            </w:r>
          </w:p>
        </w:tc>
      </w:tr>
      <w:tr w:rsidR="00165DEA" w14:paraId="270C33B1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8C496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B1FE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2EB8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FC8A1BC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27E80B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Defence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DA034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18,856,349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792D4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20,970,513</w:t>
            </w:r>
          </w:p>
        </w:tc>
      </w:tr>
      <w:tr w:rsidR="00165DEA" w14:paraId="2A465A70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9785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8437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2DC9E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85F775D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0847A3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126F6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66,916,948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3070AD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69,432,442</w:t>
            </w:r>
          </w:p>
        </w:tc>
      </w:tr>
      <w:tr w:rsidR="00165DEA" w14:paraId="68B25672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2EE71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6613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DF03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D79832E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B43E2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Employment and Workplace Relations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8013A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1,174,306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3FCE3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1,202,446</w:t>
            </w:r>
          </w:p>
        </w:tc>
      </w:tr>
      <w:tr w:rsidR="00165DEA" w14:paraId="2390C8E3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5913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EDD1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4272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8B0745C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776C28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CFD24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10,091,720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83A45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10,319,376</w:t>
            </w:r>
          </w:p>
        </w:tc>
      </w:tr>
      <w:tr w:rsidR="00165DEA" w14:paraId="6E1DD5D7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CBAAD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3CBD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0F9D9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0D721B7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19B69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Foreign Affairs and Trade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3B9D4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373,933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CB3B6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412,292</w:t>
            </w:r>
          </w:p>
        </w:tc>
      </w:tr>
      <w:tr w:rsidR="00165DEA" w14:paraId="01CFABC3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1FBA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F0FE4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7844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6D7E1DC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D1044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Health and Aged Care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5AB91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43,016,183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73A043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46,589,316</w:t>
            </w:r>
          </w:p>
        </w:tc>
      </w:tr>
      <w:tr w:rsidR="00165DEA" w14:paraId="215CEB41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0A59D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5911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BC3A2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F371619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B9E872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Home Affairs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709FE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1,063,060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E75865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741,000</w:t>
            </w:r>
          </w:p>
        </w:tc>
      </w:tr>
      <w:tr w:rsidR="00165DEA" w14:paraId="2A59DF3E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9D37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7228B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506FD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6D7204F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6245D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Industry, Science and Resources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DF1A2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51,582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B9245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54,624</w:t>
            </w:r>
          </w:p>
        </w:tc>
      </w:tr>
      <w:tr w:rsidR="00165DEA" w14:paraId="5DEB2464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35DD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4959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A643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7ADFC5B" w14:textId="77777777" w:rsidTr="00165DEA">
        <w:trPr>
          <w:trHeight w:hRule="exact" w:val="39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FF82E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Infrastructure, Transport, Regional Development, Communications and the Arts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0CD1C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1,330,044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098131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4,770,601</w:t>
            </w:r>
          </w:p>
        </w:tc>
      </w:tr>
      <w:tr w:rsidR="00165DEA" w14:paraId="7284F88D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71ACE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3252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33355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5E5068D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402DA9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Prime Minister and Cabinet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2490BA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90,428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D0EB70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7,485</w:t>
            </w:r>
          </w:p>
        </w:tc>
      </w:tr>
      <w:tr w:rsidR="00165DEA" w14:paraId="6C603CA2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9010D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218C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B8D2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BE030AD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305B7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Social Services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F28DA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146,209,704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F1834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152,994,428</w:t>
            </w:r>
          </w:p>
        </w:tc>
      </w:tr>
      <w:tr w:rsidR="00165DEA" w14:paraId="5B409365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0FA6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32FD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EC06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4525D1C" w14:textId="77777777" w:rsidTr="00165DEA">
        <w:trPr>
          <w:trHeight w:hRule="exact" w:val="225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37536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Treasury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948B8F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432,276,836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BAB8D9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855,832,670</w:t>
            </w:r>
          </w:p>
        </w:tc>
      </w:tr>
      <w:tr w:rsidR="00165DEA" w14:paraId="6F41B969" w14:textId="77777777" w:rsidTr="00165DEA">
        <w:trPr>
          <w:trHeight w:hRule="exact" w:val="62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D3D1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CA7D5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64FC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A45C152" w14:textId="77777777" w:rsidTr="00165DEA">
        <w:trPr>
          <w:trHeight w:val="225"/>
        </w:trPr>
        <w:tc>
          <w:tcPr>
            <w:tcW w:w="368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2F53F" w14:textId="77777777" w:rsidR="00165DEA" w:rsidRDefault="00165DEA" w:rsidP="00165DEA">
            <w:pPr>
              <w:spacing w:before="0" w:after="0" w:line="240" w:lineRule="auto"/>
              <w:ind w:firstLineChars="1" w:firstLine="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Special appropriations</w:t>
            </w:r>
          </w:p>
        </w:tc>
        <w:tc>
          <w:tcPr>
            <w:tcW w:w="128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74549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722,661,977</w:t>
            </w:r>
          </w:p>
        </w:tc>
        <w:tc>
          <w:tcPr>
            <w:tcW w:w="128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9BB5E" w14:textId="77777777" w:rsidR="00165DEA" w:rsidRDefault="00165DEA" w:rsidP="00165DEA">
            <w:pPr>
              <w:spacing w:before="0" w:after="0" w:line="240" w:lineRule="auto"/>
              <w:ind w:firstLineChars="1" w:firstLine="2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1,165,227,897</w:t>
            </w:r>
          </w:p>
        </w:tc>
      </w:tr>
    </w:tbl>
    <w:p w14:paraId="311614CC" w14:textId="77777777" w:rsidR="00081542" w:rsidRDefault="00081542" w:rsidP="00165DEA">
      <w:pPr>
        <w:pStyle w:val="GhostLine"/>
      </w:pPr>
    </w:p>
    <w:p w14:paraId="37289DD1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032B21F1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3B2E3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A002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3B24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17C0B06A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1CD6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F2B541" w14:textId="5E3268AA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0433F" w14:textId="6FF0C965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1D0F11E0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C94E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8EC7B" w14:textId="49E9604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51BF9" w14:textId="64DBF010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4D6F5AC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2D7FD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AGRICULTURE, FISHERIES AND FORESTRY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8F11AE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63C9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D401AE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FA49A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9535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2EA36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45BCFF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52AB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Agriculture, Fisheries and Forestry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4B92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0AF23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296AD2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6397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7FC1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2F31C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63B676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DEB5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Agricultural and Veterinary Chemicals (Administration) Act 1992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B371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42,164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3D1AD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46,392</w:t>
            </w:r>
          </w:p>
        </w:tc>
      </w:tr>
      <w:tr w:rsidR="00165DEA" w14:paraId="59797E1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A7E0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C0F74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DB55D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1CC487E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E6EF6E" w14:textId="3D4B978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Australian Animal Health Council (Live</w:t>
            </w:r>
            <w:r w:rsidR="003536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stock Industries) Funding Act 1996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7C15D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8,746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ED2D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9,025</w:t>
            </w:r>
          </w:p>
        </w:tc>
      </w:tr>
      <w:tr w:rsidR="00165DEA" w14:paraId="2C5F171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5EC4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740C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D075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65867A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533E1" w14:textId="760B2DC3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Australian Meat and Live</w:t>
            </w:r>
            <w:r w:rsidR="003536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stock Industry Act 1997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A421D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249,061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4276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251,777</w:t>
            </w:r>
          </w:p>
        </w:tc>
      </w:tr>
      <w:tr w:rsidR="00165DEA" w14:paraId="2504709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8DEF6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5111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C6ED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9BEC3E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025D3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Dairy Produce Act 1986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7E8B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C899B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58,400</w:t>
            </w:r>
          </w:p>
        </w:tc>
      </w:tr>
      <w:tr w:rsidR="00165DEA" w14:paraId="4905B40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E190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336E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1D099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3660F5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77582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Egg Industry Service Provision Act 2002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3F2B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12,251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22A8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12,545</w:t>
            </w:r>
          </w:p>
        </w:tc>
      </w:tr>
      <w:tr w:rsidR="00165DEA" w14:paraId="57187DA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66C94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498B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44C8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22834D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98783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Farm Household Support Act 2014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95B1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70,421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8F55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105,108</w:t>
            </w:r>
          </w:p>
        </w:tc>
      </w:tr>
      <w:tr w:rsidR="00165DEA" w14:paraId="4E2CB4D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EEA3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EC84A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A668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18C8A03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28DD9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Forestry Marketing and Research and Development Services Act 2007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88D5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15,858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2C50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16,821</w:t>
            </w:r>
          </w:p>
        </w:tc>
      </w:tr>
      <w:tr w:rsidR="00165DEA" w14:paraId="36B202B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755F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A3D3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9A9E2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633C989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F7B20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Horticulture Marketing and Research and Development Services Act 2000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3677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142,670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64A0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149,864</w:t>
            </w:r>
          </w:p>
        </w:tc>
      </w:tr>
      <w:tr w:rsidR="00165DEA" w14:paraId="27F09F1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76D6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BDD49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0ED6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288343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466A3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Pig Industry Act 2001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24BE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24,438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71B8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24,650</w:t>
            </w:r>
          </w:p>
        </w:tc>
      </w:tr>
      <w:tr w:rsidR="00165DEA" w14:paraId="5007740C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479C3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09DF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9824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C0C914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BC82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Plant Health Australia (Plant Industries) Funding Act 2002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B3BB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10,320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6DCAD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10,663</w:t>
            </w:r>
          </w:p>
        </w:tc>
      </w:tr>
      <w:tr w:rsidR="00165DEA" w14:paraId="711AD25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DF01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15F8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9A938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D16380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48988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Primary Industries Research and Development Act 1989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D012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427,121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1C10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397,062</w:t>
            </w:r>
          </w:p>
        </w:tc>
      </w:tr>
      <w:tr w:rsidR="00165DEA" w14:paraId="2A92202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0374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4F39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0964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EFAA0A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7288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B29D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504882" w14:textId="4089D9C8" w:rsidR="00165DEA" w:rsidRDefault="0035365D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165DEA" w14:paraId="58CE7D4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2299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1860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F990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7807FE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80D0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Sugar Research and Development Services Act 2013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91E1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29,973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D4099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29,368</w:t>
            </w:r>
          </w:p>
        </w:tc>
      </w:tr>
      <w:tr w:rsidR="00165DEA" w14:paraId="24257E0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8AF6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2D78A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7B6D8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DD39D7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FBB6A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Wine Australia Act 2013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59D2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24,323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BFF7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30,613</w:t>
            </w:r>
          </w:p>
        </w:tc>
      </w:tr>
      <w:tr w:rsidR="00165DEA" w14:paraId="7CC50E43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DC5E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D6A8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BDD4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B56BF8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10AE4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Wool Services Privatisation Act 2000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(a)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B8BB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AEE5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62,000</w:t>
            </w:r>
          </w:p>
        </w:tc>
      </w:tr>
      <w:tr w:rsidR="00165DEA" w14:paraId="0ACA075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D4BF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57507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6BEF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2FE1DF8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8723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Agriculture, Fisheries and Forestry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1969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1,180,746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C1CE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1,204,288</w:t>
            </w:r>
          </w:p>
        </w:tc>
      </w:tr>
    </w:tbl>
    <w:p w14:paraId="69D06838" w14:textId="77777777" w:rsidR="00165DEA" w:rsidRDefault="00165DEA" w:rsidP="00165DEA">
      <w:pPr>
        <w:pStyle w:val="GhostLine"/>
      </w:pPr>
    </w:p>
    <w:p w14:paraId="7B3B0C3D" w14:textId="77777777" w:rsidR="00823B64" w:rsidRPr="00823B64" w:rsidRDefault="00823B64" w:rsidP="00C045FF">
      <w:pPr>
        <w:pStyle w:val="ChartandTableFootnoteAlpha"/>
      </w:pPr>
      <w:r w:rsidRPr="00823B64">
        <w:t xml:space="preserve">Special appropriations in these Acts remain in effect due to application, savings and transitional provisions in the </w:t>
      </w:r>
      <w:r w:rsidRPr="00C045FF">
        <w:rPr>
          <w:rStyle w:val="Emphasis"/>
        </w:rPr>
        <w:t>Primary Industries (Consequential Amendments and Transitional Provisions) Act 2024</w:t>
      </w:r>
      <w:r>
        <w:rPr>
          <w:i/>
          <w:iCs/>
        </w:rPr>
        <w:t>.</w:t>
      </w:r>
    </w:p>
    <w:p w14:paraId="23516D42" w14:textId="77777777" w:rsidR="00823B64" w:rsidRPr="00823B64" w:rsidRDefault="00823B64" w:rsidP="00B90106">
      <w:pPr>
        <w:pStyle w:val="TableLine"/>
      </w:pPr>
    </w:p>
    <w:p w14:paraId="05D94270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287051D5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684C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B081B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CFE9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605B8F81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0023D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6B78D9" w14:textId="2A0BCA2F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7E7FD" w14:textId="52D62E7B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1A7E6894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D235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20538" w14:textId="56B4EB23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F00CD" w14:textId="1C31E45A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53CD47A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EC0C4" w14:textId="6FAEEA2F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ATTORNEY</w:t>
            </w:r>
            <w:r w:rsidR="00353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</w:t>
            </w:r>
            <w:r w:rsidR="00353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62416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3526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FECA48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41E24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1874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F29A0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FDD059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6FF0B6" w14:textId="4FB2613C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Attorney</w:t>
            </w:r>
            <w:r w:rsidR="00353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</w:t>
            </w:r>
            <w:r w:rsidR="00353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 Department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235A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1491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9C970F5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2D3C3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BDE3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82AA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77C9C3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FF3F7E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Law Officers Act 1964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3B27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27C7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</w:tr>
      <w:tr w:rsidR="00165DEA" w14:paraId="6269D5E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2E24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F528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EAAC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41A68A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3EE6D1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99DB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95563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165DEA" w14:paraId="265B927E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DD09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82FB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3B208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1D7C2D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FAF23" w14:textId="55449064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Attorney</w:t>
            </w:r>
            <w:r w:rsidR="00353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</w:t>
            </w:r>
            <w:r w:rsidR="00353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 Department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E908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A86F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330</w:t>
            </w:r>
          </w:p>
        </w:tc>
      </w:tr>
      <w:tr w:rsidR="00165DEA" w14:paraId="0058315C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A6C2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F4CB6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2CB63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3EBED60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A38D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Administrative Review Tribunal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26BB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BB1FC6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53262D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5C85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3D73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E3835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D25228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6C1D4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68ED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1FFF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7,800</w:t>
            </w:r>
          </w:p>
        </w:tc>
      </w:tr>
      <w:tr w:rsidR="00165DEA" w14:paraId="4F72F38B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AB50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F2CB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3A02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93FC9C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6085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Administrative Review Tribunal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BD51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7,800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9BBA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7,800</w:t>
            </w:r>
          </w:p>
        </w:tc>
      </w:tr>
      <w:tr w:rsidR="00165DEA" w14:paraId="526069E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2CE3A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59FD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7284E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0589795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CCA02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Federal Police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9106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7DCA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C006B1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1DE8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C35AB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7B8DE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8445BA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9B283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E2455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8B478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165DEA" w14:paraId="31FFD1C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7D5D2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6A82B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4B9F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0AE2B91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FF2A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Federal Police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D847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02DE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165DEA" w14:paraId="7482421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A576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802D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154E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52EA31B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E139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Financial Security Authority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3752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15FF0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A134A5B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1DD7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93F7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3DAF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2928B3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87A1A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Bankruptcy Act 1966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0E04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903C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</w:tr>
      <w:tr w:rsidR="00165DEA" w14:paraId="698A6E9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2F19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B851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EF0D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074CB2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C1E581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E84B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64E4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</w:tr>
      <w:tr w:rsidR="00165DEA" w14:paraId="3812876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1C80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42F0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D020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30EDAF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1463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Financial Security Authority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50B1D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3152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3,000</w:t>
            </w:r>
          </w:p>
        </w:tc>
      </w:tr>
      <w:tr w:rsidR="00165DEA" w14:paraId="00F9243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3549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008E9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6B85C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0ED12C8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E95B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Transaction Reports and Analysis Centre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F34C0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78760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159192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A5981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8D03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9E09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1C83A1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6DE62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E410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8260C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165DEA" w14:paraId="21C0DB4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6A59B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0123B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C2FF1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B37CC3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8853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Transaction Reports and Analysis Centre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0C3E3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BA1B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165DEA" w14:paraId="2074DFA1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A3031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B9AB3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EB645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483B744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3F9A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Federal Court of Australia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D778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F332E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D2D184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9B34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F3D3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2CA7C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C8548D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08D187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5B064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0DA52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165DEA" w14:paraId="4970206E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4950F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468F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C16B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CCBD9A3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8ED6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Federal Court of Australia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899A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A903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</w:tr>
    </w:tbl>
    <w:p w14:paraId="736910A9" w14:textId="77777777" w:rsidR="00165DEA" w:rsidRDefault="00165DEA" w:rsidP="00165DEA">
      <w:pPr>
        <w:pStyle w:val="GhostLine"/>
      </w:pPr>
    </w:p>
    <w:p w14:paraId="20B12A6B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0FAA1C98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B50AA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5D8C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ACBD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19D14919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7BCE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5A60F" w14:textId="4E2725D0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04845" w14:textId="612CFBDB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4971B93F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E093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E55C1A" w14:textId="1AB3C7C8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B1D59" w14:textId="7C152386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39CE06FD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C7E8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CLIMATE CHANGE, ENERGY, THE ENVIRONMENT AND WATER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EED64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089A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F763EF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EEF5A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29DB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789EF0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AF43986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A8B8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Climate Change, Energy, the Environment and Water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A6C4C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D7FC3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6B76E65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FBE9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EA84E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B73D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A897B8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13057E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Australian Renewable Energy Agency Act 2011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65C5C" w14:textId="0A72D8AF" w:rsidR="00165DEA" w:rsidRDefault="0035365D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D207F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666,186</w:t>
            </w:r>
          </w:p>
        </w:tc>
      </w:tr>
      <w:tr w:rsidR="00165DEA" w14:paraId="6CD3F01B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55E01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27C3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51E9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298166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AF26CF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Fuel Security Act 2021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0955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nfp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ED32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nfp</w:t>
            </w:r>
            <w:proofErr w:type="spellEnd"/>
          </w:p>
        </w:tc>
      </w:tr>
      <w:tr w:rsidR="00165DEA" w14:paraId="18428C2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12C7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33950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9893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762AF9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78757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Offshore Electricity Infrastructure Act 2021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FDFE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9DB62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5,030</w:t>
            </w:r>
          </w:p>
        </w:tc>
      </w:tr>
      <w:tr w:rsidR="00165DEA" w14:paraId="25EE536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72C7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72A22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C4B8B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398DA6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2DFA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BC55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DE7E1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</w:tr>
      <w:tr w:rsidR="00165DEA" w14:paraId="4CD5317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FF804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8FBF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7C45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B08E9AA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7DB4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Climate Change, Energy, the Environment and Water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50BD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5,549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A3FC0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671,327</w:t>
            </w:r>
          </w:p>
        </w:tc>
      </w:tr>
      <w:tr w:rsidR="00165DEA" w14:paraId="3A4745E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91D6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937E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28A0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08CDF28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2853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Clean Energy Regulator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C787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5B0D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51EF54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D4D3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8886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C5CB8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99F434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B3A351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Renewable Energy (Electricity) Act 2000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D391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D2DE1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</w:p>
        </w:tc>
      </w:tr>
      <w:tr w:rsidR="00165DEA" w14:paraId="24E4BCF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46DF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C0DB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66BD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C70340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32856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Clean Energy Regulator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5B92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0D187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509</w:t>
            </w:r>
          </w:p>
        </w:tc>
      </w:tr>
      <w:tr w:rsidR="00165DEA" w14:paraId="2AF3C81C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9674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C147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B9F4D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7BD57A6C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509D6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Great Barrier Reef Marine Park Authority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28FD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42F40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F6449C3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668B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BE21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E3DC3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C99E6C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EBB91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Great Barrier Reef Marine Park Act 1975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EA21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CFBF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12,000</w:t>
            </w:r>
          </w:p>
        </w:tc>
      </w:tr>
      <w:tr w:rsidR="00165DEA" w14:paraId="02B5A21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729C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B583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41F6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7814B3E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170C0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Great Barrier Reef Marine Park Authority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4C4E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1CAE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12,000</w:t>
            </w:r>
          </w:p>
        </w:tc>
      </w:tr>
    </w:tbl>
    <w:p w14:paraId="46306F20" w14:textId="77777777" w:rsidR="00165DEA" w:rsidRDefault="00165DEA" w:rsidP="00165DEA">
      <w:pPr>
        <w:pStyle w:val="GhostLine"/>
      </w:pPr>
    </w:p>
    <w:p w14:paraId="4B240427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6E0D4669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02AB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34044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93ED8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08D64B83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53249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F141D" w14:textId="66F5BF05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367EA" w14:textId="3C186FCE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00C69AF1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B895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11457" w14:textId="0491A3BB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634DC" w14:textId="3CA92258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545AC60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2B9C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DEFENCE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0F251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10034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BF7DD8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B277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52FC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95FC2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FFFD4E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FA711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Defence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D057A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0015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865F52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840A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5BF5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ADAB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148629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A9C01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Australian Defence Force Cover Act 2015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FC42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D5EF4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255,776</w:t>
            </w:r>
          </w:p>
        </w:tc>
      </w:tr>
      <w:tr w:rsidR="00165DEA" w14:paraId="64AEA37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FAE38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F8174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0BE3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2ECBBD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C17C59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Defence Force Retirement and Death Benefits Act 1973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C28B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1,859,273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1D74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1,847,396</w:t>
            </w:r>
          </w:p>
        </w:tc>
      </w:tr>
      <w:tr w:rsidR="00165DEA" w14:paraId="15746055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F53B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6C66A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C062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D86719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A05AC5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Defence Forces Retirement Benefits Act 1948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712C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7522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25,568</w:t>
            </w:r>
          </w:p>
        </w:tc>
      </w:tr>
      <w:tr w:rsidR="00165DEA" w14:paraId="7DE5BE2E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F764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9813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50269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DBB1C41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DDB8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Defence Home Ownership Assistance Scheme Act 2008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9C9F5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236,275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9B4D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255,100</w:t>
            </w:r>
          </w:p>
        </w:tc>
      </w:tr>
      <w:tr w:rsidR="00165DEA" w14:paraId="5C04F29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7D16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68B2C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E969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137A59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DB0709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Military Superannuation and Benefits Act 1991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9B3F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2,230,760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6AFB4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2,551,277</w:t>
            </w:r>
          </w:p>
        </w:tc>
      </w:tr>
      <w:tr w:rsidR="00165DEA" w14:paraId="0C780422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986C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434B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383C8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342E89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3391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Defence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1C55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4,544,108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BF42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4,935,117</w:t>
            </w:r>
          </w:p>
        </w:tc>
      </w:tr>
      <w:tr w:rsidR="00165DEA" w14:paraId="1703AA9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0DF8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B807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ABC72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5B84587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415A9" w14:textId="2C69FE8E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Veterans</w:t>
            </w:r>
            <w:r w:rsidR="00353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Affairs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FADB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A81D9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C6F6F5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41A31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19AFF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80B36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87C84B6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FAFF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Australian Participants in British Nuclear Tests and British Commonwealth Occupation Force (Treatment) Act 2006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EF35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7,604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9610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7,075</w:t>
            </w:r>
          </w:p>
        </w:tc>
      </w:tr>
      <w:tr w:rsidR="00165DEA" w14:paraId="3F4E740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C304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D4FEC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3F73E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C6BC07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62E33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Compensation (Japanese Internment) Act 2001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E7257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4C58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165DEA" w14:paraId="3CA826C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C2591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0770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275A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9B3A68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3EF4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Defence Service Homes Act 1918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FCBAA" w14:textId="7F7554CB" w:rsidR="00165DEA" w:rsidRDefault="0035365D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5142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</w:tr>
      <w:tr w:rsidR="00165DEA" w14:paraId="313455E3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08CBC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E94B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C213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DDDB44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CFC3C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Military Rehabilitation and Compensation Act 2004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75D4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5,173,163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1288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6,359,337</w:t>
            </w:r>
          </w:p>
        </w:tc>
      </w:tr>
      <w:tr w:rsidR="00165DEA" w14:paraId="5CF6E21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A598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906A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2000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EFE32D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4C108E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Papua New Guinea (Members of the Forces Benefits) Act 1957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3D1A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EEB1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</w:tr>
      <w:tr w:rsidR="00165DEA" w14:paraId="69C3CA45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044C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A8F3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5B2A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6F9E9FD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3A0D8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AE47E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091CB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165DEA" w14:paraId="3F2AE00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710B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9F27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D75D8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15A2BFF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E12F01" w14:textId="4BD9398E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Safety, Rehabilitation and Compensation (Defence</w:t>
            </w:r>
            <w:r w:rsidR="003536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related Claims) Act 1988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5179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658,234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F81C1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1,245,765</w:t>
            </w:r>
          </w:p>
        </w:tc>
      </w:tr>
      <w:tr w:rsidR="00165DEA" w14:paraId="1D8FA35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68B5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2D2B5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411E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933E31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9DA9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Treatment Benefits (Special Access) Act 2019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C4474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F0F8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1,598</w:t>
            </w:r>
          </w:p>
        </w:tc>
      </w:tr>
      <w:tr w:rsidR="00165DEA" w14:paraId="2EF2044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9AFD6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77C4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6B9C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F4C599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ACA5F" w14:textId="28447C7D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Veterans</w:t>
            </w:r>
            <w:r w:rsidR="003536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Entitlements Act 1986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52694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8,471,623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9E205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8,421,341</w:t>
            </w:r>
          </w:p>
        </w:tc>
      </w:tr>
      <w:tr w:rsidR="00165DEA" w14:paraId="15C1E15C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15CC7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216E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45405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130197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F5027" w14:textId="53FC8895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Veterans</w:t>
            </w:r>
            <w:r w:rsidR="00353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Affairs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2B7D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14,312,241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2A9F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16,035,396</w:t>
            </w:r>
          </w:p>
        </w:tc>
      </w:tr>
      <w:tr w:rsidR="00165DEA" w14:paraId="2A98705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DB9C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DE9E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4297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7EB2DCD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9DC2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EDUCATION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04A6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3BAD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21EA3B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FC43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A6E876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0F47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B62C2F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C59D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Education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8F27D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8D07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FF2B3D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D839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0E5B9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BEBD3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5F97AE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98C02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 New Tax System (Family Assistance) (Administration) Act 1999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CE0D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16,197,496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AC08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16,503,038</w:t>
            </w:r>
          </w:p>
        </w:tc>
      </w:tr>
      <w:tr w:rsidR="00165DEA" w14:paraId="5BAC32C5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D952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12A0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6356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04A8931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494C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Australian Education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D18C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30,953,500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5D171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32,078,596</w:t>
            </w:r>
          </w:p>
        </w:tc>
      </w:tr>
      <w:tr w:rsidR="00165DEA" w14:paraId="7971BD0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E087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17E47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4B99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4D3D2D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EE090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Higher Education Support Act 2003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9AE6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19,765,752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93B6A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20,850,608</w:t>
            </w:r>
          </w:p>
        </w:tc>
      </w:tr>
      <w:tr w:rsidR="00165DEA" w14:paraId="36CF787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4CE46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2991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7A2D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37AB62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4C221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Education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508E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66,916,748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2538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69,432,242</w:t>
            </w:r>
          </w:p>
        </w:tc>
      </w:tr>
      <w:tr w:rsidR="00165DEA" w14:paraId="42CA6E8C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A259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2147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8BD1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38E5D08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FD93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Tertiary Education Quality and Standards Agency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DAD9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A193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0C73DB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7CE55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80E5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CA9BC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D58969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8860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5B8D5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B431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165DEA" w14:paraId="524A108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5767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EB72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F6348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0F755C2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6A1EF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Tertiary Education Quality and Standards Agency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365A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F122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</w:tbl>
    <w:p w14:paraId="2BA197F8" w14:textId="77777777" w:rsidR="00165DEA" w:rsidRDefault="00165DEA" w:rsidP="00165DEA">
      <w:pPr>
        <w:pStyle w:val="GhostLine"/>
      </w:pPr>
    </w:p>
    <w:p w14:paraId="714FCA2D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363E2592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C17D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FAB21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8E541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28C39ADE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412B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BE53DD" w14:textId="7CFD2EE5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A42245" w14:textId="5DA4C6F5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29B4FF71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8FC6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7FFBE" w14:textId="080E6B83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AED79" w14:textId="11163255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0569958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86CA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EMPLOYMENT AND WORKPLACE RELATIONS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CB13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7321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61F1AD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99C34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5669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D0D9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442D28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54B04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Employment and Workplace Relations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FB39EE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A4AC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9B0727E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2C3D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70815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1F168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79E220B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2514C1" w14:textId="3EC58E83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Asbestos</w:t>
            </w:r>
            <w:r w:rsidR="003536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related Claims (Management of Commonwealth Liabilities) Act 2005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9A06C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31,086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3ECB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26,522</w:t>
            </w:r>
          </w:p>
        </w:tc>
      </w:tr>
      <w:tr w:rsidR="00165DEA" w14:paraId="74E374AD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8CE4E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7255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A0AB9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76E88D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0134C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Australian Apprenticeship Support Loans Act 2014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(b)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12D9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259,290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ED1A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281,908</w:t>
            </w:r>
          </w:p>
        </w:tc>
      </w:tr>
      <w:tr w:rsidR="00165DEA" w14:paraId="3A9F9A52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4029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3F89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450A0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A196142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F01C13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Coal Mining Industry (Long Service Leave) Administration Act 1992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71C80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260,388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3F7E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266,743</w:t>
            </w:r>
          </w:p>
        </w:tc>
      </w:tr>
      <w:tr w:rsidR="00165DEA" w14:paraId="3EB3915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4F7B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911AE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1D27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378DDF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CAC47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Fair Entitlements Guarantee Act 2012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9CD3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317,650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1FA3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308,377</w:t>
            </w:r>
          </w:p>
        </w:tc>
      </w:tr>
      <w:tr w:rsidR="00165DEA" w14:paraId="1819C4D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8C36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9CD20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325CA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10B2D71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15934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7E55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66FC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165DEA" w14:paraId="1C80115E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AFD1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C990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664A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6B4EAC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70D8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Safety, Rehabilitation and Compensation Act 1988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FC23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24,980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AE30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23,517</w:t>
            </w:r>
          </w:p>
        </w:tc>
      </w:tr>
      <w:tr w:rsidR="00165DEA" w14:paraId="63FA7B0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F763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7C08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F0CD2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6B3FA9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D98A7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VET Student Loans Act 2016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5F67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278,505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DFF9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292,972</w:t>
            </w:r>
          </w:p>
        </w:tc>
      </w:tr>
      <w:tr w:rsidR="00165DEA" w14:paraId="3CF246D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10A1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CAD4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175D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466E55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3A2F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Employment and Workplace Relations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055F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1,171,949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EDC5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1,200,089</w:t>
            </w:r>
          </w:p>
        </w:tc>
      </w:tr>
      <w:tr w:rsidR="00165DEA" w14:paraId="22075C0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7A2E1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764F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89F6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195A2AB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241D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Skills Quality Authority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407D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2E2BF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AE4E57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5122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66F6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5CD1A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8856E6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2E2BE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01397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0644A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</w:t>
            </w:r>
          </w:p>
        </w:tc>
      </w:tr>
      <w:tr w:rsidR="00165DEA" w14:paraId="38A066E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E918D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69FAF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CEBFC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8107C8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7659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Skills Quality Authority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0E68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38F4B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357</w:t>
            </w:r>
          </w:p>
        </w:tc>
      </w:tr>
      <w:tr w:rsidR="00165DEA" w14:paraId="693A1E1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6FAE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5177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0E62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6F46442C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038F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Fair Work Commission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6E7F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E1FC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2475D0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24A3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6E28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DED5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2F6B07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8AC62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8A197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F0F3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165DEA" w14:paraId="15B680C3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D24D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A405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412E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0D2C69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7685F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Fair Work Commission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D44D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7DC1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165DEA" w14:paraId="1728C9F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19EBE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B83E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F714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03F2B94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D9E70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Office of the Fair Work Ombudsman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08B2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80773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F7DCA1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BA548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964F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B2E16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9786B4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BEAB80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Fair Work Act 2009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60A7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8D581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</w:tr>
      <w:tr w:rsidR="00165DEA" w14:paraId="6121945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85A3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6A88A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9A59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C50FE86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45110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Office of the Fair Work Ombudsman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ABBD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5FF5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1,500</w:t>
            </w:r>
          </w:p>
        </w:tc>
      </w:tr>
    </w:tbl>
    <w:p w14:paraId="2A413FAF" w14:textId="77777777" w:rsidR="00165DEA" w:rsidRDefault="00165DEA" w:rsidP="00165DEA">
      <w:pPr>
        <w:pStyle w:val="GhostLine"/>
      </w:pPr>
    </w:p>
    <w:p w14:paraId="2434F0B9" w14:textId="40B42179" w:rsidR="00D00185" w:rsidRPr="00D00185" w:rsidRDefault="00D00185" w:rsidP="00BA22BA">
      <w:pPr>
        <w:pStyle w:val="ChartandTableFootnoteAlpha"/>
      </w:pPr>
      <w:r w:rsidRPr="00D00185">
        <w:t xml:space="preserve">The </w:t>
      </w:r>
      <w:r w:rsidRPr="00F24D4E">
        <w:rPr>
          <w:rStyle w:val="Emphasis"/>
        </w:rPr>
        <w:t>Trade Support Loans Act 2014</w:t>
      </w:r>
      <w:r w:rsidRPr="00D00185">
        <w:t xml:space="preserve"> was re</w:t>
      </w:r>
      <w:r w:rsidR="0035365D">
        <w:noBreakHyphen/>
      </w:r>
      <w:proofErr w:type="gramStart"/>
      <w:r w:rsidRPr="00D00185">
        <w:t>named</w:t>
      </w:r>
      <w:proofErr w:type="gramEnd"/>
      <w:r w:rsidRPr="00D00185">
        <w:t xml:space="preserve"> </w:t>
      </w:r>
      <w:r w:rsidRPr="00F24D4E">
        <w:rPr>
          <w:rStyle w:val="Emphasis"/>
        </w:rPr>
        <w:t>the Australian Apprenticeship Support Loans Act 2014</w:t>
      </w:r>
      <w:r w:rsidRPr="00D00185">
        <w:t xml:space="preserve"> on 1</w:t>
      </w:r>
      <w:r w:rsidR="004254F0">
        <w:t> </w:t>
      </w:r>
      <w:r w:rsidRPr="00D00185">
        <w:t>January</w:t>
      </w:r>
      <w:r w:rsidR="004254F0">
        <w:t> </w:t>
      </w:r>
      <w:r w:rsidRPr="00D00185">
        <w:t xml:space="preserve">2024 upon commencement of the </w:t>
      </w:r>
      <w:r w:rsidRPr="00F24D4E">
        <w:rPr>
          <w:rStyle w:val="Emphasis"/>
        </w:rPr>
        <w:t>Trade Support Loans Amendment Act 2023</w:t>
      </w:r>
      <w:r w:rsidRPr="00D00185">
        <w:t>.</w:t>
      </w:r>
    </w:p>
    <w:p w14:paraId="1E039C03" w14:textId="77777777" w:rsidR="00D00185" w:rsidRPr="00D00185" w:rsidRDefault="00D00185" w:rsidP="00B90106">
      <w:pPr>
        <w:pStyle w:val="TableLine"/>
      </w:pPr>
    </w:p>
    <w:p w14:paraId="0B84D86A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301E43F0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F0C4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36313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A104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6777AB7F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11C1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405AC7" w14:textId="4EF66E74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760C2" w14:textId="73011796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3FC91814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FB09B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1995C" w14:textId="55DF2043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54873" w14:textId="62990184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6D79FC1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D88D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FINANCE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8642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D7B65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3AEA75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C9072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516E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C4F6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D15A19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7742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Finance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10B09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2C32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85CE85C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E4B8F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9459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0F3B2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AE80C6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4AFD2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Commonwealth of Australia Constitution Act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DF3C1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11975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5,633</w:t>
            </w:r>
          </w:p>
        </w:tc>
      </w:tr>
      <w:tr w:rsidR="00165DEA" w14:paraId="69D1AE8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2F669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7F6CA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8D6B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2638E2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21438A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Federal Circuit and Family Court of Australia Act 2021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8DE7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AA90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</w:t>
            </w:r>
          </w:p>
        </w:tc>
      </w:tr>
      <w:tr w:rsidR="00165DEA" w14:paraId="25C6EBDE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0ED0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A2A36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63692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D1F31C5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37B8A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Governance of Australian Government Superannuation Schemes Act 2011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7397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39BD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</w:tr>
      <w:tr w:rsidR="00165DEA" w14:paraId="3F6B7BA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52D2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2222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5557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D6DAB2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73D14C" w14:textId="7AC9A45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Governor</w:t>
            </w:r>
            <w:r w:rsidR="003536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General Act 1974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10E5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005FF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1,010</w:t>
            </w:r>
          </w:p>
        </w:tc>
      </w:tr>
      <w:tr w:rsidR="00165DEA" w14:paraId="230FDAF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C6BF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67FF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7875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52B1BD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FFEB6" w14:textId="6D0F8050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Judges</w:t>
            </w:r>
            <w:r w:rsidR="003536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Pensions Act 1968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EB62C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65,922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3A7F1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68,202</w:t>
            </w:r>
          </w:p>
        </w:tc>
      </w:tr>
      <w:tr w:rsidR="00165DEA" w14:paraId="64D4EDE3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D778F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7A91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2EB4A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3F5044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71666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Medibank Private Sale Act 2006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3275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8F7B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  <w:tr w:rsidR="00165DEA" w14:paraId="55AFBBC3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B1B98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26A66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A0F0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DA3513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30C78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Parliamentary Business Resources Act 2017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22F4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346,944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9BE4B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264,636</w:t>
            </w:r>
          </w:p>
        </w:tc>
      </w:tr>
      <w:tr w:rsidR="00165DEA" w14:paraId="2A4B075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6ED4E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9ED9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DA8A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66195EF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65B986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Parliamentary Contributory Superannuation Act 1948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B1B8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47,673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AAE4D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50,042</w:t>
            </w:r>
          </w:p>
        </w:tc>
      </w:tr>
      <w:tr w:rsidR="00165DEA" w14:paraId="33509FDB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E4FA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28C8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6601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ED9C76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115E10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Parliamentary Superannuation Act 2004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526CE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9,255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95CC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9,597</w:t>
            </w:r>
          </w:p>
        </w:tc>
      </w:tr>
      <w:tr w:rsidR="00165DEA" w14:paraId="4B5CDE6D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C3138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D117E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EEE6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69DFB1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CDE2D9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4843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0DC3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2,042</w:t>
            </w:r>
          </w:p>
        </w:tc>
      </w:tr>
      <w:tr w:rsidR="00165DEA" w14:paraId="0432FC9D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B6363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9961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0FFB9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7B118A3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1CE14" w14:textId="732C023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Same</w:t>
            </w:r>
            <w:r w:rsidR="003536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Sex Relationships (Equal Treatment in Commonwealth Laws</w:t>
            </w:r>
            <w:r w:rsidR="00B806F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Superannuation) Act 2008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1BB43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CE7B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165DEA" w14:paraId="6059FC5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0B0CE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FB55D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8AAB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1EA5C7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321826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Superannuation Act 1922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570C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40,368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354D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37,001</w:t>
            </w:r>
          </w:p>
        </w:tc>
      </w:tr>
      <w:tr w:rsidR="00165DEA" w14:paraId="5E87D352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A79C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4EAFB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B8EDC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BD1EA4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C2E8C0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Superannuation Act 1976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7E02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5,076,798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FCA5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5,233,093</w:t>
            </w:r>
          </w:p>
        </w:tc>
      </w:tr>
      <w:tr w:rsidR="00165DEA" w14:paraId="3C28A71B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14B5A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8982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333D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F074AC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F9524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Superannuation Act 1990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97A3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4,367,090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427EC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4,594,161</w:t>
            </w:r>
          </w:p>
        </w:tc>
      </w:tr>
      <w:tr w:rsidR="00165DEA" w14:paraId="0C23523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B7E2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3157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BC07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EF5709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16290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Finance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2FE31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9,964,229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27F52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10,266,846</w:t>
            </w:r>
          </w:p>
        </w:tc>
      </w:tr>
      <w:tr w:rsidR="00165DEA" w14:paraId="6CF0B4E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C9E3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E12D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A4EBA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1CC2155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85F2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Electoral Commission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472A3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B7206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F786DF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9772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E11F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47DB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A30A95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E6574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Commonwealth Electoral Act 1918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27081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91,616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EBC0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16,116</w:t>
            </w:r>
          </w:p>
        </w:tc>
      </w:tr>
      <w:tr w:rsidR="00165DEA" w14:paraId="60EAD4AB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DE5DE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C5503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A2498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3309B0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D992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Electoral Commission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9891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91,616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D375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16,116</w:t>
            </w:r>
          </w:p>
        </w:tc>
      </w:tr>
      <w:tr w:rsidR="00165DEA" w14:paraId="0E849FA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7817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F18C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6AD5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6BCD484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E64D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Independent Parliamentary Expenses Authority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EB63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C215D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E24DC92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5A9DD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66170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F0E4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B3341D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E87C9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Parliamentary Business Resources Act 2017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1BED1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35,234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6307E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35,765</w:t>
            </w:r>
          </w:p>
        </w:tc>
      </w:tr>
      <w:tr w:rsidR="00165DEA" w14:paraId="1159F9C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1F14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1392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9A41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BBD526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009E8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Parliamentary Retirement Travel Act 2002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8CF1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E707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649</w:t>
            </w:r>
          </w:p>
        </w:tc>
      </w:tr>
      <w:tr w:rsidR="00165DEA" w14:paraId="4240FD1C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F3D1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A6947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B34B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64E9E247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AE55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Independent Parliamentary Expenses Authority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7D80C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35,875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C2B01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36,414</w:t>
            </w:r>
          </w:p>
        </w:tc>
      </w:tr>
    </w:tbl>
    <w:p w14:paraId="7B9AB706" w14:textId="77777777" w:rsidR="00165DEA" w:rsidRDefault="00165DEA" w:rsidP="00165DEA">
      <w:pPr>
        <w:pStyle w:val="GhostLine"/>
      </w:pPr>
    </w:p>
    <w:p w14:paraId="796C5D55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75E389DF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5855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8E6A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6115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0A8F6126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D1F6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B9CB3" w14:textId="030C8922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73B6C" w14:textId="6F55029F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7F9D7A72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EAA26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2253C0" w14:textId="38005282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3CA1D" w14:textId="22FA9A96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7D49FB6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6F654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FOREIGN AFFAIRS AND TRADE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DCE1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27BB5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D277EC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E644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8D02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7741E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1D30E5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66B1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Foreign Affairs and Trade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5FA1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47FD7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4B86B2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DA69E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DF9F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0B6F4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DB4CE56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497A2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Official Development Assistance Multilateral Replenishment Obligations (Special Appropriation) Act 2020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9E61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371,733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DAC3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410,092</w:t>
            </w:r>
          </w:p>
        </w:tc>
      </w:tr>
      <w:tr w:rsidR="00165DEA" w14:paraId="1271F03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CABF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DB37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19BCE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69D4BBC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9748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9927C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6EB7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2,200</w:t>
            </w:r>
          </w:p>
        </w:tc>
      </w:tr>
      <w:tr w:rsidR="00165DEA" w14:paraId="57BB22B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3AE7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7B19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3C7F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3B18D1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3004C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Foreign Affairs and Trade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34EE0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373,933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9CA6A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412,292</w:t>
            </w:r>
          </w:p>
        </w:tc>
      </w:tr>
      <w:tr w:rsidR="00165DEA" w14:paraId="616E740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7F597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8127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08DF6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13E42BA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586E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HEALTH AND AGED CARE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F4663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031FB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B90FBA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6BD91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75553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53592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C9D0AF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12E32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Health and Aged Care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10C8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AB48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B1E6EBE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B8B9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6E71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D136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AA1E45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B79CA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Aged Care Act 1997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(c)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C238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32,667,034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B05FE" w14:textId="17E97C3E" w:rsidR="00165DEA" w:rsidRDefault="0035365D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165DEA" w14:paraId="7BA1C185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1122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E23F6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6449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6B3B55A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A10E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Aged Care Act 2024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(c)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7B5C0" w14:textId="636273BA" w:rsidR="00165DEA" w:rsidRDefault="0035365D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4714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36,004,329</w:t>
            </w:r>
          </w:p>
        </w:tc>
      </w:tr>
      <w:tr w:rsidR="00165DEA" w14:paraId="38CE8CE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31C0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7F3C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F864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DDB949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18982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Dental Benefits Act 2008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5348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359,113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BC823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320,493</w:t>
            </w:r>
          </w:p>
        </w:tc>
      </w:tr>
      <w:tr w:rsidR="00165DEA" w14:paraId="6DD4449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19DA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A26A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59887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63FA0C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86A7E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Medical Indemnity Act 2002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A0D3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116,864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D9954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118,964</w:t>
            </w:r>
          </w:p>
        </w:tc>
      </w:tr>
      <w:tr w:rsidR="00165DEA" w14:paraId="2786B8CD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07B4A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B4E8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F75C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96ADD23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C51F5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Midwife Professional Indemnity (Commonwealth Contribution) Scheme Act 2010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11AC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CA74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</w:t>
            </w:r>
          </w:p>
        </w:tc>
      </w:tr>
      <w:tr w:rsidR="00165DEA" w14:paraId="7B2350DD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248F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A680A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A34F3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ADDDB2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E2249A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National Health Act 1953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2D43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2,557,513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49C5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2,603,544</w:t>
            </w:r>
          </w:p>
        </w:tc>
      </w:tr>
      <w:tr w:rsidR="00165DEA" w14:paraId="6AA2772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2DD15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C4025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9BAD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62437A9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C2802A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Private Health Insurance Act 2007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BBB96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7,312,428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47ED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7,539,241</w:t>
            </w:r>
          </w:p>
        </w:tc>
      </w:tr>
      <w:tr w:rsidR="00165DEA" w14:paraId="1B0B675C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3B7D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6FC48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D2AB8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D3B8EB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88FDEE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824E3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FF0A5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</w:tr>
      <w:tr w:rsidR="00165DEA" w14:paraId="2CBBC4AB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E81F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C636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EF3B1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15CECD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494A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Health and Aged Care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6F3C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43,016,183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1F1F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46,589,316</w:t>
            </w:r>
          </w:p>
        </w:tc>
      </w:tr>
      <w:tr w:rsidR="00165DEA" w14:paraId="6D7F0C9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7F3D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1535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F8311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1B2A669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12547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HOME AFFAIRS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3F5D2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6828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2B1CC0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D5CF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4EBA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60BFF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1F7BDD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C620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Home Affairs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79D00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EAEE0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BC04C8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A9B3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2BE4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2B073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99570E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3B8F1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Customs Act 1901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AEBB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1903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165DEA" w14:paraId="0AF08662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1A3F1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32D0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3069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62C570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600191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28F8B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869,400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DA1A3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729,400</w:t>
            </w:r>
          </w:p>
        </w:tc>
      </w:tr>
      <w:tr w:rsidR="00165DEA" w14:paraId="7B69ECF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1326A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E5AE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1933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6500691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B491D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Social Security (Administration) Act 1999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C350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B4FC4" w14:textId="0B31AF8F" w:rsidR="00165DEA" w:rsidRDefault="0035365D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165DEA" w14:paraId="7C22919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8C5F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6F4DA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3C17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68FD9BD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37CB4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Home Affairs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F68F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870,600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9DE3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730,000</w:t>
            </w:r>
          </w:p>
        </w:tc>
      </w:tr>
      <w:tr w:rsidR="00165DEA" w14:paraId="7674FF2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0A77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34DBE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48FF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06117B5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C787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National Emergency Management Agency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575C0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71713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50F8B5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6689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73F7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ADDE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29F857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12083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Social Security (Administration) Act 1999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28F2E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192,460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B029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11,000</w:t>
            </w:r>
          </w:p>
        </w:tc>
      </w:tr>
      <w:tr w:rsidR="00165DEA" w14:paraId="3B0CD9F2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D016E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C3CC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40DA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CF7510A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11F2A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National Emergency Management Agency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97C7E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192,460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D399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11,000</w:t>
            </w:r>
          </w:p>
        </w:tc>
      </w:tr>
    </w:tbl>
    <w:p w14:paraId="46ECB7C9" w14:textId="77777777" w:rsidR="00165DEA" w:rsidRDefault="00165DEA" w:rsidP="00165DEA">
      <w:pPr>
        <w:pStyle w:val="GhostLine"/>
      </w:pPr>
    </w:p>
    <w:p w14:paraId="02537AFB" w14:textId="0FC4151A" w:rsidR="00070457" w:rsidRPr="00070457" w:rsidRDefault="00070457" w:rsidP="00BA22BA">
      <w:pPr>
        <w:pStyle w:val="ChartandTableFootnoteAlpha"/>
      </w:pPr>
      <w:r w:rsidRPr="00070457">
        <w:t>The</w:t>
      </w:r>
      <w:r>
        <w:t xml:space="preserve"> </w:t>
      </w:r>
      <w:r w:rsidRPr="00F24D4E">
        <w:rPr>
          <w:rStyle w:val="Emphasis"/>
        </w:rPr>
        <w:t>Aged Care Act 2024</w:t>
      </w:r>
      <w:r w:rsidRPr="00070457">
        <w:t xml:space="preserve"> will</w:t>
      </w:r>
      <w:r>
        <w:t xml:space="preserve"> replace the </w:t>
      </w:r>
      <w:r w:rsidRPr="00F24D4E">
        <w:rPr>
          <w:rStyle w:val="Emphasis"/>
        </w:rPr>
        <w:t>Aged Care Act 1997</w:t>
      </w:r>
      <w:r>
        <w:t xml:space="preserve"> in 2025</w:t>
      </w:r>
      <w:r w:rsidR="0035365D">
        <w:noBreakHyphen/>
      </w:r>
      <w:r>
        <w:t>26</w:t>
      </w:r>
    </w:p>
    <w:p w14:paraId="57A1A44E" w14:textId="77777777" w:rsidR="00070457" w:rsidRPr="00070457" w:rsidRDefault="00070457" w:rsidP="00B90106">
      <w:pPr>
        <w:pStyle w:val="TableLine"/>
      </w:pPr>
    </w:p>
    <w:p w14:paraId="6F293C39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332C696F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8392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5CDD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557F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1C7B8B5C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D5A4D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217398" w14:textId="371D1A52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C5D7E" w14:textId="54452D06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02327516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E011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9BCF4E" w14:textId="1238A675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6CACEB" w14:textId="6BC79891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414DE54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28BE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INDUSTRY, SCIENCE AND RESOURCES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F197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1635E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68A54D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612C8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72F0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431E0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57803C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5765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Industry, Science and Resources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F92D2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6640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ACCBB1D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511B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4F34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55F7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F91234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321A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Offshore Minerals Act 1994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9FB10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748D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165DEA" w14:paraId="1D8268B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38B8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D74E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A328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FD5AEF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F853B4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Offshore Petroleum and Greenhouse Gas Storage Act 2006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FF9B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47,294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0B5C0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50,336</w:t>
            </w:r>
          </w:p>
        </w:tc>
      </w:tr>
      <w:tr w:rsidR="00165DEA" w14:paraId="0E68270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A6055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27724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581D4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298565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D0EA7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80CD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B1445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4,228</w:t>
            </w:r>
          </w:p>
        </w:tc>
      </w:tr>
      <w:tr w:rsidR="00165DEA" w14:paraId="4C2568F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5F89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D90C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F8857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86A67F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8CF2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Industry, Science and Resources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FFBE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51,582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0E7D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54,624</w:t>
            </w:r>
          </w:p>
        </w:tc>
      </w:tr>
      <w:tr w:rsidR="00165DEA" w14:paraId="79A9B4B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422B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53823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8693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1D0F1C81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6471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INFRASTRUCTURE, TRANSPORT, REGIONAL DEVELOPMENT, COMMUNICATIONS AND THE ARTS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6308C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5409F6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C3047F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5459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0AE18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B030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2D9C4DC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4899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Infrastructure, Transport, Regional Development, Communications and the Arts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F6A0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3784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F093E2E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204F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43CE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27D2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795656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336D6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Australian Maritime Safety Authority Act 1990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B9E8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131,037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EC69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132,218</w:t>
            </w:r>
          </w:p>
        </w:tc>
      </w:tr>
      <w:tr w:rsidR="00165DEA" w14:paraId="6A0961C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5FCC0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22F77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7B8E2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7424D4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919EA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Aviation Fuel Revenues (Special Appropriation) Act 1988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3DAD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CEF96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130,200</w:t>
            </w:r>
          </w:p>
        </w:tc>
      </w:tr>
      <w:tr w:rsidR="00165DEA" w14:paraId="76298822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9AFEA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8E59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C111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BD1489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587132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Civil Aviation Act 1988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B53E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F468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</w:tr>
      <w:tr w:rsidR="00165DEA" w14:paraId="2A7A924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A8E6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955B6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F9C4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80A64C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4A82D6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Local Government (Financial Assistance) Act 1995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8A2BC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509,182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BF2C1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3,452,713</w:t>
            </w:r>
          </w:p>
        </w:tc>
      </w:tr>
      <w:tr w:rsidR="00165DEA" w14:paraId="35FD109E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9605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81C3F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7DD2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416FF7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734E3F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Northern Australia Infrastructure Facility Act 2016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8DA05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4D71E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1,045,720</w:t>
            </w:r>
          </w:p>
        </w:tc>
      </w:tr>
      <w:tr w:rsidR="00165DEA" w14:paraId="177919B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531E3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BB27B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EF0AA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75ADF9D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DC41EC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Protection of the Sea (Oil Pollution Compensation Fund) Act 1993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D9B64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39153" w14:textId="4BD306EF" w:rsidR="00165DEA" w:rsidRDefault="0035365D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165DEA" w14:paraId="15B1AAF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1684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AF26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42BF4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DBC593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79B58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0F56D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4123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</w:tr>
      <w:tr w:rsidR="00165DEA" w14:paraId="6B7D1AA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B88A7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A4190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61AED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9DF1A54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5AEB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Infrastructure, Transport, Regional Development, Communications and the Arts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BBDE1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1,321,719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3389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4,762,276</w:t>
            </w:r>
          </w:p>
        </w:tc>
      </w:tr>
      <w:tr w:rsidR="00165DEA" w14:paraId="15EB14A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01CCB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6D41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D3EB0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562B9FB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84003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Communications and Media Authority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0A1F7E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6FE03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434E11B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C100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F5B0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49CE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0367B8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C7457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F81BE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532EC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8,000</w:t>
            </w:r>
          </w:p>
        </w:tc>
      </w:tr>
      <w:tr w:rsidR="00165DEA" w14:paraId="0A734C8C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DF82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96EC8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FBEB0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87A19A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4C5FE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Telecommunications Act 1997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0871A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D88E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165DEA" w14:paraId="1A61495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7EEA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CAFFE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7A06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CCE686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751B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Communications and Media Authority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7B64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8,300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B8638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8,300</w:t>
            </w:r>
          </w:p>
        </w:tc>
      </w:tr>
      <w:tr w:rsidR="00165DEA" w14:paraId="4179410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8788F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E2DE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36C9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460B42B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C1A76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National Capital Authority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3F004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FAFEB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5E58BC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A7CA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E0D2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2A96B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AD52AE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03733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2543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51CF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165DEA" w14:paraId="0FF13C2D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DC1E2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DEBD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DE5A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FF744A7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E3668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National Capital Authority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A062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9EB5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</w:tbl>
    <w:p w14:paraId="1C11636E" w14:textId="77777777" w:rsidR="00165DEA" w:rsidRDefault="00165DEA" w:rsidP="00165DEA">
      <w:pPr>
        <w:pStyle w:val="GhostLine"/>
      </w:pPr>
    </w:p>
    <w:p w14:paraId="6220459B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7768B9A2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B329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F7D5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27D02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2523B08B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A683C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1A0997" w14:textId="01EBD1EB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EA458" w14:textId="22E7EFF5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4CA51025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387F9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848FF0" w14:textId="7C62CC9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2C53A" w14:textId="0D7F6C82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5A56C1F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693F9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PRIME MINISTER AND CABINET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A8AF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29F5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B75FBC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5CDF6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F339B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B519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7FD5FB1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8C6A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the Prime Minister and Cabinet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FABC7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1D882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0FE9D5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CD81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0C20C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1AA4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24BCE29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E7F9B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4924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CF76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165DEA" w14:paraId="7588CE8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4CCA1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F1A00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53E6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6B0BDA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8500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the Prime Minister and Cabinet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D3434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C81A9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165DEA" w14:paraId="32B0D64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680B8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00B4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E2BB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0F04175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19AC8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National Audit Office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FD64A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0A524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EB002C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FFFD0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9AFDF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EA3D6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3557C8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8B6A2" w14:textId="48143592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Auditor</w:t>
            </w:r>
            <w:r w:rsidR="003536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General Act 1997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33535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123A5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165DEA" w14:paraId="1D7E6512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79EE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B8364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5F46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715B5A1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F82B5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National Audit Office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A2C31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22AB6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</w:t>
            </w:r>
          </w:p>
        </w:tc>
      </w:tr>
      <w:tr w:rsidR="00165DEA" w14:paraId="4048AB1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5B20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BE73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25B6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21FFB4D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D8B88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Public Service Commission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BA960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0D804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7CF67F2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C9255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A9A1B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AEBF8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E4020E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78BE3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Remuneration Tribunal Act 1973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6A6C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9668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4,706</w:t>
            </w:r>
          </w:p>
        </w:tc>
      </w:tr>
      <w:tr w:rsidR="00165DEA" w14:paraId="3F58FC4E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A936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6E38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3F34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6793B88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40C9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Public Service Commission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39E9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4,633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73D3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4,706</w:t>
            </w:r>
          </w:p>
        </w:tc>
      </w:tr>
      <w:tr w:rsidR="00165DEA" w14:paraId="70D76BF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1AD53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214A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EAEE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722C502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4C89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National Indigenous Australians Agency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A0A3D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BB796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BDF15E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0B16A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70A02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BD5E7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ABBE26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587B71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Aboriginal Land Rights (Northern Territory) Act 1976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8451D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3F93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1,250</w:t>
            </w:r>
          </w:p>
        </w:tc>
      </w:tr>
      <w:tr w:rsidR="00165DEA" w14:paraId="2372AF0D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EA8C0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B8C6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59E9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F415B3C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B23A2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Higher Education Support Act 2003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E898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83,086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E7D80" w14:textId="29D47607" w:rsidR="00165DEA" w:rsidRDefault="0035365D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165DEA" w14:paraId="0463A9E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5EE6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A8BF7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C4FE7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B0C659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78AD25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75C2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80E6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165DEA" w14:paraId="4B5F781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A2679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6BD60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FDC44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CA6669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EC8D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National Indigenous Australians Agency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BF30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84,276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7A80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1,260</w:t>
            </w:r>
          </w:p>
        </w:tc>
      </w:tr>
      <w:tr w:rsidR="00165DEA" w14:paraId="38479A8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B9A7D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88A9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99B87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3B1562D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FF33CF" w14:textId="39DC3090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Office of the Official Secretary to the Governor</w:t>
            </w:r>
            <w:r w:rsidR="00353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36A16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99853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D92A79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CF4BF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C610C9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EE13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BE4B97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331C27" w14:textId="5E3D86BB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Governor</w:t>
            </w:r>
            <w:r w:rsidR="003536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General Act 1974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CBB9A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EA31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</w:t>
            </w:r>
          </w:p>
        </w:tc>
      </w:tr>
      <w:tr w:rsidR="00165DEA" w14:paraId="55D74B8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AC2F4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9F565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1333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FE59FAE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965DD" w14:textId="6E5C9678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Office of the Official Secretary to the Governor</w:t>
            </w:r>
            <w:r w:rsidR="00353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45B7B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A6891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709</w:t>
            </w:r>
          </w:p>
        </w:tc>
      </w:tr>
    </w:tbl>
    <w:p w14:paraId="172BA0C4" w14:textId="77777777" w:rsidR="00165DEA" w:rsidRDefault="00165DEA" w:rsidP="00165DEA">
      <w:pPr>
        <w:pStyle w:val="GhostLine"/>
      </w:pPr>
    </w:p>
    <w:p w14:paraId="7FC34EC6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18B6AD04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1FE6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8EA9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CB84E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46A370DF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18390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503430" w14:textId="7971E09D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EEEA67" w14:textId="6DFA7A41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3ADEF105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2DF3CE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EEE2AE" w14:textId="7F542BF4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7AF391" w14:textId="0677E4D8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5B69145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D1238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SOCIAL SERVICES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C1223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08F5F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A73D26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3F205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9247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8C82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DD6989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C209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Social Services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5A743E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2A3F9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86AFB4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A8A1C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52859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AC95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0ADBBCC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35AEC7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 New Tax System (Family Assistance) (Administration) Act 1999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ECAA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17,760,389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24C8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17,887,809</w:t>
            </w:r>
          </w:p>
        </w:tc>
      </w:tr>
      <w:tr w:rsidR="00165DEA" w14:paraId="05F7096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A26C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F47F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F8844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C0F0BEF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F497A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National Redress Scheme for Institutional Child Sexual Abuse Act 2018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2CC3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533,124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0111A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700,274</w:t>
            </w:r>
          </w:p>
        </w:tc>
      </w:tr>
      <w:tr w:rsidR="00165DEA" w14:paraId="4D1BF915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49A89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D6723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E97AE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77B196D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2F7152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Paid Parental Leave Act 2010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B36B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3,224,003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0E37A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4,130,964</w:t>
            </w:r>
          </w:p>
        </w:tc>
      </w:tr>
      <w:tr w:rsidR="00165DEA" w14:paraId="4F33647B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B572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BEE0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7617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362E53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A2908A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FA70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8319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823</w:t>
            </w:r>
          </w:p>
        </w:tc>
      </w:tr>
      <w:tr w:rsidR="00165DEA" w14:paraId="6FE9022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1334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18BD4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2307A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6207890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4A1B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Social Security (Administration) Act 1999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BD5DA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124,226,852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BF680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129,797,147</w:t>
            </w:r>
          </w:p>
        </w:tc>
      </w:tr>
      <w:tr w:rsidR="00165DEA" w14:paraId="15D549A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207DF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DAEA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71CD1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3366230C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76D618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Student Assistance Act 1973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00356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463,213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E873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476,411</w:t>
            </w:r>
          </w:p>
        </w:tc>
      </w:tr>
      <w:tr w:rsidR="00165DEA" w14:paraId="35DBC053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5B439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C2B6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AEA5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761634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E120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Social Services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B5B91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146,208,404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8B2D9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152,993,428</w:t>
            </w:r>
          </w:p>
        </w:tc>
      </w:tr>
      <w:tr w:rsidR="00165DEA" w14:paraId="769C87E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9AD8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3B42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52B2A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396788A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15D36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Services Australia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CCCD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B68F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F55285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F33BB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7111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681E0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363D6E6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89E98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8FEA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EAA9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</w:tr>
      <w:tr w:rsidR="00165DEA" w14:paraId="4A0AB74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38002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BE19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BB3C7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25C1BF36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26252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Services Australia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BA3B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1,300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74111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1,000</w:t>
            </w:r>
          </w:p>
        </w:tc>
      </w:tr>
    </w:tbl>
    <w:p w14:paraId="14D13224" w14:textId="77777777" w:rsidR="00165DEA" w:rsidRDefault="00165DEA" w:rsidP="00165DEA">
      <w:pPr>
        <w:pStyle w:val="GhostLine"/>
      </w:pPr>
    </w:p>
    <w:p w14:paraId="387D5968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72BF5E3E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DBCBD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26CD0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4063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07A60F71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F70C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7411D" w14:textId="19C36A18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9CACE" w14:textId="70F545F6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358D7F96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B03EC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C22C1C" w14:textId="5F1EDFFD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22EA90" w14:textId="635AC3AA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5A062DD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47F4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TREASURY PORTFOLIO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737BD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2D806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59FA39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18FB1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4F8A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A4A020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6E9B231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53F25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Department of the Treasury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57BB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8734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E08736D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9D067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DBB3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387AB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D82F930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41014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Australian Business Growth Fund (Coronavirus Economic Response Package) Act 2020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BC59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18,500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8B4F5" w14:textId="2321E252" w:rsidR="00165DEA" w:rsidRDefault="0035365D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</w:tr>
      <w:tr w:rsidR="00165DEA" w14:paraId="6031E67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E8CA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86402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6EF9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823F06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62698B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Corporations Act 2001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7FA4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265,006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A18B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27,865</w:t>
            </w:r>
          </w:p>
        </w:tc>
      </w:tr>
      <w:tr w:rsidR="00165DEA" w14:paraId="02BD88C3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CADF9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13A1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4D623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6236B3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45DD5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European Bank for Reconstruction and Development Act 1990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0088A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82C9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13,400</w:t>
            </w:r>
          </w:p>
        </w:tc>
      </w:tr>
      <w:tr w:rsidR="00165DEA" w14:paraId="27C1BCF8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D5904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0C9F1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4081D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EFA9D2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7B41D8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Federal Financial Relations Act 2009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9EDC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128,947,370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4FF1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135,650,021</w:t>
            </w:r>
          </w:p>
        </w:tc>
      </w:tr>
      <w:tr w:rsidR="00165DEA" w14:paraId="76B57F8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6B9072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156D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DE98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6B554D9D" w14:textId="77777777" w:rsidTr="00165DEA">
        <w:trPr>
          <w:trHeight w:hRule="exact" w:val="39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EACF9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Guarantee of Lending to Small and Medium Enterprises (Coronavirus Economic Response Package) Act 2020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2B84E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67,812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95E3E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50,724</w:t>
            </w:r>
          </w:p>
        </w:tc>
      </w:tr>
      <w:tr w:rsidR="00165DEA" w14:paraId="1D645A3B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8F766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BEE6C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A8161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60F58C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6563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Help to Buy Act 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71C9A" w14:textId="64C5087B" w:rsidR="00165DEA" w:rsidRDefault="0035365D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6133D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1,315,268</w:t>
            </w:r>
          </w:p>
        </w:tc>
      </w:tr>
      <w:tr w:rsidR="00165DEA" w14:paraId="14BE8B1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CD029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914D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1B94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4768BB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B2CE6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Housing Australia Act 2018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6663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B62B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1,947</w:t>
            </w:r>
          </w:p>
        </w:tc>
      </w:tr>
      <w:tr w:rsidR="00165DEA" w14:paraId="48254074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DB2D9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71F87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4CC0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902F01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67649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International Monetary Agreements Act 1947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4A7A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1,267,268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F1C44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621,229</w:t>
            </w:r>
          </w:p>
        </w:tc>
      </w:tr>
      <w:tr w:rsidR="00165DEA" w14:paraId="5D3377D7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1939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7337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8F080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53D8B8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94CA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Department of the Treasury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4E321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130,579,983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E4F95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137,680,454</w:t>
            </w:r>
          </w:p>
        </w:tc>
      </w:tr>
      <w:tr w:rsidR="00165DEA" w14:paraId="74B3779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1E20C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CDD6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272B4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584DED1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EC16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Competition and Consumer Commission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4F6502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30BF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EB46095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8DBC0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38AF3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A6526A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36BBCA63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EA1730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844D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C67D2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165DEA" w14:paraId="726BECB9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4FF88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FF401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AB0C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4866B87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6564C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Competition and Consumer Commission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D7EB9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764D7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165DEA" w14:paraId="1F7B013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7F4B5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3955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5701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6B965B1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EB9944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Office of Financial Management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39535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FBB04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4EC2E24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1B55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06636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06B58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01D6779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00A20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Commonwealth Inscribed Stock Act 1911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412DE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282,868,714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8B3E0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699,047,818</w:t>
            </w:r>
          </w:p>
        </w:tc>
      </w:tr>
      <w:tr w:rsidR="00165DEA" w14:paraId="27E5367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B6C3C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1A70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F17A1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D95394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868D4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Financial Agreement Act 1994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8A4A7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57423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165DEA" w14:paraId="3A90298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C2992E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7B4B6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7C7F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C2BF02E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4DF41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Office of Financial Management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458C9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282,868,725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2F5DB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699,047,829</w:t>
            </w:r>
          </w:p>
        </w:tc>
      </w:tr>
      <w:tr w:rsidR="00165DEA" w14:paraId="2962810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A9EA5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90702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2AC8B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14906E48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FBAE26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Securities and Investments Commission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54B6C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F4DB5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D682AF6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37E6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75CCE6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28153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818FB15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450918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Banking Act 1959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A9C81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113,082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D3094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114,114</w:t>
            </w:r>
          </w:p>
        </w:tc>
      </w:tr>
      <w:tr w:rsidR="00165DEA" w14:paraId="683D8BAA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65373C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04D42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4B064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2BE0D42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23F4D7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Life Insurance Act 1995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74AE27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11,953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49E40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11,702</w:t>
            </w:r>
          </w:p>
        </w:tc>
      </w:tr>
      <w:tr w:rsidR="00165DEA" w14:paraId="06CBD531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0F443D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B9B8E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706C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014D8C1B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E648F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49EC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C60E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64,653</w:t>
            </w:r>
          </w:p>
        </w:tc>
      </w:tr>
      <w:tr w:rsidR="00165DEA" w14:paraId="61E3A14C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49EA9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476B6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F06C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5EC72D1E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AFCE3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Securities and Investments Commission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77D4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197,059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DF0B7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190,469</w:t>
            </w:r>
          </w:p>
        </w:tc>
      </w:tr>
    </w:tbl>
    <w:p w14:paraId="1A1AB8C9" w14:textId="77777777" w:rsidR="00165DEA" w:rsidRDefault="00165DEA" w:rsidP="00165DEA">
      <w:pPr>
        <w:pStyle w:val="GhostLine"/>
      </w:pPr>
    </w:p>
    <w:p w14:paraId="0E2FA52E" w14:textId="77777777" w:rsidR="00165DEA" w:rsidRDefault="00165DEA">
      <w:pPr>
        <w:spacing w:before="0" w:after="160" w:line="259" w:lineRule="auto"/>
        <w:rPr>
          <w:sz w:val="2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1426"/>
        <w:gridCol w:w="1426"/>
      </w:tblGrid>
      <w:tr w:rsidR="00165DEA" w14:paraId="039BDE30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E084FD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ACF5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Estimated Actual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D189A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Budget Estimate</w:t>
            </w:r>
          </w:p>
        </w:tc>
      </w:tr>
      <w:tr w:rsidR="00165DEA" w14:paraId="77436AB9" w14:textId="77777777" w:rsidTr="00165DEA">
        <w:trPr>
          <w:trHeight w:hRule="exact" w:val="22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7823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B93AE" w14:textId="2816F2DD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D6548" w14:textId="41073390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</w:tc>
      </w:tr>
      <w:tr w:rsidR="00165DEA" w14:paraId="10A8DEDC" w14:textId="77777777" w:rsidTr="00165DEA">
        <w:trPr>
          <w:trHeight w:hRule="exact" w:val="225"/>
        </w:trPr>
        <w:tc>
          <w:tcPr>
            <w:tcW w:w="484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226E0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7A6055" w14:textId="2F13E246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CE4137" w14:textId="2A122B56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($</w:t>
            </w:r>
            <w:r w:rsidR="0035365D">
              <w:rPr>
                <w:rFonts w:ascii="Arial" w:hAnsi="Arial" w:cs="Arial"/>
                <w:color w:val="000000"/>
                <w:sz w:val="16"/>
                <w:szCs w:val="16"/>
              </w:rPr>
              <w:t>’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000)</w:t>
            </w:r>
          </w:p>
        </w:tc>
      </w:tr>
      <w:tr w:rsidR="00165DEA" w14:paraId="5070A16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A50F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Australian Taxation Office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804881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A489D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16B94750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BC0C3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4EA6FE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695A47" w14:textId="77777777" w:rsidR="00165DEA" w:rsidRDefault="00165DEA" w:rsidP="00165DEA">
            <w:pPr>
              <w:spacing w:before="0"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165DEA" w14:paraId="5378388F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182A8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Product Grants and Benefits Administration Act 2000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2E428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102,753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AB9D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100,832</w:t>
            </w:r>
          </w:p>
        </w:tc>
      </w:tr>
      <w:tr w:rsidR="00165DEA" w14:paraId="38B0116C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1E9C6B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637FE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2D876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B013970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992D02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Public Governance, Performance and Accountability Act 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0783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F0FC06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120,000</w:t>
            </w:r>
          </w:p>
        </w:tc>
      </w:tr>
      <w:tr w:rsidR="00165DEA" w14:paraId="4148BE45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054D9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D58E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8ED6A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70BE2DB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830D7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Superannuation Guarantee (Administration) Act 1992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65E6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1,204,000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D16FE4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1,295,100</w:t>
            </w:r>
          </w:p>
        </w:tc>
      </w:tr>
      <w:tr w:rsidR="00165DEA" w14:paraId="70956372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EC553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DFE83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69D822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4A1E00A4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4F71D" w14:textId="77777777" w:rsidR="00165DEA" w:rsidRDefault="00165DEA" w:rsidP="00165DEA">
            <w:pPr>
              <w:spacing w:before="0" w:after="0" w:line="240" w:lineRule="auto"/>
              <w:ind w:left="17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Taxation Administration Act 1953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58E02F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17,204,296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9D644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17,397,966</w:t>
            </w:r>
          </w:p>
        </w:tc>
      </w:tr>
      <w:tr w:rsidR="00165DEA" w14:paraId="278FDA1F" w14:textId="77777777" w:rsidTr="00165DEA">
        <w:trPr>
          <w:trHeight w:hRule="exact" w:val="62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0B7A9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6B5CC8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341C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5DEA" w14:paraId="11B7948A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F94C7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Total: Australian Taxation Office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EB7500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18,631,049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4719E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18,913,898</w:t>
            </w:r>
          </w:p>
        </w:tc>
      </w:tr>
      <w:tr w:rsidR="00165DEA" w14:paraId="6C7C3CF9" w14:textId="77777777" w:rsidTr="00165DEA">
        <w:trPr>
          <w:trHeight w:hRule="exact" w:val="227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CA3950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05A155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B099B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65DEA" w14:paraId="21CAC1A2" w14:textId="77777777" w:rsidTr="00165DEA">
        <w:trPr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3C091A" w14:textId="77777777" w:rsidR="00165DEA" w:rsidRDefault="00165DEA" w:rsidP="00165DEA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Special appropriations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612F9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722,661,977</w:t>
            </w:r>
          </w:p>
        </w:tc>
        <w:tc>
          <w:tcPr>
            <w:tcW w:w="1420" w:type="dxa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829CEC" w14:textId="77777777" w:rsidR="00165DEA" w:rsidRDefault="00165DEA" w:rsidP="00165DEA">
            <w:pPr>
              <w:spacing w:before="0"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1,165,227,897</w:t>
            </w:r>
          </w:p>
        </w:tc>
      </w:tr>
    </w:tbl>
    <w:p w14:paraId="7A732AA8" w14:textId="77777777" w:rsidR="00165DEA" w:rsidRDefault="00165DEA" w:rsidP="00165DEA">
      <w:pPr>
        <w:pStyle w:val="GhostLine"/>
      </w:pPr>
    </w:p>
    <w:p w14:paraId="2F3861D3" w14:textId="77777777" w:rsidR="00165DEA" w:rsidRPr="00165DEA" w:rsidRDefault="00165DEA" w:rsidP="00165DEA">
      <w:pPr>
        <w:spacing w:before="0" w:after="160" w:line="259" w:lineRule="auto"/>
        <w:rPr>
          <w:sz w:val="2"/>
        </w:rPr>
      </w:pPr>
    </w:p>
    <w:sectPr w:rsidR="00165DEA" w:rsidRPr="00165DEA" w:rsidSect="002C1F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098" w:bottom="2466" w:left="2098" w:header="1814" w:footer="1814" w:gutter="0"/>
      <w:pgNumType w:start="1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A2DA" w14:textId="77777777" w:rsidR="000E15BD" w:rsidRDefault="000E15BD" w:rsidP="00E40261">
      <w:pPr>
        <w:spacing w:after="0" w:line="240" w:lineRule="auto"/>
      </w:pPr>
      <w:r>
        <w:separator/>
      </w:r>
    </w:p>
  </w:endnote>
  <w:endnote w:type="continuationSeparator" w:id="0">
    <w:p w14:paraId="2CBA6C98" w14:textId="77777777" w:rsidR="000E15BD" w:rsidRDefault="000E15BD" w:rsidP="00E40261">
      <w:pPr>
        <w:spacing w:after="0" w:line="240" w:lineRule="auto"/>
      </w:pPr>
      <w:r>
        <w:continuationSeparator/>
      </w:r>
    </w:p>
  </w:endnote>
  <w:endnote w:type="continuationNotice" w:id="1">
    <w:p w14:paraId="11D6BE98" w14:textId="77777777" w:rsidR="000E15BD" w:rsidRDefault="000E15B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s 721 BT">
    <w:altName w:val="Swiss 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9493" w14:textId="0397C5E7" w:rsidR="00192B85" w:rsidRDefault="00192B85" w:rsidP="00360947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fldSimple w:instr=" SUBJECT   \* MERGEFORMAT ">
      <w:r w:rsidR="00DD1866">
        <w:t>Special Appropriations Table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8077" w14:textId="5C06C1B0" w:rsidR="00192B85" w:rsidRDefault="00000000" w:rsidP="009F3CAB">
    <w:pPr>
      <w:pStyle w:val="FooterOdd"/>
    </w:pPr>
    <w:fldSimple w:instr=" SUBJECT   \* MERGEFORMAT ">
      <w:r w:rsidR="00DD1866">
        <w:t>Special Appropriations Table</w:t>
      </w:r>
    </w:fldSimple>
    <w:r w:rsidR="00192B85" w:rsidRPr="00081542">
      <w:t> | </w:t>
    </w:r>
    <w:r w:rsidR="00192B85" w:rsidRPr="00B3705D">
      <w:rPr>
        <w:b/>
        <w:bCs/>
      </w:rPr>
      <w:t xml:space="preserve">Page </w:t>
    </w:r>
    <w:r w:rsidR="00192B85" w:rsidRPr="00B3705D">
      <w:rPr>
        <w:b/>
        <w:bCs/>
      </w:rPr>
      <w:fldChar w:fldCharType="begin"/>
    </w:r>
    <w:r w:rsidR="00192B85" w:rsidRPr="00B3705D">
      <w:rPr>
        <w:b/>
        <w:bCs/>
      </w:rPr>
      <w:instrText xml:space="preserve"> PAGE  \* Arabic  \* MERGEFORMAT </w:instrText>
    </w:r>
    <w:r w:rsidR="00192B85" w:rsidRPr="00B3705D">
      <w:rPr>
        <w:b/>
        <w:bCs/>
      </w:rPr>
      <w:fldChar w:fldCharType="separate"/>
    </w:r>
    <w:r w:rsidR="00192B85">
      <w:rPr>
        <w:b/>
        <w:bCs/>
      </w:rPr>
      <w:t>1</w:t>
    </w:r>
    <w:r w:rsidR="00192B85" w:rsidRPr="00B370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48D1" w14:textId="799E5556" w:rsidR="00192B85" w:rsidRDefault="00000000" w:rsidP="00360947">
    <w:pPr>
      <w:pStyle w:val="FooterOdd"/>
    </w:pPr>
    <w:fldSimple w:instr=" SUBJECT   \* MERGEFORMAT ">
      <w:r w:rsidR="00DD1866">
        <w:t>Special Appropriations Table</w:t>
      </w:r>
    </w:fldSimple>
    <w:r w:rsidR="00192B85" w:rsidRPr="00081542">
      <w:t> | </w:t>
    </w:r>
    <w:r w:rsidR="00192B85" w:rsidRPr="00B3705D">
      <w:rPr>
        <w:b/>
        <w:bCs/>
      </w:rPr>
      <w:t xml:space="preserve">Page </w:t>
    </w:r>
    <w:r w:rsidR="00192B85" w:rsidRPr="00B3705D">
      <w:rPr>
        <w:b/>
        <w:bCs/>
      </w:rPr>
      <w:fldChar w:fldCharType="begin"/>
    </w:r>
    <w:r w:rsidR="00192B85" w:rsidRPr="00B3705D">
      <w:rPr>
        <w:b/>
        <w:bCs/>
      </w:rPr>
      <w:instrText xml:space="preserve"> PAGE  \* Arabic  \* MERGEFORMAT </w:instrText>
    </w:r>
    <w:r w:rsidR="00192B85" w:rsidRPr="00B3705D">
      <w:rPr>
        <w:b/>
        <w:bCs/>
      </w:rPr>
      <w:fldChar w:fldCharType="separate"/>
    </w:r>
    <w:r w:rsidR="00192B85">
      <w:rPr>
        <w:b/>
        <w:bCs/>
      </w:rPr>
      <w:t>1</w:t>
    </w:r>
    <w:r w:rsidR="00192B85" w:rsidRPr="00B3705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CC7F" w14:textId="77777777" w:rsidR="000E15BD" w:rsidRPr="003C1CA4" w:rsidRDefault="000E15BD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6C0A2B48" w14:textId="77777777" w:rsidR="000E15BD" w:rsidRDefault="000E15BD" w:rsidP="00E40261">
      <w:pPr>
        <w:spacing w:after="0" w:line="240" w:lineRule="auto"/>
      </w:pPr>
      <w:r>
        <w:continuationSeparator/>
      </w:r>
    </w:p>
  </w:footnote>
  <w:footnote w:type="continuationNotice" w:id="1">
    <w:p w14:paraId="647E8B4A" w14:textId="77777777" w:rsidR="000E15BD" w:rsidRDefault="000E15B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255D" w14:textId="1E4FD49E" w:rsidR="00192B85" w:rsidRPr="00AA5439" w:rsidRDefault="00192B85" w:rsidP="00AA5439">
    <w:pPr>
      <w:pStyle w:val="HeaderEven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192B85" w14:paraId="28E8EC7D" w14:textId="77777777" w:rsidTr="00192B85">
      <w:trPr>
        <w:trHeight w:hRule="exact" w:val="340"/>
      </w:trPr>
      <w:tc>
        <w:tcPr>
          <w:tcW w:w="7797" w:type="dxa"/>
        </w:tcPr>
        <w:p w14:paraId="5ADB44BD" w14:textId="63494923" w:rsidR="00192B85" w:rsidRPr="008C56E1" w:rsidRDefault="00192B85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0599164B" wp14:editId="198902A1">
                <wp:extent cx="864091" cy="198000"/>
                <wp:effectExtent l="0" t="0" r="0" b="0"/>
                <wp:docPr id="974694567" name="Picture 9746945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4694567" name="Picture 9746945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fldSimple w:instr=" TITLE   \* MERGEFORMAT ">
            <w:r w:rsidR="00DD1866">
              <w:t>Budget Paper No. 4</w:t>
            </w:r>
          </w:fldSimple>
        </w:p>
      </w:tc>
    </w:tr>
  </w:tbl>
  <w:p w14:paraId="0AC54B7C" w14:textId="77777777" w:rsidR="00192B85" w:rsidRPr="00AA5439" w:rsidRDefault="00192B85" w:rsidP="00AA5439">
    <w:pPr>
      <w:pStyle w:val="HeaderEven"/>
      <w:rPr>
        <w:sz w:val="2"/>
        <w:szCs w:val="4"/>
      </w:rPr>
    </w:pPr>
  </w:p>
  <w:p w14:paraId="4DED7FE1" w14:textId="77777777" w:rsidR="00192B85" w:rsidRPr="007703C7" w:rsidRDefault="00192B85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192B85" w14:paraId="18BB9C8A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2D4DB23D" w14:textId="28D649B0" w:rsidR="00192B85" w:rsidRPr="00D13BF9" w:rsidRDefault="00000000" w:rsidP="00D13BF9">
          <w:pPr>
            <w:pStyle w:val="HeaderOdd"/>
          </w:pPr>
          <w:fldSimple w:instr=" TITLE   \* MERGEFORMAT ">
            <w:r w:rsidR="00DD1866">
              <w:t>Budget Paper No. 4</w:t>
            </w:r>
          </w:fldSimple>
          <w:r w:rsidR="00192B85" w:rsidRPr="00081542">
            <w:t> | </w:t>
          </w:r>
          <w:r w:rsidR="00192B85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52E59828" wp14:editId="3836935C">
                <wp:extent cx="864091" cy="198000"/>
                <wp:effectExtent l="0" t="0" r="0" b="0"/>
                <wp:docPr id="15371864" name="Picture 153718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1864" name="Picture 153718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710D75" w14:textId="05C4F51F" w:rsidR="00192B85" w:rsidRPr="00562EDC" w:rsidRDefault="00192B85" w:rsidP="00562EDC">
    <w:pPr>
      <w:pStyle w:val="HeaderOdd"/>
      <w:jc w:val="left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701A" w14:textId="0F3E6C47" w:rsidR="00192B85" w:rsidRDefault="00192B85">
    <w:pPr>
      <w:pStyle w:val="Header"/>
      <w:rPr>
        <w:sz w:val="2"/>
        <w:szCs w:val="2"/>
      </w:rPr>
    </w:pPr>
  </w:p>
  <w:p w14:paraId="30E87581" w14:textId="77777777" w:rsidR="00192B85" w:rsidRDefault="00192B85">
    <w:pPr>
      <w:pStyle w:val="Header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192B85" w14:paraId="0BC8271E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60F0AA75" w14:textId="0A514373" w:rsidR="00192B85" w:rsidRPr="00D13BF9" w:rsidRDefault="00000000" w:rsidP="00D13BF9">
          <w:pPr>
            <w:pStyle w:val="HeaderOdd"/>
          </w:pPr>
          <w:fldSimple w:instr=" TITLE   \* MERGEFORMAT ">
            <w:r w:rsidR="00DD1866">
              <w:t>Budget Paper No. 4</w:t>
            </w:r>
          </w:fldSimple>
          <w:r w:rsidR="00192B85" w:rsidRPr="00081542">
            <w:t> | </w:t>
          </w:r>
          <w:r w:rsidR="00192B85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2B83B700" wp14:editId="20C00518">
                <wp:extent cx="864091" cy="198000"/>
                <wp:effectExtent l="0" t="0" r="0" b="0"/>
                <wp:docPr id="911287578" name="Picture 9112875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1287578" name="Picture 91128757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170DC" w14:textId="77777777" w:rsidR="00192B85" w:rsidRPr="005B2F30" w:rsidRDefault="00192B85">
    <w:pPr>
      <w:pStyle w:val="Header"/>
      <w:rPr>
        <w:sz w:val="2"/>
        <w:szCs w:val="2"/>
      </w:rPr>
    </w:pPr>
    <w:r w:rsidRPr="0069210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2420DC" wp14:editId="390D81F2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843381355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1FF50" w14:textId="181B1D3C" w:rsidR="00192B85" w:rsidRPr="00137C7E" w:rsidRDefault="00000000" w:rsidP="001D33D6">
                          <w:pPr>
                            <w:pStyle w:val="HeaderOdd"/>
                          </w:pPr>
                          <w:fldSimple w:instr=" TITLE   \* MERGEFORMAT ">
                            <w:r w:rsidR="00DD1866">
                              <w:t>Budget Paper No. 4</w:t>
                            </w:r>
                          </w:fldSimple>
                          <w:r w:rsidR="00192B85">
                            <w:t xml:space="preserve">  |  </w:t>
                          </w:r>
                          <w:r w:rsidR="00192B85" w:rsidRPr="000635BE">
                            <w:rPr>
                              <w:rFonts w:ascii="Arial Bold" w:hAnsi="Arial Bold"/>
                              <w:b/>
                              <w:bCs/>
                              <w:noProof/>
                              <w:position w:val="-10"/>
                            </w:rPr>
                            <w:drawing>
                              <wp:inline distT="0" distB="0" distL="0" distR="0" wp14:anchorId="0EF1F2C0" wp14:editId="019026F0">
                                <wp:extent cx="1000760" cy="228609"/>
                                <wp:effectExtent l="5080" t="0" r="0" b="0"/>
                                <wp:docPr id="1879132608" name="Picture 1879132608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9132608" name="Picture 187913260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000760" cy="22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420D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andscape Odd Header" style="position:absolute;margin-left:595.35pt;margin-top:0;width:31.45pt;height:38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" stroked="f">
              <v:textbox style="layout-flow:vertical" inset="0,0,0,.2mm">
                <w:txbxContent>
                  <w:p w14:paraId="2481FF50" w14:textId="181B1D3C" w:rsidR="00192B85" w:rsidRPr="00137C7E" w:rsidRDefault="00000000" w:rsidP="001D33D6">
                    <w:pPr>
                      <w:pStyle w:val="HeaderOdd"/>
                    </w:pPr>
                    <w:fldSimple w:instr=" TITLE   \* MERGEFORMAT ">
                      <w:r w:rsidR="00DD1866">
                        <w:t>Budget Paper No. 4</w:t>
                      </w:r>
                    </w:fldSimple>
                    <w:r w:rsidR="00192B85">
                      <w:t xml:space="preserve">  |  </w:t>
                    </w:r>
                    <w:r w:rsidR="00192B85" w:rsidRPr="000635BE">
                      <w:rPr>
                        <w:rFonts w:ascii="Arial Bold" w:hAnsi="Arial Bold"/>
                        <w:b/>
                        <w:bCs/>
                        <w:noProof/>
                        <w:position w:val="-10"/>
                      </w:rPr>
                      <w:drawing>
                        <wp:inline distT="0" distB="0" distL="0" distR="0" wp14:anchorId="0EF1F2C0" wp14:editId="019026F0">
                          <wp:extent cx="1000760" cy="228609"/>
                          <wp:effectExtent l="5080" t="0" r="0" b="0"/>
                          <wp:docPr id="1879132608" name="Picture 1879132608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9132608" name="Picture 1879132608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000760" cy="228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1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2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4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6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5226521">
    <w:abstractNumId w:val="13"/>
  </w:num>
  <w:num w:numId="2" w16cid:durableId="1014187106">
    <w:abstractNumId w:val="11"/>
  </w:num>
  <w:num w:numId="3" w16cid:durableId="1270892036">
    <w:abstractNumId w:val="10"/>
  </w:num>
  <w:num w:numId="4" w16cid:durableId="679085453">
    <w:abstractNumId w:val="12"/>
  </w:num>
  <w:num w:numId="5" w16cid:durableId="247927670">
    <w:abstractNumId w:val="15"/>
  </w:num>
  <w:num w:numId="6" w16cid:durableId="561061911">
    <w:abstractNumId w:val="10"/>
  </w:num>
  <w:num w:numId="7" w16cid:durableId="713698808">
    <w:abstractNumId w:val="10"/>
  </w:num>
  <w:num w:numId="8" w16cid:durableId="1128813006">
    <w:abstractNumId w:val="9"/>
  </w:num>
  <w:num w:numId="9" w16cid:durableId="1900745811">
    <w:abstractNumId w:val="7"/>
  </w:num>
  <w:num w:numId="10" w16cid:durableId="1482117710">
    <w:abstractNumId w:val="6"/>
  </w:num>
  <w:num w:numId="11" w16cid:durableId="1495149515">
    <w:abstractNumId w:val="5"/>
  </w:num>
  <w:num w:numId="12" w16cid:durableId="1308393448">
    <w:abstractNumId w:val="4"/>
  </w:num>
  <w:num w:numId="13" w16cid:durableId="2089961043">
    <w:abstractNumId w:val="8"/>
  </w:num>
  <w:num w:numId="14" w16cid:durableId="11807031">
    <w:abstractNumId w:val="3"/>
  </w:num>
  <w:num w:numId="15" w16cid:durableId="1706519560">
    <w:abstractNumId w:val="2"/>
  </w:num>
  <w:num w:numId="16" w16cid:durableId="1506361209">
    <w:abstractNumId w:val="1"/>
  </w:num>
  <w:num w:numId="17" w16cid:durableId="609625635">
    <w:abstractNumId w:val="0"/>
  </w:num>
  <w:num w:numId="18" w16cid:durableId="1680811745">
    <w:abstractNumId w:val="12"/>
  </w:num>
  <w:num w:numId="19" w16cid:durableId="13313284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068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4117965">
    <w:abstractNumId w:val="16"/>
  </w:num>
  <w:num w:numId="22" w16cid:durableId="511065324">
    <w:abstractNumId w:val="14"/>
  </w:num>
  <w:num w:numId="23" w16cid:durableId="154496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3691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A00B2C"/>
    <w:rsid w:val="000004EA"/>
    <w:rsid w:val="00011DBB"/>
    <w:rsid w:val="00013EA8"/>
    <w:rsid w:val="00024BA4"/>
    <w:rsid w:val="00035D8D"/>
    <w:rsid w:val="000546EB"/>
    <w:rsid w:val="00062060"/>
    <w:rsid w:val="000622DA"/>
    <w:rsid w:val="000635BE"/>
    <w:rsid w:val="00070457"/>
    <w:rsid w:val="0007571E"/>
    <w:rsid w:val="00081542"/>
    <w:rsid w:val="00083194"/>
    <w:rsid w:val="0008399A"/>
    <w:rsid w:val="0008597F"/>
    <w:rsid w:val="00090721"/>
    <w:rsid w:val="000A4760"/>
    <w:rsid w:val="000B26ED"/>
    <w:rsid w:val="000B38A8"/>
    <w:rsid w:val="000C25CF"/>
    <w:rsid w:val="000D78F4"/>
    <w:rsid w:val="000E105B"/>
    <w:rsid w:val="000E149B"/>
    <w:rsid w:val="000E15BD"/>
    <w:rsid w:val="000E523C"/>
    <w:rsid w:val="00103F65"/>
    <w:rsid w:val="001051B9"/>
    <w:rsid w:val="00111751"/>
    <w:rsid w:val="0011175D"/>
    <w:rsid w:val="00117B5F"/>
    <w:rsid w:val="001400DD"/>
    <w:rsid w:val="00140630"/>
    <w:rsid w:val="001472CA"/>
    <w:rsid w:val="00160928"/>
    <w:rsid w:val="00165DEA"/>
    <w:rsid w:val="00172CFE"/>
    <w:rsid w:val="0019115B"/>
    <w:rsid w:val="00192B85"/>
    <w:rsid w:val="001970E6"/>
    <w:rsid w:val="001A5A92"/>
    <w:rsid w:val="001A7712"/>
    <w:rsid w:val="001B3722"/>
    <w:rsid w:val="001B7232"/>
    <w:rsid w:val="001B734C"/>
    <w:rsid w:val="001C29BA"/>
    <w:rsid w:val="001C3B4C"/>
    <w:rsid w:val="001C5E21"/>
    <w:rsid w:val="001D0A1A"/>
    <w:rsid w:val="001D33D6"/>
    <w:rsid w:val="001E430E"/>
    <w:rsid w:val="001E6FD3"/>
    <w:rsid w:val="001F08E1"/>
    <w:rsid w:val="001F42C1"/>
    <w:rsid w:val="002028FB"/>
    <w:rsid w:val="00206A05"/>
    <w:rsid w:val="0020736B"/>
    <w:rsid w:val="00234C58"/>
    <w:rsid w:val="00237F04"/>
    <w:rsid w:val="00242462"/>
    <w:rsid w:val="00242479"/>
    <w:rsid w:val="0024521A"/>
    <w:rsid w:val="00250208"/>
    <w:rsid w:val="002661BF"/>
    <w:rsid w:val="00267200"/>
    <w:rsid w:val="002709D2"/>
    <w:rsid w:val="00281716"/>
    <w:rsid w:val="002A6A16"/>
    <w:rsid w:val="002B6106"/>
    <w:rsid w:val="002C1FD6"/>
    <w:rsid w:val="002C2097"/>
    <w:rsid w:val="002C3DEB"/>
    <w:rsid w:val="002C596C"/>
    <w:rsid w:val="002D3D8C"/>
    <w:rsid w:val="002D789E"/>
    <w:rsid w:val="002E10D6"/>
    <w:rsid w:val="002E638A"/>
    <w:rsid w:val="002E7B71"/>
    <w:rsid w:val="002F40F3"/>
    <w:rsid w:val="00303792"/>
    <w:rsid w:val="00304565"/>
    <w:rsid w:val="00305105"/>
    <w:rsid w:val="00322F7D"/>
    <w:rsid w:val="003303B0"/>
    <w:rsid w:val="003353DC"/>
    <w:rsid w:val="003421CD"/>
    <w:rsid w:val="003451F5"/>
    <w:rsid w:val="003478ED"/>
    <w:rsid w:val="003506C0"/>
    <w:rsid w:val="0035365D"/>
    <w:rsid w:val="00354B4B"/>
    <w:rsid w:val="00360947"/>
    <w:rsid w:val="00361FA1"/>
    <w:rsid w:val="00376330"/>
    <w:rsid w:val="00377927"/>
    <w:rsid w:val="00381D29"/>
    <w:rsid w:val="00382E3D"/>
    <w:rsid w:val="003950E4"/>
    <w:rsid w:val="003A3AC2"/>
    <w:rsid w:val="003A57C9"/>
    <w:rsid w:val="003B3670"/>
    <w:rsid w:val="003C1580"/>
    <w:rsid w:val="003C1CA4"/>
    <w:rsid w:val="003E632B"/>
    <w:rsid w:val="003E63A3"/>
    <w:rsid w:val="003F42F4"/>
    <w:rsid w:val="003F6C19"/>
    <w:rsid w:val="00410AC2"/>
    <w:rsid w:val="00410F94"/>
    <w:rsid w:val="00413365"/>
    <w:rsid w:val="00414D61"/>
    <w:rsid w:val="004233DE"/>
    <w:rsid w:val="004254F0"/>
    <w:rsid w:val="00430D04"/>
    <w:rsid w:val="004339F4"/>
    <w:rsid w:val="00433F61"/>
    <w:rsid w:val="004479B6"/>
    <w:rsid w:val="00447E2C"/>
    <w:rsid w:val="0046391C"/>
    <w:rsid w:val="0048563A"/>
    <w:rsid w:val="004A55FE"/>
    <w:rsid w:val="004A5FDD"/>
    <w:rsid w:val="004C3F27"/>
    <w:rsid w:val="004C40C8"/>
    <w:rsid w:val="004E368F"/>
    <w:rsid w:val="004F3FD9"/>
    <w:rsid w:val="004F60DD"/>
    <w:rsid w:val="00513FCE"/>
    <w:rsid w:val="005151D9"/>
    <w:rsid w:val="00532259"/>
    <w:rsid w:val="005476BD"/>
    <w:rsid w:val="00551E91"/>
    <w:rsid w:val="00557806"/>
    <w:rsid w:val="00562EDC"/>
    <w:rsid w:val="005642C7"/>
    <w:rsid w:val="0056515C"/>
    <w:rsid w:val="00566A71"/>
    <w:rsid w:val="00573E2D"/>
    <w:rsid w:val="00577A9F"/>
    <w:rsid w:val="00580067"/>
    <w:rsid w:val="00595E2F"/>
    <w:rsid w:val="005A1748"/>
    <w:rsid w:val="005A43A4"/>
    <w:rsid w:val="005A6F5F"/>
    <w:rsid w:val="005B2F30"/>
    <w:rsid w:val="005B3010"/>
    <w:rsid w:val="005B6E95"/>
    <w:rsid w:val="005D0ED7"/>
    <w:rsid w:val="005D23CB"/>
    <w:rsid w:val="005D6ADA"/>
    <w:rsid w:val="005E499A"/>
    <w:rsid w:val="005E4F85"/>
    <w:rsid w:val="005E792C"/>
    <w:rsid w:val="005F0777"/>
    <w:rsid w:val="0060305C"/>
    <w:rsid w:val="00614554"/>
    <w:rsid w:val="00614FC4"/>
    <w:rsid w:val="00622CDB"/>
    <w:rsid w:val="00646A27"/>
    <w:rsid w:val="00653D2B"/>
    <w:rsid w:val="006568AA"/>
    <w:rsid w:val="00664F1B"/>
    <w:rsid w:val="00666D0F"/>
    <w:rsid w:val="00677EBB"/>
    <w:rsid w:val="00680768"/>
    <w:rsid w:val="00682D05"/>
    <w:rsid w:val="00687C1A"/>
    <w:rsid w:val="00691396"/>
    <w:rsid w:val="00692105"/>
    <w:rsid w:val="00692BED"/>
    <w:rsid w:val="0069742D"/>
    <w:rsid w:val="006A37EE"/>
    <w:rsid w:val="006B468C"/>
    <w:rsid w:val="006B47F2"/>
    <w:rsid w:val="006C1494"/>
    <w:rsid w:val="006C3E1F"/>
    <w:rsid w:val="006C4809"/>
    <w:rsid w:val="006C4A90"/>
    <w:rsid w:val="006D4A4D"/>
    <w:rsid w:val="006D7D4C"/>
    <w:rsid w:val="006E7F46"/>
    <w:rsid w:val="006F46B6"/>
    <w:rsid w:val="00702304"/>
    <w:rsid w:val="00705472"/>
    <w:rsid w:val="0072449F"/>
    <w:rsid w:val="007413BC"/>
    <w:rsid w:val="0074527D"/>
    <w:rsid w:val="00754CF2"/>
    <w:rsid w:val="00755F34"/>
    <w:rsid w:val="007577B1"/>
    <w:rsid w:val="007703C7"/>
    <w:rsid w:val="00787DEE"/>
    <w:rsid w:val="00791275"/>
    <w:rsid w:val="007913DD"/>
    <w:rsid w:val="00792F0C"/>
    <w:rsid w:val="007C34E6"/>
    <w:rsid w:val="007D5AEF"/>
    <w:rsid w:val="007E7F04"/>
    <w:rsid w:val="007F7ACB"/>
    <w:rsid w:val="00823B64"/>
    <w:rsid w:val="008240F1"/>
    <w:rsid w:val="00824E07"/>
    <w:rsid w:val="008253FB"/>
    <w:rsid w:val="008303C7"/>
    <w:rsid w:val="008336E1"/>
    <w:rsid w:val="00856C62"/>
    <w:rsid w:val="0087230F"/>
    <w:rsid w:val="00881984"/>
    <w:rsid w:val="00881D59"/>
    <w:rsid w:val="00885620"/>
    <w:rsid w:val="008A164C"/>
    <w:rsid w:val="008A7A3E"/>
    <w:rsid w:val="008B050F"/>
    <w:rsid w:val="008C2AAD"/>
    <w:rsid w:val="008C56E1"/>
    <w:rsid w:val="008D3CA1"/>
    <w:rsid w:val="008D3EF8"/>
    <w:rsid w:val="008D3F8A"/>
    <w:rsid w:val="008D45DE"/>
    <w:rsid w:val="008D71E5"/>
    <w:rsid w:val="008E19CE"/>
    <w:rsid w:val="008E4967"/>
    <w:rsid w:val="008E7225"/>
    <w:rsid w:val="008F55F8"/>
    <w:rsid w:val="0093363A"/>
    <w:rsid w:val="009345C5"/>
    <w:rsid w:val="009401CC"/>
    <w:rsid w:val="0094345F"/>
    <w:rsid w:val="00943944"/>
    <w:rsid w:val="00943C8B"/>
    <w:rsid w:val="00945C29"/>
    <w:rsid w:val="0095269D"/>
    <w:rsid w:val="009526DA"/>
    <w:rsid w:val="009557C7"/>
    <w:rsid w:val="009804F5"/>
    <w:rsid w:val="00981E05"/>
    <w:rsid w:val="0098629D"/>
    <w:rsid w:val="00997029"/>
    <w:rsid w:val="009A553C"/>
    <w:rsid w:val="009A7DCC"/>
    <w:rsid w:val="009B286F"/>
    <w:rsid w:val="009B2CFA"/>
    <w:rsid w:val="009C37E9"/>
    <w:rsid w:val="009C3A40"/>
    <w:rsid w:val="009C4905"/>
    <w:rsid w:val="009D44CF"/>
    <w:rsid w:val="009D4ACD"/>
    <w:rsid w:val="009D7662"/>
    <w:rsid w:val="009E1C58"/>
    <w:rsid w:val="009E766A"/>
    <w:rsid w:val="009F3CAB"/>
    <w:rsid w:val="009F4D67"/>
    <w:rsid w:val="009F7BA9"/>
    <w:rsid w:val="00A00B2C"/>
    <w:rsid w:val="00A04475"/>
    <w:rsid w:val="00A11F5D"/>
    <w:rsid w:val="00A26245"/>
    <w:rsid w:val="00A267BA"/>
    <w:rsid w:val="00A268AC"/>
    <w:rsid w:val="00A27919"/>
    <w:rsid w:val="00A36880"/>
    <w:rsid w:val="00A40A63"/>
    <w:rsid w:val="00A52AFA"/>
    <w:rsid w:val="00A557FF"/>
    <w:rsid w:val="00A813C7"/>
    <w:rsid w:val="00A819BF"/>
    <w:rsid w:val="00A85845"/>
    <w:rsid w:val="00A87063"/>
    <w:rsid w:val="00AA5439"/>
    <w:rsid w:val="00AA71F1"/>
    <w:rsid w:val="00AB5E51"/>
    <w:rsid w:val="00AB63E5"/>
    <w:rsid w:val="00AC2FED"/>
    <w:rsid w:val="00AD68DA"/>
    <w:rsid w:val="00B051A6"/>
    <w:rsid w:val="00B05A49"/>
    <w:rsid w:val="00B26C0C"/>
    <w:rsid w:val="00B32C8B"/>
    <w:rsid w:val="00B62ED2"/>
    <w:rsid w:val="00B64A19"/>
    <w:rsid w:val="00B64B15"/>
    <w:rsid w:val="00B7067E"/>
    <w:rsid w:val="00B74134"/>
    <w:rsid w:val="00B742E3"/>
    <w:rsid w:val="00B75873"/>
    <w:rsid w:val="00B806F6"/>
    <w:rsid w:val="00B86CD7"/>
    <w:rsid w:val="00B90106"/>
    <w:rsid w:val="00B91AED"/>
    <w:rsid w:val="00B96A23"/>
    <w:rsid w:val="00BA22BA"/>
    <w:rsid w:val="00BA7246"/>
    <w:rsid w:val="00BB207D"/>
    <w:rsid w:val="00BB52EC"/>
    <w:rsid w:val="00BC4E72"/>
    <w:rsid w:val="00BD32AB"/>
    <w:rsid w:val="00BE2420"/>
    <w:rsid w:val="00BE712B"/>
    <w:rsid w:val="00BF5E88"/>
    <w:rsid w:val="00BF65C5"/>
    <w:rsid w:val="00C045FF"/>
    <w:rsid w:val="00C060D7"/>
    <w:rsid w:val="00C17DEB"/>
    <w:rsid w:val="00C21110"/>
    <w:rsid w:val="00C256C6"/>
    <w:rsid w:val="00C33129"/>
    <w:rsid w:val="00C4293F"/>
    <w:rsid w:val="00C44195"/>
    <w:rsid w:val="00C461BE"/>
    <w:rsid w:val="00C46E26"/>
    <w:rsid w:val="00C56A01"/>
    <w:rsid w:val="00C601D0"/>
    <w:rsid w:val="00C64CC1"/>
    <w:rsid w:val="00C758B7"/>
    <w:rsid w:val="00C75ABC"/>
    <w:rsid w:val="00C769D3"/>
    <w:rsid w:val="00C93398"/>
    <w:rsid w:val="00C9389A"/>
    <w:rsid w:val="00C94AB7"/>
    <w:rsid w:val="00C95B0C"/>
    <w:rsid w:val="00C97360"/>
    <w:rsid w:val="00CB05FB"/>
    <w:rsid w:val="00CC6004"/>
    <w:rsid w:val="00CF6112"/>
    <w:rsid w:val="00D00185"/>
    <w:rsid w:val="00D06436"/>
    <w:rsid w:val="00D13BF9"/>
    <w:rsid w:val="00D146F0"/>
    <w:rsid w:val="00D1656D"/>
    <w:rsid w:val="00D1685E"/>
    <w:rsid w:val="00D25C3B"/>
    <w:rsid w:val="00D27078"/>
    <w:rsid w:val="00D270F4"/>
    <w:rsid w:val="00D34F13"/>
    <w:rsid w:val="00D44F69"/>
    <w:rsid w:val="00D47C6E"/>
    <w:rsid w:val="00D51587"/>
    <w:rsid w:val="00D5569F"/>
    <w:rsid w:val="00D62928"/>
    <w:rsid w:val="00D81A31"/>
    <w:rsid w:val="00D82B0F"/>
    <w:rsid w:val="00D93796"/>
    <w:rsid w:val="00DA1DFB"/>
    <w:rsid w:val="00DA42A3"/>
    <w:rsid w:val="00DA58C6"/>
    <w:rsid w:val="00DB513A"/>
    <w:rsid w:val="00DD1866"/>
    <w:rsid w:val="00DD4EB2"/>
    <w:rsid w:val="00DE17C6"/>
    <w:rsid w:val="00DE504B"/>
    <w:rsid w:val="00DE71D2"/>
    <w:rsid w:val="00DF5A91"/>
    <w:rsid w:val="00E11FAE"/>
    <w:rsid w:val="00E21AEF"/>
    <w:rsid w:val="00E24377"/>
    <w:rsid w:val="00E40261"/>
    <w:rsid w:val="00E404C5"/>
    <w:rsid w:val="00E4685E"/>
    <w:rsid w:val="00E47746"/>
    <w:rsid w:val="00E66821"/>
    <w:rsid w:val="00E70282"/>
    <w:rsid w:val="00E71045"/>
    <w:rsid w:val="00E711C5"/>
    <w:rsid w:val="00E80210"/>
    <w:rsid w:val="00E81AFA"/>
    <w:rsid w:val="00E82647"/>
    <w:rsid w:val="00E85029"/>
    <w:rsid w:val="00E93DAE"/>
    <w:rsid w:val="00EA52E4"/>
    <w:rsid w:val="00EB6597"/>
    <w:rsid w:val="00EE4527"/>
    <w:rsid w:val="00EF1B7E"/>
    <w:rsid w:val="00EF338C"/>
    <w:rsid w:val="00EF4C8A"/>
    <w:rsid w:val="00F03839"/>
    <w:rsid w:val="00F11365"/>
    <w:rsid w:val="00F15C49"/>
    <w:rsid w:val="00F22903"/>
    <w:rsid w:val="00F24D4E"/>
    <w:rsid w:val="00F31924"/>
    <w:rsid w:val="00F362DE"/>
    <w:rsid w:val="00F3743A"/>
    <w:rsid w:val="00F51DA2"/>
    <w:rsid w:val="00F51F93"/>
    <w:rsid w:val="00F563AC"/>
    <w:rsid w:val="00F60EA1"/>
    <w:rsid w:val="00F84F40"/>
    <w:rsid w:val="00F85472"/>
    <w:rsid w:val="00F91216"/>
    <w:rsid w:val="00F93E1A"/>
    <w:rsid w:val="00FA7D31"/>
    <w:rsid w:val="00FB5DDD"/>
    <w:rsid w:val="00FC0F6C"/>
    <w:rsid w:val="00FC7371"/>
    <w:rsid w:val="00FE166D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249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2C1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1F42C1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1F42C1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1F42C1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1F42C1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1F42C1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1F42C1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1F42C1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1F42C1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F42C1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1F42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F42C1"/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1F42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F42C1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1F42C1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1F42C1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1F42C1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1F42C1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1F42C1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1F42C1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1F42C1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1F42C1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1F42C1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1F42C1"/>
    <w:pPr>
      <w:spacing w:before="0"/>
    </w:pPr>
    <w:rPr>
      <w:i/>
    </w:rPr>
  </w:style>
  <w:style w:type="paragraph" w:customStyle="1" w:styleId="AlphaParagraph">
    <w:name w:val="Alpha Paragraph"/>
    <w:basedOn w:val="Normal"/>
    <w:rsid w:val="001F42C1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rsid w:val="001F42C1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1F42C1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1F42C1"/>
    <w:pPr>
      <w:spacing w:before="120" w:after="120" w:line="240" w:lineRule="auto"/>
    </w:pPr>
  </w:style>
  <w:style w:type="paragraph" w:customStyle="1" w:styleId="BoxBullet">
    <w:name w:val="Box Bullet"/>
    <w:basedOn w:val="BoxText"/>
    <w:rsid w:val="001F42C1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1F42C1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1F42C1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qFormat/>
    <w:rsid w:val="001F42C1"/>
    <w:pPr>
      <w:numPr>
        <w:numId w:val="3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1F42C1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1F42C1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rsid w:val="001F42C1"/>
    <w:pPr>
      <w:keepNext w:val="0"/>
      <w:numPr>
        <w:numId w:val="19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1F42C1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1F42C1"/>
    <w:rPr>
      <w:sz w:val="20"/>
    </w:rPr>
  </w:style>
  <w:style w:type="paragraph" w:customStyle="1" w:styleId="TableLine">
    <w:name w:val="Table Line"/>
    <w:basedOn w:val="Normal"/>
    <w:next w:val="Normal"/>
    <w:autoRedefine/>
    <w:rsid w:val="001F42C1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1F42C1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1F42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F42C1"/>
  </w:style>
  <w:style w:type="character" w:customStyle="1" w:styleId="CommentTextChar">
    <w:name w:val="Comment Text Char"/>
    <w:basedOn w:val="DefaultParagraphFont"/>
    <w:link w:val="CommentText"/>
    <w:semiHidden/>
    <w:rsid w:val="001F42C1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F4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42C1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1F42C1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1F42C1"/>
    <w:rPr>
      <w:b/>
      <w:bCs/>
      <w:color w:val="auto"/>
    </w:rPr>
  </w:style>
  <w:style w:type="paragraph" w:customStyle="1" w:styleId="Dash">
    <w:name w:val="Dash"/>
    <w:basedOn w:val="Normal"/>
    <w:qFormat/>
    <w:rsid w:val="001F42C1"/>
    <w:pPr>
      <w:numPr>
        <w:ilvl w:val="1"/>
        <w:numId w:val="3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1F42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F42C1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1F42C1"/>
    <w:pPr>
      <w:numPr>
        <w:ilvl w:val="2"/>
        <w:numId w:val="3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1F42C1"/>
    <w:pPr>
      <w:spacing w:before="120" w:after="20"/>
    </w:pPr>
    <w:rPr>
      <w:b/>
      <w:sz w:val="20"/>
    </w:rPr>
  </w:style>
  <w:style w:type="paragraph" w:customStyle="1" w:styleId="FooterBase">
    <w:name w:val="Footer Base"/>
    <w:rsid w:val="001F42C1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1F42C1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1F42C1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1F42C1"/>
    <w:rPr>
      <w:vertAlign w:val="superscript"/>
    </w:rPr>
  </w:style>
  <w:style w:type="paragraph" w:styleId="FootnoteText">
    <w:name w:val="footnote text"/>
    <w:basedOn w:val="Normal"/>
    <w:link w:val="FootnoteTextChar"/>
    <w:rsid w:val="001F42C1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1F42C1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1F42C1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1F42C1"/>
    <w:pPr>
      <w:spacing w:after="0" w:line="240" w:lineRule="auto"/>
    </w:pPr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1F42C1"/>
  </w:style>
  <w:style w:type="paragraph" w:customStyle="1" w:styleId="HeaderOdd">
    <w:name w:val="Header Odd"/>
    <w:basedOn w:val="HeaderBase"/>
    <w:rsid w:val="001F42C1"/>
    <w:pPr>
      <w:jc w:val="right"/>
    </w:pPr>
  </w:style>
  <w:style w:type="character" w:customStyle="1" w:styleId="Heading1Char">
    <w:name w:val="Heading 1 Char"/>
    <w:basedOn w:val="DefaultParagraphFont"/>
    <w:link w:val="Heading1"/>
    <w:rsid w:val="001F42C1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1F42C1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1F42C1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1F42C1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1F42C1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1F42C1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1F42C1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1F42C1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1F42C1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1F42C1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1F42C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1F42C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1F42C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1F42C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1F42C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1F42C1"/>
    <w:pPr>
      <w:ind w:left="1800" w:hanging="200"/>
    </w:pPr>
  </w:style>
  <w:style w:type="paragraph" w:styleId="MacroText">
    <w:name w:val="macro"/>
    <w:link w:val="MacroTextChar"/>
    <w:unhideWhenUsed/>
    <w:rsid w:val="001F42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1F42C1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1F42C1"/>
    <w:pPr>
      <w:ind w:left="567"/>
    </w:pPr>
  </w:style>
  <w:style w:type="paragraph" w:customStyle="1" w:styleId="NoteTableHeading">
    <w:name w:val="Note Table Heading"/>
    <w:basedOn w:val="HeadingBase"/>
    <w:next w:val="Normal"/>
    <w:rsid w:val="001F42C1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1F42C1"/>
    <w:pPr>
      <w:spacing w:before="120" w:after="120" w:line="240" w:lineRule="auto"/>
    </w:pPr>
  </w:style>
  <w:style w:type="character" w:styleId="PageNumber">
    <w:name w:val="page number"/>
    <w:basedOn w:val="DefaultParagraphFont"/>
    <w:rsid w:val="001F42C1"/>
    <w:rPr>
      <w:rFonts w:ascii="Arial" w:hAnsi="Arial" w:cs="Arial"/>
    </w:rPr>
  </w:style>
  <w:style w:type="paragraph" w:customStyle="1" w:styleId="SingleParagraph">
    <w:name w:val="Single Paragraph"/>
    <w:basedOn w:val="Normal"/>
    <w:rsid w:val="001F42C1"/>
    <w:pPr>
      <w:spacing w:before="0" w:after="0"/>
    </w:pPr>
  </w:style>
  <w:style w:type="paragraph" w:customStyle="1" w:styleId="Source">
    <w:name w:val="Source"/>
    <w:basedOn w:val="Normal"/>
    <w:rsid w:val="001F42C1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1F42C1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1F42C1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1F42C1"/>
  </w:style>
  <w:style w:type="paragraph" w:customStyle="1" w:styleId="TableColumnHeadingRight">
    <w:name w:val="Table Column Heading Right"/>
    <w:basedOn w:val="TableColumnHeadingBase"/>
    <w:next w:val="Normal"/>
    <w:rsid w:val="001F42C1"/>
    <w:pPr>
      <w:jc w:val="right"/>
    </w:pPr>
  </w:style>
  <w:style w:type="paragraph" w:customStyle="1" w:styleId="TableGraphic">
    <w:name w:val="Table Graphic"/>
    <w:basedOn w:val="Normal"/>
    <w:next w:val="Normal"/>
    <w:rsid w:val="001F42C1"/>
    <w:pPr>
      <w:spacing w:after="0" w:line="240" w:lineRule="auto"/>
      <w:ind w:right="-113"/>
    </w:pPr>
  </w:style>
  <w:style w:type="table" w:styleId="TableGrid">
    <w:name w:val="Table Grid"/>
    <w:basedOn w:val="TableNormal"/>
    <w:rsid w:val="001F42C1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1F42C1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1F42C1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1F42C1"/>
  </w:style>
  <w:style w:type="paragraph" w:customStyle="1" w:styleId="TableTextBase">
    <w:name w:val="Table Text Base"/>
    <w:basedOn w:val="Normal"/>
    <w:rsid w:val="001F42C1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1F42C1"/>
    <w:pPr>
      <w:jc w:val="center"/>
    </w:pPr>
  </w:style>
  <w:style w:type="paragraph" w:customStyle="1" w:styleId="TableTextIndented">
    <w:name w:val="Table Text Indented"/>
    <w:basedOn w:val="TableTextBase"/>
    <w:rsid w:val="001F42C1"/>
    <w:pPr>
      <w:ind w:left="284"/>
    </w:pPr>
  </w:style>
  <w:style w:type="paragraph" w:customStyle="1" w:styleId="TableTextLeft">
    <w:name w:val="Table Text Left"/>
    <w:basedOn w:val="TableTextBase"/>
    <w:rsid w:val="001F42C1"/>
  </w:style>
  <w:style w:type="paragraph" w:customStyle="1" w:styleId="TableTextRight">
    <w:name w:val="Table Text Right"/>
    <w:basedOn w:val="TableTextBase"/>
    <w:rsid w:val="001F42C1"/>
    <w:pPr>
      <w:jc w:val="right"/>
    </w:pPr>
  </w:style>
  <w:style w:type="paragraph" w:styleId="TOAHeading">
    <w:name w:val="toa heading"/>
    <w:basedOn w:val="Normal"/>
    <w:next w:val="Normal"/>
    <w:rsid w:val="001F42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1F42C1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qFormat/>
    <w:rsid w:val="001F42C1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1F42C1"/>
    <w:pPr>
      <w:tabs>
        <w:tab w:val="right" w:leader="dot" w:pos="7700"/>
      </w:tabs>
      <w:spacing w:before="40"/>
      <w:ind w:left="992" w:right="851" w:hanging="992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1F42C1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1F42C1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1F42C1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1F42C1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1F42C1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1F42C1"/>
    <w:pPr>
      <w:ind w:left="1600"/>
    </w:pPr>
  </w:style>
  <w:style w:type="paragraph" w:customStyle="1" w:styleId="TPHeading1">
    <w:name w:val="TP Heading 1"/>
    <w:basedOn w:val="HeadingBase"/>
    <w:semiHidden/>
    <w:rsid w:val="001F42C1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1F42C1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1F42C1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1F42C1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1F42C1"/>
    <w:pPr>
      <w:spacing w:after="120"/>
    </w:pPr>
  </w:style>
  <w:style w:type="paragraph" w:customStyle="1" w:styleId="TPHEADING3space">
    <w:name w:val="TP HEADING 3 space"/>
    <w:basedOn w:val="TPHeading3"/>
    <w:semiHidden/>
    <w:rsid w:val="001F42C1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1F42C1"/>
    <w:rPr>
      <w:sz w:val="20"/>
    </w:rPr>
  </w:style>
  <w:style w:type="paragraph" w:customStyle="1" w:styleId="TPHEADING4space">
    <w:name w:val="TP HEADING 4 space"/>
    <w:basedOn w:val="TPHEADING3space"/>
    <w:semiHidden/>
    <w:rsid w:val="001F42C1"/>
  </w:style>
  <w:style w:type="paragraph" w:customStyle="1" w:styleId="ChartLine">
    <w:name w:val="Chart Line"/>
    <w:basedOn w:val="Normal"/>
    <w:autoRedefine/>
    <w:qFormat/>
    <w:rsid w:val="001F42C1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1F42C1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1F42C1"/>
    <w:rPr>
      <w:sz w:val="16"/>
    </w:rPr>
  </w:style>
  <w:style w:type="paragraph" w:customStyle="1" w:styleId="Box-continuedon">
    <w:name w:val="Box - continued on"/>
    <w:basedOn w:val="Normal"/>
    <w:qFormat/>
    <w:rsid w:val="001F42C1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1F42C1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1F42C1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1F42C1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1F42C1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1F42C1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1F42C1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1F42C1"/>
    <w:pPr>
      <w:spacing w:before="120" w:after="120"/>
    </w:pPr>
  </w:style>
  <w:style w:type="paragraph" w:customStyle="1" w:styleId="CreativeCommonsH1">
    <w:name w:val="Creative Commons H1"/>
    <w:basedOn w:val="Normal"/>
    <w:qFormat/>
    <w:rsid w:val="001F42C1"/>
    <w:pPr>
      <w:spacing w:before="18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1F42C1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1F42C1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1F42C1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qFormat/>
    <w:rsid w:val="001F42C1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qFormat/>
    <w:rsid w:val="001F42C1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1F42C1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192B8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92B85"/>
    <w:rPr>
      <w:rFonts w:ascii="Segoe UI" w:eastAsia="Times New Roman" w:hAnsi="Segoe UI" w:cs="Segoe UI"/>
      <w:sz w:val="18"/>
      <w:szCs w:val="1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806F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FA3CD0C9384883E202483A01CFD0" ma:contentTypeVersion="29" ma:contentTypeDescription="Create a new document." ma:contentTypeScope="" ma:versionID="802b58b1da4c87c67cb8f13d07b747fd">
  <xsd:schema xmlns:xsd="http://www.w3.org/2001/XMLSchema" xmlns:xs="http://www.w3.org/2001/XMLSchema" xmlns:p="http://schemas.microsoft.com/office/2006/metadata/properties" xmlns:ns1="http://schemas.microsoft.com/sharepoint/v3" xmlns:ns2="9115ddca-c623-419f-a3c0-6a1c58c4dac8" xmlns:ns3="244fe85f-b655-4145-9b20-543b75dc1c24" targetNamespace="http://schemas.microsoft.com/office/2006/metadata/properties" ma:root="true" ma:fieldsID="1fcf1c21f49c808727b3a378cd86067a" ns1:_="" ns2:_="" ns3:_="">
    <xsd:import namespace="http://schemas.microsoft.com/sharepoint/v3"/>
    <xsd:import namespace="9115ddca-c623-419f-a3c0-6a1c58c4dac8"/>
    <xsd:import namespace="244fe85f-b655-4145-9b20-543b75dc1c24"/>
    <xsd:element name="properties">
      <xsd:complexType>
        <xsd:sequence>
          <xsd:element name="documentManagement">
            <xsd:complexType>
              <xsd:all>
                <xsd:element ref="ns2:Image" minOccurs="0"/>
                <xsd:element ref="ns2:Status" minOccurs="0"/>
                <xsd:element ref="ns2:Notes" minOccurs="0"/>
                <xsd:element ref="ns2:_Flow_SignoffStatus" minOccurs="0"/>
                <xsd:element ref="ns3:Date_x005f_x0020_of_x005f_x0020_Creation" minOccurs="0"/>
                <xsd:element ref="ns2:MudmapEVID" minOccurs="0"/>
                <xsd:element ref="ns2:Letter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ddca-c623-419f-a3c0-6a1c58c4dac8" elementFormDefault="qualified">
    <xsd:import namespace="http://schemas.microsoft.com/office/2006/documentManagement/types"/>
    <xsd:import namespace="http://schemas.microsoft.com/office/infopath/2007/PartnerControls"/>
    <xsd:element name="Image" ma:index="3" nillable="true" ma:displayName="Image" ma:format="Thumbnail" ma:internalName="Image" ma:readOnly="false">
      <xsd:simpleType>
        <xsd:restriction base="dms:Unknown"/>
      </xsd:simpleType>
    </xsd:element>
    <xsd:element name="Status" ma:index="4" nillable="true" ma:displayName="Status" ma:format="Dropdown" ma:internalName="Status" ma:readOnly="false">
      <xsd:simpleType>
        <xsd:restriction base="dms:Choice">
          <xsd:enumeration value="With drafter"/>
          <xsd:enumeration value="With EB for comment"/>
          <xsd:enumeration value="With TO for comment"/>
          <xsd:enumeration value="With EB for final review"/>
          <xsd:enumeration value="With TO for final review"/>
          <xsd:enumeration value="With Treasurer for final review"/>
          <xsd:enumeration value="In sandy"/>
          <xsd:enumeration value="In hard close"/>
        </xsd:restriction>
      </xsd:simpleType>
    </xsd:element>
    <xsd:element name="Notes" ma:index="5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_Flow_SignoffStatus" ma:index="6" nillable="true" ma:displayName="Sign-off status" ma:format="Dropdown" ma:internalName="Sign_x002d_off_x0020_status" ma:readOnly="false">
      <xsd:simpleType>
        <xsd:restriction base="dms:Text">
          <xsd:maxLength value="255"/>
        </xsd:restriction>
      </xsd:simpleType>
    </xsd:element>
    <xsd:element name="MudmapEVID" ma:index="8" nillable="true" ma:displayName="Mudmap ID" ma:description="This is the ID in column A of the live Mudmap" ma:format="Dropdown" ma:internalName="MudmapEVID" ma:readOnly="false">
      <xsd:simpleType>
        <xsd:restriction base="dms:Text">
          <xsd:maxLength value="255"/>
        </xsd:restriction>
      </xsd:simpleType>
    </xsd:element>
    <xsd:element name="LetterID" ma:index="9" nillable="true" ma:displayName="Letter ID" ma:format="Dropdown" ma:internalName="LetterID" ma:readOnly="false">
      <xsd:simpleType>
        <xsd:restriction base="dms:Text">
          <xsd:maxLength value="255"/>
        </xsd:restriction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e85f-b655-4145-9b20-543b75dc1c24" elementFormDefault="qualified">
    <xsd:import namespace="http://schemas.microsoft.com/office/2006/documentManagement/types"/>
    <xsd:import namespace="http://schemas.microsoft.com/office/infopath/2007/PartnerControls"/>
    <xsd:element name="Date_x005f_x0020_of_x005f_x0020_Creation" ma:index="7" nillable="true" ma:displayName="Date of Creation" ma:format="DateOnly" ma:internalName="Date_x0020_of_x0020_Creation" ma:readOnly="false">
      <xsd:simpleType>
        <xsd:restriction base="dms:DateTime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eed413a1-1c23-4ed2-af48-854dd5cd0a31}" ma:internalName="TaxCatchAll" ma:readOnly="false" ma:showField="CatchAllData" ma:web="244fe85f-b655-4145-9b20-543b75dc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9115ddca-c623-419f-a3c0-6a1c58c4dac8" xsi:nil="true"/>
    <MudmapEVID xmlns="9115ddca-c623-419f-a3c0-6a1c58c4dac8" xsi:nil="true"/>
    <_ip_UnifiedCompliancePolicyProperties xmlns="http://schemas.microsoft.com/sharepoint/v3" xsi:nil="true"/>
    <TaxCatchAll xmlns="244fe85f-b655-4145-9b20-543b75dc1c24" xsi:nil="true"/>
    <Status xmlns="9115ddca-c623-419f-a3c0-6a1c58c4dac8" xsi:nil="true"/>
    <lcf76f155ced4ddcb4097134ff3c332f xmlns="9115ddca-c623-419f-a3c0-6a1c58c4dac8">
      <Terms xmlns="http://schemas.microsoft.com/office/infopath/2007/PartnerControls"/>
    </lcf76f155ced4ddcb4097134ff3c332f>
    <LetterID xmlns="9115ddca-c623-419f-a3c0-6a1c58c4dac8" xsi:nil="true"/>
    <Notes xmlns="9115ddca-c623-419f-a3c0-6a1c58c4dac8" xsi:nil="true"/>
    <Date_x005f_x0020_of_x005f_x0020_Creation xmlns="244fe85f-b655-4145-9b20-543b75dc1c24" xsi:nil="true"/>
    <Image xmlns="9115ddca-c623-419f-a3c0-6a1c58c4dac8" xsi:nil="true"/>
  </documentManagement>
</p:properties>
</file>

<file path=customXml/itemProps1.xml><?xml version="1.0" encoding="utf-8"?>
<ds:datastoreItem xmlns:ds="http://schemas.openxmlformats.org/officeDocument/2006/customXml" ds:itemID="{49D90C6F-CB8D-4A47-A7E9-58C10FF31393}"/>
</file>

<file path=customXml/itemProps2.xml><?xml version="1.0" encoding="utf-8"?>
<ds:datastoreItem xmlns:ds="http://schemas.openxmlformats.org/officeDocument/2006/customXml" ds:itemID="{52A4A637-DA98-4FE5-B07C-87A9B9BE3816}"/>
</file>

<file path=customXml/itemProps3.xml><?xml version="1.0" encoding="utf-8"?>
<ds:datastoreItem xmlns:ds="http://schemas.openxmlformats.org/officeDocument/2006/customXml" ds:itemID="{7DE7B3F2-9E2A-4C92-975A-664D6EA88C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2531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Paper No. 4</vt:lpstr>
    </vt:vector>
  </TitlesOfParts>
  <Company/>
  <LinksUpToDate>false</LinksUpToDate>
  <CharactersWithSpaces>16925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Paper No. 4</dc:title>
  <dc:subject>Special Appropriations Table</dc:subject>
  <dc:creator>Australian Government</dc:creator>
  <cp:keywords/>
  <dc:description/>
  <cp:lastModifiedBy/>
  <cp:revision>1</cp:revision>
  <dcterms:created xsi:type="dcterms:W3CDTF">2025-03-22T07:57:00Z</dcterms:created>
  <dcterms:modified xsi:type="dcterms:W3CDTF">2025-03-22T07:57:00Z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2025-03-22T07:57:56Z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0711ba6d-dfd6-4d7f-b4a1-c3e84968dc4a</vt:lpwstr>
  </property>
  <property fmtid="{D5CDD505-2E9C-101B-9397-08002B2CF9AE}" pid="8" name="MSIP_Label_4f932d64-9ab1-4d9b-81d2-a3a8b82dd47d_ContentBits">
    <vt:lpwstr>0</vt:lpwstr>
  </property>
  <property fmtid="{D5CDD505-2E9C-101B-9397-08002B2CF9AE}" pid="9" name="ContentTypeId">
    <vt:lpwstr>0x010100DA4EFA3CD0C9384883E202483A01CFD0</vt:lpwstr>
  </property>
</Properties>
</file>