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1C648" w14:textId="697A56F0" w:rsidR="00F1044A" w:rsidRPr="00752C40" w:rsidRDefault="00F1044A" w:rsidP="00752C40">
      <w:pPr>
        <w:pStyle w:val="Heading1"/>
      </w:pPr>
      <w:r w:rsidRPr="00752C40">
        <w:t>Part 3: Fiscal Strategy and Outlook</w:t>
      </w:r>
    </w:p>
    <w:p w14:paraId="43B0779F" w14:textId="2A1C1B1C" w:rsidR="00F1044A" w:rsidRPr="00954D98" w:rsidRDefault="00F1044A" w:rsidP="00F1044A">
      <w:pPr>
        <w:pStyle w:val="Heading2"/>
      </w:pPr>
      <w:bookmarkStart w:id="0" w:name="_Toc148428059"/>
      <w:r w:rsidRPr="00954D98">
        <w:t>Overview</w:t>
      </w:r>
      <w:bookmarkEnd w:id="0"/>
    </w:p>
    <w:p w14:paraId="6C107052" w14:textId="3911586E" w:rsidR="001429A1" w:rsidRPr="00297CF7" w:rsidRDefault="00FC6EF0" w:rsidP="00297CF7">
      <w:r w:rsidRPr="00297CF7">
        <w:t>The 2025–26 Mid</w:t>
      </w:r>
      <w:r w:rsidR="00536CFF">
        <w:noBreakHyphen/>
      </w:r>
      <w:r w:rsidRPr="00297CF7">
        <w:t xml:space="preserve">Year Economic and Fiscal Outlook (MYEFO) </w:t>
      </w:r>
      <w:r w:rsidR="001429A1" w:rsidRPr="00297CF7">
        <w:t>strengthens the budget, reduces debt and continues the Government</w:t>
      </w:r>
      <w:r w:rsidR="00536CFF">
        <w:t>’</w:t>
      </w:r>
      <w:r w:rsidR="001429A1" w:rsidRPr="00297CF7">
        <w:t xml:space="preserve">s responsible approach to economic and fiscal management. The </w:t>
      </w:r>
      <w:r w:rsidR="000739A7" w:rsidRPr="00297CF7">
        <w:t>underlying cash</w:t>
      </w:r>
      <w:r w:rsidR="001429A1" w:rsidRPr="00297CF7">
        <w:t xml:space="preserve"> deficit and debt are lower in every year </w:t>
      </w:r>
      <w:r w:rsidR="009438F1" w:rsidRPr="00297CF7">
        <w:t xml:space="preserve">of the forward estimates </w:t>
      </w:r>
      <w:r w:rsidR="001429A1" w:rsidRPr="00297CF7">
        <w:t>compared to forecasts in the 2025 Pre</w:t>
      </w:r>
      <w:r w:rsidR="00536CFF">
        <w:noBreakHyphen/>
      </w:r>
      <w:r w:rsidR="001429A1" w:rsidRPr="00297CF7">
        <w:t xml:space="preserve">Election Economic </w:t>
      </w:r>
      <w:r w:rsidR="00362FFB" w:rsidRPr="00297CF7">
        <w:t xml:space="preserve">and Fiscal </w:t>
      </w:r>
      <w:r w:rsidR="001429A1" w:rsidRPr="00297CF7">
        <w:t>Outlook (PEFO</w:t>
      </w:r>
      <w:r w:rsidR="00462672" w:rsidRPr="00297CF7">
        <w:t xml:space="preserve">); </w:t>
      </w:r>
      <w:r w:rsidR="001429A1" w:rsidRPr="00297CF7">
        <w:t>net policy decisions improve the budget position over the forward estimates</w:t>
      </w:r>
      <w:r w:rsidR="00462672" w:rsidRPr="00297CF7">
        <w:t>;</w:t>
      </w:r>
      <w:r w:rsidR="001429A1" w:rsidRPr="00297CF7">
        <w:t xml:space="preserve"> and </w:t>
      </w:r>
      <w:r w:rsidR="00C760EE" w:rsidRPr="00297CF7">
        <w:t>every dollar of the tax receipts upgrade has been returned to the budget.</w:t>
      </w:r>
    </w:p>
    <w:p w14:paraId="4DB1DB92" w14:textId="31AAC8CE" w:rsidR="001429A1" w:rsidRPr="00954D98" w:rsidRDefault="001429A1" w:rsidP="001429A1">
      <w:pPr>
        <w:tabs>
          <w:tab w:val="left" w:pos="2835"/>
        </w:tabs>
      </w:pPr>
      <w:r w:rsidRPr="00954D98">
        <w:t>This builds on the progress made on budget repair in the last term, where the Government delivered the largest nominal budget improvement in a single parliamentary term</w:t>
      </w:r>
      <w:r w:rsidR="00164CAA" w:rsidRPr="00954D98">
        <w:t>,</w:t>
      </w:r>
      <w:r w:rsidRPr="00954D98">
        <w:t xml:space="preserve"> delivered back</w:t>
      </w:r>
      <w:r w:rsidR="00536CFF">
        <w:noBreakHyphen/>
      </w:r>
      <w:r w:rsidRPr="00954D98">
        <w:t>to</w:t>
      </w:r>
      <w:r w:rsidR="00536CFF">
        <w:noBreakHyphen/>
      </w:r>
      <w:r w:rsidRPr="00954D98">
        <w:t>back surpluses in the first two years and a substantially lower deficit in the third year.</w:t>
      </w:r>
    </w:p>
    <w:p w14:paraId="1F9FC60A" w14:textId="1B6CA2B5" w:rsidR="00674300" w:rsidRPr="00954D98" w:rsidRDefault="00CA59F4" w:rsidP="00D162F4">
      <w:r w:rsidRPr="00954D98">
        <w:t>A</w:t>
      </w:r>
      <w:r w:rsidR="006B24E5" w:rsidRPr="00954D98">
        <w:t>n underlying cash</w:t>
      </w:r>
      <w:r w:rsidRPr="00954D98">
        <w:t xml:space="preserve"> deficit of $36.8 billion is forecast for 2025–26, $5.4 billion lower than expected at the 2025</w:t>
      </w:r>
      <w:r w:rsidR="00C14CB1" w:rsidRPr="00954D98">
        <w:t> </w:t>
      </w:r>
      <w:r w:rsidRPr="00954D98">
        <w:t>PEFO</w:t>
      </w:r>
      <w:r w:rsidR="002A2FCC" w:rsidRPr="00954D98">
        <w:t>.</w:t>
      </w:r>
      <w:r w:rsidR="00D162F4" w:rsidRPr="00954D98">
        <w:t xml:space="preserve"> The</w:t>
      </w:r>
      <w:r w:rsidR="003D6D30" w:rsidRPr="00954D98">
        <w:t> </w:t>
      </w:r>
      <w:r w:rsidR="0025096D" w:rsidRPr="00954D98">
        <w:t xml:space="preserve">underlying cash balance </w:t>
      </w:r>
      <w:r w:rsidR="00D162F4" w:rsidRPr="00954D98">
        <w:t>has improved by</w:t>
      </w:r>
      <w:r w:rsidR="00D55E8B" w:rsidRPr="00954D98">
        <w:t xml:space="preserve"> a cumulative</w:t>
      </w:r>
      <w:r w:rsidR="00D162F4" w:rsidRPr="00954D98" w:rsidDel="001B7F25">
        <w:t xml:space="preserve"> </w:t>
      </w:r>
      <w:r w:rsidR="00D162F4" w:rsidRPr="00954D98">
        <w:t>$</w:t>
      </w:r>
      <w:r w:rsidR="008121A6" w:rsidRPr="00954D98">
        <w:t>8</w:t>
      </w:r>
      <w:r w:rsidR="00D162F4" w:rsidRPr="00954D98">
        <w:t>.4 billion over the forward estimates compared to the 2025 PEFO. Relative to the 2022</w:t>
      </w:r>
      <w:r w:rsidR="0070160A" w:rsidRPr="00954D98">
        <w:t> </w:t>
      </w:r>
      <w:r w:rsidR="00D162F4" w:rsidRPr="00954D98">
        <w:t>PEFO, the underlying cash balance is forecast to improve by $</w:t>
      </w:r>
      <w:r w:rsidR="002E175D" w:rsidRPr="00954D98">
        <w:t>233.5</w:t>
      </w:r>
      <w:r w:rsidR="00D162F4" w:rsidRPr="00954D98">
        <w:t xml:space="preserve"> billion over the seven years to 2028</w:t>
      </w:r>
      <w:r w:rsidR="00514CFE" w:rsidRPr="00954D98">
        <w:rPr>
          <w:w w:val="1"/>
        </w:rPr>
        <w:t> </w:t>
      </w:r>
      <w:r w:rsidR="00514CFE" w:rsidRPr="00954D98">
        <w:t>–</w:t>
      </w:r>
      <w:r w:rsidR="00514CFE" w:rsidRPr="00954D98">
        <w:rPr>
          <w:w w:val="1"/>
        </w:rPr>
        <w:t> </w:t>
      </w:r>
      <w:r w:rsidR="00D162F4" w:rsidRPr="00954D98">
        <w:t xml:space="preserve">29 and gross debt is expected to be </w:t>
      </w:r>
      <w:r w:rsidR="000D2BC5" w:rsidRPr="00954D98">
        <w:t>$176</w:t>
      </w:r>
      <w:r w:rsidR="00D162F4" w:rsidRPr="00954D98">
        <w:t xml:space="preserve"> billion lower in </w:t>
      </w:r>
      <w:proofErr w:type="gramStart"/>
      <w:r w:rsidR="000D2BC5" w:rsidRPr="00954D98">
        <w:t>2025</w:t>
      </w:r>
      <w:r w:rsidR="000D2BC5" w:rsidRPr="00954D98">
        <w:rPr>
          <w:w w:val="1"/>
        </w:rPr>
        <w:t> </w:t>
      </w:r>
      <w:r w:rsidR="00DA761A" w:rsidRPr="00954D98">
        <w:rPr>
          <w:w w:val="1"/>
        </w:rPr>
        <w:t xml:space="preserve"> </w:t>
      </w:r>
      <w:r w:rsidR="000D2BC5" w:rsidRPr="00954D98">
        <w:t>–</w:t>
      </w:r>
      <w:proofErr w:type="gramEnd"/>
      <w:r w:rsidR="000D2BC5" w:rsidRPr="00954D98">
        <w:rPr>
          <w:w w:val="1"/>
        </w:rPr>
        <w:t> </w:t>
      </w:r>
      <w:r w:rsidR="000D2BC5" w:rsidRPr="00954D98">
        <w:t>26</w:t>
      </w:r>
      <w:r w:rsidR="00D162F4" w:rsidRPr="00954D98">
        <w:t>.</w:t>
      </w:r>
      <w:r w:rsidR="008E3572" w:rsidRPr="00954D98">
        <w:t xml:space="preserve"> </w:t>
      </w:r>
    </w:p>
    <w:p w14:paraId="0D8EC522" w14:textId="59702966" w:rsidR="001429A1" w:rsidRPr="00954D98" w:rsidRDefault="001429A1" w:rsidP="001429A1">
      <w:r w:rsidRPr="00954D98">
        <w:t>The Government</w:t>
      </w:r>
      <w:r w:rsidR="00536CFF">
        <w:t>’</w:t>
      </w:r>
      <w:r w:rsidRPr="00954D98">
        <w:t>s fiscal discipline has reduced gross debt in every year of the forward estimates compared to the 2025 PEFO</w:t>
      </w:r>
      <w:r w:rsidR="00867F18" w:rsidRPr="00954D98">
        <w:t>.</w:t>
      </w:r>
      <w:r w:rsidRPr="00954D98">
        <w:t xml:space="preserve"> Gross debt is expected to be $993</w:t>
      </w:r>
      <w:r w:rsidR="002C1056" w:rsidRPr="00954D98">
        <w:t> </w:t>
      </w:r>
      <w:r w:rsidRPr="00954D98">
        <w:t>billion by the end of 2025</w:t>
      </w:r>
      <w:r w:rsidR="00CD282A" w:rsidRPr="00954D98">
        <w:rPr>
          <w:w w:val="1"/>
        </w:rPr>
        <w:t> </w:t>
      </w:r>
      <w:r w:rsidR="00CD282A" w:rsidRPr="00954D98">
        <w:t>–</w:t>
      </w:r>
      <w:r w:rsidR="00CD282A" w:rsidRPr="00954D98">
        <w:rPr>
          <w:w w:val="1"/>
        </w:rPr>
        <w:t> </w:t>
      </w:r>
      <w:r w:rsidRPr="00954D98">
        <w:t>26.</w:t>
      </w:r>
      <w:r w:rsidR="00A167DE" w:rsidRPr="00954D98">
        <w:t xml:space="preserve"> It</w:t>
      </w:r>
      <w:r w:rsidR="00604851" w:rsidRPr="00954D98">
        <w:t xml:space="preserve"> </w:t>
      </w:r>
      <w:r w:rsidR="00521FB2" w:rsidRPr="00954D98">
        <w:t xml:space="preserve">is </w:t>
      </w:r>
      <w:r w:rsidR="00604851" w:rsidRPr="00954D98">
        <w:t>projected to peak at 37.0 per cent at 30 June 2031 and then fall to 33.0</w:t>
      </w:r>
      <w:r w:rsidR="000A5CC9" w:rsidRPr="00954D98">
        <w:t> </w:t>
      </w:r>
      <w:r w:rsidR="00604851" w:rsidRPr="00954D98">
        <w:t>per</w:t>
      </w:r>
      <w:r w:rsidR="000A5CC9" w:rsidRPr="00954D98">
        <w:t> </w:t>
      </w:r>
      <w:r w:rsidR="00604851" w:rsidRPr="00954D98">
        <w:t>cent at 30 June 2036. Gross debt is expected to peak at the same level as the 2025</w:t>
      </w:r>
      <w:r w:rsidR="00F46AC8" w:rsidRPr="00954D98">
        <w:t> </w:t>
      </w:r>
      <w:r w:rsidR="00604851" w:rsidRPr="00954D98">
        <w:t>PEFO and 7.9 percentage points lower than the forecast peak at the 2022 PEFO.</w:t>
      </w:r>
      <w:r w:rsidR="00847045" w:rsidRPr="00954D98">
        <w:t xml:space="preserve"> </w:t>
      </w:r>
      <w:r w:rsidRPr="00954D98">
        <w:t>The</w:t>
      </w:r>
      <w:r w:rsidR="00A71E4C" w:rsidRPr="00954D98">
        <w:t> </w:t>
      </w:r>
      <w:r w:rsidRPr="00954D98">
        <w:t xml:space="preserve">improvements to gross debt since the </w:t>
      </w:r>
      <w:r w:rsidR="00283AAA" w:rsidRPr="00954D98">
        <w:t xml:space="preserve">Government came to office </w:t>
      </w:r>
      <w:r w:rsidRPr="00954D98">
        <w:t xml:space="preserve">means </w:t>
      </w:r>
      <w:r w:rsidR="00BC34AD" w:rsidRPr="00954D98">
        <w:t xml:space="preserve">more than </w:t>
      </w:r>
      <w:r w:rsidRPr="00954D98">
        <w:t>$</w:t>
      </w:r>
      <w:r w:rsidR="00B706C9" w:rsidRPr="00954D98">
        <w:t>6</w:t>
      </w:r>
      <w:r w:rsidR="00BC34AD" w:rsidRPr="00954D98">
        <w:t>0</w:t>
      </w:r>
      <w:r w:rsidR="00A20390" w:rsidRPr="00954D98">
        <w:t> </w:t>
      </w:r>
      <w:r w:rsidRPr="00954D98">
        <w:t>billion of interest costs are avoided over the 11</w:t>
      </w:r>
      <w:r w:rsidR="00255F33" w:rsidRPr="00954D98">
        <w:t> </w:t>
      </w:r>
      <w:r w:rsidRPr="00954D98">
        <w:t>years to 2032</w:t>
      </w:r>
      <w:r w:rsidR="00A946F2" w:rsidRPr="00954D98">
        <w:t>–</w:t>
      </w:r>
      <w:r w:rsidR="00C8184C" w:rsidRPr="00954D98">
        <w:rPr>
          <w:w w:val="1"/>
        </w:rPr>
        <w:t> </w:t>
      </w:r>
      <w:r w:rsidRPr="00954D98">
        <w:t xml:space="preserve">33. </w:t>
      </w:r>
    </w:p>
    <w:p w14:paraId="392D5975" w14:textId="02A45B05" w:rsidR="001429A1" w:rsidRPr="00954D98" w:rsidRDefault="001429A1" w:rsidP="001429A1">
      <w:r w:rsidRPr="00954D98">
        <w:t xml:space="preserve">The Government has delivered this improvement to the budget through </w:t>
      </w:r>
      <w:r w:rsidR="0028501D" w:rsidRPr="00954D98">
        <w:t xml:space="preserve">restraining </w:t>
      </w:r>
      <w:r w:rsidRPr="00954D98">
        <w:t xml:space="preserve">spending, identifying savings and returning </w:t>
      </w:r>
      <w:r w:rsidR="002C59C2" w:rsidRPr="00954D98">
        <w:t>the entire</w:t>
      </w:r>
      <w:r w:rsidRPr="00954D98">
        <w:t xml:space="preserve"> </w:t>
      </w:r>
      <w:r w:rsidR="000E6E67" w:rsidRPr="00954D98">
        <w:t xml:space="preserve">tax receipts </w:t>
      </w:r>
      <w:r w:rsidRPr="00954D98">
        <w:t xml:space="preserve">upgrade to the </w:t>
      </w:r>
      <w:r w:rsidR="00A54CF4" w:rsidRPr="00954D98">
        <w:t>budget</w:t>
      </w:r>
      <w:r w:rsidR="005B28B2" w:rsidRPr="00954D98">
        <w:t>.</w:t>
      </w:r>
      <w:r w:rsidR="005D3B7D" w:rsidRPr="00954D98">
        <w:t xml:space="preserve"> </w:t>
      </w:r>
      <w:r w:rsidRPr="00954D98">
        <w:t>For the first time in eight years, net policy decisions in this MYEFO are positive</w:t>
      </w:r>
      <w:r w:rsidR="00857F0A" w:rsidRPr="00954D98">
        <w:t xml:space="preserve">, improving </w:t>
      </w:r>
      <w:r w:rsidRPr="00954D98">
        <w:t>the budget position by $2.</w:t>
      </w:r>
      <w:r w:rsidR="007E7C9B" w:rsidRPr="00954D98">
        <w:t>2</w:t>
      </w:r>
      <w:r w:rsidR="00473327" w:rsidRPr="00954D98">
        <w:t> </w:t>
      </w:r>
      <w:r w:rsidRPr="00954D98">
        <w:t xml:space="preserve">billion over the forward estimates. </w:t>
      </w:r>
      <w:r w:rsidR="00387AC1" w:rsidRPr="00954D98">
        <w:t>As a result, the Government has returned every single dollar of the tax receipts upgrade to the budget, something that has not happened for more than a decade and a half.</w:t>
      </w:r>
      <w:r w:rsidR="00485044" w:rsidRPr="00954D98">
        <w:t xml:space="preserve"> </w:t>
      </w:r>
      <w:r w:rsidR="00387AC1" w:rsidRPr="00954D98">
        <w:t xml:space="preserve">The Government has also identified a further $20.0 billion in savings and reprioritisations, taking the total under this Government to $114.1 billion. </w:t>
      </w:r>
      <w:r w:rsidRPr="00954D98">
        <w:t xml:space="preserve">Since coming to Government, a cumulative 72 per cent of tax upgrades have been returned to the budget. </w:t>
      </w:r>
    </w:p>
    <w:p w14:paraId="1BCDA882" w14:textId="3F01EBC9" w:rsidR="004F1658" w:rsidRPr="004F1658" w:rsidRDefault="004F1658" w:rsidP="001429A1">
      <w:r w:rsidRPr="00954D98">
        <w:t>The Government</w:t>
      </w:r>
      <w:r w:rsidR="00536CFF">
        <w:t>’</w:t>
      </w:r>
      <w:r w:rsidRPr="00954D98">
        <w:t>s record of spending restraint has continued in this MYEFO, with real growth in payments averaging 1.7 per cent per year over the seven years to 2028–29, around half of the 30</w:t>
      </w:r>
      <w:r w:rsidR="00536CFF">
        <w:noBreakHyphen/>
      </w:r>
      <w:r w:rsidRPr="00954D98">
        <w:t>year average of 3.3 per cent.</w:t>
      </w:r>
      <w:r w:rsidRPr="00954D98" w:rsidDel="009D0351">
        <w:rPr>
          <w:color w:val="FF0000"/>
        </w:rPr>
        <w:t xml:space="preserve"> </w:t>
      </w:r>
      <w:r w:rsidRPr="00954D98">
        <w:t>Payments as a share of GDP are forecast to fall over the forward estimates, declining from 26.9 per cent of GDP in 2025</w:t>
      </w:r>
      <w:r w:rsidRPr="00954D98">
        <w:rPr>
          <w:w w:val="1"/>
        </w:rPr>
        <w:t> </w:t>
      </w:r>
      <w:r w:rsidRPr="00954D98">
        <w:t>–</w:t>
      </w:r>
      <w:r w:rsidRPr="00954D98">
        <w:rPr>
          <w:w w:val="1"/>
        </w:rPr>
        <w:t> </w:t>
      </w:r>
      <w:r w:rsidRPr="00954D98">
        <w:t>26 to 26.5 per cent of GDP by 2028</w:t>
      </w:r>
      <w:r w:rsidRPr="00954D98">
        <w:rPr>
          <w:w w:val="1"/>
        </w:rPr>
        <w:t> </w:t>
      </w:r>
      <w:r w:rsidRPr="00954D98">
        <w:t>–</w:t>
      </w:r>
      <w:r w:rsidRPr="00954D98">
        <w:rPr>
          <w:w w:val="1"/>
        </w:rPr>
        <w:t> </w:t>
      </w:r>
      <w:r w:rsidRPr="00954D98">
        <w:t>29.</w:t>
      </w:r>
    </w:p>
    <w:p w14:paraId="3BC6563F" w14:textId="2708B5EC" w:rsidR="001429A1" w:rsidRPr="00954D98" w:rsidDel="00C432FD" w:rsidRDefault="001429A1" w:rsidP="001429A1">
      <w:r w:rsidRPr="00954D98" w:rsidDel="00C432FD">
        <w:rPr>
          <w:rFonts w:asciiTheme="minorHAnsi" w:eastAsiaTheme="minorEastAsia" w:hAnsiTheme="minorHAnsi" w:cstheme="minorBidi"/>
          <w:szCs w:val="19"/>
        </w:rPr>
        <w:lastRenderedPageBreak/>
        <w:t>The Government</w:t>
      </w:r>
      <w:r w:rsidR="00536CFF">
        <w:rPr>
          <w:rFonts w:asciiTheme="minorHAnsi" w:eastAsiaTheme="minorEastAsia" w:hAnsiTheme="minorHAnsi" w:cstheme="minorBidi"/>
          <w:szCs w:val="19"/>
        </w:rPr>
        <w:t>’</w:t>
      </w:r>
      <w:r w:rsidRPr="00954D98" w:rsidDel="00C432FD">
        <w:rPr>
          <w:rFonts w:asciiTheme="minorHAnsi" w:eastAsiaTheme="minorEastAsia" w:hAnsiTheme="minorHAnsi" w:cstheme="minorBidi"/>
          <w:szCs w:val="19"/>
        </w:rPr>
        <w:t xml:space="preserve">s fiscal settings are consistent with </w:t>
      </w:r>
      <w:r w:rsidR="001D2762" w:rsidRPr="00954D98">
        <w:rPr>
          <w:rFonts w:asciiTheme="minorHAnsi" w:eastAsiaTheme="minorEastAsia" w:hAnsiTheme="minorHAnsi" w:cstheme="minorBidi"/>
          <w:szCs w:val="19"/>
        </w:rPr>
        <w:t xml:space="preserve">underlying </w:t>
      </w:r>
      <w:r w:rsidRPr="00954D98" w:rsidDel="00C432FD">
        <w:rPr>
          <w:rFonts w:asciiTheme="minorHAnsi" w:eastAsiaTheme="minorEastAsia" w:hAnsiTheme="minorHAnsi" w:cstheme="minorBidi"/>
          <w:szCs w:val="19"/>
        </w:rPr>
        <w:t>inflation sustainably returning to the target band by the end of 2026</w:t>
      </w:r>
      <w:r w:rsidRPr="00954D98">
        <w:rPr>
          <w:rFonts w:asciiTheme="minorHAnsi" w:eastAsiaTheme="minorEastAsia" w:hAnsiTheme="minorHAnsi" w:cstheme="minorBidi"/>
          <w:szCs w:val="19"/>
        </w:rPr>
        <w:t>.</w:t>
      </w:r>
    </w:p>
    <w:p w14:paraId="42E7929E" w14:textId="0FBF6E08" w:rsidR="001429A1" w:rsidRPr="00954D98" w:rsidRDefault="001429A1" w:rsidP="001429A1">
      <w:r w:rsidRPr="00954D98">
        <w:t>This</w:t>
      </w:r>
      <w:r w:rsidRPr="00954D98" w:rsidDel="006668FE">
        <w:t xml:space="preserve"> </w:t>
      </w:r>
      <w:r w:rsidR="006668FE" w:rsidRPr="00954D98">
        <w:t>MYEFO</w:t>
      </w:r>
      <w:r w:rsidRPr="00954D98">
        <w:t xml:space="preserve"> delivers on the Government</w:t>
      </w:r>
      <w:r w:rsidR="00536CFF">
        <w:t>’</w:t>
      </w:r>
      <w:r w:rsidRPr="00954D98">
        <w:t xml:space="preserve">s election commitments </w:t>
      </w:r>
      <w:r w:rsidR="00750BF6" w:rsidRPr="00954D98">
        <w:t xml:space="preserve">including </w:t>
      </w:r>
      <w:r w:rsidRPr="00954D98">
        <w:t xml:space="preserve">by funding more free mental health services, support for major and local infrastructure projects and investing $10 billion to </w:t>
      </w:r>
      <w:r w:rsidR="0081541E" w:rsidRPr="00954D98">
        <w:t xml:space="preserve">deliver </w:t>
      </w:r>
      <w:r w:rsidRPr="00954D98">
        <w:t xml:space="preserve">up to 100,000 homes </w:t>
      </w:r>
      <w:r w:rsidR="005205D7" w:rsidRPr="00954D98">
        <w:t xml:space="preserve">reserved </w:t>
      </w:r>
      <w:r w:rsidRPr="00954D98">
        <w:t>for first home buyers. These commitments were more than offset by $</w:t>
      </w:r>
      <w:r w:rsidR="00821D14" w:rsidRPr="00954D98">
        <w:t>7.2</w:t>
      </w:r>
      <w:r w:rsidRPr="00954D98">
        <w:t xml:space="preserve"> billion</w:t>
      </w:r>
      <w:r w:rsidR="00821D14" w:rsidRPr="00954D98">
        <w:t xml:space="preserve"> of budget improvements</w:t>
      </w:r>
      <w:r w:rsidRPr="00954D98">
        <w:t>, including from reducing spending on consultants and contractors in the Australian Public Service (APS) and increasing student visa application charges.</w:t>
      </w:r>
    </w:p>
    <w:p w14:paraId="361B657E" w14:textId="34C1F421" w:rsidR="009D68A1" w:rsidRPr="00954D98" w:rsidRDefault="001429A1" w:rsidP="001429A1">
      <w:r w:rsidRPr="00954D98">
        <w:t xml:space="preserve">The Government has been able to achieve all this despite having to fund substantial payment variations and unavoidable spending. </w:t>
      </w:r>
      <w:r w:rsidR="00070965" w:rsidRPr="00954D98">
        <w:t>This MYEFO includes $</w:t>
      </w:r>
      <w:r w:rsidR="00B4149B" w:rsidRPr="00954D98">
        <w:t>35</w:t>
      </w:r>
      <w:r w:rsidR="00950D0C" w:rsidRPr="00954D98">
        <w:t>.</w:t>
      </w:r>
      <w:r w:rsidR="00B4149B" w:rsidRPr="00954D98">
        <w:t>1</w:t>
      </w:r>
      <w:r w:rsidR="00070965" w:rsidRPr="00954D98">
        <w:t xml:space="preserve"> billion in automatic payment parameter variations, including in disaster funding and aged care, and additional support for veterans. </w:t>
      </w:r>
      <w:r w:rsidRPr="00954D98">
        <w:t>New spending commitments since the election include $</w:t>
      </w:r>
      <w:r w:rsidR="006406A5" w:rsidRPr="00954D98">
        <w:t>6.6</w:t>
      </w:r>
      <w:r w:rsidR="00821D14" w:rsidRPr="00954D98">
        <w:t> </w:t>
      </w:r>
      <w:r w:rsidRPr="00954D98">
        <w:t>billion in urgent and unavoidable spending</w:t>
      </w:r>
      <w:r w:rsidR="001A6028" w:rsidRPr="00954D98">
        <w:t xml:space="preserve"> to give access to new medicines, support security capability and border protection,</w:t>
      </w:r>
      <w:r w:rsidR="00B86D56" w:rsidRPr="00954D98">
        <w:t xml:space="preserve"> and </w:t>
      </w:r>
      <w:r w:rsidR="001A6028" w:rsidRPr="00954D98">
        <w:t xml:space="preserve">sustain core </w:t>
      </w:r>
      <w:r w:rsidR="00B86D56" w:rsidRPr="00954D98">
        <w:t>services</w:t>
      </w:r>
      <w:r w:rsidR="00B86D56" w:rsidRPr="00954D98" w:rsidDel="00B86D56">
        <w:t xml:space="preserve"> </w:t>
      </w:r>
      <w:r w:rsidR="001A6028" w:rsidRPr="00954D98">
        <w:t>for veterans</w:t>
      </w:r>
      <w:r w:rsidRPr="00954D98">
        <w:t xml:space="preserve">. The Government is also progressing key national priorities including improving access to health and aged care services, investing in infrastructure and supporting </w:t>
      </w:r>
      <w:r w:rsidR="00314963" w:rsidRPr="00954D98">
        <w:t>local jobs</w:t>
      </w:r>
      <w:r w:rsidRPr="00954D98">
        <w:t>.</w:t>
      </w:r>
    </w:p>
    <w:p w14:paraId="48F0882C" w14:textId="5C6EFFC4" w:rsidR="001429A1" w:rsidRPr="00954D98" w:rsidRDefault="009D68A1" w:rsidP="001429A1">
      <w:r w:rsidRPr="00954D98">
        <w:rPr>
          <w:rFonts w:eastAsia="Book Antiqua" w:cs="Book Antiqua"/>
        </w:rPr>
        <w:t>Consistent with the Commonwealth</w:t>
      </w:r>
      <w:r w:rsidR="00536CFF">
        <w:rPr>
          <w:rFonts w:eastAsia="Book Antiqua" w:cs="Book Antiqua"/>
        </w:rPr>
        <w:t>’</w:t>
      </w:r>
      <w:r w:rsidRPr="00954D98">
        <w:rPr>
          <w:rFonts w:eastAsia="Book Antiqua" w:cs="Book Antiqua"/>
        </w:rPr>
        <w:t>s latest offer to states and territories, the Government has provisioned for future payments to the states and territories for the National Health Reform Agreement (NHRA) and Disability Foundational Supports.</w:t>
      </w:r>
      <w:r w:rsidR="00687EA4" w:rsidRPr="00954D98">
        <w:rPr>
          <w:rFonts w:eastAsia="Book Antiqua"/>
        </w:rPr>
        <w:t xml:space="preserve"> </w:t>
      </w:r>
      <w:r w:rsidR="00FF3121" w:rsidRPr="00954D98">
        <w:t>The Government continues to make progress in addressing large structural spending pressures over time, including the National Disability Insurance Scheme (NDIS), support for veterans and their families and aged care.</w:t>
      </w:r>
      <w:r w:rsidR="00687EA4" w:rsidRPr="00954D98">
        <w:t xml:space="preserve"> </w:t>
      </w:r>
    </w:p>
    <w:p w14:paraId="2BEA9D29" w14:textId="28618811" w:rsidR="001429A1" w:rsidRPr="00954D98" w:rsidRDefault="001429A1" w:rsidP="001429A1">
      <w:r w:rsidRPr="00954D98">
        <w:rPr>
          <w:rFonts w:asciiTheme="minorHAnsi" w:eastAsiaTheme="minorEastAsia" w:hAnsiTheme="minorHAnsi"/>
        </w:rPr>
        <w:t xml:space="preserve">Tax receipts have been revised up by </w:t>
      </w:r>
      <w:r w:rsidRPr="00954D98">
        <w:t xml:space="preserve">$32.6 billion over the forward estimates compared to the 2025 PEFO, excluding GST and policy decisions. </w:t>
      </w:r>
      <w:r w:rsidRPr="00954D98">
        <w:rPr>
          <w:rFonts w:asciiTheme="minorHAnsi" w:eastAsiaTheme="minorEastAsia" w:hAnsiTheme="minorHAnsi" w:cstheme="minorBidi"/>
        </w:rPr>
        <w:t>The upgrade to tax</w:t>
      </w:r>
      <w:r w:rsidRPr="00954D98">
        <w:rPr>
          <w:rFonts w:asciiTheme="minorHAnsi" w:eastAsiaTheme="minorEastAsia" w:hAnsiTheme="minorHAnsi"/>
        </w:rPr>
        <w:t xml:space="preserve"> receipts </w:t>
      </w:r>
      <w:r w:rsidRPr="00954D98">
        <w:rPr>
          <w:rFonts w:asciiTheme="minorHAnsi" w:eastAsiaTheme="minorEastAsia" w:hAnsiTheme="minorHAnsi" w:cstheme="minorBidi"/>
        </w:rPr>
        <w:t xml:space="preserve">in this MYEFO is less than the average upgrade in the last six major budget updates. </w:t>
      </w:r>
      <w:r w:rsidR="00205062" w:rsidRPr="00954D98">
        <w:t>S</w:t>
      </w:r>
      <w:r w:rsidRPr="00954D98">
        <w:t>tronger</w:t>
      </w:r>
      <w:r w:rsidR="00536CFF">
        <w:noBreakHyphen/>
      </w:r>
      <w:r w:rsidR="00205062" w:rsidRPr="00954D98">
        <w:t>than</w:t>
      </w:r>
      <w:r w:rsidR="00536CFF">
        <w:noBreakHyphen/>
      </w:r>
      <w:r w:rsidR="00205062" w:rsidRPr="00954D98">
        <w:t>expected</w:t>
      </w:r>
      <w:r w:rsidRPr="00954D98">
        <w:t xml:space="preserve"> wages</w:t>
      </w:r>
      <w:r w:rsidR="005F4D87" w:rsidRPr="00954D98">
        <w:t>,</w:t>
      </w:r>
      <w:r w:rsidRPr="00954D98">
        <w:t xml:space="preserve"> and improved asset returns for individuals</w:t>
      </w:r>
      <w:r w:rsidR="005F4D87" w:rsidRPr="00954D98">
        <w:t>,</w:t>
      </w:r>
      <w:r w:rsidRPr="00954D98">
        <w:t xml:space="preserve"> </w:t>
      </w:r>
      <w:r w:rsidR="005F4D87" w:rsidRPr="00954D98">
        <w:t xml:space="preserve">are </w:t>
      </w:r>
      <w:r w:rsidRPr="00954D98">
        <w:t>the primary driver</w:t>
      </w:r>
      <w:r w:rsidR="005F4D87" w:rsidRPr="00954D98">
        <w:t>s</w:t>
      </w:r>
      <w:r w:rsidRPr="00954D98">
        <w:t xml:space="preserve"> of upgrade to tax receipts. Over the forward estimates period, all personal income taxpayers will receive two further tax cuts. The upgrade to company taxes is supported by higher mining profits in the near</w:t>
      </w:r>
      <w:r w:rsidR="00536CFF">
        <w:noBreakHyphen/>
      </w:r>
      <w:r w:rsidRPr="00954D98">
        <w:t xml:space="preserve">term, and higher </w:t>
      </w:r>
      <w:r w:rsidR="006B5A8F" w:rsidRPr="00954D98">
        <w:t>non</w:t>
      </w:r>
      <w:r w:rsidR="00536CFF">
        <w:noBreakHyphen/>
      </w:r>
      <w:r w:rsidR="006B5A8F" w:rsidRPr="00954D98">
        <w:t xml:space="preserve">mining </w:t>
      </w:r>
      <w:r w:rsidRPr="00954D98">
        <w:t xml:space="preserve">profits driven by strength in the private sector.  </w:t>
      </w:r>
    </w:p>
    <w:p w14:paraId="194B31EF" w14:textId="7156DC8A" w:rsidR="00F1044A" w:rsidRPr="00954D98" w:rsidRDefault="001429A1" w:rsidP="001429A1">
      <w:r w:rsidRPr="00954D98">
        <w:t>Australia is one of only nine countries with a AAA sovereign credit rating from all three major ratings agencies. The rating reflects this Government</w:t>
      </w:r>
      <w:r w:rsidR="00536CFF">
        <w:t>’</w:t>
      </w:r>
      <w:r w:rsidRPr="00954D98">
        <w:t>s prudent economic management, which has kept gross debt as a share of the economy low by international standards. Australia</w:t>
      </w:r>
      <w:r w:rsidR="00536CFF">
        <w:t>’</w:t>
      </w:r>
      <w:r w:rsidRPr="00954D98">
        <w:t>s gross debt to GDP (including all levels of government) is less than half the advanced economy average and more than 70 percentage points below the United</w:t>
      </w:r>
      <w:r w:rsidR="006B2385">
        <w:t> </w:t>
      </w:r>
      <w:r w:rsidRPr="00954D98">
        <w:t xml:space="preserve">States. This strong fiscal position helps </w:t>
      </w:r>
      <w:r w:rsidR="00CC1D82" w:rsidRPr="00954D98">
        <w:t xml:space="preserve">support </w:t>
      </w:r>
      <w:r w:rsidRPr="00954D98">
        <w:t>Australia</w:t>
      </w:r>
      <w:r w:rsidR="00536CFF">
        <w:t>’</w:t>
      </w:r>
      <w:r w:rsidRPr="00954D98">
        <w:t>s economic resilience.</w:t>
      </w:r>
      <w:r w:rsidR="008B075D" w:rsidRPr="00954D98" w:rsidDel="008B075D">
        <w:t xml:space="preserve"> </w:t>
      </w:r>
      <w:r w:rsidR="00F1044A" w:rsidRPr="00954D98">
        <w:br w:type="page"/>
      </w:r>
    </w:p>
    <w:p w14:paraId="722B3951" w14:textId="4F20E9AB" w:rsidR="006A01E7" w:rsidRPr="00954D98" w:rsidRDefault="00F1044A" w:rsidP="00B37A66">
      <w:pPr>
        <w:pStyle w:val="TableHeading"/>
        <w:rPr>
          <w:rFonts w:eastAsiaTheme="minorHAnsi"/>
        </w:rPr>
      </w:pPr>
      <w:r w:rsidRPr="00954D98">
        <w:lastRenderedPageBreak/>
        <w:t>Table 3.</w:t>
      </w:r>
      <w:r w:rsidR="00615D6E" w:rsidRPr="00954D98">
        <w:t>1</w:t>
      </w:r>
      <w:r w:rsidRPr="00954D98">
        <w:t>: Australian Government general government sector budget aggregates</w:t>
      </w:r>
    </w:p>
    <w:tbl>
      <w:tblPr>
        <w:tblW w:w="5000" w:type="pct"/>
        <w:tblCellMar>
          <w:left w:w="0" w:type="dxa"/>
          <w:right w:w="28" w:type="dxa"/>
        </w:tblCellMar>
        <w:tblLook w:val="04A0" w:firstRow="1" w:lastRow="0" w:firstColumn="1" w:lastColumn="0" w:noHBand="0" w:noVBand="1"/>
      </w:tblPr>
      <w:tblGrid>
        <w:gridCol w:w="1914"/>
        <w:gridCol w:w="610"/>
        <w:gridCol w:w="613"/>
        <w:gridCol w:w="613"/>
        <w:gridCol w:w="613"/>
        <w:gridCol w:w="613"/>
        <w:gridCol w:w="613"/>
        <w:gridCol w:w="614"/>
        <w:gridCol w:w="614"/>
        <w:gridCol w:w="73"/>
        <w:gridCol w:w="820"/>
      </w:tblGrid>
      <w:tr w:rsidR="007C6C9D" w:rsidRPr="009B1522" w14:paraId="7F34CE6D" w14:textId="77777777" w:rsidTr="0053154B">
        <w:trPr>
          <w:trHeight w:hRule="exact" w:val="225"/>
        </w:trPr>
        <w:tc>
          <w:tcPr>
            <w:tcW w:w="1241" w:type="pct"/>
            <w:tcBorders>
              <w:top w:val="single" w:sz="4" w:space="0" w:color="293F5B"/>
              <w:left w:val="nil"/>
              <w:bottom w:val="nil"/>
              <w:right w:val="nil"/>
            </w:tcBorders>
            <w:shd w:val="clear" w:color="000000" w:fill="FFFFFF"/>
            <w:noWrap/>
            <w:vAlign w:val="center"/>
            <w:hideMark/>
          </w:tcPr>
          <w:p w14:paraId="1FB52EE1" w14:textId="77777777" w:rsidR="00E47796" w:rsidRPr="00954D98" w:rsidRDefault="00E47796" w:rsidP="00E47796">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3180" w:type="pct"/>
            <w:gridSpan w:val="8"/>
            <w:tcBorders>
              <w:top w:val="single" w:sz="4" w:space="0" w:color="293F5B"/>
              <w:left w:val="nil"/>
              <w:bottom w:val="single" w:sz="4" w:space="0" w:color="293F5B"/>
              <w:right w:val="nil"/>
            </w:tcBorders>
            <w:shd w:val="clear" w:color="000000" w:fill="FFFFFF"/>
            <w:vAlign w:val="center"/>
            <w:hideMark/>
          </w:tcPr>
          <w:p w14:paraId="04D4408A" w14:textId="77777777" w:rsidR="00E47796" w:rsidRPr="009B1522" w:rsidRDefault="00E47796" w:rsidP="00E47796">
            <w:pPr>
              <w:spacing w:before="0" w:after="0" w:line="240" w:lineRule="auto"/>
              <w:jc w:val="center"/>
              <w:rPr>
                <w:rFonts w:ascii="Arial" w:hAnsi="Arial" w:cs="Arial"/>
                <w:sz w:val="16"/>
                <w:szCs w:val="16"/>
              </w:rPr>
            </w:pPr>
            <w:r w:rsidRPr="009B1522">
              <w:rPr>
                <w:rFonts w:ascii="Arial" w:hAnsi="Arial" w:cs="Arial"/>
                <w:sz w:val="16"/>
                <w:szCs w:val="16"/>
              </w:rPr>
              <w:t>Estimates</w:t>
            </w:r>
          </w:p>
        </w:tc>
        <w:tc>
          <w:tcPr>
            <w:tcW w:w="47" w:type="pct"/>
            <w:tcBorders>
              <w:top w:val="single" w:sz="4" w:space="0" w:color="293F5B"/>
              <w:left w:val="nil"/>
              <w:bottom w:val="nil"/>
              <w:right w:val="nil"/>
            </w:tcBorders>
            <w:shd w:val="clear" w:color="000000" w:fill="FFFFFF"/>
            <w:vAlign w:val="center"/>
            <w:hideMark/>
          </w:tcPr>
          <w:p w14:paraId="5DBC9698" w14:textId="77777777" w:rsidR="00E47796" w:rsidRPr="009B1522" w:rsidRDefault="00E47796" w:rsidP="00E47796">
            <w:pPr>
              <w:spacing w:before="0" w:after="0" w:line="240" w:lineRule="auto"/>
              <w:rPr>
                <w:rFonts w:ascii="Arial" w:hAnsi="Arial" w:cs="Arial"/>
                <w:color w:val="000000"/>
                <w:sz w:val="16"/>
                <w:szCs w:val="16"/>
              </w:rPr>
            </w:pPr>
            <w:r w:rsidRPr="009B1522">
              <w:rPr>
                <w:rFonts w:ascii="Arial" w:hAnsi="Arial" w:cs="Arial"/>
                <w:color w:val="000000"/>
                <w:sz w:val="16"/>
                <w:szCs w:val="16"/>
              </w:rPr>
              <w:t> </w:t>
            </w:r>
          </w:p>
        </w:tc>
        <w:tc>
          <w:tcPr>
            <w:tcW w:w="532" w:type="pct"/>
            <w:tcBorders>
              <w:top w:val="single" w:sz="4" w:space="0" w:color="auto"/>
              <w:left w:val="nil"/>
              <w:bottom w:val="nil"/>
              <w:right w:val="nil"/>
            </w:tcBorders>
            <w:noWrap/>
            <w:vAlign w:val="center"/>
            <w:hideMark/>
          </w:tcPr>
          <w:p w14:paraId="26EA225B" w14:textId="77777777" w:rsidR="00E47796" w:rsidRPr="009B1522" w:rsidRDefault="00E47796" w:rsidP="00E47796">
            <w:pPr>
              <w:spacing w:before="0" w:after="0" w:line="240" w:lineRule="auto"/>
              <w:jc w:val="center"/>
              <w:rPr>
                <w:rFonts w:ascii="Arial" w:hAnsi="Arial" w:cs="Arial"/>
                <w:sz w:val="16"/>
                <w:szCs w:val="16"/>
              </w:rPr>
            </w:pPr>
            <w:r w:rsidRPr="009B1522">
              <w:rPr>
                <w:rFonts w:ascii="Arial" w:hAnsi="Arial" w:cs="Arial"/>
                <w:sz w:val="16"/>
                <w:szCs w:val="16"/>
              </w:rPr>
              <w:t>Projections</w:t>
            </w:r>
          </w:p>
        </w:tc>
      </w:tr>
      <w:tr w:rsidR="007C6C9D" w:rsidRPr="009B1522" w14:paraId="4DA42BF1"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27E035D8" w14:textId="77777777" w:rsidR="00E47796" w:rsidRPr="009B1522" w:rsidRDefault="00E47796" w:rsidP="00E47796">
            <w:pPr>
              <w:spacing w:before="0" w:after="0" w:line="240" w:lineRule="auto"/>
              <w:rPr>
                <w:rFonts w:ascii="Arial" w:hAnsi="Arial" w:cs="Arial"/>
                <w:color w:val="FFFF00"/>
                <w:sz w:val="16"/>
                <w:szCs w:val="16"/>
              </w:rPr>
            </w:pPr>
            <w:r w:rsidRPr="009B1522">
              <w:rPr>
                <w:rFonts w:ascii="Arial" w:hAnsi="Arial" w:cs="Arial"/>
                <w:sz w:val="16"/>
                <w:szCs w:val="16"/>
              </w:rPr>
              <w:t> </w:t>
            </w:r>
          </w:p>
        </w:tc>
        <w:tc>
          <w:tcPr>
            <w:tcW w:w="794" w:type="pct"/>
            <w:gridSpan w:val="2"/>
            <w:tcBorders>
              <w:top w:val="single" w:sz="4" w:space="0" w:color="293F5B"/>
              <w:left w:val="nil"/>
              <w:bottom w:val="single" w:sz="4" w:space="0" w:color="293F5B"/>
              <w:right w:val="nil"/>
            </w:tcBorders>
            <w:shd w:val="clear" w:color="000000" w:fill="E6F2FF"/>
            <w:noWrap/>
            <w:vAlign w:val="center"/>
            <w:hideMark/>
          </w:tcPr>
          <w:p w14:paraId="5F7E57E3" w14:textId="77777777" w:rsidR="00E47796" w:rsidRPr="009B1522" w:rsidRDefault="00E47796" w:rsidP="00E47796">
            <w:pPr>
              <w:spacing w:before="0" w:after="0" w:line="240" w:lineRule="auto"/>
              <w:jc w:val="center"/>
              <w:rPr>
                <w:rFonts w:ascii="Arial" w:hAnsi="Arial" w:cs="Arial"/>
                <w:color w:val="FFFF00"/>
                <w:sz w:val="16"/>
                <w:szCs w:val="16"/>
              </w:rPr>
            </w:pPr>
            <w:r w:rsidRPr="009B1522">
              <w:rPr>
                <w:rFonts w:ascii="Arial" w:hAnsi="Arial" w:cs="Arial"/>
                <w:sz w:val="16"/>
                <w:szCs w:val="16"/>
              </w:rPr>
              <w:t>2025-26</w:t>
            </w:r>
          </w:p>
        </w:tc>
        <w:tc>
          <w:tcPr>
            <w:tcW w:w="795" w:type="pct"/>
            <w:gridSpan w:val="2"/>
            <w:tcBorders>
              <w:top w:val="single" w:sz="4" w:space="0" w:color="293F5B"/>
              <w:left w:val="nil"/>
              <w:bottom w:val="single" w:sz="4" w:space="0" w:color="293F5B"/>
              <w:right w:val="nil"/>
            </w:tcBorders>
            <w:shd w:val="clear" w:color="000000" w:fill="FFFFFF"/>
            <w:noWrap/>
            <w:vAlign w:val="center"/>
            <w:hideMark/>
          </w:tcPr>
          <w:p w14:paraId="0CFE970E" w14:textId="77777777" w:rsidR="00E47796" w:rsidRPr="009B1522" w:rsidRDefault="00E47796" w:rsidP="00E47796">
            <w:pPr>
              <w:spacing w:before="0" w:after="0" w:line="240" w:lineRule="auto"/>
              <w:jc w:val="center"/>
              <w:rPr>
                <w:rFonts w:ascii="Arial" w:hAnsi="Arial" w:cs="Arial"/>
                <w:color w:val="FFFF00"/>
                <w:sz w:val="16"/>
                <w:szCs w:val="16"/>
              </w:rPr>
            </w:pPr>
            <w:r w:rsidRPr="009B1522">
              <w:rPr>
                <w:rFonts w:ascii="Arial" w:hAnsi="Arial" w:cs="Arial"/>
                <w:sz w:val="16"/>
                <w:szCs w:val="16"/>
              </w:rPr>
              <w:t>2026-27</w:t>
            </w:r>
          </w:p>
        </w:tc>
        <w:tc>
          <w:tcPr>
            <w:tcW w:w="795" w:type="pct"/>
            <w:gridSpan w:val="2"/>
            <w:tcBorders>
              <w:top w:val="single" w:sz="4" w:space="0" w:color="293F5B"/>
              <w:left w:val="nil"/>
              <w:bottom w:val="single" w:sz="4" w:space="0" w:color="293F5B"/>
              <w:right w:val="nil"/>
            </w:tcBorders>
            <w:shd w:val="clear" w:color="000000" w:fill="FFFFFF"/>
            <w:noWrap/>
            <w:vAlign w:val="center"/>
            <w:hideMark/>
          </w:tcPr>
          <w:p w14:paraId="1DF5A3AB" w14:textId="77777777" w:rsidR="00E47796" w:rsidRPr="009B1522" w:rsidRDefault="00E47796" w:rsidP="00E47796">
            <w:pPr>
              <w:spacing w:before="0" w:after="0" w:line="240" w:lineRule="auto"/>
              <w:jc w:val="center"/>
              <w:rPr>
                <w:rFonts w:ascii="Arial" w:hAnsi="Arial" w:cs="Arial"/>
                <w:color w:val="FFFF00"/>
                <w:sz w:val="16"/>
                <w:szCs w:val="16"/>
              </w:rPr>
            </w:pPr>
            <w:r w:rsidRPr="009B1522">
              <w:rPr>
                <w:rFonts w:ascii="Arial" w:hAnsi="Arial" w:cs="Arial"/>
                <w:sz w:val="16"/>
                <w:szCs w:val="16"/>
              </w:rPr>
              <w:t>2027-28</w:t>
            </w:r>
          </w:p>
        </w:tc>
        <w:tc>
          <w:tcPr>
            <w:tcW w:w="795" w:type="pct"/>
            <w:gridSpan w:val="2"/>
            <w:tcBorders>
              <w:top w:val="single" w:sz="4" w:space="0" w:color="293F5B"/>
              <w:left w:val="nil"/>
              <w:bottom w:val="single" w:sz="4" w:space="0" w:color="293F5B"/>
              <w:right w:val="nil"/>
            </w:tcBorders>
            <w:shd w:val="clear" w:color="000000" w:fill="FFFFFF"/>
            <w:noWrap/>
            <w:vAlign w:val="center"/>
            <w:hideMark/>
          </w:tcPr>
          <w:p w14:paraId="739497B5" w14:textId="77777777" w:rsidR="00E47796" w:rsidRPr="009B1522" w:rsidRDefault="00E47796" w:rsidP="00E47796">
            <w:pPr>
              <w:spacing w:before="0" w:after="0" w:line="240" w:lineRule="auto"/>
              <w:jc w:val="center"/>
              <w:rPr>
                <w:rFonts w:ascii="Arial" w:hAnsi="Arial" w:cs="Arial"/>
                <w:sz w:val="16"/>
                <w:szCs w:val="16"/>
              </w:rPr>
            </w:pPr>
            <w:r w:rsidRPr="009B1522">
              <w:rPr>
                <w:rFonts w:ascii="Arial" w:hAnsi="Arial" w:cs="Arial"/>
                <w:sz w:val="16"/>
                <w:szCs w:val="16"/>
              </w:rPr>
              <w:t>2028-29</w:t>
            </w:r>
          </w:p>
        </w:tc>
        <w:tc>
          <w:tcPr>
            <w:tcW w:w="47" w:type="pct"/>
            <w:tcBorders>
              <w:top w:val="nil"/>
              <w:left w:val="nil"/>
              <w:bottom w:val="nil"/>
              <w:right w:val="nil"/>
            </w:tcBorders>
            <w:shd w:val="clear" w:color="000000" w:fill="FFFFFF"/>
            <w:noWrap/>
            <w:vAlign w:val="center"/>
            <w:hideMark/>
          </w:tcPr>
          <w:p w14:paraId="268CEAA0" w14:textId="77777777" w:rsidR="00E47796" w:rsidRPr="009B1522" w:rsidRDefault="00E47796" w:rsidP="00E47796">
            <w:pPr>
              <w:spacing w:before="0" w:after="0" w:line="240" w:lineRule="auto"/>
              <w:jc w:val="center"/>
              <w:rPr>
                <w:rFonts w:ascii="Arial" w:hAnsi="Arial" w:cs="Arial"/>
                <w:color w:val="000000"/>
                <w:sz w:val="16"/>
                <w:szCs w:val="16"/>
              </w:rPr>
            </w:pPr>
            <w:r w:rsidRPr="009B1522">
              <w:rPr>
                <w:rFonts w:ascii="Arial" w:hAnsi="Arial" w:cs="Arial"/>
                <w:color w:val="000000"/>
                <w:sz w:val="16"/>
                <w:szCs w:val="16"/>
              </w:rPr>
              <w:t> </w:t>
            </w:r>
          </w:p>
        </w:tc>
        <w:tc>
          <w:tcPr>
            <w:tcW w:w="532" w:type="pct"/>
            <w:tcBorders>
              <w:top w:val="single" w:sz="4" w:space="0" w:color="auto"/>
              <w:left w:val="nil"/>
              <w:bottom w:val="single" w:sz="4" w:space="0" w:color="000000"/>
              <w:right w:val="nil"/>
            </w:tcBorders>
            <w:noWrap/>
            <w:vAlign w:val="center"/>
            <w:hideMark/>
          </w:tcPr>
          <w:p w14:paraId="0711B6F3" w14:textId="73848D2D" w:rsidR="00E47796" w:rsidRPr="009B1522" w:rsidRDefault="00E47796" w:rsidP="00E47796">
            <w:pPr>
              <w:spacing w:before="0" w:after="0" w:line="240" w:lineRule="auto"/>
              <w:jc w:val="center"/>
              <w:rPr>
                <w:rFonts w:ascii="Arial" w:hAnsi="Arial" w:cs="Arial"/>
                <w:sz w:val="16"/>
                <w:szCs w:val="16"/>
              </w:rPr>
            </w:pPr>
            <w:r w:rsidRPr="009B1522">
              <w:rPr>
                <w:rFonts w:ascii="Arial" w:hAnsi="Arial" w:cs="Arial"/>
                <w:sz w:val="16"/>
                <w:szCs w:val="16"/>
              </w:rPr>
              <w:t>2035-36</w:t>
            </w:r>
          </w:p>
        </w:tc>
      </w:tr>
      <w:tr w:rsidR="003661E9" w:rsidRPr="009B1522" w14:paraId="5AB81212"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2E36A813" w14:textId="77777777" w:rsidR="00E47796" w:rsidRPr="009B1522" w:rsidRDefault="00E47796" w:rsidP="00E47796">
            <w:pPr>
              <w:spacing w:before="0" w:after="0" w:line="240" w:lineRule="auto"/>
              <w:rPr>
                <w:rFonts w:ascii="Arial" w:hAnsi="Arial" w:cs="Arial"/>
                <w:color w:val="FFFF00"/>
                <w:sz w:val="16"/>
                <w:szCs w:val="16"/>
              </w:rPr>
            </w:pPr>
            <w:r w:rsidRPr="009B1522">
              <w:rPr>
                <w:rFonts w:ascii="Arial" w:hAnsi="Arial" w:cs="Arial"/>
                <w:sz w:val="16"/>
                <w:szCs w:val="16"/>
              </w:rPr>
              <w:t> </w:t>
            </w:r>
          </w:p>
        </w:tc>
        <w:tc>
          <w:tcPr>
            <w:tcW w:w="396" w:type="pct"/>
            <w:tcBorders>
              <w:top w:val="nil"/>
              <w:left w:val="nil"/>
              <w:bottom w:val="single" w:sz="4" w:space="0" w:color="293F5B"/>
              <w:right w:val="nil"/>
            </w:tcBorders>
            <w:shd w:val="clear" w:color="000000" w:fill="E6F2FF"/>
            <w:noWrap/>
            <w:vAlign w:val="center"/>
            <w:hideMark/>
          </w:tcPr>
          <w:p w14:paraId="01DAAD7C"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$b</w:t>
            </w:r>
          </w:p>
        </w:tc>
        <w:tc>
          <w:tcPr>
            <w:tcW w:w="398" w:type="pct"/>
            <w:tcBorders>
              <w:top w:val="nil"/>
              <w:left w:val="nil"/>
              <w:bottom w:val="single" w:sz="4" w:space="0" w:color="293F5B"/>
              <w:right w:val="nil"/>
            </w:tcBorders>
            <w:shd w:val="clear" w:color="000000" w:fill="E6F2FF"/>
            <w:noWrap/>
            <w:vAlign w:val="center"/>
            <w:hideMark/>
          </w:tcPr>
          <w:p w14:paraId="3D3E1396"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GDP</w:t>
            </w:r>
          </w:p>
        </w:tc>
        <w:tc>
          <w:tcPr>
            <w:tcW w:w="398" w:type="pct"/>
            <w:tcBorders>
              <w:top w:val="nil"/>
              <w:left w:val="nil"/>
              <w:bottom w:val="single" w:sz="4" w:space="0" w:color="293F5B"/>
              <w:right w:val="nil"/>
            </w:tcBorders>
            <w:shd w:val="clear" w:color="000000" w:fill="FFFFFF"/>
            <w:noWrap/>
            <w:vAlign w:val="center"/>
            <w:hideMark/>
          </w:tcPr>
          <w:p w14:paraId="11823B69"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$b</w:t>
            </w:r>
          </w:p>
        </w:tc>
        <w:tc>
          <w:tcPr>
            <w:tcW w:w="398" w:type="pct"/>
            <w:tcBorders>
              <w:top w:val="nil"/>
              <w:left w:val="nil"/>
              <w:bottom w:val="single" w:sz="4" w:space="0" w:color="293F5B"/>
              <w:right w:val="nil"/>
            </w:tcBorders>
            <w:shd w:val="clear" w:color="000000" w:fill="FFFFFF"/>
            <w:noWrap/>
            <w:vAlign w:val="center"/>
            <w:hideMark/>
          </w:tcPr>
          <w:p w14:paraId="4C2DF46D"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GDP</w:t>
            </w:r>
          </w:p>
        </w:tc>
        <w:tc>
          <w:tcPr>
            <w:tcW w:w="398" w:type="pct"/>
            <w:tcBorders>
              <w:top w:val="nil"/>
              <w:left w:val="nil"/>
              <w:bottom w:val="single" w:sz="4" w:space="0" w:color="293F5B"/>
              <w:right w:val="nil"/>
            </w:tcBorders>
            <w:shd w:val="clear" w:color="000000" w:fill="FFFFFF"/>
            <w:noWrap/>
            <w:vAlign w:val="center"/>
            <w:hideMark/>
          </w:tcPr>
          <w:p w14:paraId="1A06C5CD"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$b</w:t>
            </w:r>
          </w:p>
        </w:tc>
        <w:tc>
          <w:tcPr>
            <w:tcW w:w="398" w:type="pct"/>
            <w:tcBorders>
              <w:top w:val="nil"/>
              <w:left w:val="nil"/>
              <w:bottom w:val="single" w:sz="4" w:space="0" w:color="293F5B"/>
              <w:right w:val="nil"/>
            </w:tcBorders>
            <w:shd w:val="clear" w:color="000000" w:fill="FFFFFF"/>
            <w:noWrap/>
            <w:vAlign w:val="center"/>
            <w:hideMark/>
          </w:tcPr>
          <w:p w14:paraId="10DF18E6"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GDP</w:t>
            </w:r>
          </w:p>
        </w:tc>
        <w:tc>
          <w:tcPr>
            <w:tcW w:w="398" w:type="pct"/>
            <w:tcBorders>
              <w:top w:val="nil"/>
              <w:left w:val="nil"/>
              <w:bottom w:val="single" w:sz="4" w:space="0" w:color="293F5B"/>
              <w:right w:val="nil"/>
            </w:tcBorders>
            <w:shd w:val="clear" w:color="000000" w:fill="FFFFFF"/>
            <w:noWrap/>
            <w:vAlign w:val="center"/>
            <w:hideMark/>
          </w:tcPr>
          <w:p w14:paraId="59CAF7B6"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$b</w:t>
            </w:r>
          </w:p>
        </w:tc>
        <w:tc>
          <w:tcPr>
            <w:tcW w:w="398" w:type="pct"/>
            <w:tcBorders>
              <w:top w:val="nil"/>
              <w:left w:val="nil"/>
              <w:bottom w:val="single" w:sz="4" w:space="0" w:color="293F5B"/>
              <w:right w:val="nil"/>
            </w:tcBorders>
            <w:shd w:val="clear" w:color="000000" w:fill="FFFFFF"/>
            <w:noWrap/>
            <w:vAlign w:val="center"/>
            <w:hideMark/>
          </w:tcPr>
          <w:p w14:paraId="5A8DD7E2"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GDP</w:t>
            </w:r>
          </w:p>
        </w:tc>
        <w:tc>
          <w:tcPr>
            <w:tcW w:w="47" w:type="pct"/>
            <w:tcBorders>
              <w:top w:val="nil"/>
              <w:left w:val="nil"/>
              <w:bottom w:val="nil"/>
              <w:right w:val="nil"/>
            </w:tcBorders>
            <w:shd w:val="clear" w:color="000000" w:fill="FFFFFF"/>
            <w:noWrap/>
            <w:vAlign w:val="center"/>
            <w:hideMark/>
          </w:tcPr>
          <w:p w14:paraId="0E9FDFFB"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532" w:type="pct"/>
            <w:tcBorders>
              <w:top w:val="nil"/>
              <w:left w:val="nil"/>
              <w:bottom w:val="single" w:sz="4" w:space="0" w:color="000000"/>
              <w:right w:val="nil"/>
            </w:tcBorders>
            <w:noWrap/>
            <w:vAlign w:val="center"/>
            <w:hideMark/>
          </w:tcPr>
          <w:p w14:paraId="266062B9" w14:textId="77777777" w:rsidR="00E47796" w:rsidRPr="009B1522" w:rsidRDefault="00E47796" w:rsidP="00E47796">
            <w:pPr>
              <w:spacing w:before="0" w:after="0" w:line="240" w:lineRule="auto"/>
              <w:jc w:val="center"/>
              <w:rPr>
                <w:rFonts w:ascii="Arial" w:hAnsi="Arial" w:cs="Arial"/>
                <w:sz w:val="16"/>
                <w:szCs w:val="16"/>
              </w:rPr>
            </w:pPr>
            <w:r w:rsidRPr="009B1522">
              <w:rPr>
                <w:rFonts w:ascii="Arial" w:hAnsi="Arial" w:cs="Arial"/>
                <w:sz w:val="16"/>
                <w:szCs w:val="16"/>
              </w:rPr>
              <w:t>% GDP</w:t>
            </w:r>
          </w:p>
        </w:tc>
      </w:tr>
      <w:tr w:rsidR="003661E9" w:rsidRPr="009B1522" w14:paraId="2F8DB0AF"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629A2596" w14:textId="77777777" w:rsidR="00E47796" w:rsidRPr="009B1522" w:rsidRDefault="00E47796" w:rsidP="00E47796">
            <w:pPr>
              <w:spacing w:before="0" w:after="0" w:line="240" w:lineRule="auto"/>
              <w:rPr>
                <w:rFonts w:ascii="Arial" w:hAnsi="Arial" w:cs="Arial"/>
                <w:b/>
                <w:color w:val="FFFF00"/>
                <w:sz w:val="16"/>
                <w:szCs w:val="16"/>
              </w:rPr>
            </w:pPr>
            <w:r w:rsidRPr="009B1522">
              <w:rPr>
                <w:rFonts w:ascii="Arial" w:hAnsi="Arial" w:cs="Arial"/>
                <w:b/>
                <w:sz w:val="16"/>
                <w:szCs w:val="16"/>
              </w:rPr>
              <w:t>Underlying cash balance</w:t>
            </w:r>
          </w:p>
        </w:tc>
        <w:tc>
          <w:tcPr>
            <w:tcW w:w="396" w:type="pct"/>
            <w:tcBorders>
              <w:top w:val="nil"/>
              <w:left w:val="nil"/>
              <w:bottom w:val="nil"/>
              <w:right w:val="nil"/>
            </w:tcBorders>
            <w:shd w:val="clear" w:color="000000" w:fill="E6F2FF"/>
            <w:noWrap/>
            <w:vAlign w:val="center"/>
            <w:hideMark/>
          </w:tcPr>
          <w:p w14:paraId="4EA0DEA8"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E6F2FF"/>
            <w:noWrap/>
            <w:vAlign w:val="center"/>
            <w:hideMark/>
          </w:tcPr>
          <w:p w14:paraId="0C8AB3D8"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40220CA8"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754C62CB"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0E76F6D1"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04E76727"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3C6CF1A0"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3A7E5247"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c>
          <w:tcPr>
            <w:tcW w:w="47" w:type="pct"/>
            <w:tcBorders>
              <w:top w:val="nil"/>
              <w:left w:val="nil"/>
              <w:bottom w:val="nil"/>
              <w:right w:val="nil"/>
            </w:tcBorders>
            <w:shd w:val="clear" w:color="000000" w:fill="FFFFFF"/>
            <w:noWrap/>
            <w:vAlign w:val="center"/>
            <w:hideMark/>
          </w:tcPr>
          <w:p w14:paraId="1B274EC1" w14:textId="77777777" w:rsidR="00E47796" w:rsidRPr="009B1522" w:rsidRDefault="00E47796" w:rsidP="00E47796">
            <w:pPr>
              <w:spacing w:before="0" w:after="0" w:line="240" w:lineRule="auto"/>
              <w:jc w:val="right"/>
              <w:rPr>
                <w:rFonts w:ascii="Arial" w:hAnsi="Arial" w:cs="Arial"/>
                <w:i/>
                <w:color w:val="000000"/>
                <w:sz w:val="16"/>
                <w:szCs w:val="16"/>
              </w:rPr>
            </w:pPr>
            <w:r w:rsidRPr="009B1522">
              <w:rPr>
                <w:rFonts w:ascii="Arial" w:hAnsi="Arial" w:cs="Arial"/>
                <w:i/>
                <w:color w:val="000000"/>
                <w:sz w:val="16"/>
                <w:szCs w:val="16"/>
              </w:rPr>
              <w:t> </w:t>
            </w:r>
          </w:p>
        </w:tc>
        <w:tc>
          <w:tcPr>
            <w:tcW w:w="532" w:type="pct"/>
            <w:tcBorders>
              <w:top w:val="nil"/>
              <w:left w:val="nil"/>
              <w:bottom w:val="nil"/>
              <w:right w:val="nil"/>
            </w:tcBorders>
            <w:noWrap/>
            <w:vAlign w:val="center"/>
            <w:hideMark/>
          </w:tcPr>
          <w:p w14:paraId="4E04F73D"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r>
      <w:tr w:rsidR="003661E9" w:rsidRPr="009B1522" w14:paraId="7DCC92C1"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69BFF506" w14:textId="77777777" w:rsidR="00E47796" w:rsidRPr="009B1522" w:rsidRDefault="00E47796" w:rsidP="00E47796">
            <w:pPr>
              <w:spacing w:before="0" w:after="0" w:line="240" w:lineRule="auto"/>
              <w:ind w:firstLineChars="100" w:firstLine="160"/>
              <w:rPr>
                <w:rFonts w:ascii="Arial" w:hAnsi="Arial" w:cs="Arial"/>
                <w:color w:val="FFFF00"/>
                <w:sz w:val="16"/>
                <w:szCs w:val="16"/>
              </w:rPr>
            </w:pPr>
            <w:r w:rsidRPr="009B1522">
              <w:rPr>
                <w:rFonts w:ascii="Arial" w:hAnsi="Arial" w:cs="Arial"/>
                <w:sz w:val="16"/>
                <w:szCs w:val="16"/>
              </w:rPr>
              <w:t>MYEFO</w:t>
            </w:r>
          </w:p>
        </w:tc>
        <w:tc>
          <w:tcPr>
            <w:tcW w:w="396" w:type="pct"/>
            <w:tcBorders>
              <w:top w:val="nil"/>
              <w:left w:val="nil"/>
              <w:bottom w:val="nil"/>
              <w:right w:val="nil"/>
            </w:tcBorders>
            <w:shd w:val="clear" w:color="000000" w:fill="E6F2FF"/>
            <w:noWrap/>
            <w:vAlign w:val="center"/>
            <w:hideMark/>
          </w:tcPr>
          <w:p w14:paraId="0427E404"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-36.8</w:t>
            </w:r>
          </w:p>
        </w:tc>
        <w:tc>
          <w:tcPr>
            <w:tcW w:w="398" w:type="pct"/>
            <w:tcBorders>
              <w:top w:val="nil"/>
              <w:left w:val="nil"/>
              <w:bottom w:val="nil"/>
              <w:right w:val="nil"/>
            </w:tcBorders>
            <w:shd w:val="clear" w:color="000000" w:fill="E6F2FF"/>
            <w:noWrap/>
            <w:vAlign w:val="center"/>
            <w:hideMark/>
          </w:tcPr>
          <w:p w14:paraId="09631219"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-1.3</w:t>
            </w:r>
          </w:p>
        </w:tc>
        <w:tc>
          <w:tcPr>
            <w:tcW w:w="398" w:type="pct"/>
            <w:tcBorders>
              <w:top w:val="nil"/>
              <w:left w:val="nil"/>
              <w:bottom w:val="nil"/>
              <w:right w:val="nil"/>
            </w:tcBorders>
            <w:shd w:val="clear" w:color="000000" w:fill="FFFFFF"/>
            <w:noWrap/>
            <w:vAlign w:val="center"/>
            <w:hideMark/>
          </w:tcPr>
          <w:p w14:paraId="38B9F5BD"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-34.3</w:t>
            </w:r>
          </w:p>
        </w:tc>
        <w:tc>
          <w:tcPr>
            <w:tcW w:w="398" w:type="pct"/>
            <w:tcBorders>
              <w:top w:val="nil"/>
              <w:left w:val="nil"/>
              <w:bottom w:val="nil"/>
              <w:right w:val="nil"/>
            </w:tcBorders>
            <w:shd w:val="clear" w:color="000000" w:fill="FFFFFF"/>
            <w:noWrap/>
            <w:vAlign w:val="center"/>
            <w:hideMark/>
          </w:tcPr>
          <w:p w14:paraId="51153764"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-1.1</w:t>
            </w:r>
          </w:p>
        </w:tc>
        <w:tc>
          <w:tcPr>
            <w:tcW w:w="398" w:type="pct"/>
            <w:tcBorders>
              <w:top w:val="nil"/>
              <w:left w:val="nil"/>
              <w:bottom w:val="nil"/>
              <w:right w:val="nil"/>
            </w:tcBorders>
            <w:shd w:val="clear" w:color="000000" w:fill="FFFFFF"/>
            <w:noWrap/>
            <w:vAlign w:val="center"/>
            <w:hideMark/>
          </w:tcPr>
          <w:p w14:paraId="35FAC81A"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-36.2</w:t>
            </w:r>
          </w:p>
        </w:tc>
        <w:tc>
          <w:tcPr>
            <w:tcW w:w="398" w:type="pct"/>
            <w:tcBorders>
              <w:top w:val="nil"/>
              <w:left w:val="nil"/>
              <w:bottom w:val="nil"/>
              <w:right w:val="nil"/>
            </w:tcBorders>
            <w:shd w:val="clear" w:color="000000" w:fill="FFFFFF"/>
            <w:noWrap/>
            <w:vAlign w:val="center"/>
            <w:hideMark/>
          </w:tcPr>
          <w:p w14:paraId="70DB5FF0"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-1.1</w:t>
            </w:r>
          </w:p>
        </w:tc>
        <w:tc>
          <w:tcPr>
            <w:tcW w:w="398" w:type="pct"/>
            <w:tcBorders>
              <w:top w:val="nil"/>
              <w:left w:val="nil"/>
              <w:bottom w:val="nil"/>
              <w:right w:val="nil"/>
            </w:tcBorders>
            <w:shd w:val="clear" w:color="000000" w:fill="FFFFFF"/>
            <w:noWrap/>
            <w:vAlign w:val="center"/>
            <w:hideMark/>
          </w:tcPr>
          <w:p w14:paraId="2AFC79DE"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-36.0</w:t>
            </w:r>
          </w:p>
        </w:tc>
        <w:tc>
          <w:tcPr>
            <w:tcW w:w="398" w:type="pct"/>
            <w:tcBorders>
              <w:top w:val="nil"/>
              <w:left w:val="nil"/>
              <w:bottom w:val="nil"/>
              <w:right w:val="nil"/>
            </w:tcBorders>
            <w:shd w:val="clear" w:color="000000" w:fill="FFFFFF"/>
            <w:noWrap/>
            <w:vAlign w:val="center"/>
            <w:hideMark/>
          </w:tcPr>
          <w:p w14:paraId="32DC00E8"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-1.1</w:t>
            </w:r>
          </w:p>
        </w:tc>
        <w:tc>
          <w:tcPr>
            <w:tcW w:w="47" w:type="pct"/>
            <w:tcBorders>
              <w:top w:val="nil"/>
              <w:left w:val="nil"/>
              <w:bottom w:val="nil"/>
              <w:right w:val="nil"/>
            </w:tcBorders>
            <w:shd w:val="clear" w:color="000000" w:fill="FFFFFF"/>
            <w:noWrap/>
            <w:vAlign w:val="center"/>
            <w:hideMark/>
          </w:tcPr>
          <w:p w14:paraId="3D1B9428"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532" w:type="pct"/>
            <w:tcBorders>
              <w:top w:val="nil"/>
              <w:left w:val="nil"/>
              <w:bottom w:val="nil"/>
              <w:right w:val="nil"/>
            </w:tcBorders>
            <w:noWrap/>
            <w:vAlign w:val="center"/>
            <w:hideMark/>
          </w:tcPr>
          <w:p w14:paraId="660F8E22"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-0.1</w:t>
            </w:r>
          </w:p>
        </w:tc>
      </w:tr>
      <w:tr w:rsidR="003661E9" w:rsidRPr="009B1522" w14:paraId="18019059"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2C26DF3D" w14:textId="77777777" w:rsidR="00E47796" w:rsidRPr="009B1522" w:rsidRDefault="00E47796" w:rsidP="00E47796">
            <w:pPr>
              <w:spacing w:before="0" w:after="0" w:line="240" w:lineRule="auto"/>
              <w:ind w:firstLineChars="100" w:firstLine="160"/>
              <w:rPr>
                <w:rFonts w:ascii="Arial" w:hAnsi="Arial" w:cs="Arial"/>
                <w:i/>
                <w:color w:val="FFFF00"/>
                <w:sz w:val="16"/>
                <w:szCs w:val="16"/>
              </w:rPr>
            </w:pPr>
            <w:r w:rsidRPr="009B1522">
              <w:rPr>
                <w:rFonts w:ascii="Arial" w:hAnsi="Arial" w:cs="Arial"/>
                <w:i/>
                <w:sz w:val="16"/>
                <w:szCs w:val="16"/>
              </w:rPr>
              <w:t>PEFO</w:t>
            </w:r>
          </w:p>
        </w:tc>
        <w:tc>
          <w:tcPr>
            <w:tcW w:w="396" w:type="pct"/>
            <w:tcBorders>
              <w:top w:val="nil"/>
              <w:left w:val="nil"/>
              <w:bottom w:val="nil"/>
              <w:right w:val="nil"/>
            </w:tcBorders>
            <w:shd w:val="clear" w:color="000000" w:fill="E6F2FF"/>
            <w:noWrap/>
            <w:vAlign w:val="center"/>
            <w:hideMark/>
          </w:tcPr>
          <w:p w14:paraId="6A4EFB01"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-42.2</w:t>
            </w:r>
          </w:p>
        </w:tc>
        <w:tc>
          <w:tcPr>
            <w:tcW w:w="398" w:type="pct"/>
            <w:tcBorders>
              <w:top w:val="nil"/>
              <w:left w:val="nil"/>
              <w:bottom w:val="nil"/>
              <w:right w:val="nil"/>
            </w:tcBorders>
            <w:shd w:val="clear" w:color="000000" w:fill="E6F2FF"/>
            <w:noWrap/>
            <w:vAlign w:val="center"/>
            <w:hideMark/>
          </w:tcPr>
          <w:p w14:paraId="73003904"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-1.5</w:t>
            </w:r>
          </w:p>
        </w:tc>
        <w:tc>
          <w:tcPr>
            <w:tcW w:w="398" w:type="pct"/>
            <w:tcBorders>
              <w:top w:val="nil"/>
              <w:left w:val="nil"/>
              <w:bottom w:val="nil"/>
              <w:right w:val="nil"/>
            </w:tcBorders>
            <w:shd w:val="clear" w:color="000000" w:fill="FFFFFF"/>
            <w:noWrap/>
            <w:vAlign w:val="center"/>
            <w:hideMark/>
          </w:tcPr>
          <w:p w14:paraId="6A983E9E"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-35.4</w:t>
            </w:r>
          </w:p>
        </w:tc>
        <w:tc>
          <w:tcPr>
            <w:tcW w:w="398" w:type="pct"/>
            <w:tcBorders>
              <w:top w:val="nil"/>
              <w:left w:val="nil"/>
              <w:bottom w:val="nil"/>
              <w:right w:val="nil"/>
            </w:tcBorders>
            <w:shd w:val="clear" w:color="000000" w:fill="FFFFFF"/>
            <w:noWrap/>
            <w:vAlign w:val="center"/>
            <w:hideMark/>
          </w:tcPr>
          <w:p w14:paraId="6DA73074"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-1.2</w:t>
            </w:r>
          </w:p>
        </w:tc>
        <w:tc>
          <w:tcPr>
            <w:tcW w:w="398" w:type="pct"/>
            <w:tcBorders>
              <w:top w:val="nil"/>
              <w:left w:val="nil"/>
              <w:bottom w:val="nil"/>
              <w:right w:val="nil"/>
            </w:tcBorders>
            <w:shd w:val="clear" w:color="000000" w:fill="FFFFFF"/>
            <w:noWrap/>
            <w:vAlign w:val="center"/>
            <w:hideMark/>
          </w:tcPr>
          <w:p w14:paraId="41FAB20D"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-37.1</w:t>
            </w:r>
          </w:p>
        </w:tc>
        <w:tc>
          <w:tcPr>
            <w:tcW w:w="398" w:type="pct"/>
            <w:tcBorders>
              <w:top w:val="nil"/>
              <w:left w:val="nil"/>
              <w:bottom w:val="nil"/>
              <w:right w:val="nil"/>
            </w:tcBorders>
            <w:shd w:val="clear" w:color="000000" w:fill="FFFFFF"/>
            <w:noWrap/>
            <w:vAlign w:val="center"/>
            <w:hideMark/>
          </w:tcPr>
          <w:p w14:paraId="498D6361"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-1.2</w:t>
            </w:r>
          </w:p>
        </w:tc>
        <w:tc>
          <w:tcPr>
            <w:tcW w:w="398" w:type="pct"/>
            <w:tcBorders>
              <w:top w:val="nil"/>
              <w:left w:val="nil"/>
              <w:bottom w:val="nil"/>
              <w:right w:val="nil"/>
            </w:tcBorders>
            <w:shd w:val="clear" w:color="000000" w:fill="FFFFFF"/>
            <w:noWrap/>
            <w:vAlign w:val="center"/>
            <w:hideMark/>
          </w:tcPr>
          <w:p w14:paraId="502A6517"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-37.0</w:t>
            </w:r>
          </w:p>
        </w:tc>
        <w:tc>
          <w:tcPr>
            <w:tcW w:w="398" w:type="pct"/>
            <w:tcBorders>
              <w:top w:val="nil"/>
              <w:left w:val="nil"/>
              <w:bottom w:val="nil"/>
              <w:right w:val="nil"/>
            </w:tcBorders>
            <w:shd w:val="clear" w:color="000000" w:fill="FFFFFF"/>
            <w:noWrap/>
            <w:vAlign w:val="center"/>
            <w:hideMark/>
          </w:tcPr>
          <w:p w14:paraId="05750FEE"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-1.1</w:t>
            </w:r>
          </w:p>
        </w:tc>
        <w:tc>
          <w:tcPr>
            <w:tcW w:w="47" w:type="pct"/>
            <w:tcBorders>
              <w:top w:val="nil"/>
              <w:left w:val="nil"/>
              <w:bottom w:val="nil"/>
              <w:right w:val="nil"/>
            </w:tcBorders>
            <w:shd w:val="clear" w:color="000000" w:fill="FFFFFF"/>
            <w:noWrap/>
            <w:vAlign w:val="center"/>
            <w:hideMark/>
          </w:tcPr>
          <w:p w14:paraId="76F0D880" w14:textId="77777777" w:rsidR="00E47796" w:rsidRPr="009B1522" w:rsidRDefault="00E47796" w:rsidP="00E47796">
            <w:pPr>
              <w:spacing w:before="0" w:after="0" w:line="240" w:lineRule="auto"/>
              <w:jc w:val="right"/>
              <w:rPr>
                <w:rFonts w:ascii="Arial" w:hAnsi="Arial" w:cs="Arial"/>
                <w:i/>
                <w:iCs/>
                <w:sz w:val="16"/>
                <w:szCs w:val="16"/>
              </w:rPr>
            </w:pPr>
            <w:r w:rsidRPr="009B1522">
              <w:rPr>
                <w:rFonts w:ascii="Arial" w:hAnsi="Arial" w:cs="Arial"/>
                <w:i/>
                <w:iCs/>
                <w:sz w:val="16"/>
                <w:szCs w:val="16"/>
              </w:rPr>
              <w:t> </w:t>
            </w:r>
          </w:p>
        </w:tc>
        <w:tc>
          <w:tcPr>
            <w:tcW w:w="532" w:type="pct"/>
            <w:tcBorders>
              <w:top w:val="nil"/>
              <w:left w:val="nil"/>
              <w:bottom w:val="nil"/>
              <w:right w:val="nil"/>
            </w:tcBorders>
            <w:noWrap/>
            <w:vAlign w:val="center"/>
            <w:hideMark/>
          </w:tcPr>
          <w:p w14:paraId="10AEABCD"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0.0</w:t>
            </w:r>
          </w:p>
        </w:tc>
      </w:tr>
      <w:tr w:rsidR="003661E9" w:rsidRPr="009B1522" w14:paraId="32621061"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0F0B54A4" w14:textId="77777777" w:rsidR="00E47796" w:rsidRPr="009B1522" w:rsidRDefault="00E47796" w:rsidP="00E47796">
            <w:pPr>
              <w:spacing w:before="0" w:after="0" w:line="240" w:lineRule="auto"/>
              <w:ind w:firstLineChars="100" w:firstLine="160"/>
              <w:rPr>
                <w:rFonts w:ascii="Arial" w:hAnsi="Arial" w:cs="Arial"/>
                <w:i/>
                <w:color w:val="FFFF00"/>
                <w:sz w:val="16"/>
                <w:szCs w:val="16"/>
              </w:rPr>
            </w:pPr>
            <w:r w:rsidRPr="009B1522">
              <w:rPr>
                <w:rFonts w:ascii="Arial" w:hAnsi="Arial" w:cs="Arial"/>
                <w:i/>
                <w:sz w:val="16"/>
                <w:szCs w:val="16"/>
              </w:rPr>
              <w:t>Budget</w:t>
            </w:r>
          </w:p>
        </w:tc>
        <w:tc>
          <w:tcPr>
            <w:tcW w:w="396" w:type="pct"/>
            <w:tcBorders>
              <w:top w:val="nil"/>
              <w:left w:val="nil"/>
              <w:bottom w:val="nil"/>
              <w:right w:val="nil"/>
            </w:tcBorders>
            <w:shd w:val="clear" w:color="000000" w:fill="E6F2FF"/>
            <w:noWrap/>
            <w:vAlign w:val="center"/>
            <w:hideMark/>
          </w:tcPr>
          <w:p w14:paraId="40BAD4CB"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-42.1</w:t>
            </w:r>
          </w:p>
        </w:tc>
        <w:tc>
          <w:tcPr>
            <w:tcW w:w="398" w:type="pct"/>
            <w:tcBorders>
              <w:top w:val="nil"/>
              <w:left w:val="nil"/>
              <w:bottom w:val="nil"/>
              <w:right w:val="nil"/>
            </w:tcBorders>
            <w:shd w:val="clear" w:color="000000" w:fill="E6F2FF"/>
            <w:noWrap/>
            <w:vAlign w:val="center"/>
            <w:hideMark/>
          </w:tcPr>
          <w:p w14:paraId="5A8258F2"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-1.5</w:t>
            </w:r>
          </w:p>
        </w:tc>
        <w:tc>
          <w:tcPr>
            <w:tcW w:w="398" w:type="pct"/>
            <w:tcBorders>
              <w:top w:val="nil"/>
              <w:left w:val="nil"/>
              <w:bottom w:val="nil"/>
              <w:right w:val="nil"/>
            </w:tcBorders>
            <w:shd w:val="clear" w:color="000000" w:fill="FFFFFF"/>
            <w:noWrap/>
            <w:vAlign w:val="center"/>
            <w:hideMark/>
          </w:tcPr>
          <w:p w14:paraId="559B16A7"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-35.7</w:t>
            </w:r>
          </w:p>
        </w:tc>
        <w:tc>
          <w:tcPr>
            <w:tcW w:w="398" w:type="pct"/>
            <w:tcBorders>
              <w:top w:val="nil"/>
              <w:left w:val="nil"/>
              <w:bottom w:val="nil"/>
              <w:right w:val="nil"/>
            </w:tcBorders>
            <w:shd w:val="clear" w:color="000000" w:fill="FFFFFF"/>
            <w:noWrap/>
            <w:vAlign w:val="center"/>
            <w:hideMark/>
          </w:tcPr>
          <w:p w14:paraId="39C0DD3C"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-1.2</w:t>
            </w:r>
          </w:p>
        </w:tc>
        <w:tc>
          <w:tcPr>
            <w:tcW w:w="398" w:type="pct"/>
            <w:tcBorders>
              <w:top w:val="nil"/>
              <w:left w:val="nil"/>
              <w:bottom w:val="nil"/>
              <w:right w:val="nil"/>
            </w:tcBorders>
            <w:shd w:val="clear" w:color="000000" w:fill="FFFFFF"/>
            <w:noWrap/>
            <w:vAlign w:val="center"/>
            <w:hideMark/>
          </w:tcPr>
          <w:p w14:paraId="36F41519"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-37.2</w:t>
            </w:r>
          </w:p>
        </w:tc>
        <w:tc>
          <w:tcPr>
            <w:tcW w:w="398" w:type="pct"/>
            <w:tcBorders>
              <w:top w:val="nil"/>
              <w:left w:val="nil"/>
              <w:bottom w:val="nil"/>
              <w:right w:val="nil"/>
            </w:tcBorders>
            <w:shd w:val="clear" w:color="000000" w:fill="FFFFFF"/>
            <w:noWrap/>
            <w:vAlign w:val="center"/>
            <w:hideMark/>
          </w:tcPr>
          <w:p w14:paraId="4CDA32CD"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-1.2</w:t>
            </w:r>
          </w:p>
        </w:tc>
        <w:tc>
          <w:tcPr>
            <w:tcW w:w="398" w:type="pct"/>
            <w:tcBorders>
              <w:top w:val="nil"/>
              <w:left w:val="nil"/>
              <w:bottom w:val="nil"/>
              <w:right w:val="nil"/>
            </w:tcBorders>
            <w:shd w:val="clear" w:color="000000" w:fill="FFFFFF"/>
            <w:noWrap/>
            <w:vAlign w:val="center"/>
            <w:hideMark/>
          </w:tcPr>
          <w:p w14:paraId="69DBD0B1"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-36.9</w:t>
            </w:r>
          </w:p>
        </w:tc>
        <w:tc>
          <w:tcPr>
            <w:tcW w:w="398" w:type="pct"/>
            <w:tcBorders>
              <w:top w:val="nil"/>
              <w:left w:val="nil"/>
              <w:bottom w:val="nil"/>
              <w:right w:val="nil"/>
            </w:tcBorders>
            <w:shd w:val="clear" w:color="000000" w:fill="FFFFFF"/>
            <w:noWrap/>
            <w:vAlign w:val="center"/>
            <w:hideMark/>
          </w:tcPr>
          <w:p w14:paraId="30E1F78F"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-1.1</w:t>
            </w:r>
          </w:p>
        </w:tc>
        <w:tc>
          <w:tcPr>
            <w:tcW w:w="47" w:type="pct"/>
            <w:tcBorders>
              <w:top w:val="nil"/>
              <w:left w:val="nil"/>
              <w:bottom w:val="nil"/>
              <w:right w:val="nil"/>
            </w:tcBorders>
            <w:shd w:val="clear" w:color="000000" w:fill="FFFFFF"/>
            <w:noWrap/>
            <w:vAlign w:val="center"/>
            <w:hideMark/>
          </w:tcPr>
          <w:p w14:paraId="67E2F9F2" w14:textId="77777777" w:rsidR="00E47796" w:rsidRPr="009B1522" w:rsidRDefault="00E47796" w:rsidP="00E47796">
            <w:pPr>
              <w:spacing w:before="0" w:after="0" w:line="240" w:lineRule="auto"/>
              <w:jc w:val="right"/>
              <w:rPr>
                <w:rFonts w:ascii="Arial" w:hAnsi="Arial" w:cs="Arial"/>
                <w:i/>
                <w:color w:val="000000"/>
                <w:sz w:val="16"/>
                <w:szCs w:val="16"/>
              </w:rPr>
            </w:pPr>
            <w:r w:rsidRPr="009B1522">
              <w:rPr>
                <w:rFonts w:ascii="Arial" w:hAnsi="Arial" w:cs="Arial"/>
                <w:i/>
                <w:color w:val="000000"/>
                <w:sz w:val="16"/>
                <w:szCs w:val="16"/>
              </w:rPr>
              <w:t> </w:t>
            </w:r>
          </w:p>
        </w:tc>
        <w:tc>
          <w:tcPr>
            <w:tcW w:w="532" w:type="pct"/>
            <w:tcBorders>
              <w:top w:val="nil"/>
              <w:left w:val="nil"/>
              <w:bottom w:val="nil"/>
              <w:right w:val="nil"/>
            </w:tcBorders>
            <w:noWrap/>
            <w:vAlign w:val="center"/>
            <w:hideMark/>
          </w:tcPr>
          <w:p w14:paraId="099BA052"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0.0</w:t>
            </w:r>
          </w:p>
        </w:tc>
      </w:tr>
      <w:tr w:rsidR="003661E9" w:rsidRPr="009B1522" w14:paraId="6F40A9B0" w14:textId="77777777" w:rsidTr="0053154B">
        <w:trPr>
          <w:trHeight w:hRule="exact" w:val="60"/>
        </w:trPr>
        <w:tc>
          <w:tcPr>
            <w:tcW w:w="1241" w:type="pct"/>
            <w:tcBorders>
              <w:top w:val="nil"/>
              <w:left w:val="nil"/>
              <w:bottom w:val="nil"/>
              <w:right w:val="nil"/>
            </w:tcBorders>
            <w:shd w:val="clear" w:color="000000" w:fill="FFFFFF"/>
            <w:noWrap/>
            <w:vAlign w:val="center"/>
            <w:hideMark/>
          </w:tcPr>
          <w:p w14:paraId="771B219E" w14:textId="77777777" w:rsidR="00E47796" w:rsidRPr="009B1522" w:rsidRDefault="00E47796" w:rsidP="00E47796">
            <w:pPr>
              <w:spacing w:before="0" w:after="0" w:line="240" w:lineRule="auto"/>
              <w:ind w:firstLineChars="200" w:firstLine="320"/>
              <w:rPr>
                <w:rFonts w:ascii="Arial" w:hAnsi="Arial" w:cs="Arial"/>
                <w:i/>
                <w:color w:val="FFFF00"/>
                <w:sz w:val="16"/>
                <w:szCs w:val="16"/>
              </w:rPr>
            </w:pPr>
            <w:r w:rsidRPr="009B1522">
              <w:rPr>
                <w:rFonts w:ascii="Arial" w:hAnsi="Arial" w:cs="Arial"/>
                <w:i/>
                <w:sz w:val="16"/>
                <w:szCs w:val="16"/>
              </w:rPr>
              <w:t> </w:t>
            </w:r>
          </w:p>
        </w:tc>
        <w:tc>
          <w:tcPr>
            <w:tcW w:w="396" w:type="pct"/>
            <w:tcBorders>
              <w:top w:val="nil"/>
              <w:left w:val="nil"/>
              <w:bottom w:val="nil"/>
              <w:right w:val="nil"/>
            </w:tcBorders>
            <w:shd w:val="clear" w:color="000000" w:fill="E6F2FF"/>
            <w:noWrap/>
            <w:vAlign w:val="center"/>
            <w:hideMark/>
          </w:tcPr>
          <w:p w14:paraId="66E59611"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E6F2FF"/>
            <w:noWrap/>
            <w:vAlign w:val="center"/>
            <w:hideMark/>
          </w:tcPr>
          <w:p w14:paraId="10BB0B21"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72A6BB9D"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017872F2"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04DE599A"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61201873"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2756DF42"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4ABFBBA5"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c>
          <w:tcPr>
            <w:tcW w:w="47" w:type="pct"/>
            <w:tcBorders>
              <w:top w:val="nil"/>
              <w:left w:val="nil"/>
              <w:bottom w:val="nil"/>
              <w:right w:val="nil"/>
            </w:tcBorders>
            <w:shd w:val="clear" w:color="000000" w:fill="FFFFFF"/>
            <w:noWrap/>
            <w:vAlign w:val="center"/>
            <w:hideMark/>
          </w:tcPr>
          <w:p w14:paraId="388E8C86" w14:textId="77777777" w:rsidR="00E47796" w:rsidRPr="009B1522" w:rsidRDefault="00E47796" w:rsidP="00E47796">
            <w:pPr>
              <w:spacing w:before="0" w:after="0" w:line="240" w:lineRule="auto"/>
              <w:jc w:val="right"/>
              <w:rPr>
                <w:rFonts w:ascii="Arial" w:hAnsi="Arial" w:cs="Arial"/>
                <w:i/>
                <w:color w:val="000000"/>
                <w:sz w:val="16"/>
                <w:szCs w:val="16"/>
              </w:rPr>
            </w:pPr>
            <w:r w:rsidRPr="009B1522">
              <w:rPr>
                <w:rFonts w:ascii="Arial" w:hAnsi="Arial" w:cs="Arial"/>
                <w:i/>
                <w:color w:val="000000"/>
                <w:sz w:val="16"/>
                <w:szCs w:val="16"/>
              </w:rPr>
              <w:t> </w:t>
            </w:r>
          </w:p>
        </w:tc>
        <w:tc>
          <w:tcPr>
            <w:tcW w:w="532" w:type="pct"/>
            <w:tcBorders>
              <w:top w:val="nil"/>
              <w:left w:val="nil"/>
              <w:bottom w:val="nil"/>
              <w:right w:val="nil"/>
            </w:tcBorders>
            <w:noWrap/>
            <w:vAlign w:val="center"/>
            <w:hideMark/>
          </w:tcPr>
          <w:p w14:paraId="4FB1B384"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r>
      <w:tr w:rsidR="003661E9" w:rsidRPr="009B1522" w14:paraId="6386E4F8"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1EBAC3DE" w14:textId="77777777" w:rsidR="00E47796" w:rsidRPr="009B1522" w:rsidRDefault="00E47796" w:rsidP="00E47796">
            <w:pPr>
              <w:spacing w:before="0" w:after="0" w:line="240" w:lineRule="auto"/>
              <w:rPr>
                <w:rFonts w:ascii="Arial" w:hAnsi="Arial" w:cs="Arial"/>
                <w:b/>
                <w:color w:val="FFFF00"/>
                <w:sz w:val="16"/>
                <w:szCs w:val="16"/>
              </w:rPr>
            </w:pPr>
            <w:r w:rsidRPr="009B1522">
              <w:rPr>
                <w:rFonts w:ascii="Arial" w:hAnsi="Arial" w:cs="Arial"/>
                <w:b/>
                <w:sz w:val="16"/>
                <w:szCs w:val="16"/>
              </w:rPr>
              <w:t>Receipts</w:t>
            </w:r>
          </w:p>
        </w:tc>
        <w:tc>
          <w:tcPr>
            <w:tcW w:w="396" w:type="pct"/>
            <w:tcBorders>
              <w:top w:val="nil"/>
              <w:left w:val="nil"/>
              <w:bottom w:val="nil"/>
              <w:right w:val="nil"/>
            </w:tcBorders>
            <w:shd w:val="clear" w:color="000000" w:fill="E6F2FF"/>
            <w:noWrap/>
            <w:vAlign w:val="center"/>
            <w:hideMark/>
          </w:tcPr>
          <w:p w14:paraId="7DF8EA18" w14:textId="77777777" w:rsidR="00E47796" w:rsidRPr="009B1522" w:rsidRDefault="00E47796" w:rsidP="00E47796">
            <w:pPr>
              <w:spacing w:before="0" w:after="0" w:line="240" w:lineRule="auto"/>
              <w:jc w:val="right"/>
              <w:rPr>
                <w:rFonts w:ascii="Arial" w:hAnsi="Arial" w:cs="Arial"/>
                <w:b/>
                <w:color w:val="FFFF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E6F2FF"/>
            <w:noWrap/>
            <w:vAlign w:val="center"/>
            <w:hideMark/>
          </w:tcPr>
          <w:p w14:paraId="5139A1BD" w14:textId="77777777" w:rsidR="00E47796" w:rsidRPr="009B1522" w:rsidRDefault="00E47796" w:rsidP="00E47796">
            <w:pPr>
              <w:spacing w:before="0" w:after="0" w:line="240" w:lineRule="auto"/>
              <w:jc w:val="right"/>
              <w:rPr>
                <w:rFonts w:ascii="Arial" w:hAnsi="Arial" w:cs="Arial"/>
                <w:b/>
                <w:color w:val="FFFF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FFFFFF"/>
            <w:noWrap/>
            <w:vAlign w:val="center"/>
            <w:hideMark/>
          </w:tcPr>
          <w:p w14:paraId="2AFEB5CA" w14:textId="77777777" w:rsidR="00E47796" w:rsidRPr="009B1522" w:rsidRDefault="00E47796" w:rsidP="00E47796">
            <w:pPr>
              <w:spacing w:before="0" w:after="0" w:line="240" w:lineRule="auto"/>
              <w:jc w:val="right"/>
              <w:rPr>
                <w:rFonts w:ascii="Arial" w:hAnsi="Arial" w:cs="Arial"/>
                <w:b/>
                <w:color w:val="FFFF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FFFFFF"/>
            <w:noWrap/>
            <w:vAlign w:val="center"/>
            <w:hideMark/>
          </w:tcPr>
          <w:p w14:paraId="0890CFF7" w14:textId="77777777" w:rsidR="00E47796" w:rsidRPr="009B1522" w:rsidRDefault="00E47796" w:rsidP="00E47796">
            <w:pPr>
              <w:spacing w:before="0" w:after="0" w:line="240" w:lineRule="auto"/>
              <w:jc w:val="right"/>
              <w:rPr>
                <w:rFonts w:ascii="Arial" w:hAnsi="Arial" w:cs="Arial"/>
                <w:b/>
                <w:color w:val="FFFF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FFFFFF"/>
            <w:noWrap/>
            <w:vAlign w:val="center"/>
            <w:hideMark/>
          </w:tcPr>
          <w:p w14:paraId="3686F872" w14:textId="77777777" w:rsidR="00E47796" w:rsidRPr="009B1522" w:rsidRDefault="00E47796" w:rsidP="00E47796">
            <w:pPr>
              <w:spacing w:before="0" w:after="0" w:line="240" w:lineRule="auto"/>
              <w:jc w:val="right"/>
              <w:rPr>
                <w:rFonts w:ascii="Arial" w:hAnsi="Arial" w:cs="Arial"/>
                <w:b/>
                <w:color w:val="FFFF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FFFFFF"/>
            <w:noWrap/>
            <w:vAlign w:val="center"/>
            <w:hideMark/>
          </w:tcPr>
          <w:p w14:paraId="72F5EC5A" w14:textId="77777777" w:rsidR="00E47796" w:rsidRPr="009B1522" w:rsidRDefault="00E47796" w:rsidP="00E47796">
            <w:pPr>
              <w:spacing w:before="0" w:after="0" w:line="240" w:lineRule="auto"/>
              <w:jc w:val="right"/>
              <w:rPr>
                <w:rFonts w:ascii="Arial" w:hAnsi="Arial" w:cs="Arial"/>
                <w:b/>
                <w:color w:val="FFFF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FFFFFF"/>
            <w:noWrap/>
            <w:vAlign w:val="center"/>
            <w:hideMark/>
          </w:tcPr>
          <w:p w14:paraId="5F7928B6" w14:textId="77777777" w:rsidR="00E47796" w:rsidRPr="009B1522" w:rsidRDefault="00E47796" w:rsidP="00E47796">
            <w:pPr>
              <w:spacing w:before="0" w:after="0" w:line="240" w:lineRule="auto"/>
              <w:jc w:val="right"/>
              <w:rPr>
                <w:rFonts w:ascii="Arial" w:hAnsi="Arial" w:cs="Arial"/>
                <w:b/>
                <w:color w:val="FFFF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FFFFFF"/>
            <w:noWrap/>
            <w:vAlign w:val="center"/>
            <w:hideMark/>
          </w:tcPr>
          <w:p w14:paraId="461BBD3C" w14:textId="77777777" w:rsidR="00E47796" w:rsidRPr="009B1522" w:rsidRDefault="00E47796" w:rsidP="00E47796">
            <w:pPr>
              <w:spacing w:before="0" w:after="0" w:line="240" w:lineRule="auto"/>
              <w:jc w:val="right"/>
              <w:rPr>
                <w:rFonts w:ascii="Arial" w:hAnsi="Arial" w:cs="Arial"/>
                <w:b/>
                <w:sz w:val="16"/>
                <w:szCs w:val="16"/>
              </w:rPr>
            </w:pPr>
            <w:r w:rsidRPr="009B1522">
              <w:rPr>
                <w:rFonts w:ascii="Arial" w:hAnsi="Arial" w:cs="Arial"/>
                <w:b/>
                <w:sz w:val="16"/>
                <w:szCs w:val="16"/>
              </w:rPr>
              <w:t> </w:t>
            </w:r>
          </w:p>
        </w:tc>
        <w:tc>
          <w:tcPr>
            <w:tcW w:w="47" w:type="pct"/>
            <w:tcBorders>
              <w:top w:val="nil"/>
              <w:left w:val="nil"/>
              <w:bottom w:val="nil"/>
              <w:right w:val="nil"/>
            </w:tcBorders>
            <w:shd w:val="clear" w:color="000000" w:fill="FFFFFF"/>
            <w:noWrap/>
            <w:vAlign w:val="center"/>
            <w:hideMark/>
          </w:tcPr>
          <w:p w14:paraId="31378EF3" w14:textId="77777777" w:rsidR="00E47796" w:rsidRPr="009B1522" w:rsidRDefault="00E47796" w:rsidP="00E47796">
            <w:pPr>
              <w:spacing w:before="0" w:after="0" w:line="240" w:lineRule="auto"/>
              <w:jc w:val="right"/>
              <w:rPr>
                <w:rFonts w:ascii="Arial" w:hAnsi="Arial" w:cs="Arial"/>
                <w:b/>
                <w:color w:val="000000"/>
                <w:sz w:val="16"/>
                <w:szCs w:val="16"/>
              </w:rPr>
            </w:pPr>
            <w:r w:rsidRPr="009B1522">
              <w:rPr>
                <w:rFonts w:ascii="Arial" w:hAnsi="Arial" w:cs="Arial"/>
                <w:b/>
                <w:color w:val="000000"/>
                <w:sz w:val="16"/>
                <w:szCs w:val="16"/>
              </w:rPr>
              <w:t> </w:t>
            </w:r>
          </w:p>
        </w:tc>
        <w:tc>
          <w:tcPr>
            <w:tcW w:w="532" w:type="pct"/>
            <w:tcBorders>
              <w:top w:val="nil"/>
              <w:left w:val="nil"/>
              <w:bottom w:val="nil"/>
              <w:right w:val="nil"/>
            </w:tcBorders>
            <w:noWrap/>
            <w:vAlign w:val="center"/>
            <w:hideMark/>
          </w:tcPr>
          <w:p w14:paraId="3B73C630" w14:textId="77777777" w:rsidR="00E47796" w:rsidRPr="009B1522" w:rsidRDefault="00E47796" w:rsidP="00E47796">
            <w:pPr>
              <w:spacing w:before="0" w:after="0" w:line="240" w:lineRule="auto"/>
              <w:jc w:val="right"/>
              <w:rPr>
                <w:rFonts w:ascii="Arial" w:hAnsi="Arial" w:cs="Arial"/>
                <w:b/>
                <w:sz w:val="16"/>
                <w:szCs w:val="16"/>
              </w:rPr>
            </w:pPr>
            <w:r w:rsidRPr="009B1522">
              <w:rPr>
                <w:rFonts w:ascii="Arial" w:hAnsi="Arial" w:cs="Arial"/>
                <w:b/>
                <w:sz w:val="16"/>
                <w:szCs w:val="16"/>
              </w:rPr>
              <w:t> </w:t>
            </w:r>
          </w:p>
        </w:tc>
      </w:tr>
      <w:tr w:rsidR="003661E9" w:rsidRPr="009B1522" w14:paraId="16D1D715"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490AED83" w14:textId="77777777" w:rsidR="00E47796" w:rsidRPr="009B1522" w:rsidRDefault="00E47796" w:rsidP="00E47796">
            <w:pPr>
              <w:spacing w:before="0" w:after="0" w:line="240" w:lineRule="auto"/>
              <w:ind w:firstLineChars="100" w:firstLine="160"/>
              <w:rPr>
                <w:rFonts w:ascii="Arial" w:hAnsi="Arial" w:cs="Arial"/>
                <w:color w:val="FFFF00"/>
                <w:sz w:val="16"/>
                <w:szCs w:val="16"/>
              </w:rPr>
            </w:pPr>
            <w:r w:rsidRPr="009B1522">
              <w:rPr>
                <w:rFonts w:ascii="Arial" w:hAnsi="Arial" w:cs="Arial"/>
                <w:sz w:val="16"/>
                <w:szCs w:val="16"/>
              </w:rPr>
              <w:t>MYEFO</w:t>
            </w:r>
          </w:p>
        </w:tc>
        <w:tc>
          <w:tcPr>
            <w:tcW w:w="396" w:type="pct"/>
            <w:tcBorders>
              <w:top w:val="nil"/>
              <w:left w:val="nil"/>
              <w:bottom w:val="nil"/>
              <w:right w:val="nil"/>
            </w:tcBorders>
            <w:shd w:val="clear" w:color="000000" w:fill="E6F2FF"/>
            <w:noWrap/>
            <w:vAlign w:val="center"/>
            <w:hideMark/>
          </w:tcPr>
          <w:p w14:paraId="43469840"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749.8</w:t>
            </w:r>
          </w:p>
        </w:tc>
        <w:tc>
          <w:tcPr>
            <w:tcW w:w="398" w:type="pct"/>
            <w:tcBorders>
              <w:top w:val="nil"/>
              <w:left w:val="nil"/>
              <w:bottom w:val="nil"/>
              <w:right w:val="nil"/>
            </w:tcBorders>
            <w:shd w:val="clear" w:color="000000" w:fill="E6F2FF"/>
            <w:noWrap/>
            <w:vAlign w:val="center"/>
            <w:hideMark/>
          </w:tcPr>
          <w:p w14:paraId="064BAB0A"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25.7</w:t>
            </w:r>
          </w:p>
        </w:tc>
        <w:tc>
          <w:tcPr>
            <w:tcW w:w="398" w:type="pct"/>
            <w:tcBorders>
              <w:top w:val="nil"/>
              <w:left w:val="nil"/>
              <w:bottom w:val="nil"/>
              <w:right w:val="nil"/>
            </w:tcBorders>
            <w:shd w:val="clear" w:color="000000" w:fill="FFFFFF"/>
            <w:noWrap/>
            <w:vAlign w:val="center"/>
            <w:hideMark/>
          </w:tcPr>
          <w:p w14:paraId="1FED65AB"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777.0</w:t>
            </w:r>
          </w:p>
        </w:tc>
        <w:tc>
          <w:tcPr>
            <w:tcW w:w="398" w:type="pct"/>
            <w:tcBorders>
              <w:top w:val="nil"/>
              <w:left w:val="nil"/>
              <w:bottom w:val="nil"/>
              <w:right w:val="nil"/>
            </w:tcBorders>
            <w:shd w:val="clear" w:color="000000" w:fill="FFFFFF"/>
            <w:noWrap/>
            <w:vAlign w:val="center"/>
            <w:hideMark/>
          </w:tcPr>
          <w:p w14:paraId="71620C16"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25.8</w:t>
            </w:r>
          </w:p>
        </w:tc>
        <w:tc>
          <w:tcPr>
            <w:tcW w:w="398" w:type="pct"/>
            <w:tcBorders>
              <w:top w:val="nil"/>
              <w:left w:val="nil"/>
              <w:bottom w:val="nil"/>
              <w:right w:val="nil"/>
            </w:tcBorders>
            <w:shd w:val="clear" w:color="000000" w:fill="FFFFFF"/>
            <w:noWrap/>
            <w:vAlign w:val="center"/>
            <w:hideMark/>
          </w:tcPr>
          <w:p w14:paraId="5976A652"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805.6</w:t>
            </w:r>
          </w:p>
        </w:tc>
        <w:tc>
          <w:tcPr>
            <w:tcW w:w="398" w:type="pct"/>
            <w:tcBorders>
              <w:top w:val="nil"/>
              <w:left w:val="nil"/>
              <w:bottom w:val="nil"/>
              <w:right w:val="nil"/>
            </w:tcBorders>
            <w:shd w:val="clear" w:color="000000" w:fill="FFFFFF"/>
            <w:noWrap/>
            <w:vAlign w:val="center"/>
            <w:hideMark/>
          </w:tcPr>
          <w:p w14:paraId="37D77B38"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25.5</w:t>
            </w:r>
          </w:p>
        </w:tc>
        <w:tc>
          <w:tcPr>
            <w:tcW w:w="398" w:type="pct"/>
            <w:tcBorders>
              <w:top w:val="nil"/>
              <w:left w:val="nil"/>
              <w:bottom w:val="nil"/>
              <w:right w:val="nil"/>
            </w:tcBorders>
            <w:shd w:val="clear" w:color="000000" w:fill="FFFFFF"/>
            <w:noWrap/>
            <w:vAlign w:val="center"/>
            <w:hideMark/>
          </w:tcPr>
          <w:p w14:paraId="609EEE9B"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846.9</w:t>
            </w:r>
          </w:p>
        </w:tc>
        <w:tc>
          <w:tcPr>
            <w:tcW w:w="398" w:type="pct"/>
            <w:tcBorders>
              <w:top w:val="nil"/>
              <w:left w:val="nil"/>
              <w:bottom w:val="nil"/>
              <w:right w:val="nil"/>
            </w:tcBorders>
            <w:shd w:val="clear" w:color="000000" w:fill="FFFFFF"/>
            <w:noWrap/>
            <w:vAlign w:val="center"/>
            <w:hideMark/>
          </w:tcPr>
          <w:p w14:paraId="4C34934A"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25.4</w:t>
            </w:r>
          </w:p>
        </w:tc>
        <w:tc>
          <w:tcPr>
            <w:tcW w:w="47" w:type="pct"/>
            <w:tcBorders>
              <w:top w:val="nil"/>
              <w:left w:val="nil"/>
              <w:bottom w:val="nil"/>
              <w:right w:val="nil"/>
            </w:tcBorders>
            <w:shd w:val="clear" w:color="000000" w:fill="FFFFFF"/>
            <w:noWrap/>
            <w:vAlign w:val="center"/>
            <w:hideMark/>
          </w:tcPr>
          <w:p w14:paraId="180355B4"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532" w:type="pct"/>
            <w:tcBorders>
              <w:top w:val="nil"/>
              <w:left w:val="nil"/>
              <w:bottom w:val="nil"/>
              <w:right w:val="nil"/>
            </w:tcBorders>
            <w:noWrap/>
            <w:vAlign w:val="center"/>
            <w:hideMark/>
          </w:tcPr>
          <w:p w14:paraId="52FB895F"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26.6</w:t>
            </w:r>
          </w:p>
        </w:tc>
      </w:tr>
      <w:tr w:rsidR="003661E9" w:rsidRPr="009B1522" w14:paraId="24312303"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0B3504BE" w14:textId="77777777" w:rsidR="00E47796" w:rsidRPr="009B1522" w:rsidRDefault="00E47796" w:rsidP="00E47796">
            <w:pPr>
              <w:spacing w:before="0" w:after="0" w:line="240" w:lineRule="auto"/>
              <w:ind w:firstLineChars="100" w:firstLine="160"/>
              <w:rPr>
                <w:rFonts w:ascii="Arial" w:hAnsi="Arial" w:cs="Arial"/>
                <w:i/>
                <w:color w:val="FFFF00"/>
                <w:sz w:val="16"/>
                <w:szCs w:val="16"/>
              </w:rPr>
            </w:pPr>
            <w:r w:rsidRPr="009B1522">
              <w:rPr>
                <w:rFonts w:ascii="Arial" w:hAnsi="Arial" w:cs="Arial"/>
                <w:i/>
                <w:sz w:val="16"/>
                <w:szCs w:val="16"/>
              </w:rPr>
              <w:t>PEFO</w:t>
            </w:r>
          </w:p>
        </w:tc>
        <w:tc>
          <w:tcPr>
            <w:tcW w:w="396" w:type="pct"/>
            <w:tcBorders>
              <w:top w:val="nil"/>
              <w:left w:val="nil"/>
              <w:bottom w:val="nil"/>
              <w:right w:val="nil"/>
            </w:tcBorders>
            <w:shd w:val="clear" w:color="000000" w:fill="E6F2FF"/>
            <w:noWrap/>
            <w:vAlign w:val="center"/>
            <w:hideMark/>
          </w:tcPr>
          <w:p w14:paraId="0C03A4C6"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735.4</w:t>
            </w:r>
          </w:p>
        </w:tc>
        <w:tc>
          <w:tcPr>
            <w:tcW w:w="398" w:type="pct"/>
            <w:tcBorders>
              <w:top w:val="nil"/>
              <w:left w:val="nil"/>
              <w:bottom w:val="nil"/>
              <w:right w:val="nil"/>
            </w:tcBorders>
            <w:shd w:val="clear" w:color="000000" w:fill="E6F2FF"/>
            <w:noWrap/>
            <w:vAlign w:val="center"/>
            <w:hideMark/>
          </w:tcPr>
          <w:p w14:paraId="02D4F8CE"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25.5</w:t>
            </w:r>
          </w:p>
        </w:tc>
        <w:tc>
          <w:tcPr>
            <w:tcW w:w="398" w:type="pct"/>
            <w:tcBorders>
              <w:top w:val="nil"/>
              <w:left w:val="nil"/>
              <w:bottom w:val="nil"/>
              <w:right w:val="nil"/>
            </w:tcBorders>
            <w:shd w:val="clear" w:color="000000" w:fill="FFFFFF"/>
            <w:noWrap/>
            <w:vAlign w:val="center"/>
            <w:hideMark/>
          </w:tcPr>
          <w:p w14:paraId="3F59A524"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766.0</w:t>
            </w:r>
          </w:p>
        </w:tc>
        <w:tc>
          <w:tcPr>
            <w:tcW w:w="398" w:type="pct"/>
            <w:tcBorders>
              <w:top w:val="nil"/>
              <w:left w:val="nil"/>
              <w:bottom w:val="nil"/>
              <w:right w:val="nil"/>
            </w:tcBorders>
            <w:shd w:val="clear" w:color="000000" w:fill="FFFFFF"/>
            <w:noWrap/>
            <w:vAlign w:val="center"/>
            <w:hideMark/>
          </w:tcPr>
          <w:p w14:paraId="6D2139A8"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25.6</w:t>
            </w:r>
          </w:p>
        </w:tc>
        <w:tc>
          <w:tcPr>
            <w:tcW w:w="398" w:type="pct"/>
            <w:tcBorders>
              <w:top w:val="nil"/>
              <w:left w:val="nil"/>
              <w:bottom w:val="nil"/>
              <w:right w:val="nil"/>
            </w:tcBorders>
            <w:shd w:val="clear" w:color="000000" w:fill="FFFFFF"/>
            <w:noWrap/>
            <w:vAlign w:val="center"/>
            <w:hideMark/>
          </w:tcPr>
          <w:p w14:paraId="2EADE23C"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797.4</w:t>
            </w:r>
          </w:p>
        </w:tc>
        <w:tc>
          <w:tcPr>
            <w:tcW w:w="398" w:type="pct"/>
            <w:tcBorders>
              <w:top w:val="nil"/>
              <w:left w:val="nil"/>
              <w:bottom w:val="nil"/>
              <w:right w:val="nil"/>
            </w:tcBorders>
            <w:shd w:val="clear" w:color="000000" w:fill="FFFFFF"/>
            <w:noWrap/>
            <w:vAlign w:val="center"/>
            <w:hideMark/>
          </w:tcPr>
          <w:p w14:paraId="5FCCE98B"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25.3</w:t>
            </w:r>
          </w:p>
        </w:tc>
        <w:tc>
          <w:tcPr>
            <w:tcW w:w="398" w:type="pct"/>
            <w:tcBorders>
              <w:top w:val="nil"/>
              <w:left w:val="nil"/>
              <w:bottom w:val="nil"/>
              <w:right w:val="nil"/>
            </w:tcBorders>
            <w:shd w:val="clear" w:color="000000" w:fill="FFFFFF"/>
            <w:noWrap/>
            <w:vAlign w:val="center"/>
            <w:hideMark/>
          </w:tcPr>
          <w:p w14:paraId="532859DA"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840.8</w:t>
            </w:r>
          </w:p>
        </w:tc>
        <w:tc>
          <w:tcPr>
            <w:tcW w:w="398" w:type="pct"/>
            <w:tcBorders>
              <w:top w:val="nil"/>
              <w:left w:val="nil"/>
              <w:bottom w:val="nil"/>
              <w:right w:val="nil"/>
            </w:tcBorders>
            <w:shd w:val="clear" w:color="000000" w:fill="FFFFFF"/>
            <w:noWrap/>
            <w:vAlign w:val="center"/>
            <w:hideMark/>
          </w:tcPr>
          <w:p w14:paraId="4E0BF0AA"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25.3</w:t>
            </w:r>
          </w:p>
        </w:tc>
        <w:tc>
          <w:tcPr>
            <w:tcW w:w="47" w:type="pct"/>
            <w:tcBorders>
              <w:top w:val="nil"/>
              <w:left w:val="nil"/>
              <w:bottom w:val="nil"/>
              <w:right w:val="nil"/>
            </w:tcBorders>
            <w:shd w:val="clear" w:color="000000" w:fill="FFFFFF"/>
            <w:noWrap/>
            <w:vAlign w:val="center"/>
            <w:hideMark/>
          </w:tcPr>
          <w:p w14:paraId="3B1C75E3" w14:textId="77777777" w:rsidR="00E47796" w:rsidRPr="009B1522" w:rsidRDefault="00E47796" w:rsidP="00E47796">
            <w:pPr>
              <w:spacing w:before="0" w:after="0" w:line="240" w:lineRule="auto"/>
              <w:jc w:val="right"/>
              <w:rPr>
                <w:rFonts w:ascii="Arial" w:hAnsi="Arial" w:cs="Arial"/>
                <w:i/>
                <w:iCs/>
                <w:sz w:val="16"/>
                <w:szCs w:val="16"/>
              </w:rPr>
            </w:pPr>
            <w:r w:rsidRPr="009B1522">
              <w:rPr>
                <w:rFonts w:ascii="Arial" w:hAnsi="Arial" w:cs="Arial"/>
                <w:i/>
                <w:iCs/>
                <w:sz w:val="16"/>
                <w:szCs w:val="16"/>
              </w:rPr>
              <w:t> </w:t>
            </w:r>
          </w:p>
        </w:tc>
        <w:tc>
          <w:tcPr>
            <w:tcW w:w="532" w:type="pct"/>
            <w:tcBorders>
              <w:top w:val="nil"/>
              <w:left w:val="nil"/>
              <w:bottom w:val="nil"/>
              <w:right w:val="nil"/>
            </w:tcBorders>
            <w:noWrap/>
            <w:vAlign w:val="center"/>
            <w:hideMark/>
          </w:tcPr>
          <w:p w14:paraId="4DE34DEC"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26.8</w:t>
            </w:r>
          </w:p>
        </w:tc>
      </w:tr>
      <w:tr w:rsidR="003661E9" w:rsidRPr="009B1522" w14:paraId="64E7B22E"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0C19007C" w14:textId="77777777" w:rsidR="00E47796" w:rsidRPr="009B1522" w:rsidRDefault="00E47796" w:rsidP="00E47796">
            <w:pPr>
              <w:spacing w:before="0" w:after="0" w:line="240" w:lineRule="auto"/>
              <w:ind w:firstLineChars="100" w:firstLine="160"/>
              <w:rPr>
                <w:rFonts w:ascii="Arial" w:hAnsi="Arial" w:cs="Arial"/>
                <w:i/>
                <w:color w:val="FFFF00"/>
                <w:sz w:val="16"/>
                <w:szCs w:val="16"/>
              </w:rPr>
            </w:pPr>
            <w:r w:rsidRPr="009B1522">
              <w:rPr>
                <w:rFonts w:ascii="Arial" w:hAnsi="Arial" w:cs="Arial"/>
                <w:i/>
                <w:sz w:val="16"/>
                <w:szCs w:val="16"/>
              </w:rPr>
              <w:t>Budget</w:t>
            </w:r>
          </w:p>
        </w:tc>
        <w:tc>
          <w:tcPr>
            <w:tcW w:w="396" w:type="pct"/>
            <w:tcBorders>
              <w:top w:val="nil"/>
              <w:left w:val="nil"/>
              <w:bottom w:val="nil"/>
              <w:right w:val="nil"/>
            </w:tcBorders>
            <w:shd w:val="clear" w:color="000000" w:fill="E6F2FF"/>
            <w:noWrap/>
            <w:vAlign w:val="center"/>
            <w:hideMark/>
          </w:tcPr>
          <w:p w14:paraId="36345915"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735.4</w:t>
            </w:r>
          </w:p>
        </w:tc>
        <w:tc>
          <w:tcPr>
            <w:tcW w:w="398" w:type="pct"/>
            <w:tcBorders>
              <w:top w:val="nil"/>
              <w:left w:val="nil"/>
              <w:bottom w:val="nil"/>
              <w:right w:val="nil"/>
            </w:tcBorders>
            <w:shd w:val="clear" w:color="000000" w:fill="E6F2FF"/>
            <w:noWrap/>
            <w:vAlign w:val="center"/>
            <w:hideMark/>
          </w:tcPr>
          <w:p w14:paraId="114A51C6"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25.5</w:t>
            </w:r>
          </w:p>
        </w:tc>
        <w:tc>
          <w:tcPr>
            <w:tcW w:w="398" w:type="pct"/>
            <w:tcBorders>
              <w:top w:val="nil"/>
              <w:left w:val="nil"/>
              <w:bottom w:val="nil"/>
              <w:right w:val="nil"/>
            </w:tcBorders>
            <w:shd w:val="clear" w:color="000000" w:fill="FFFFFF"/>
            <w:noWrap/>
            <w:vAlign w:val="center"/>
            <w:hideMark/>
          </w:tcPr>
          <w:p w14:paraId="6B2FD5EB"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766.0</w:t>
            </w:r>
          </w:p>
        </w:tc>
        <w:tc>
          <w:tcPr>
            <w:tcW w:w="398" w:type="pct"/>
            <w:tcBorders>
              <w:top w:val="nil"/>
              <w:left w:val="nil"/>
              <w:bottom w:val="nil"/>
              <w:right w:val="nil"/>
            </w:tcBorders>
            <w:shd w:val="clear" w:color="000000" w:fill="FFFFFF"/>
            <w:noWrap/>
            <w:vAlign w:val="center"/>
            <w:hideMark/>
          </w:tcPr>
          <w:p w14:paraId="252E9308"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25.6</w:t>
            </w:r>
          </w:p>
        </w:tc>
        <w:tc>
          <w:tcPr>
            <w:tcW w:w="398" w:type="pct"/>
            <w:tcBorders>
              <w:top w:val="nil"/>
              <w:left w:val="nil"/>
              <w:bottom w:val="nil"/>
              <w:right w:val="nil"/>
            </w:tcBorders>
            <w:shd w:val="clear" w:color="000000" w:fill="FFFFFF"/>
            <w:noWrap/>
            <w:vAlign w:val="center"/>
            <w:hideMark/>
          </w:tcPr>
          <w:p w14:paraId="06CB5AB9"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797.4</w:t>
            </w:r>
          </w:p>
        </w:tc>
        <w:tc>
          <w:tcPr>
            <w:tcW w:w="398" w:type="pct"/>
            <w:tcBorders>
              <w:top w:val="nil"/>
              <w:left w:val="nil"/>
              <w:bottom w:val="nil"/>
              <w:right w:val="nil"/>
            </w:tcBorders>
            <w:shd w:val="clear" w:color="000000" w:fill="FFFFFF"/>
            <w:noWrap/>
            <w:vAlign w:val="center"/>
            <w:hideMark/>
          </w:tcPr>
          <w:p w14:paraId="42642341"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25.3</w:t>
            </w:r>
          </w:p>
        </w:tc>
        <w:tc>
          <w:tcPr>
            <w:tcW w:w="398" w:type="pct"/>
            <w:tcBorders>
              <w:top w:val="nil"/>
              <w:left w:val="nil"/>
              <w:bottom w:val="nil"/>
              <w:right w:val="nil"/>
            </w:tcBorders>
            <w:shd w:val="clear" w:color="000000" w:fill="FFFFFF"/>
            <w:noWrap/>
            <w:vAlign w:val="center"/>
            <w:hideMark/>
          </w:tcPr>
          <w:p w14:paraId="16A9495C"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840.8</w:t>
            </w:r>
          </w:p>
        </w:tc>
        <w:tc>
          <w:tcPr>
            <w:tcW w:w="398" w:type="pct"/>
            <w:tcBorders>
              <w:top w:val="nil"/>
              <w:left w:val="nil"/>
              <w:bottom w:val="nil"/>
              <w:right w:val="nil"/>
            </w:tcBorders>
            <w:shd w:val="clear" w:color="000000" w:fill="FFFFFF"/>
            <w:noWrap/>
            <w:vAlign w:val="center"/>
            <w:hideMark/>
          </w:tcPr>
          <w:p w14:paraId="7770129B"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25.3</w:t>
            </w:r>
          </w:p>
        </w:tc>
        <w:tc>
          <w:tcPr>
            <w:tcW w:w="47" w:type="pct"/>
            <w:tcBorders>
              <w:top w:val="nil"/>
              <w:left w:val="nil"/>
              <w:bottom w:val="nil"/>
              <w:right w:val="nil"/>
            </w:tcBorders>
            <w:shd w:val="clear" w:color="000000" w:fill="FFFFFF"/>
            <w:noWrap/>
            <w:vAlign w:val="center"/>
            <w:hideMark/>
          </w:tcPr>
          <w:p w14:paraId="2186A964" w14:textId="77777777" w:rsidR="00E47796" w:rsidRPr="009B1522" w:rsidRDefault="00E47796" w:rsidP="00E47796">
            <w:pPr>
              <w:spacing w:before="0" w:after="0" w:line="240" w:lineRule="auto"/>
              <w:jc w:val="right"/>
              <w:rPr>
                <w:rFonts w:ascii="Arial" w:hAnsi="Arial" w:cs="Arial"/>
                <w:i/>
                <w:iCs/>
                <w:sz w:val="16"/>
                <w:szCs w:val="16"/>
              </w:rPr>
            </w:pPr>
            <w:r w:rsidRPr="009B1522">
              <w:rPr>
                <w:rFonts w:ascii="Arial" w:hAnsi="Arial" w:cs="Arial"/>
                <w:i/>
                <w:iCs/>
                <w:sz w:val="16"/>
                <w:szCs w:val="16"/>
              </w:rPr>
              <w:t> </w:t>
            </w:r>
          </w:p>
        </w:tc>
        <w:tc>
          <w:tcPr>
            <w:tcW w:w="532" w:type="pct"/>
            <w:tcBorders>
              <w:top w:val="nil"/>
              <w:left w:val="nil"/>
              <w:bottom w:val="nil"/>
              <w:right w:val="nil"/>
            </w:tcBorders>
            <w:noWrap/>
            <w:vAlign w:val="center"/>
            <w:hideMark/>
          </w:tcPr>
          <w:p w14:paraId="461D1627"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26.8</w:t>
            </w:r>
          </w:p>
        </w:tc>
      </w:tr>
      <w:tr w:rsidR="003661E9" w:rsidRPr="009B1522" w14:paraId="6169B19D" w14:textId="77777777" w:rsidTr="0053154B">
        <w:trPr>
          <w:trHeight w:hRule="exact" w:val="60"/>
        </w:trPr>
        <w:tc>
          <w:tcPr>
            <w:tcW w:w="1241" w:type="pct"/>
            <w:tcBorders>
              <w:top w:val="nil"/>
              <w:left w:val="nil"/>
              <w:bottom w:val="nil"/>
              <w:right w:val="nil"/>
            </w:tcBorders>
            <w:shd w:val="clear" w:color="000000" w:fill="FFFFFF"/>
            <w:noWrap/>
            <w:vAlign w:val="center"/>
            <w:hideMark/>
          </w:tcPr>
          <w:p w14:paraId="27AB6AA6" w14:textId="77777777" w:rsidR="00E47796" w:rsidRPr="009B1522" w:rsidRDefault="00E47796" w:rsidP="00E47796">
            <w:pPr>
              <w:spacing w:before="0" w:after="0" w:line="240" w:lineRule="auto"/>
              <w:rPr>
                <w:rFonts w:ascii="Arial" w:hAnsi="Arial" w:cs="Arial"/>
                <w:color w:val="FFFF00"/>
                <w:sz w:val="16"/>
                <w:szCs w:val="16"/>
              </w:rPr>
            </w:pPr>
            <w:r w:rsidRPr="009B1522">
              <w:rPr>
                <w:rFonts w:ascii="Arial" w:hAnsi="Arial" w:cs="Arial"/>
                <w:sz w:val="16"/>
                <w:szCs w:val="16"/>
              </w:rPr>
              <w:t> </w:t>
            </w:r>
          </w:p>
        </w:tc>
        <w:tc>
          <w:tcPr>
            <w:tcW w:w="396" w:type="pct"/>
            <w:tcBorders>
              <w:top w:val="nil"/>
              <w:left w:val="nil"/>
              <w:bottom w:val="nil"/>
              <w:right w:val="nil"/>
            </w:tcBorders>
            <w:shd w:val="clear" w:color="000000" w:fill="E6F2FF"/>
            <w:noWrap/>
            <w:vAlign w:val="center"/>
            <w:hideMark/>
          </w:tcPr>
          <w:p w14:paraId="76273745"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E6F2FF"/>
            <w:noWrap/>
            <w:vAlign w:val="center"/>
            <w:hideMark/>
          </w:tcPr>
          <w:p w14:paraId="59805185"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2AC4341C"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440FD304"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2E1F06D0"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7755228A"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181B0531"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5FA2E26B"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47" w:type="pct"/>
            <w:tcBorders>
              <w:top w:val="nil"/>
              <w:left w:val="nil"/>
              <w:bottom w:val="nil"/>
              <w:right w:val="nil"/>
            </w:tcBorders>
            <w:shd w:val="clear" w:color="000000" w:fill="FFFFFF"/>
            <w:noWrap/>
            <w:vAlign w:val="center"/>
            <w:hideMark/>
          </w:tcPr>
          <w:p w14:paraId="06D516DD"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532" w:type="pct"/>
            <w:tcBorders>
              <w:top w:val="nil"/>
              <w:left w:val="nil"/>
              <w:bottom w:val="nil"/>
              <w:right w:val="nil"/>
            </w:tcBorders>
            <w:noWrap/>
            <w:vAlign w:val="center"/>
            <w:hideMark/>
          </w:tcPr>
          <w:p w14:paraId="37DAD6A8"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r>
      <w:tr w:rsidR="003661E9" w:rsidRPr="009B1522" w14:paraId="3D320916"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2ECFB1EC" w14:textId="77777777" w:rsidR="00E47796" w:rsidRPr="009B1522" w:rsidRDefault="00E47796" w:rsidP="00E47796">
            <w:pPr>
              <w:spacing w:before="0" w:after="0" w:line="240" w:lineRule="auto"/>
              <w:ind w:firstLineChars="100" w:firstLine="161"/>
              <w:rPr>
                <w:rFonts w:ascii="Arial" w:hAnsi="Arial" w:cs="Arial"/>
                <w:b/>
                <w:color w:val="FFFF00"/>
                <w:sz w:val="16"/>
                <w:szCs w:val="16"/>
              </w:rPr>
            </w:pPr>
            <w:r w:rsidRPr="009B1522">
              <w:rPr>
                <w:rFonts w:ascii="Arial" w:hAnsi="Arial" w:cs="Arial"/>
                <w:b/>
                <w:sz w:val="16"/>
                <w:szCs w:val="16"/>
              </w:rPr>
              <w:t>Tax receipts</w:t>
            </w:r>
          </w:p>
        </w:tc>
        <w:tc>
          <w:tcPr>
            <w:tcW w:w="396" w:type="pct"/>
            <w:tcBorders>
              <w:top w:val="nil"/>
              <w:left w:val="nil"/>
              <w:bottom w:val="nil"/>
              <w:right w:val="nil"/>
            </w:tcBorders>
            <w:shd w:val="clear" w:color="000000" w:fill="E6F2FF"/>
            <w:noWrap/>
            <w:vAlign w:val="center"/>
            <w:hideMark/>
          </w:tcPr>
          <w:p w14:paraId="70E97510"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E6F2FF"/>
            <w:noWrap/>
            <w:vAlign w:val="center"/>
            <w:hideMark/>
          </w:tcPr>
          <w:p w14:paraId="473CC7D8"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01CB8C01"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78C6B05E"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7968F438"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4A6DF2AB"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77035A5E"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56AEB697"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47" w:type="pct"/>
            <w:tcBorders>
              <w:top w:val="nil"/>
              <w:left w:val="nil"/>
              <w:bottom w:val="nil"/>
              <w:right w:val="nil"/>
            </w:tcBorders>
            <w:shd w:val="clear" w:color="000000" w:fill="FFFFFF"/>
            <w:noWrap/>
            <w:vAlign w:val="center"/>
            <w:hideMark/>
          </w:tcPr>
          <w:p w14:paraId="079FB52C"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532" w:type="pct"/>
            <w:tcBorders>
              <w:top w:val="nil"/>
              <w:left w:val="nil"/>
              <w:bottom w:val="nil"/>
              <w:right w:val="nil"/>
            </w:tcBorders>
            <w:noWrap/>
            <w:vAlign w:val="center"/>
            <w:hideMark/>
          </w:tcPr>
          <w:p w14:paraId="14F60532"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r>
      <w:tr w:rsidR="003661E9" w:rsidRPr="009B1522" w14:paraId="33575715"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43935421" w14:textId="77777777" w:rsidR="00E47796" w:rsidRPr="009B1522" w:rsidRDefault="00E47796" w:rsidP="00E47796">
            <w:pPr>
              <w:spacing w:before="0" w:after="0" w:line="240" w:lineRule="auto"/>
              <w:ind w:firstLineChars="200" w:firstLine="320"/>
              <w:rPr>
                <w:rFonts w:ascii="Arial" w:hAnsi="Arial" w:cs="Arial"/>
                <w:color w:val="FFFF00"/>
                <w:sz w:val="16"/>
                <w:szCs w:val="16"/>
              </w:rPr>
            </w:pPr>
            <w:r w:rsidRPr="009B1522">
              <w:rPr>
                <w:rFonts w:ascii="Arial" w:hAnsi="Arial" w:cs="Arial"/>
                <w:sz w:val="16"/>
                <w:szCs w:val="16"/>
              </w:rPr>
              <w:t>MYEFO</w:t>
            </w:r>
          </w:p>
        </w:tc>
        <w:tc>
          <w:tcPr>
            <w:tcW w:w="396" w:type="pct"/>
            <w:tcBorders>
              <w:top w:val="nil"/>
              <w:left w:val="nil"/>
              <w:bottom w:val="nil"/>
              <w:right w:val="nil"/>
            </w:tcBorders>
            <w:shd w:val="clear" w:color="000000" w:fill="E6F2FF"/>
            <w:noWrap/>
            <w:vAlign w:val="center"/>
            <w:hideMark/>
          </w:tcPr>
          <w:p w14:paraId="060F463E"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691.1</w:t>
            </w:r>
          </w:p>
        </w:tc>
        <w:tc>
          <w:tcPr>
            <w:tcW w:w="398" w:type="pct"/>
            <w:tcBorders>
              <w:top w:val="nil"/>
              <w:left w:val="nil"/>
              <w:bottom w:val="nil"/>
              <w:right w:val="nil"/>
            </w:tcBorders>
            <w:shd w:val="clear" w:color="000000" w:fill="E6F2FF"/>
            <w:noWrap/>
            <w:vAlign w:val="center"/>
            <w:hideMark/>
          </w:tcPr>
          <w:p w14:paraId="13065A3F"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23.6</w:t>
            </w:r>
          </w:p>
        </w:tc>
        <w:tc>
          <w:tcPr>
            <w:tcW w:w="398" w:type="pct"/>
            <w:tcBorders>
              <w:top w:val="nil"/>
              <w:left w:val="nil"/>
              <w:bottom w:val="nil"/>
              <w:right w:val="nil"/>
            </w:tcBorders>
            <w:shd w:val="clear" w:color="000000" w:fill="FFFFFF"/>
            <w:noWrap/>
            <w:vAlign w:val="center"/>
            <w:hideMark/>
          </w:tcPr>
          <w:p w14:paraId="75C0CC52"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718.5</w:t>
            </w:r>
          </w:p>
        </w:tc>
        <w:tc>
          <w:tcPr>
            <w:tcW w:w="398" w:type="pct"/>
            <w:tcBorders>
              <w:top w:val="nil"/>
              <w:left w:val="nil"/>
              <w:bottom w:val="nil"/>
              <w:right w:val="nil"/>
            </w:tcBorders>
            <w:shd w:val="clear" w:color="000000" w:fill="FFFFFF"/>
            <w:noWrap/>
            <w:vAlign w:val="center"/>
            <w:hideMark/>
          </w:tcPr>
          <w:p w14:paraId="006B50CA"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23.8</w:t>
            </w:r>
          </w:p>
        </w:tc>
        <w:tc>
          <w:tcPr>
            <w:tcW w:w="398" w:type="pct"/>
            <w:tcBorders>
              <w:top w:val="nil"/>
              <w:left w:val="nil"/>
              <w:bottom w:val="nil"/>
              <w:right w:val="nil"/>
            </w:tcBorders>
            <w:shd w:val="clear" w:color="000000" w:fill="FFFFFF"/>
            <w:noWrap/>
            <w:vAlign w:val="center"/>
            <w:hideMark/>
          </w:tcPr>
          <w:p w14:paraId="3007178C"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742.3</w:t>
            </w:r>
          </w:p>
        </w:tc>
        <w:tc>
          <w:tcPr>
            <w:tcW w:w="398" w:type="pct"/>
            <w:tcBorders>
              <w:top w:val="nil"/>
              <w:left w:val="nil"/>
              <w:bottom w:val="nil"/>
              <w:right w:val="nil"/>
            </w:tcBorders>
            <w:shd w:val="clear" w:color="000000" w:fill="FFFFFF"/>
            <w:noWrap/>
            <w:vAlign w:val="center"/>
            <w:hideMark/>
          </w:tcPr>
          <w:p w14:paraId="1B1F1840"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23.5</w:t>
            </w:r>
          </w:p>
        </w:tc>
        <w:tc>
          <w:tcPr>
            <w:tcW w:w="398" w:type="pct"/>
            <w:tcBorders>
              <w:top w:val="nil"/>
              <w:left w:val="nil"/>
              <w:bottom w:val="nil"/>
              <w:right w:val="nil"/>
            </w:tcBorders>
            <w:shd w:val="clear" w:color="000000" w:fill="FFFFFF"/>
            <w:noWrap/>
            <w:vAlign w:val="center"/>
            <w:hideMark/>
          </w:tcPr>
          <w:p w14:paraId="12F20BAF"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783.6</w:t>
            </w:r>
          </w:p>
        </w:tc>
        <w:tc>
          <w:tcPr>
            <w:tcW w:w="398" w:type="pct"/>
            <w:tcBorders>
              <w:top w:val="nil"/>
              <w:left w:val="nil"/>
              <w:bottom w:val="nil"/>
              <w:right w:val="nil"/>
            </w:tcBorders>
            <w:shd w:val="clear" w:color="000000" w:fill="FFFFFF"/>
            <w:noWrap/>
            <w:vAlign w:val="center"/>
            <w:hideMark/>
          </w:tcPr>
          <w:p w14:paraId="6AB6EBC9"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23.5</w:t>
            </w:r>
          </w:p>
        </w:tc>
        <w:tc>
          <w:tcPr>
            <w:tcW w:w="47" w:type="pct"/>
            <w:tcBorders>
              <w:top w:val="nil"/>
              <w:left w:val="nil"/>
              <w:bottom w:val="nil"/>
              <w:right w:val="nil"/>
            </w:tcBorders>
            <w:shd w:val="clear" w:color="000000" w:fill="FFFFFF"/>
            <w:noWrap/>
            <w:vAlign w:val="center"/>
            <w:hideMark/>
          </w:tcPr>
          <w:p w14:paraId="068070DA"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532" w:type="pct"/>
            <w:tcBorders>
              <w:top w:val="nil"/>
              <w:left w:val="nil"/>
              <w:bottom w:val="nil"/>
              <w:right w:val="nil"/>
            </w:tcBorders>
            <w:noWrap/>
            <w:vAlign w:val="center"/>
            <w:hideMark/>
          </w:tcPr>
          <w:p w14:paraId="08760981"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24.7</w:t>
            </w:r>
          </w:p>
        </w:tc>
      </w:tr>
      <w:tr w:rsidR="003661E9" w:rsidRPr="009B1522" w14:paraId="248BCE47"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38B48377" w14:textId="77777777" w:rsidR="00E47796" w:rsidRPr="009B1522" w:rsidRDefault="00E47796" w:rsidP="00E47796">
            <w:pPr>
              <w:spacing w:before="0" w:after="0" w:line="240" w:lineRule="auto"/>
              <w:ind w:firstLineChars="200" w:firstLine="320"/>
              <w:rPr>
                <w:rFonts w:ascii="Arial" w:hAnsi="Arial" w:cs="Arial"/>
                <w:i/>
                <w:color w:val="FFFF00"/>
                <w:sz w:val="16"/>
                <w:szCs w:val="16"/>
              </w:rPr>
            </w:pPr>
            <w:r w:rsidRPr="009B1522">
              <w:rPr>
                <w:rFonts w:ascii="Arial" w:hAnsi="Arial" w:cs="Arial"/>
                <w:i/>
                <w:sz w:val="16"/>
                <w:szCs w:val="16"/>
              </w:rPr>
              <w:t>PEFO</w:t>
            </w:r>
          </w:p>
        </w:tc>
        <w:tc>
          <w:tcPr>
            <w:tcW w:w="396" w:type="pct"/>
            <w:tcBorders>
              <w:top w:val="nil"/>
              <w:left w:val="nil"/>
              <w:bottom w:val="nil"/>
              <w:right w:val="nil"/>
            </w:tcBorders>
            <w:shd w:val="clear" w:color="000000" w:fill="E6F2FF"/>
            <w:noWrap/>
            <w:vAlign w:val="center"/>
            <w:hideMark/>
          </w:tcPr>
          <w:p w14:paraId="002446F9"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676.1</w:t>
            </w:r>
          </w:p>
        </w:tc>
        <w:tc>
          <w:tcPr>
            <w:tcW w:w="398" w:type="pct"/>
            <w:tcBorders>
              <w:top w:val="nil"/>
              <w:left w:val="nil"/>
              <w:bottom w:val="nil"/>
              <w:right w:val="nil"/>
            </w:tcBorders>
            <w:shd w:val="clear" w:color="000000" w:fill="E6F2FF"/>
            <w:noWrap/>
            <w:vAlign w:val="center"/>
            <w:hideMark/>
          </w:tcPr>
          <w:p w14:paraId="0AC370AA"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23.5</w:t>
            </w:r>
          </w:p>
        </w:tc>
        <w:tc>
          <w:tcPr>
            <w:tcW w:w="398" w:type="pct"/>
            <w:tcBorders>
              <w:top w:val="nil"/>
              <w:left w:val="nil"/>
              <w:bottom w:val="nil"/>
              <w:right w:val="nil"/>
            </w:tcBorders>
            <w:shd w:val="clear" w:color="000000" w:fill="FFFFFF"/>
            <w:noWrap/>
            <w:vAlign w:val="center"/>
            <w:hideMark/>
          </w:tcPr>
          <w:p w14:paraId="06C5D1B3"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707.6</w:t>
            </w:r>
          </w:p>
        </w:tc>
        <w:tc>
          <w:tcPr>
            <w:tcW w:w="398" w:type="pct"/>
            <w:tcBorders>
              <w:top w:val="nil"/>
              <w:left w:val="nil"/>
              <w:bottom w:val="nil"/>
              <w:right w:val="nil"/>
            </w:tcBorders>
            <w:shd w:val="clear" w:color="000000" w:fill="FFFFFF"/>
            <w:noWrap/>
            <w:vAlign w:val="center"/>
            <w:hideMark/>
          </w:tcPr>
          <w:p w14:paraId="6E0A7AC2"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23.6</w:t>
            </w:r>
          </w:p>
        </w:tc>
        <w:tc>
          <w:tcPr>
            <w:tcW w:w="398" w:type="pct"/>
            <w:tcBorders>
              <w:top w:val="nil"/>
              <w:left w:val="nil"/>
              <w:bottom w:val="nil"/>
              <w:right w:val="nil"/>
            </w:tcBorders>
            <w:shd w:val="clear" w:color="000000" w:fill="FFFFFF"/>
            <w:noWrap/>
            <w:vAlign w:val="center"/>
            <w:hideMark/>
          </w:tcPr>
          <w:p w14:paraId="23146502"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735.9</w:t>
            </w:r>
          </w:p>
        </w:tc>
        <w:tc>
          <w:tcPr>
            <w:tcW w:w="398" w:type="pct"/>
            <w:tcBorders>
              <w:top w:val="nil"/>
              <w:left w:val="nil"/>
              <w:bottom w:val="nil"/>
              <w:right w:val="nil"/>
            </w:tcBorders>
            <w:shd w:val="clear" w:color="000000" w:fill="FFFFFF"/>
            <w:noWrap/>
            <w:vAlign w:val="center"/>
            <w:hideMark/>
          </w:tcPr>
          <w:p w14:paraId="6073CC53"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23.4</w:t>
            </w:r>
          </w:p>
        </w:tc>
        <w:tc>
          <w:tcPr>
            <w:tcW w:w="398" w:type="pct"/>
            <w:tcBorders>
              <w:top w:val="nil"/>
              <w:left w:val="nil"/>
              <w:bottom w:val="nil"/>
              <w:right w:val="nil"/>
            </w:tcBorders>
            <w:shd w:val="clear" w:color="000000" w:fill="FFFFFF"/>
            <w:noWrap/>
            <w:vAlign w:val="center"/>
            <w:hideMark/>
          </w:tcPr>
          <w:p w14:paraId="55727ABF"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778.3</w:t>
            </w:r>
          </w:p>
        </w:tc>
        <w:tc>
          <w:tcPr>
            <w:tcW w:w="398" w:type="pct"/>
            <w:tcBorders>
              <w:top w:val="nil"/>
              <w:left w:val="nil"/>
              <w:bottom w:val="nil"/>
              <w:right w:val="nil"/>
            </w:tcBorders>
            <w:shd w:val="clear" w:color="000000" w:fill="FFFFFF"/>
            <w:noWrap/>
            <w:vAlign w:val="center"/>
            <w:hideMark/>
          </w:tcPr>
          <w:p w14:paraId="23DBCF20"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23.4</w:t>
            </w:r>
          </w:p>
        </w:tc>
        <w:tc>
          <w:tcPr>
            <w:tcW w:w="47" w:type="pct"/>
            <w:tcBorders>
              <w:top w:val="nil"/>
              <w:left w:val="nil"/>
              <w:bottom w:val="nil"/>
              <w:right w:val="nil"/>
            </w:tcBorders>
            <w:shd w:val="clear" w:color="000000" w:fill="FFFFFF"/>
            <w:noWrap/>
            <w:vAlign w:val="center"/>
            <w:hideMark/>
          </w:tcPr>
          <w:p w14:paraId="42A5BB04" w14:textId="77777777" w:rsidR="00E47796" w:rsidRPr="009B1522" w:rsidRDefault="00E47796" w:rsidP="00E47796">
            <w:pPr>
              <w:spacing w:before="0" w:after="0" w:line="240" w:lineRule="auto"/>
              <w:jc w:val="right"/>
              <w:rPr>
                <w:rFonts w:ascii="Arial" w:hAnsi="Arial" w:cs="Arial"/>
                <w:i/>
                <w:iCs/>
                <w:sz w:val="16"/>
                <w:szCs w:val="16"/>
              </w:rPr>
            </w:pPr>
            <w:r w:rsidRPr="009B1522">
              <w:rPr>
                <w:rFonts w:ascii="Arial" w:hAnsi="Arial" w:cs="Arial"/>
                <w:i/>
                <w:iCs/>
                <w:sz w:val="16"/>
                <w:szCs w:val="16"/>
              </w:rPr>
              <w:t> </w:t>
            </w:r>
          </w:p>
        </w:tc>
        <w:tc>
          <w:tcPr>
            <w:tcW w:w="532" w:type="pct"/>
            <w:tcBorders>
              <w:top w:val="nil"/>
              <w:left w:val="nil"/>
              <w:bottom w:val="nil"/>
              <w:right w:val="nil"/>
            </w:tcBorders>
            <w:noWrap/>
            <w:vAlign w:val="center"/>
            <w:hideMark/>
          </w:tcPr>
          <w:p w14:paraId="6B0471BA"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24.9</w:t>
            </w:r>
          </w:p>
        </w:tc>
      </w:tr>
      <w:tr w:rsidR="003661E9" w:rsidRPr="009B1522" w14:paraId="6EC3B0BC"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22754E3D" w14:textId="77777777" w:rsidR="00E47796" w:rsidRPr="009B1522" w:rsidRDefault="00E47796" w:rsidP="00E47796">
            <w:pPr>
              <w:spacing w:before="0" w:after="0" w:line="240" w:lineRule="auto"/>
              <w:ind w:firstLineChars="200" w:firstLine="320"/>
              <w:rPr>
                <w:rFonts w:ascii="Arial" w:hAnsi="Arial" w:cs="Arial"/>
                <w:i/>
                <w:color w:val="FFFF00"/>
                <w:sz w:val="16"/>
                <w:szCs w:val="16"/>
              </w:rPr>
            </w:pPr>
            <w:r w:rsidRPr="009B1522">
              <w:rPr>
                <w:rFonts w:ascii="Arial" w:hAnsi="Arial" w:cs="Arial"/>
                <w:i/>
                <w:sz w:val="16"/>
                <w:szCs w:val="16"/>
              </w:rPr>
              <w:t>Budget</w:t>
            </w:r>
          </w:p>
        </w:tc>
        <w:tc>
          <w:tcPr>
            <w:tcW w:w="396" w:type="pct"/>
            <w:tcBorders>
              <w:top w:val="nil"/>
              <w:left w:val="nil"/>
              <w:bottom w:val="nil"/>
              <w:right w:val="nil"/>
            </w:tcBorders>
            <w:shd w:val="clear" w:color="000000" w:fill="E6F2FF"/>
            <w:noWrap/>
            <w:vAlign w:val="center"/>
            <w:hideMark/>
          </w:tcPr>
          <w:p w14:paraId="094748D7"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676.1</w:t>
            </w:r>
          </w:p>
        </w:tc>
        <w:tc>
          <w:tcPr>
            <w:tcW w:w="398" w:type="pct"/>
            <w:tcBorders>
              <w:top w:val="nil"/>
              <w:left w:val="nil"/>
              <w:bottom w:val="nil"/>
              <w:right w:val="nil"/>
            </w:tcBorders>
            <w:shd w:val="clear" w:color="000000" w:fill="E6F2FF"/>
            <w:noWrap/>
            <w:vAlign w:val="center"/>
            <w:hideMark/>
          </w:tcPr>
          <w:p w14:paraId="0EC208F2"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23.5</w:t>
            </w:r>
          </w:p>
        </w:tc>
        <w:tc>
          <w:tcPr>
            <w:tcW w:w="398" w:type="pct"/>
            <w:tcBorders>
              <w:top w:val="nil"/>
              <w:left w:val="nil"/>
              <w:bottom w:val="nil"/>
              <w:right w:val="nil"/>
            </w:tcBorders>
            <w:shd w:val="clear" w:color="000000" w:fill="FFFFFF"/>
            <w:noWrap/>
            <w:vAlign w:val="center"/>
            <w:hideMark/>
          </w:tcPr>
          <w:p w14:paraId="44DDDF2A"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707.6</w:t>
            </w:r>
          </w:p>
        </w:tc>
        <w:tc>
          <w:tcPr>
            <w:tcW w:w="398" w:type="pct"/>
            <w:tcBorders>
              <w:top w:val="nil"/>
              <w:left w:val="nil"/>
              <w:bottom w:val="nil"/>
              <w:right w:val="nil"/>
            </w:tcBorders>
            <w:shd w:val="clear" w:color="000000" w:fill="FFFFFF"/>
            <w:noWrap/>
            <w:vAlign w:val="center"/>
            <w:hideMark/>
          </w:tcPr>
          <w:p w14:paraId="0EC73164"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23.6</w:t>
            </w:r>
          </w:p>
        </w:tc>
        <w:tc>
          <w:tcPr>
            <w:tcW w:w="398" w:type="pct"/>
            <w:tcBorders>
              <w:top w:val="nil"/>
              <w:left w:val="nil"/>
              <w:bottom w:val="nil"/>
              <w:right w:val="nil"/>
            </w:tcBorders>
            <w:shd w:val="clear" w:color="000000" w:fill="FFFFFF"/>
            <w:noWrap/>
            <w:vAlign w:val="center"/>
            <w:hideMark/>
          </w:tcPr>
          <w:p w14:paraId="0ABE88B9"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735.9</w:t>
            </w:r>
          </w:p>
        </w:tc>
        <w:tc>
          <w:tcPr>
            <w:tcW w:w="398" w:type="pct"/>
            <w:tcBorders>
              <w:top w:val="nil"/>
              <w:left w:val="nil"/>
              <w:bottom w:val="nil"/>
              <w:right w:val="nil"/>
            </w:tcBorders>
            <w:shd w:val="clear" w:color="000000" w:fill="FFFFFF"/>
            <w:noWrap/>
            <w:vAlign w:val="center"/>
            <w:hideMark/>
          </w:tcPr>
          <w:p w14:paraId="4A8FC7F2"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23.4</w:t>
            </w:r>
          </w:p>
        </w:tc>
        <w:tc>
          <w:tcPr>
            <w:tcW w:w="398" w:type="pct"/>
            <w:tcBorders>
              <w:top w:val="nil"/>
              <w:left w:val="nil"/>
              <w:bottom w:val="nil"/>
              <w:right w:val="nil"/>
            </w:tcBorders>
            <w:shd w:val="clear" w:color="000000" w:fill="FFFFFF"/>
            <w:noWrap/>
            <w:vAlign w:val="center"/>
            <w:hideMark/>
          </w:tcPr>
          <w:p w14:paraId="08F6653C"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778.3</w:t>
            </w:r>
          </w:p>
        </w:tc>
        <w:tc>
          <w:tcPr>
            <w:tcW w:w="398" w:type="pct"/>
            <w:tcBorders>
              <w:top w:val="nil"/>
              <w:left w:val="nil"/>
              <w:bottom w:val="nil"/>
              <w:right w:val="nil"/>
            </w:tcBorders>
            <w:shd w:val="clear" w:color="000000" w:fill="FFFFFF"/>
            <w:noWrap/>
            <w:vAlign w:val="center"/>
            <w:hideMark/>
          </w:tcPr>
          <w:p w14:paraId="6F966BDC"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23.4</w:t>
            </w:r>
          </w:p>
        </w:tc>
        <w:tc>
          <w:tcPr>
            <w:tcW w:w="47" w:type="pct"/>
            <w:tcBorders>
              <w:top w:val="nil"/>
              <w:left w:val="nil"/>
              <w:bottom w:val="nil"/>
              <w:right w:val="nil"/>
            </w:tcBorders>
            <w:shd w:val="clear" w:color="000000" w:fill="FFFFFF"/>
            <w:noWrap/>
            <w:vAlign w:val="center"/>
            <w:hideMark/>
          </w:tcPr>
          <w:p w14:paraId="78B4D88B" w14:textId="77777777" w:rsidR="00E47796" w:rsidRPr="009B1522" w:rsidRDefault="00E47796" w:rsidP="00E47796">
            <w:pPr>
              <w:spacing w:before="0" w:after="0" w:line="240" w:lineRule="auto"/>
              <w:jc w:val="right"/>
              <w:rPr>
                <w:rFonts w:ascii="Arial" w:hAnsi="Arial" w:cs="Arial"/>
                <w:i/>
                <w:iCs/>
                <w:sz w:val="16"/>
                <w:szCs w:val="16"/>
              </w:rPr>
            </w:pPr>
            <w:r w:rsidRPr="009B1522">
              <w:rPr>
                <w:rFonts w:ascii="Arial" w:hAnsi="Arial" w:cs="Arial"/>
                <w:i/>
                <w:iCs/>
                <w:sz w:val="16"/>
                <w:szCs w:val="16"/>
              </w:rPr>
              <w:t> </w:t>
            </w:r>
          </w:p>
        </w:tc>
        <w:tc>
          <w:tcPr>
            <w:tcW w:w="532" w:type="pct"/>
            <w:tcBorders>
              <w:top w:val="nil"/>
              <w:left w:val="nil"/>
              <w:bottom w:val="nil"/>
              <w:right w:val="nil"/>
            </w:tcBorders>
            <w:noWrap/>
            <w:vAlign w:val="center"/>
            <w:hideMark/>
          </w:tcPr>
          <w:p w14:paraId="4CE455FD"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24.9</w:t>
            </w:r>
          </w:p>
        </w:tc>
      </w:tr>
      <w:tr w:rsidR="003661E9" w:rsidRPr="009B1522" w14:paraId="52766E6F" w14:textId="77777777" w:rsidTr="0053154B">
        <w:trPr>
          <w:trHeight w:hRule="exact" w:val="60"/>
        </w:trPr>
        <w:tc>
          <w:tcPr>
            <w:tcW w:w="1241" w:type="pct"/>
            <w:tcBorders>
              <w:top w:val="nil"/>
              <w:left w:val="nil"/>
              <w:bottom w:val="nil"/>
              <w:right w:val="nil"/>
            </w:tcBorders>
            <w:shd w:val="clear" w:color="000000" w:fill="FFFFFF"/>
            <w:noWrap/>
            <w:vAlign w:val="center"/>
            <w:hideMark/>
          </w:tcPr>
          <w:p w14:paraId="646016BA" w14:textId="77777777" w:rsidR="00E47796" w:rsidRPr="009B1522" w:rsidRDefault="00E47796" w:rsidP="00E47796">
            <w:pPr>
              <w:spacing w:before="0" w:after="0" w:line="240" w:lineRule="auto"/>
              <w:rPr>
                <w:rFonts w:ascii="Arial" w:hAnsi="Arial" w:cs="Arial"/>
                <w:color w:val="FFFF00"/>
                <w:sz w:val="16"/>
                <w:szCs w:val="16"/>
              </w:rPr>
            </w:pPr>
            <w:r w:rsidRPr="009B1522">
              <w:rPr>
                <w:rFonts w:ascii="Arial" w:hAnsi="Arial" w:cs="Arial"/>
                <w:sz w:val="16"/>
                <w:szCs w:val="16"/>
              </w:rPr>
              <w:t> </w:t>
            </w:r>
          </w:p>
        </w:tc>
        <w:tc>
          <w:tcPr>
            <w:tcW w:w="396" w:type="pct"/>
            <w:tcBorders>
              <w:top w:val="nil"/>
              <w:left w:val="nil"/>
              <w:bottom w:val="nil"/>
              <w:right w:val="nil"/>
            </w:tcBorders>
            <w:shd w:val="clear" w:color="000000" w:fill="E6F2FF"/>
            <w:noWrap/>
            <w:vAlign w:val="center"/>
            <w:hideMark/>
          </w:tcPr>
          <w:p w14:paraId="5554D647"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E6F2FF"/>
            <w:noWrap/>
            <w:vAlign w:val="center"/>
            <w:hideMark/>
          </w:tcPr>
          <w:p w14:paraId="32AD5389"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3E6A7E45"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167AEC32"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04C3E673"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6A6C8AAA"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61108122"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5136EC56"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47" w:type="pct"/>
            <w:tcBorders>
              <w:top w:val="nil"/>
              <w:left w:val="nil"/>
              <w:bottom w:val="nil"/>
              <w:right w:val="nil"/>
            </w:tcBorders>
            <w:shd w:val="clear" w:color="000000" w:fill="FFFFFF"/>
            <w:noWrap/>
            <w:vAlign w:val="center"/>
            <w:hideMark/>
          </w:tcPr>
          <w:p w14:paraId="43158A2A"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532" w:type="pct"/>
            <w:tcBorders>
              <w:top w:val="nil"/>
              <w:left w:val="nil"/>
              <w:bottom w:val="nil"/>
              <w:right w:val="nil"/>
            </w:tcBorders>
            <w:noWrap/>
            <w:vAlign w:val="center"/>
            <w:hideMark/>
          </w:tcPr>
          <w:p w14:paraId="2C624ED1"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r>
      <w:tr w:rsidR="003661E9" w:rsidRPr="009B1522" w14:paraId="2287AE0D"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24776F3E" w14:textId="77777777" w:rsidR="00E47796" w:rsidRPr="009B1522" w:rsidRDefault="00E47796" w:rsidP="00E47796">
            <w:pPr>
              <w:spacing w:before="0" w:after="0" w:line="240" w:lineRule="auto"/>
              <w:ind w:firstLineChars="100" w:firstLine="161"/>
              <w:rPr>
                <w:rFonts w:ascii="Arial" w:hAnsi="Arial" w:cs="Arial"/>
                <w:b/>
                <w:color w:val="FFFF00"/>
                <w:sz w:val="16"/>
                <w:szCs w:val="16"/>
              </w:rPr>
            </w:pPr>
            <w:r w:rsidRPr="009B1522">
              <w:rPr>
                <w:rFonts w:ascii="Arial" w:hAnsi="Arial" w:cs="Arial"/>
                <w:b/>
                <w:sz w:val="16"/>
                <w:szCs w:val="16"/>
              </w:rPr>
              <w:t>Non-tax receipts</w:t>
            </w:r>
          </w:p>
        </w:tc>
        <w:tc>
          <w:tcPr>
            <w:tcW w:w="396" w:type="pct"/>
            <w:tcBorders>
              <w:top w:val="nil"/>
              <w:left w:val="nil"/>
              <w:bottom w:val="nil"/>
              <w:right w:val="nil"/>
            </w:tcBorders>
            <w:shd w:val="clear" w:color="000000" w:fill="E6F2FF"/>
            <w:noWrap/>
            <w:vAlign w:val="center"/>
            <w:hideMark/>
          </w:tcPr>
          <w:p w14:paraId="14F36BFA"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E6F2FF"/>
            <w:noWrap/>
            <w:vAlign w:val="center"/>
            <w:hideMark/>
          </w:tcPr>
          <w:p w14:paraId="5982101D"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6DB10E83"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3C869999"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12BF4C8A"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4FE80853"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139428DA"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398" w:type="pct"/>
            <w:tcBorders>
              <w:top w:val="nil"/>
              <w:left w:val="nil"/>
              <w:bottom w:val="nil"/>
              <w:right w:val="nil"/>
            </w:tcBorders>
            <w:shd w:val="clear" w:color="000000" w:fill="FFFFFF"/>
            <w:noWrap/>
            <w:vAlign w:val="center"/>
            <w:hideMark/>
          </w:tcPr>
          <w:p w14:paraId="35EFFEB9"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c>
          <w:tcPr>
            <w:tcW w:w="47" w:type="pct"/>
            <w:tcBorders>
              <w:top w:val="nil"/>
              <w:left w:val="nil"/>
              <w:bottom w:val="nil"/>
              <w:right w:val="nil"/>
            </w:tcBorders>
            <w:shd w:val="clear" w:color="000000" w:fill="FFFFFF"/>
            <w:noWrap/>
            <w:vAlign w:val="center"/>
            <w:hideMark/>
          </w:tcPr>
          <w:p w14:paraId="530BDCA4" w14:textId="77777777" w:rsidR="00E47796" w:rsidRPr="009B1522" w:rsidRDefault="00E47796" w:rsidP="00E47796">
            <w:pPr>
              <w:spacing w:before="0" w:after="0" w:line="240" w:lineRule="auto"/>
              <w:jc w:val="right"/>
              <w:rPr>
                <w:rFonts w:ascii="Arial" w:hAnsi="Arial" w:cs="Arial"/>
                <w:i/>
                <w:color w:val="000000"/>
                <w:sz w:val="16"/>
                <w:szCs w:val="16"/>
              </w:rPr>
            </w:pPr>
            <w:r w:rsidRPr="009B1522">
              <w:rPr>
                <w:rFonts w:ascii="Arial" w:hAnsi="Arial" w:cs="Arial"/>
                <w:i/>
                <w:color w:val="000000"/>
                <w:sz w:val="16"/>
                <w:szCs w:val="16"/>
              </w:rPr>
              <w:t> </w:t>
            </w:r>
          </w:p>
        </w:tc>
        <w:tc>
          <w:tcPr>
            <w:tcW w:w="532" w:type="pct"/>
            <w:tcBorders>
              <w:top w:val="nil"/>
              <w:left w:val="nil"/>
              <w:bottom w:val="nil"/>
              <w:right w:val="nil"/>
            </w:tcBorders>
            <w:noWrap/>
            <w:vAlign w:val="center"/>
            <w:hideMark/>
          </w:tcPr>
          <w:p w14:paraId="091C6CD4"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r>
      <w:tr w:rsidR="003661E9" w:rsidRPr="009B1522" w14:paraId="01927FB2"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4A2CE291" w14:textId="77777777" w:rsidR="00E47796" w:rsidRPr="009B1522" w:rsidRDefault="00E47796" w:rsidP="00E47796">
            <w:pPr>
              <w:spacing w:before="0" w:after="0" w:line="240" w:lineRule="auto"/>
              <w:ind w:firstLineChars="200" w:firstLine="320"/>
              <w:rPr>
                <w:rFonts w:ascii="Arial" w:hAnsi="Arial" w:cs="Arial"/>
                <w:color w:val="FFFF00"/>
                <w:sz w:val="16"/>
                <w:szCs w:val="16"/>
              </w:rPr>
            </w:pPr>
            <w:r w:rsidRPr="009B1522">
              <w:rPr>
                <w:rFonts w:ascii="Arial" w:hAnsi="Arial" w:cs="Arial"/>
                <w:sz w:val="16"/>
                <w:szCs w:val="16"/>
              </w:rPr>
              <w:t>MYEFO</w:t>
            </w:r>
          </w:p>
        </w:tc>
        <w:tc>
          <w:tcPr>
            <w:tcW w:w="396" w:type="pct"/>
            <w:tcBorders>
              <w:top w:val="nil"/>
              <w:left w:val="nil"/>
              <w:bottom w:val="nil"/>
              <w:right w:val="nil"/>
            </w:tcBorders>
            <w:shd w:val="clear" w:color="000000" w:fill="E6F2FF"/>
            <w:noWrap/>
            <w:vAlign w:val="center"/>
            <w:hideMark/>
          </w:tcPr>
          <w:p w14:paraId="36FCB735"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58.6</w:t>
            </w:r>
          </w:p>
        </w:tc>
        <w:tc>
          <w:tcPr>
            <w:tcW w:w="398" w:type="pct"/>
            <w:tcBorders>
              <w:top w:val="nil"/>
              <w:left w:val="nil"/>
              <w:bottom w:val="nil"/>
              <w:right w:val="nil"/>
            </w:tcBorders>
            <w:shd w:val="clear" w:color="000000" w:fill="E6F2FF"/>
            <w:noWrap/>
            <w:vAlign w:val="center"/>
            <w:hideMark/>
          </w:tcPr>
          <w:p w14:paraId="180D40A0"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2.0</w:t>
            </w:r>
          </w:p>
        </w:tc>
        <w:tc>
          <w:tcPr>
            <w:tcW w:w="398" w:type="pct"/>
            <w:tcBorders>
              <w:top w:val="nil"/>
              <w:left w:val="nil"/>
              <w:bottom w:val="nil"/>
              <w:right w:val="nil"/>
            </w:tcBorders>
            <w:shd w:val="clear" w:color="000000" w:fill="FFFFFF"/>
            <w:noWrap/>
            <w:vAlign w:val="center"/>
            <w:hideMark/>
          </w:tcPr>
          <w:p w14:paraId="4F7501D5"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58.5</w:t>
            </w:r>
          </w:p>
        </w:tc>
        <w:tc>
          <w:tcPr>
            <w:tcW w:w="398" w:type="pct"/>
            <w:tcBorders>
              <w:top w:val="nil"/>
              <w:left w:val="nil"/>
              <w:bottom w:val="nil"/>
              <w:right w:val="nil"/>
            </w:tcBorders>
            <w:shd w:val="clear" w:color="000000" w:fill="FFFFFF"/>
            <w:noWrap/>
            <w:vAlign w:val="center"/>
            <w:hideMark/>
          </w:tcPr>
          <w:p w14:paraId="56D41BB3"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1.9</w:t>
            </w:r>
          </w:p>
        </w:tc>
        <w:tc>
          <w:tcPr>
            <w:tcW w:w="398" w:type="pct"/>
            <w:tcBorders>
              <w:top w:val="nil"/>
              <w:left w:val="nil"/>
              <w:bottom w:val="nil"/>
              <w:right w:val="nil"/>
            </w:tcBorders>
            <w:shd w:val="clear" w:color="000000" w:fill="FFFFFF"/>
            <w:noWrap/>
            <w:vAlign w:val="center"/>
            <w:hideMark/>
          </w:tcPr>
          <w:p w14:paraId="22377B45"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63.3</w:t>
            </w:r>
          </w:p>
        </w:tc>
        <w:tc>
          <w:tcPr>
            <w:tcW w:w="398" w:type="pct"/>
            <w:tcBorders>
              <w:top w:val="nil"/>
              <w:left w:val="nil"/>
              <w:bottom w:val="nil"/>
              <w:right w:val="nil"/>
            </w:tcBorders>
            <w:shd w:val="clear" w:color="000000" w:fill="FFFFFF"/>
            <w:noWrap/>
            <w:vAlign w:val="center"/>
            <w:hideMark/>
          </w:tcPr>
          <w:p w14:paraId="4580C65B"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2.0</w:t>
            </w:r>
          </w:p>
        </w:tc>
        <w:tc>
          <w:tcPr>
            <w:tcW w:w="398" w:type="pct"/>
            <w:tcBorders>
              <w:top w:val="nil"/>
              <w:left w:val="nil"/>
              <w:bottom w:val="nil"/>
              <w:right w:val="nil"/>
            </w:tcBorders>
            <w:shd w:val="clear" w:color="000000" w:fill="FFFFFF"/>
            <w:noWrap/>
            <w:vAlign w:val="center"/>
            <w:hideMark/>
          </w:tcPr>
          <w:p w14:paraId="7846650D"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63.3</w:t>
            </w:r>
          </w:p>
        </w:tc>
        <w:tc>
          <w:tcPr>
            <w:tcW w:w="398" w:type="pct"/>
            <w:tcBorders>
              <w:top w:val="nil"/>
              <w:left w:val="nil"/>
              <w:bottom w:val="nil"/>
              <w:right w:val="nil"/>
            </w:tcBorders>
            <w:shd w:val="clear" w:color="000000" w:fill="FFFFFF"/>
            <w:noWrap/>
            <w:vAlign w:val="center"/>
            <w:hideMark/>
          </w:tcPr>
          <w:p w14:paraId="3F9F9550"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1.9</w:t>
            </w:r>
          </w:p>
        </w:tc>
        <w:tc>
          <w:tcPr>
            <w:tcW w:w="47" w:type="pct"/>
            <w:tcBorders>
              <w:top w:val="nil"/>
              <w:left w:val="nil"/>
              <w:bottom w:val="nil"/>
              <w:right w:val="nil"/>
            </w:tcBorders>
            <w:shd w:val="clear" w:color="000000" w:fill="FFFFFF"/>
            <w:noWrap/>
            <w:vAlign w:val="center"/>
            <w:hideMark/>
          </w:tcPr>
          <w:p w14:paraId="683005FC"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532" w:type="pct"/>
            <w:tcBorders>
              <w:top w:val="nil"/>
              <w:left w:val="nil"/>
              <w:bottom w:val="nil"/>
              <w:right w:val="nil"/>
            </w:tcBorders>
            <w:noWrap/>
            <w:vAlign w:val="center"/>
            <w:hideMark/>
          </w:tcPr>
          <w:p w14:paraId="15629248"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1.9</w:t>
            </w:r>
          </w:p>
        </w:tc>
      </w:tr>
      <w:tr w:rsidR="003661E9" w:rsidRPr="009B1522" w14:paraId="72F33C36"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6C39713B" w14:textId="77777777" w:rsidR="00E47796" w:rsidRPr="009B1522" w:rsidRDefault="00E47796" w:rsidP="00E47796">
            <w:pPr>
              <w:spacing w:before="0" w:after="0" w:line="240" w:lineRule="auto"/>
              <w:ind w:firstLineChars="200" w:firstLine="320"/>
              <w:rPr>
                <w:rFonts w:ascii="Arial" w:hAnsi="Arial" w:cs="Arial"/>
                <w:i/>
                <w:color w:val="FFFF00"/>
                <w:sz w:val="16"/>
                <w:szCs w:val="16"/>
              </w:rPr>
            </w:pPr>
            <w:r w:rsidRPr="009B1522">
              <w:rPr>
                <w:rFonts w:ascii="Arial" w:hAnsi="Arial" w:cs="Arial"/>
                <w:i/>
                <w:sz w:val="16"/>
                <w:szCs w:val="16"/>
              </w:rPr>
              <w:t>PEFO</w:t>
            </w:r>
          </w:p>
        </w:tc>
        <w:tc>
          <w:tcPr>
            <w:tcW w:w="396" w:type="pct"/>
            <w:tcBorders>
              <w:top w:val="nil"/>
              <w:left w:val="nil"/>
              <w:bottom w:val="nil"/>
              <w:right w:val="nil"/>
            </w:tcBorders>
            <w:shd w:val="clear" w:color="000000" w:fill="E6F2FF"/>
            <w:noWrap/>
            <w:vAlign w:val="center"/>
            <w:hideMark/>
          </w:tcPr>
          <w:p w14:paraId="72B9CCA8"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59.3</w:t>
            </w:r>
          </w:p>
        </w:tc>
        <w:tc>
          <w:tcPr>
            <w:tcW w:w="398" w:type="pct"/>
            <w:tcBorders>
              <w:top w:val="nil"/>
              <w:left w:val="nil"/>
              <w:bottom w:val="nil"/>
              <w:right w:val="nil"/>
            </w:tcBorders>
            <w:shd w:val="clear" w:color="000000" w:fill="E6F2FF"/>
            <w:noWrap/>
            <w:vAlign w:val="center"/>
            <w:hideMark/>
          </w:tcPr>
          <w:p w14:paraId="5CED47E2"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2.1</w:t>
            </w:r>
          </w:p>
        </w:tc>
        <w:tc>
          <w:tcPr>
            <w:tcW w:w="398" w:type="pct"/>
            <w:tcBorders>
              <w:top w:val="nil"/>
              <w:left w:val="nil"/>
              <w:bottom w:val="nil"/>
              <w:right w:val="nil"/>
            </w:tcBorders>
            <w:shd w:val="clear" w:color="000000" w:fill="FFFFFF"/>
            <w:noWrap/>
            <w:vAlign w:val="center"/>
            <w:hideMark/>
          </w:tcPr>
          <w:p w14:paraId="15EB96E0"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58.4</w:t>
            </w:r>
          </w:p>
        </w:tc>
        <w:tc>
          <w:tcPr>
            <w:tcW w:w="398" w:type="pct"/>
            <w:tcBorders>
              <w:top w:val="nil"/>
              <w:left w:val="nil"/>
              <w:bottom w:val="nil"/>
              <w:right w:val="nil"/>
            </w:tcBorders>
            <w:shd w:val="clear" w:color="000000" w:fill="FFFFFF"/>
            <w:noWrap/>
            <w:vAlign w:val="center"/>
            <w:hideMark/>
          </w:tcPr>
          <w:p w14:paraId="0A07C6D3"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2.0</w:t>
            </w:r>
          </w:p>
        </w:tc>
        <w:tc>
          <w:tcPr>
            <w:tcW w:w="398" w:type="pct"/>
            <w:tcBorders>
              <w:top w:val="nil"/>
              <w:left w:val="nil"/>
              <w:bottom w:val="nil"/>
              <w:right w:val="nil"/>
            </w:tcBorders>
            <w:shd w:val="clear" w:color="000000" w:fill="FFFFFF"/>
            <w:noWrap/>
            <w:vAlign w:val="center"/>
            <w:hideMark/>
          </w:tcPr>
          <w:p w14:paraId="67635003"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61.4</w:t>
            </w:r>
          </w:p>
        </w:tc>
        <w:tc>
          <w:tcPr>
            <w:tcW w:w="398" w:type="pct"/>
            <w:tcBorders>
              <w:top w:val="nil"/>
              <w:left w:val="nil"/>
              <w:bottom w:val="nil"/>
              <w:right w:val="nil"/>
            </w:tcBorders>
            <w:shd w:val="clear" w:color="000000" w:fill="FFFFFF"/>
            <w:noWrap/>
            <w:vAlign w:val="center"/>
            <w:hideMark/>
          </w:tcPr>
          <w:p w14:paraId="6801683E"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2.0</w:t>
            </w:r>
          </w:p>
        </w:tc>
        <w:tc>
          <w:tcPr>
            <w:tcW w:w="398" w:type="pct"/>
            <w:tcBorders>
              <w:top w:val="nil"/>
              <w:left w:val="nil"/>
              <w:bottom w:val="nil"/>
              <w:right w:val="nil"/>
            </w:tcBorders>
            <w:shd w:val="clear" w:color="000000" w:fill="FFFFFF"/>
            <w:noWrap/>
            <w:vAlign w:val="center"/>
            <w:hideMark/>
          </w:tcPr>
          <w:p w14:paraId="1908F49B"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62.6</w:t>
            </w:r>
          </w:p>
        </w:tc>
        <w:tc>
          <w:tcPr>
            <w:tcW w:w="398" w:type="pct"/>
            <w:tcBorders>
              <w:top w:val="nil"/>
              <w:left w:val="nil"/>
              <w:bottom w:val="nil"/>
              <w:right w:val="nil"/>
            </w:tcBorders>
            <w:shd w:val="clear" w:color="000000" w:fill="FFFFFF"/>
            <w:noWrap/>
            <w:vAlign w:val="center"/>
            <w:hideMark/>
          </w:tcPr>
          <w:p w14:paraId="079CAF3C"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1.9</w:t>
            </w:r>
          </w:p>
        </w:tc>
        <w:tc>
          <w:tcPr>
            <w:tcW w:w="47" w:type="pct"/>
            <w:tcBorders>
              <w:top w:val="nil"/>
              <w:left w:val="nil"/>
              <w:bottom w:val="nil"/>
              <w:right w:val="nil"/>
            </w:tcBorders>
            <w:shd w:val="clear" w:color="000000" w:fill="FFFFFF"/>
            <w:noWrap/>
            <w:vAlign w:val="center"/>
            <w:hideMark/>
          </w:tcPr>
          <w:p w14:paraId="20FB4ADE" w14:textId="77777777" w:rsidR="00E47796" w:rsidRPr="009B1522" w:rsidRDefault="00E47796" w:rsidP="00E47796">
            <w:pPr>
              <w:spacing w:before="0" w:after="0" w:line="240" w:lineRule="auto"/>
              <w:jc w:val="right"/>
              <w:rPr>
                <w:rFonts w:ascii="Arial" w:hAnsi="Arial" w:cs="Arial"/>
                <w:i/>
                <w:iCs/>
                <w:sz w:val="16"/>
                <w:szCs w:val="16"/>
              </w:rPr>
            </w:pPr>
            <w:r w:rsidRPr="009B1522">
              <w:rPr>
                <w:rFonts w:ascii="Arial" w:hAnsi="Arial" w:cs="Arial"/>
                <w:i/>
                <w:iCs/>
                <w:sz w:val="16"/>
                <w:szCs w:val="16"/>
              </w:rPr>
              <w:t> </w:t>
            </w:r>
          </w:p>
        </w:tc>
        <w:tc>
          <w:tcPr>
            <w:tcW w:w="532" w:type="pct"/>
            <w:tcBorders>
              <w:top w:val="nil"/>
              <w:left w:val="nil"/>
              <w:bottom w:val="nil"/>
              <w:right w:val="nil"/>
            </w:tcBorders>
            <w:noWrap/>
            <w:vAlign w:val="center"/>
            <w:hideMark/>
          </w:tcPr>
          <w:p w14:paraId="6373F7B8"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1.9</w:t>
            </w:r>
          </w:p>
        </w:tc>
      </w:tr>
      <w:tr w:rsidR="003661E9" w:rsidRPr="009B1522" w14:paraId="67AB8200"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7859D2CF" w14:textId="77777777" w:rsidR="00E47796" w:rsidRPr="009B1522" w:rsidRDefault="00E47796" w:rsidP="00E47796">
            <w:pPr>
              <w:spacing w:before="0" w:after="0" w:line="240" w:lineRule="auto"/>
              <w:ind w:firstLineChars="200" w:firstLine="320"/>
              <w:rPr>
                <w:rFonts w:ascii="Arial" w:hAnsi="Arial" w:cs="Arial"/>
                <w:i/>
                <w:color w:val="FFFF00"/>
                <w:sz w:val="16"/>
                <w:szCs w:val="16"/>
              </w:rPr>
            </w:pPr>
            <w:r w:rsidRPr="009B1522">
              <w:rPr>
                <w:rFonts w:ascii="Arial" w:hAnsi="Arial" w:cs="Arial"/>
                <w:i/>
                <w:sz w:val="16"/>
                <w:szCs w:val="16"/>
              </w:rPr>
              <w:t>Budget</w:t>
            </w:r>
          </w:p>
        </w:tc>
        <w:tc>
          <w:tcPr>
            <w:tcW w:w="396" w:type="pct"/>
            <w:tcBorders>
              <w:top w:val="nil"/>
              <w:left w:val="nil"/>
              <w:bottom w:val="nil"/>
              <w:right w:val="nil"/>
            </w:tcBorders>
            <w:shd w:val="clear" w:color="000000" w:fill="E6F2FF"/>
            <w:noWrap/>
            <w:vAlign w:val="center"/>
            <w:hideMark/>
          </w:tcPr>
          <w:p w14:paraId="28F93E52"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59.3</w:t>
            </w:r>
          </w:p>
        </w:tc>
        <w:tc>
          <w:tcPr>
            <w:tcW w:w="398" w:type="pct"/>
            <w:tcBorders>
              <w:top w:val="nil"/>
              <w:left w:val="nil"/>
              <w:bottom w:val="nil"/>
              <w:right w:val="nil"/>
            </w:tcBorders>
            <w:shd w:val="clear" w:color="000000" w:fill="E6F2FF"/>
            <w:noWrap/>
            <w:vAlign w:val="center"/>
            <w:hideMark/>
          </w:tcPr>
          <w:p w14:paraId="7CD891A6"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2.1</w:t>
            </w:r>
          </w:p>
        </w:tc>
        <w:tc>
          <w:tcPr>
            <w:tcW w:w="398" w:type="pct"/>
            <w:tcBorders>
              <w:top w:val="nil"/>
              <w:left w:val="nil"/>
              <w:bottom w:val="nil"/>
              <w:right w:val="nil"/>
            </w:tcBorders>
            <w:shd w:val="clear" w:color="000000" w:fill="FFFFFF"/>
            <w:noWrap/>
            <w:vAlign w:val="center"/>
            <w:hideMark/>
          </w:tcPr>
          <w:p w14:paraId="1B58808C"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58.4</w:t>
            </w:r>
          </w:p>
        </w:tc>
        <w:tc>
          <w:tcPr>
            <w:tcW w:w="398" w:type="pct"/>
            <w:tcBorders>
              <w:top w:val="nil"/>
              <w:left w:val="nil"/>
              <w:bottom w:val="nil"/>
              <w:right w:val="nil"/>
            </w:tcBorders>
            <w:shd w:val="clear" w:color="000000" w:fill="FFFFFF"/>
            <w:noWrap/>
            <w:vAlign w:val="center"/>
            <w:hideMark/>
          </w:tcPr>
          <w:p w14:paraId="2D483C6C"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2.0</w:t>
            </w:r>
          </w:p>
        </w:tc>
        <w:tc>
          <w:tcPr>
            <w:tcW w:w="398" w:type="pct"/>
            <w:tcBorders>
              <w:top w:val="nil"/>
              <w:left w:val="nil"/>
              <w:bottom w:val="nil"/>
              <w:right w:val="nil"/>
            </w:tcBorders>
            <w:shd w:val="clear" w:color="000000" w:fill="FFFFFF"/>
            <w:noWrap/>
            <w:vAlign w:val="center"/>
            <w:hideMark/>
          </w:tcPr>
          <w:p w14:paraId="4742D29A"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61.4</w:t>
            </w:r>
          </w:p>
        </w:tc>
        <w:tc>
          <w:tcPr>
            <w:tcW w:w="398" w:type="pct"/>
            <w:tcBorders>
              <w:top w:val="nil"/>
              <w:left w:val="nil"/>
              <w:bottom w:val="nil"/>
              <w:right w:val="nil"/>
            </w:tcBorders>
            <w:shd w:val="clear" w:color="000000" w:fill="FFFFFF"/>
            <w:noWrap/>
            <w:vAlign w:val="center"/>
            <w:hideMark/>
          </w:tcPr>
          <w:p w14:paraId="69962FD7"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2.0</w:t>
            </w:r>
          </w:p>
        </w:tc>
        <w:tc>
          <w:tcPr>
            <w:tcW w:w="398" w:type="pct"/>
            <w:tcBorders>
              <w:top w:val="nil"/>
              <w:left w:val="nil"/>
              <w:bottom w:val="nil"/>
              <w:right w:val="nil"/>
            </w:tcBorders>
            <w:shd w:val="clear" w:color="000000" w:fill="FFFFFF"/>
            <w:noWrap/>
            <w:vAlign w:val="center"/>
            <w:hideMark/>
          </w:tcPr>
          <w:p w14:paraId="41B63966"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62.6</w:t>
            </w:r>
          </w:p>
        </w:tc>
        <w:tc>
          <w:tcPr>
            <w:tcW w:w="398" w:type="pct"/>
            <w:tcBorders>
              <w:top w:val="nil"/>
              <w:left w:val="nil"/>
              <w:bottom w:val="nil"/>
              <w:right w:val="nil"/>
            </w:tcBorders>
            <w:shd w:val="clear" w:color="000000" w:fill="FFFFFF"/>
            <w:noWrap/>
            <w:vAlign w:val="center"/>
            <w:hideMark/>
          </w:tcPr>
          <w:p w14:paraId="06C4E649"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1.9</w:t>
            </w:r>
          </w:p>
        </w:tc>
        <w:tc>
          <w:tcPr>
            <w:tcW w:w="47" w:type="pct"/>
            <w:tcBorders>
              <w:top w:val="nil"/>
              <w:left w:val="nil"/>
              <w:bottom w:val="nil"/>
              <w:right w:val="nil"/>
            </w:tcBorders>
            <w:shd w:val="clear" w:color="000000" w:fill="FFFFFF"/>
            <w:noWrap/>
            <w:vAlign w:val="center"/>
            <w:hideMark/>
          </w:tcPr>
          <w:p w14:paraId="4AC32508" w14:textId="77777777" w:rsidR="00E47796" w:rsidRPr="009B1522" w:rsidRDefault="00E47796" w:rsidP="00E47796">
            <w:pPr>
              <w:spacing w:before="0" w:after="0" w:line="240" w:lineRule="auto"/>
              <w:jc w:val="right"/>
              <w:rPr>
                <w:rFonts w:ascii="Arial" w:hAnsi="Arial" w:cs="Arial"/>
                <w:i/>
                <w:iCs/>
                <w:sz w:val="16"/>
                <w:szCs w:val="16"/>
              </w:rPr>
            </w:pPr>
            <w:r w:rsidRPr="009B1522">
              <w:rPr>
                <w:rFonts w:ascii="Arial" w:hAnsi="Arial" w:cs="Arial"/>
                <w:i/>
                <w:iCs/>
                <w:sz w:val="16"/>
                <w:szCs w:val="16"/>
              </w:rPr>
              <w:t> </w:t>
            </w:r>
          </w:p>
        </w:tc>
        <w:tc>
          <w:tcPr>
            <w:tcW w:w="532" w:type="pct"/>
            <w:tcBorders>
              <w:top w:val="nil"/>
              <w:left w:val="nil"/>
              <w:bottom w:val="nil"/>
              <w:right w:val="nil"/>
            </w:tcBorders>
            <w:noWrap/>
            <w:vAlign w:val="center"/>
            <w:hideMark/>
          </w:tcPr>
          <w:p w14:paraId="3B708BAF"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1.9</w:t>
            </w:r>
          </w:p>
        </w:tc>
      </w:tr>
      <w:tr w:rsidR="003661E9" w:rsidRPr="009B1522" w14:paraId="7493F580" w14:textId="77777777" w:rsidTr="0053154B">
        <w:trPr>
          <w:trHeight w:hRule="exact" w:val="60"/>
        </w:trPr>
        <w:tc>
          <w:tcPr>
            <w:tcW w:w="1241" w:type="pct"/>
            <w:tcBorders>
              <w:top w:val="nil"/>
              <w:left w:val="nil"/>
              <w:bottom w:val="nil"/>
              <w:right w:val="nil"/>
            </w:tcBorders>
            <w:shd w:val="clear" w:color="000000" w:fill="FFFFFF"/>
            <w:noWrap/>
            <w:vAlign w:val="center"/>
            <w:hideMark/>
          </w:tcPr>
          <w:p w14:paraId="39A73A81" w14:textId="77777777" w:rsidR="00E47796" w:rsidRPr="009B1522" w:rsidRDefault="00E47796" w:rsidP="00E47796">
            <w:pPr>
              <w:spacing w:before="0" w:after="0" w:line="240" w:lineRule="auto"/>
              <w:rPr>
                <w:rFonts w:ascii="Arial" w:hAnsi="Arial" w:cs="Arial"/>
                <w:color w:val="FFFF00"/>
                <w:sz w:val="16"/>
                <w:szCs w:val="16"/>
              </w:rPr>
            </w:pPr>
            <w:r w:rsidRPr="009B1522">
              <w:rPr>
                <w:rFonts w:ascii="Arial" w:hAnsi="Arial" w:cs="Arial"/>
                <w:sz w:val="16"/>
                <w:szCs w:val="16"/>
              </w:rPr>
              <w:t> </w:t>
            </w:r>
          </w:p>
        </w:tc>
        <w:tc>
          <w:tcPr>
            <w:tcW w:w="396" w:type="pct"/>
            <w:tcBorders>
              <w:top w:val="nil"/>
              <w:left w:val="nil"/>
              <w:bottom w:val="nil"/>
              <w:right w:val="nil"/>
            </w:tcBorders>
            <w:shd w:val="clear" w:color="000000" w:fill="E6F2FF"/>
            <w:noWrap/>
            <w:vAlign w:val="center"/>
            <w:hideMark/>
          </w:tcPr>
          <w:p w14:paraId="5F7C2E0B"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E6F2FF"/>
            <w:noWrap/>
            <w:vAlign w:val="center"/>
            <w:hideMark/>
          </w:tcPr>
          <w:p w14:paraId="39FF4B44"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11F73F6E"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55491CA0"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70DC12C5"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45C8F7F1"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49DCB370"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32DCB631"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47" w:type="pct"/>
            <w:tcBorders>
              <w:top w:val="nil"/>
              <w:left w:val="nil"/>
              <w:bottom w:val="nil"/>
              <w:right w:val="nil"/>
            </w:tcBorders>
            <w:shd w:val="clear" w:color="000000" w:fill="FFFFFF"/>
            <w:noWrap/>
            <w:vAlign w:val="center"/>
            <w:hideMark/>
          </w:tcPr>
          <w:p w14:paraId="58463BDC"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532" w:type="pct"/>
            <w:tcBorders>
              <w:top w:val="nil"/>
              <w:left w:val="nil"/>
              <w:bottom w:val="nil"/>
              <w:right w:val="nil"/>
            </w:tcBorders>
            <w:noWrap/>
            <w:vAlign w:val="center"/>
            <w:hideMark/>
          </w:tcPr>
          <w:p w14:paraId="19733A65"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r>
      <w:tr w:rsidR="003661E9" w:rsidRPr="009B1522" w14:paraId="61D65832"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6B3E3445" w14:textId="77777777" w:rsidR="00E47796" w:rsidRPr="009B1522" w:rsidRDefault="00E47796" w:rsidP="00E47796">
            <w:pPr>
              <w:spacing w:before="0" w:after="0" w:line="240" w:lineRule="auto"/>
              <w:rPr>
                <w:rFonts w:ascii="Arial" w:hAnsi="Arial" w:cs="Arial"/>
                <w:b/>
                <w:color w:val="FFFF00"/>
                <w:sz w:val="16"/>
                <w:szCs w:val="16"/>
              </w:rPr>
            </w:pPr>
            <w:r w:rsidRPr="009B1522">
              <w:rPr>
                <w:rFonts w:ascii="Arial" w:hAnsi="Arial" w:cs="Arial"/>
                <w:b/>
                <w:sz w:val="16"/>
                <w:szCs w:val="16"/>
              </w:rPr>
              <w:t>Payments(a)</w:t>
            </w:r>
          </w:p>
        </w:tc>
        <w:tc>
          <w:tcPr>
            <w:tcW w:w="396" w:type="pct"/>
            <w:tcBorders>
              <w:top w:val="nil"/>
              <w:left w:val="nil"/>
              <w:bottom w:val="nil"/>
              <w:right w:val="nil"/>
            </w:tcBorders>
            <w:shd w:val="clear" w:color="000000" w:fill="E6F2FF"/>
            <w:noWrap/>
            <w:vAlign w:val="center"/>
            <w:hideMark/>
          </w:tcPr>
          <w:p w14:paraId="4C68362C" w14:textId="77777777" w:rsidR="00E47796" w:rsidRPr="009B1522" w:rsidRDefault="00E47796" w:rsidP="00E47796">
            <w:pPr>
              <w:spacing w:before="0" w:after="0" w:line="240" w:lineRule="auto"/>
              <w:jc w:val="right"/>
              <w:rPr>
                <w:rFonts w:ascii="Arial" w:hAnsi="Arial" w:cs="Arial"/>
                <w:b/>
                <w:color w:val="FFFF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E6F2FF"/>
            <w:noWrap/>
            <w:vAlign w:val="center"/>
            <w:hideMark/>
          </w:tcPr>
          <w:p w14:paraId="54F3209B" w14:textId="77777777" w:rsidR="00E47796" w:rsidRPr="009B1522" w:rsidRDefault="00E47796" w:rsidP="00E47796">
            <w:pPr>
              <w:spacing w:before="0" w:after="0" w:line="240" w:lineRule="auto"/>
              <w:jc w:val="right"/>
              <w:rPr>
                <w:rFonts w:ascii="Arial" w:hAnsi="Arial" w:cs="Arial"/>
                <w:b/>
                <w:color w:val="FFFF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FFFFFF"/>
            <w:noWrap/>
            <w:vAlign w:val="center"/>
            <w:hideMark/>
          </w:tcPr>
          <w:p w14:paraId="0E36C65C" w14:textId="77777777" w:rsidR="00E47796" w:rsidRPr="009B1522" w:rsidRDefault="00E47796" w:rsidP="00E47796">
            <w:pPr>
              <w:spacing w:before="0" w:after="0" w:line="240" w:lineRule="auto"/>
              <w:jc w:val="right"/>
              <w:rPr>
                <w:rFonts w:ascii="Arial" w:hAnsi="Arial" w:cs="Arial"/>
                <w:b/>
                <w:color w:val="FFFF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FFFFFF"/>
            <w:noWrap/>
            <w:vAlign w:val="center"/>
            <w:hideMark/>
          </w:tcPr>
          <w:p w14:paraId="6664680C" w14:textId="77777777" w:rsidR="00E47796" w:rsidRPr="009B1522" w:rsidRDefault="00E47796" w:rsidP="00E47796">
            <w:pPr>
              <w:spacing w:before="0" w:after="0" w:line="240" w:lineRule="auto"/>
              <w:jc w:val="right"/>
              <w:rPr>
                <w:rFonts w:ascii="Arial" w:hAnsi="Arial" w:cs="Arial"/>
                <w:b/>
                <w:color w:val="FFFF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FFFFFF"/>
            <w:noWrap/>
            <w:vAlign w:val="center"/>
            <w:hideMark/>
          </w:tcPr>
          <w:p w14:paraId="34F89024" w14:textId="77777777" w:rsidR="00E47796" w:rsidRPr="009B1522" w:rsidRDefault="00E47796" w:rsidP="00E47796">
            <w:pPr>
              <w:spacing w:before="0" w:after="0" w:line="240" w:lineRule="auto"/>
              <w:jc w:val="right"/>
              <w:rPr>
                <w:rFonts w:ascii="Arial" w:hAnsi="Arial" w:cs="Arial"/>
                <w:b/>
                <w:color w:val="FFFF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FFFFFF"/>
            <w:noWrap/>
            <w:vAlign w:val="center"/>
            <w:hideMark/>
          </w:tcPr>
          <w:p w14:paraId="3EBE919D" w14:textId="77777777" w:rsidR="00E47796" w:rsidRPr="009B1522" w:rsidRDefault="00E47796" w:rsidP="00E47796">
            <w:pPr>
              <w:spacing w:before="0" w:after="0" w:line="240" w:lineRule="auto"/>
              <w:jc w:val="right"/>
              <w:rPr>
                <w:rFonts w:ascii="Arial" w:hAnsi="Arial" w:cs="Arial"/>
                <w:b/>
                <w:color w:val="FFFF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FFFFFF"/>
            <w:noWrap/>
            <w:vAlign w:val="center"/>
            <w:hideMark/>
          </w:tcPr>
          <w:p w14:paraId="2FE51A63" w14:textId="77777777" w:rsidR="00E47796" w:rsidRPr="009B1522" w:rsidRDefault="00E47796" w:rsidP="00E47796">
            <w:pPr>
              <w:spacing w:before="0" w:after="0" w:line="240" w:lineRule="auto"/>
              <w:jc w:val="right"/>
              <w:rPr>
                <w:rFonts w:ascii="Arial" w:hAnsi="Arial" w:cs="Arial"/>
                <w:b/>
                <w:color w:val="FFFF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FFFFFF"/>
            <w:noWrap/>
            <w:vAlign w:val="center"/>
            <w:hideMark/>
          </w:tcPr>
          <w:p w14:paraId="03322674" w14:textId="77777777" w:rsidR="00E47796" w:rsidRPr="009B1522" w:rsidRDefault="00E47796" w:rsidP="00E47796">
            <w:pPr>
              <w:spacing w:before="0" w:after="0" w:line="240" w:lineRule="auto"/>
              <w:jc w:val="right"/>
              <w:rPr>
                <w:rFonts w:ascii="Arial" w:hAnsi="Arial" w:cs="Arial"/>
                <w:b/>
                <w:sz w:val="16"/>
                <w:szCs w:val="16"/>
              </w:rPr>
            </w:pPr>
            <w:r w:rsidRPr="009B1522">
              <w:rPr>
                <w:rFonts w:ascii="Arial" w:hAnsi="Arial" w:cs="Arial"/>
                <w:b/>
                <w:sz w:val="16"/>
                <w:szCs w:val="16"/>
              </w:rPr>
              <w:t> </w:t>
            </w:r>
          </w:p>
        </w:tc>
        <w:tc>
          <w:tcPr>
            <w:tcW w:w="47" w:type="pct"/>
            <w:tcBorders>
              <w:top w:val="nil"/>
              <w:left w:val="nil"/>
              <w:bottom w:val="nil"/>
              <w:right w:val="nil"/>
            </w:tcBorders>
            <w:shd w:val="clear" w:color="000000" w:fill="FFFFFF"/>
            <w:noWrap/>
            <w:vAlign w:val="center"/>
            <w:hideMark/>
          </w:tcPr>
          <w:p w14:paraId="35F9E57E" w14:textId="77777777" w:rsidR="00E47796" w:rsidRPr="009B1522" w:rsidRDefault="00E47796" w:rsidP="00E47796">
            <w:pPr>
              <w:spacing w:before="0" w:after="0" w:line="240" w:lineRule="auto"/>
              <w:jc w:val="right"/>
              <w:rPr>
                <w:rFonts w:ascii="Arial" w:hAnsi="Arial" w:cs="Arial"/>
                <w:b/>
                <w:color w:val="000000"/>
                <w:sz w:val="16"/>
                <w:szCs w:val="16"/>
              </w:rPr>
            </w:pPr>
            <w:r w:rsidRPr="009B1522">
              <w:rPr>
                <w:rFonts w:ascii="Arial" w:hAnsi="Arial" w:cs="Arial"/>
                <w:b/>
                <w:color w:val="000000"/>
                <w:sz w:val="16"/>
                <w:szCs w:val="16"/>
              </w:rPr>
              <w:t> </w:t>
            </w:r>
          </w:p>
        </w:tc>
        <w:tc>
          <w:tcPr>
            <w:tcW w:w="532" w:type="pct"/>
            <w:tcBorders>
              <w:top w:val="nil"/>
              <w:left w:val="nil"/>
              <w:bottom w:val="nil"/>
              <w:right w:val="nil"/>
            </w:tcBorders>
            <w:noWrap/>
            <w:vAlign w:val="center"/>
            <w:hideMark/>
          </w:tcPr>
          <w:p w14:paraId="4EE5D2D7"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r>
      <w:tr w:rsidR="003661E9" w:rsidRPr="009B1522" w14:paraId="5F63D5BE"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77026B0D" w14:textId="77777777" w:rsidR="00E47796" w:rsidRPr="009B1522" w:rsidRDefault="00E47796" w:rsidP="00E47796">
            <w:pPr>
              <w:spacing w:before="0" w:after="0" w:line="240" w:lineRule="auto"/>
              <w:ind w:firstLineChars="100" w:firstLine="160"/>
              <w:rPr>
                <w:rFonts w:ascii="Arial" w:hAnsi="Arial" w:cs="Arial"/>
                <w:color w:val="FFFF00"/>
                <w:sz w:val="16"/>
                <w:szCs w:val="16"/>
              </w:rPr>
            </w:pPr>
            <w:r w:rsidRPr="009B1522">
              <w:rPr>
                <w:rFonts w:ascii="Arial" w:hAnsi="Arial" w:cs="Arial"/>
                <w:sz w:val="16"/>
                <w:szCs w:val="16"/>
              </w:rPr>
              <w:t>MYEFO</w:t>
            </w:r>
          </w:p>
        </w:tc>
        <w:tc>
          <w:tcPr>
            <w:tcW w:w="396" w:type="pct"/>
            <w:tcBorders>
              <w:top w:val="nil"/>
              <w:left w:val="nil"/>
              <w:bottom w:val="nil"/>
              <w:right w:val="nil"/>
            </w:tcBorders>
            <w:shd w:val="clear" w:color="000000" w:fill="E6F2FF"/>
            <w:noWrap/>
            <w:vAlign w:val="center"/>
            <w:hideMark/>
          </w:tcPr>
          <w:p w14:paraId="32D1B95A"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786.6</w:t>
            </w:r>
          </w:p>
        </w:tc>
        <w:tc>
          <w:tcPr>
            <w:tcW w:w="398" w:type="pct"/>
            <w:tcBorders>
              <w:top w:val="nil"/>
              <w:left w:val="nil"/>
              <w:bottom w:val="nil"/>
              <w:right w:val="nil"/>
            </w:tcBorders>
            <w:shd w:val="clear" w:color="000000" w:fill="E6F2FF"/>
            <w:noWrap/>
            <w:vAlign w:val="center"/>
            <w:hideMark/>
          </w:tcPr>
          <w:p w14:paraId="32C06D44"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26.9</w:t>
            </w:r>
          </w:p>
        </w:tc>
        <w:tc>
          <w:tcPr>
            <w:tcW w:w="398" w:type="pct"/>
            <w:tcBorders>
              <w:top w:val="nil"/>
              <w:left w:val="nil"/>
              <w:bottom w:val="nil"/>
              <w:right w:val="nil"/>
            </w:tcBorders>
            <w:shd w:val="clear" w:color="000000" w:fill="FFFFFF"/>
            <w:noWrap/>
            <w:vAlign w:val="center"/>
            <w:hideMark/>
          </w:tcPr>
          <w:p w14:paraId="1B2C8CB1"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811.3</w:t>
            </w:r>
          </w:p>
        </w:tc>
        <w:tc>
          <w:tcPr>
            <w:tcW w:w="398" w:type="pct"/>
            <w:tcBorders>
              <w:top w:val="nil"/>
              <w:left w:val="nil"/>
              <w:bottom w:val="nil"/>
              <w:right w:val="nil"/>
            </w:tcBorders>
            <w:shd w:val="clear" w:color="000000" w:fill="FFFFFF"/>
            <w:noWrap/>
            <w:vAlign w:val="center"/>
            <w:hideMark/>
          </w:tcPr>
          <w:p w14:paraId="171E249D"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26.9</w:t>
            </w:r>
          </w:p>
        </w:tc>
        <w:tc>
          <w:tcPr>
            <w:tcW w:w="398" w:type="pct"/>
            <w:tcBorders>
              <w:top w:val="nil"/>
              <w:left w:val="nil"/>
              <w:bottom w:val="nil"/>
              <w:right w:val="nil"/>
            </w:tcBorders>
            <w:shd w:val="clear" w:color="000000" w:fill="FFFFFF"/>
            <w:noWrap/>
            <w:vAlign w:val="center"/>
            <w:hideMark/>
          </w:tcPr>
          <w:p w14:paraId="7A6F6B5B"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841.7</w:t>
            </w:r>
          </w:p>
        </w:tc>
        <w:tc>
          <w:tcPr>
            <w:tcW w:w="398" w:type="pct"/>
            <w:tcBorders>
              <w:top w:val="nil"/>
              <w:left w:val="nil"/>
              <w:bottom w:val="nil"/>
              <w:right w:val="nil"/>
            </w:tcBorders>
            <w:shd w:val="clear" w:color="000000" w:fill="FFFFFF"/>
            <w:noWrap/>
            <w:vAlign w:val="center"/>
            <w:hideMark/>
          </w:tcPr>
          <w:p w14:paraId="1F767779"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26.6</w:t>
            </w:r>
          </w:p>
        </w:tc>
        <w:tc>
          <w:tcPr>
            <w:tcW w:w="398" w:type="pct"/>
            <w:tcBorders>
              <w:top w:val="nil"/>
              <w:left w:val="nil"/>
              <w:bottom w:val="nil"/>
              <w:right w:val="nil"/>
            </w:tcBorders>
            <w:shd w:val="clear" w:color="000000" w:fill="FFFFFF"/>
            <w:noWrap/>
            <w:vAlign w:val="center"/>
            <w:hideMark/>
          </w:tcPr>
          <w:p w14:paraId="1ED228B6"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882.9</w:t>
            </w:r>
          </w:p>
        </w:tc>
        <w:tc>
          <w:tcPr>
            <w:tcW w:w="398" w:type="pct"/>
            <w:tcBorders>
              <w:top w:val="nil"/>
              <w:left w:val="nil"/>
              <w:bottom w:val="nil"/>
              <w:right w:val="nil"/>
            </w:tcBorders>
            <w:shd w:val="clear" w:color="000000" w:fill="FFFFFF"/>
            <w:noWrap/>
            <w:vAlign w:val="center"/>
            <w:hideMark/>
          </w:tcPr>
          <w:p w14:paraId="7F709A17"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26.5</w:t>
            </w:r>
          </w:p>
        </w:tc>
        <w:tc>
          <w:tcPr>
            <w:tcW w:w="47" w:type="pct"/>
            <w:tcBorders>
              <w:top w:val="nil"/>
              <w:left w:val="nil"/>
              <w:bottom w:val="nil"/>
              <w:right w:val="nil"/>
            </w:tcBorders>
            <w:shd w:val="clear" w:color="000000" w:fill="FFFFFF"/>
            <w:noWrap/>
            <w:vAlign w:val="center"/>
            <w:hideMark/>
          </w:tcPr>
          <w:p w14:paraId="1DD46B9A"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532" w:type="pct"/>
            <w:tcBorders>
              <w:top w:val="nil"/>
              <w:left w:val="nil"/>
              <w:bottom w:val="nil"/>
              <w:right w:val="nil"/>
            </w:tcBorders>
            <w:noWrap/>
            <w:vAlign w:val="center"/>
            <w:hideMark/>
          </w:tcPr>
          <w:p w14:paraId="7930C789"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26.8</w:t>
            </w:r>
          </w:p>
        </w:tc>
      </w:tr>
      <w:tr w:rsidR="003661E9" w:rsidRPr="009B1522" w14:paraId="76FEBF85"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140BC759" w14:textId="77777777" w:rsidR="00E47796" w:rsidRPr="009B1522" w:rsidRDefault="00E47796" w:rsidP="00E47796">
            <w:pPr>
              <w:spacing w:before="0" w:after="0" w:line="240" w:lineRule="auto"/>
              <w:ind w:firstLineChars="100" w:firstLine="160"/>
              <w:rPr>
                <w:rFonts w:ascii="Arial" w:hAnsi="Arial" w:cs="Arial"/>
                <w:i/>
                <w:color w:val="FFFF00"/>
                <w:sz w:val="16"/>
                <w:szCs w:val="16"/>
              </w:rPr>
            </w:pPr>
            <w:r w:rsidRPr="009B1522">
              <w:rPr>
                <w:rFonts w:ascii="Arial" w:hAnsi="Arial" w:cs="Arial"/>
                <w:i/>
                <w:sz w:val="16"/>
                <w:szCs w:val="16"/>
              </w:rPr>
              <w:t>PEFO</w:t>
            </w:r>
          </w:p>
        </w:tc>
        <w:tc>
          <w:tcPr>
            <w:tcW w:w="396" w:type="pct"/>
            <w:tcBorders>
              <w:top w:val="nil"/>
              <w:left w:val="nil"/>
              <w:bottom w:val="nil"/>
              <w:right w:val="nil"/>
            </w:tcBorders>
            <w:shd w:val="clear" w:color="000000" w:fill="E6F2FF"/>
            <w:noWrap/>
            <w:vAlign w:val="center"/>
            <w:hideMark/>
          </w:tcPr>
          <w:p w14:paraId="22EB5556"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777.5</w:t>
            </w:r>
          </w:p>
        </w:tc>
        <w:tc>
          <w:tcPr>
            <w:tcW w:w="398" w:type="pct"/>
            <w:tcBorders>
              <w:top w:val="nil"/>
              <w:left w:val="nil"/>
              <w:bottom w:val="nil"/>
              <w:right w:val="nil"/>
            </w:tcBorders>
            <w:shd w:val="clear" w:color="000000" w:fill="E6F2FF"/>
            <w:noWrap/>
            <w:vAlign w:val="center"/>
            <w:hideMark/>
          </w:tcPr>
          <w:p w14:paraId="393579F7"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27.0</w:t>
            </w:r>
          </w:p>
        </w:tc>
        <w:tc>
          <w:tcPr>
            <w:tcW w:w="398" w:type="pct"/>
            <w:tcBorders>
              <w:top w:val="nil"/>
              <w:left w:val="nil"/>
              <w:bottom w:val="nil"/>
              <w:right w:val="nil"/>
            </w:tcBorders>
            <w:shd w:val="clear" w:color="000000" w:fill="FFFFFF"/>
            <w:noWrap/>
            <w:vAlign w:val="center"/>
            <w:hideMark/>
          </w:tcPr>
          <w:p w14:paraId="5394DBA3"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801.3</w:t>
            </w:r>
          </w:p>
        </w:tc>
        <w:tc>
          <w:tcPr>
            <w:tcW w:w="398" w:type="pct"/>
            <w:tcBorders>
              <w:top w:val="nil"/>
              <w:left w:val="nil"/>
              <w:bottom w:val="nil"/>
              <w:right w:val="nil"/>
            </w:tcBorders>
            <w:shd w:val="clear" w:color="000000" w:fill="FFFFFF"/>
            <w:noWrap/>
            <w:vAlign w:val="center"/>
            <w:hideMark/>
          </w:tcPr>
          <w:p w14:paraId="10BACD11"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26.8</w:t>
            </w:r>
          </w:p>
        </w:tc>
        <w:tc>
          <w:tcPr>
            <w:tcW w:w="398" w:type="pct"/>
            <w:tcBorders>
              <w:top w:val="nil"/>
              <w:left w:val="nil"/>
              <w:bottom w:val="nil"/>
              <w:right w:val="nil"/>
            </w:tcBorders>
            <w:shd w:val="clear" w:color="000000" w:fill="FFFFFF"/>
            <w:noWrap/>
            <w:vAlign w:val="center"/>
            <w:hideMark/>
          </w:tcPr>
          <w:p w14:paraId="6959B846"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834.5</w:t>
            </w:r>
          </w:p>
        </w:tc>
        <w:tc>
          <w:tcPr>
            <w:tcW w:w="398" w:type="pct"/>
            <w:tcBorders>
              <w:top w:val="nil"/>
              <w:left w:val="nil"/>
              <w:bottom w:val="nil"/>
              <w:right w:val="nil"/>
            </w:tcBorders>
            <w:shd w:val="clear" w:color="000000" w:fill="FFFFFF"/>
            <w:noWrap/>
            <w:vAlign w:val="center"/>
            <w:hideMark/>
          </w:tcPr>
          <w:p w14:paraId="31FF50FD"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26.5</w:t>
            </w:r>
          </w:p>
        </w:tc>
        <w:tc>
          <w:tcPr>
            <w:tcW w:w="398" w:type="pct"/>
            <w:tcBorders>
              <w:top w:val="nil"/>
              <w:left w:val="nil"/>
              <w:bottom w:val="nil"/>
              <w:right w:val="nil"/>
            </w:tcBorders>
            <w:shd w:val="clear" w:color="000000" w:fill="FFFFFF"/>
            <w:noWrap/>
            <w:vAlign w:val="center"/>
            <w:hideMark/>
          </w:tcPr>
          <w:p w14:paraId="2AD2C18B"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877.9</w:t>
            </w:r>
          </w:p>
        </w:tc>
        <w:tc>
          <w:tcPr>
            <w:tcW w:w="398" w:type="pct"/>
            <w:tcBorders>
              <w:top w:val="nil"/>
              <w:left w:val="nil"/>
              <w:bottom w:val="nil"/>
              <w:right w:val="nil"/>
            </w:tcBorders>
            <w:shd w:val="clear" w:color="000000" w:fill="FFFFFF"/>
            <w:noWrap/>
            <w:vAlign w:val="center"/>
            <w:hideMark/>
          </w:tcPr>
          <w:p w14:paraId="7257BDD8"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26.4</w:t>
            </w:r>
          </w:p>
        </w:tc>
        <w:tc>
          <w:tcPr>
            <w:tcW w:w="47" w:type="pct"/>
            <w:tcBorders>
              <w:top w:val="nil"/>
              <w:left w:val="nil"/>
              <w:bottom w:val="nil"/>
              <w:right w:val="nil"/>
            </w:tcBorders>
            <w:shd w:val="clear" w:color="000000" w:fill="FFFFFF"/>
            <w:noWrap/>
            <w:vAlign w:val="center"/>
            <w:hideMark/>
          </w:tcPr>
          <w:p w14:paraId="2B1B0B32" w14:textId="77777777" w:rsidR="00E47796" w:rsidRPr="009B1522" w:rsidRDefault="00E47796" w:rsidP="00E47796">
            <w:pPr>
              <w:spacing w:before="0" w:after="0" w:line="240" w:lineRule="auto"/>
              <w:jc w:val="right"/>
              <w:rPr>
                <w:rFonts w:ascii="Arial" w:hAnsi="Arial" w:cs="Arial"/>
                <w:i/>
                <w:iCs/>
                <w:sz w:val="16"/>
                <w:szCs w:val="16"/>
              </w:rPr>
            </w:pPr>
            <w:r w:rsidRPr="009B1522">
              <w:rPr>
                <w:rFonts w:ascii="Arial" w:hAnsi="Arial" w:cs="Arial"/>
                <w:i/>
                <w:iCs/>
                <w:sz w:val="16"/>
                <w:szCs w:val="16"/>
              </w:rPr>
              <w:t> </w:t>
            </w:r>
          </w:p>
        </w:tc>
        <w:tc>
          <w:tcPr>
            <w:tcW w:w="532" w:type="pct"/>
            <w:tcBorders>
              <w:top w:val="nil"/>
              <w:left w:val="nil"/>
              <w:bottom w:val="nil"/>
              <w:right w:val="nil"/>
            </w:tcBorders>
            <w:noWrap/>
            <w:vAlign w:val="center"/>
            <w:hideMark/>
          </w:tcPr>
          <w:p w14:paraId="47893D3A"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26.8</w:t>
            </w:r>
          </w:p>
        </w:tc>
      </w:tr>
      <w:tr w:rsidR="003661E9" w:rsidRPr="009B1522" w14:paraId="067AAB1D"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26064F46" w14:textId="77777777" w:rsidR="00E47796" w:rsidRPr="009B1522" w:rsidRDefault="00E47796" w:rsidP="00E47796">
            <w:pPr>
              <w:spacing w:before="0" w:after="0" w:line="240" w:lineRule="auto"/>
              <w:ind w:firstLineChars="100" w:firstLine="160"/>
              <w:rPr>
                <w:rFonts w:ascii="Arial" w:hAnsi="Arial" w:cs="Arial"/>
                <w:i/>
                <w:color w:val="FFFF00"/>
                <w:sz w:val="16"/>
                <w:szCs w:val="16"/>
              </w:rPr>
            </w:pPr>
            <w:r w:rsidRPr="009B1522">
              <w:rPr>
                <w:rFonts w:ascii="Arial" w:hAnsi="Arial" w:cs="Arial"/>
                <w:i/>
                <w:sz w:val="16"/>
                <w:szCs w:val="16"/>
              </w:rPr>
              <w:t>Budget</w:t>
            </w:r>
          </w:p>
        </w:tc>
        <w:tc>
          <w:tcPr>
            <w:tcW w:w="396" w:type="pct"/>
            <w:tcBorders>
              <w:top w:val="nil"/>
              <w:left w:val="nil"/>
              <w:bottom w:val="nil"/>
              <w:right w:val="nil"/>
            </w:tcBorders>
            <w:shd w:val="clear" w:color="000000" w:fill="E6F2FF"/>
            <w:noWrap/>
            <w:vAlign w:val="center"/>
            <w:hideMark/>
          </w:tcPr>
          <w:p w14:paraId="5B1BF0F1"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777.5</w:t>
            </w:r>
          </w:p>
        </w:tc>
        <w:tc>
          <w:tcPr>
            <w:tcW w:w="398" w:type="pct"/>
            <w:tcBorders>
              <w:top w:val="nil"/>
              <w:left w:val="nil"/>
              <w:bottom w:val="nil"/>
              <w:right w:val="nil"/>
            </w:tcBorders>
            <w:shd w:val="clear" w:color="000000" w:fill="E6F2FF"/>
            <w:noWrap/>
            <w:vAlign w:val="center"/>
            <w:hideMark/>
          </w:tcPr>
          <w:p w14:paraId="59F73673"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27.0</w:t>
            </w:r>
          </w:p>
        </w:tc>
        <w:tc>
          <w:tcPr>
            <w:tcW w:w="398" w:type="pct"/>
            <w:tcBorders>
              <w:top w:val="nil"/>
              <w:left w:val="nil"/>
              <w:bottom w:val="nil"/>
              <w:right w:val="nil"/>
            </w:tcBorders>
            <w:shd w:val="clear" w:color="000000" w:fill="FFFFFF"/>
            <w:noWrap/>
            <w:vAlign w:val="center"/>
            <w:hideMark/>
          </w:tcPr>
          <w:p w14:paraId="7BF0BF01"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801.7</w:t>
            </w:r>
          </w:p>
        </w:tc>
        <w:tc>
          <w:tcPr>
            <w:tcW w:w="398" w:type="pct"/>
            <w:tcBorders>
              <w:top w:val="nil"/>
              <w:left w:val="nil"/>
              <w:bottom w:val="nil"/>
              <w:right w:val="nil"/>
            </w:tcBorders>
            <w:shd w:val="clear" w:color="000000" w:fill="FFFFFF"/>
            <w:noWrap/>
            <w:vAlign w:val="center"/>
            <w:hideMark/>
          </w:tcPr>
          <w:p w14:paraId="5DDC7269"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26.8</w:t>
            </w:r>
          </w:p>
        </w:tc>
        <w:tc>
          <w:tcPr>
            <w:tcW w:w="398" w:type="pct"/>
            <w:tcBorders>
              <w:top w:val="nil"/>
              <w:left w:val="nil"/>
              <w:bottom w:val="nil"/>
              <w:right w:val="nil"/>
            </w:tcBorders>
            <w:shd w:val="clear" w:color="000000" w:fill="FFFFFF"/>
            <w:noWrap/>
            <w:vAlign w:val="center"/>
            <w:hideMark/>
          </w:tcPr>
          <w:p w14:paraId="6D1E1975"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834.6</w:t>
            </w:r>
          </w:p>
        </w:tc>
        <w:tc>
          <w:tcPr>
            <w:tcW w:w="398" w:type="pct"/>
            <w:tcBorders>
              <w:top w:val="nil"/>
              <w:left w:val="nil"/>
              <w:bottom w:val="nil"/>
              <w:right w:val="nil"/>
            </w:tcBorders>
            <w:shd w:val="clear" w:color="000000" w:fill="FFFFFF"/>
            <w:noWrap/>
            <w:vAlign w:val="center"/>
            <w:hideMark/>
          </w:tcPr>
          <w:p w14:paraId="36C38C40"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26.5</w:t>
            </w:r>
          </w:p>
        </w:tc>
        <w:tc>
          <w:tcPr>
            <w:tcW w:w="398" w:type="pct"/>
            <w:tcBorders>
              <w:top w:val="nil"/>
              <w:left w:val="nil"/>
              <w:bottom w:val="nil"/>
              <w:right w:val="nil"/>
            </w:tcBorders>
            <w:shd w:val="clear" w:color="000000" w:fill="FFFFFF"/>
            <w:noWrap/>
            <w:vAlign w:val="center"/>
            <w:hideMark/>
          </w:tcPr>
          <w:p w14:paraId="06E838B6"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877.7</w:t>
            </w:r>
          </w:p>
        </w:tc>
        <w:tc>
          <w:tcPr>
            <w:tcW w:w="398" w:type="pct"/>
            <w:tcBorders>
              <w:top w:val="nil"/>
              <w:left w:val="nil"/>
              <w:bottom w:val="nil"/>
              <w:right w:val="nil"/>
            </w:tcBorders>
            <w:shd w:val="clear" w:color="000000" w:fill="FFFFFF"/>
            <w:noWrap/>
            <w:vAlign w:val="center"/>
            <w:hideMark/>
          </w:tcPr>
          <w:p w14:paraId="15D46035"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26.4</w:t>
            </w:r>
          </w:p>
        </w:tc>
        <w:tc>
          <w:tcPr>
            <w:tcW w:w="47" w:type="pct"/>
            <w:tcBorders>
              <w:top w:val="nil"/>
              <w:left w:val="nil"/>
              <w:bottom w:val="nil"/>
              <w:right w:val="nil"/>
            </w:tcBorders>
            <w:shd w:val="clear" w:color="000000" w:fill="FFFFFF"/>
            <w:noWrap/>
            <w:vAlign w:val="center"/>
            <w:hideMark/>
          </w:tcPr>
          <w:p w14:paraId="0F7B8CAD" w14:textId="77777777" w:rsidR="00E47796" w:rsidRPr="009B1522" w:rsidRDefault="00E47796" w:rsidP="00E47796">
            <w:pPr>
              <w:spacing w:before="0" w:after="0" w:line="240" w:lineRule="auto"/>
              <w:jc w:val="right"/>
              <w:rPr>
                <w:rFonts w:ascii="Arial" w:hAnsi="Arial" w:cs="Arial"/>
                <w:i/>
                <w:iCs/>
                <w:sz w:val="16"/>
                <w:szCs w:val="16"/>
              </w:rPr>
            </w:pPr>
            <w:r w:rsidRPr="009B1522">
              <w:rPr>
                <w:rFonts w:ascii="Arial" w:hAnsi="Arial" w:cs="Arial"/>
                <w:i/>
                <w:iCs/>
                <w:sz w:val="16"/>
                <w:szCs w:val="16"/>
              </w:rPr>
              <w:t> </w:t>
            </w:r>
          </w:p>
        </w:tc>
        <w:tc>
          <w:tcPr>
            <w:tcW w:w="532" w:type="pct"/>
            <w:tcBorders>
              <w:top w:val="nil"/>
              <w:left w:val="nil"/>
              <w:bottom w:val="nil"/>
              <w:right w:val="nil"/>
            </w:tcBorders>
            <w:noWrap/>
            <w:vAlign w:val="center"/>
            <w:hideMark/>
          </w:tcPr>
          <w:p w14:paraId="11D07DE6"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26.8</w:t>
            </w:r>
          </w:p>
        </w:tc>
      </w:tr>
      <w:tr w:rsidR="007C6C9D" w:rsidRPr="009B1522" w14:paraId="1E20AF80" w14:textId="77777777" w:rsidTr="0053154B">
        <w:trPr>
          <w:trHeight w:hRule="exact" w:val="60"/>
        </w:trPr>
        <w:tc>
          <w:tcPr>
            <w:tcW w:w="1241" w:type="pct"/>
            <w:tcBorders>
              <w:top w:val="nil"/>
              <w:left w:val="nil"/>
              <w:bottom w:val="nil"/>
              <w:right w:val="nil"/>
            </w:tcBorders>
            <w:shd w:val="clear" w:color="000000" w:fill="FFFFFF"/>
            <w:noWrap/>
            <w:vAlign w:val="center"/>
            <w:hideMark/>
          </w:tcPr>
          <w:p w14:paraId="2B0320BF" w14:textId="77777777" w:rsidR="00E47796" w:rsidRPr="009B1522" w:rsidRDefault="00E47796" w:rsidP="00E47796">
            <w:pPr>
              <w:spacing w:before="0" w:after="0" w:line="240" w:lineRule="auto"/>
              <w:rPr>
                <w:rFonts w:ascii="Arial" w:hAnsi="Arial" w:cs="Arial"/>
                <w:color w:val="000000"/>
                <w:sz w:val="16"/>
                <w:szCs w:val="16"/>
              </w:rPr>
            </w:pPr>
            <w:r w:rsidRPr="009B1522">
              <w:rPr>
                <w:rFonts w:ascii="Arial" w:hAnsi="Arial" w:cs="Arial"/>
                <w:color w:val="000000"/>
                <w:sz w:val="16"/>
                <w:szCs w:val="16"/>
              </w:rPr>
              <w:t> </w:t>
            </w:r>
          </w:p>
        </w:tc>
        <w:tc>
          <w:tcPr>
            <w:tcW w:w="396" w:type="pct"/>
            <w:tcBorders>
              <w:top w:val="nil"/>
              <w:left w:val="nil"/>
              <w:bottom w:val="nil"/>
              <w:right w:val="nil"/>
            </w:tcBorders>
            <w:shd w:val="clear" w:color="000000" w:fill="E6F2FF"/>
            <w:noWrap/>
            <w:vAlign w:val="center"/>
            <w:hideMark/>
          </w:tcPr>
          <w:p w14:paraId="320C157B"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398" w:type="pct"/>
            <w:tcBorders>
              <w:top w:val="nil"/>
              <w:left w:val="nil"/>
              <w:bottom w:val="nil"/>
              <w:right w:val="nil"/>
            </w:tcBorders>
            <w:shd w:val="clear" w:color="000000" w:fill="E6F2FF"/>
            <w:noWrap/>
            <w:vAlign w:val="center"/>
            <w:hideMark/>
          </w:tcPr>
          <w:p w14:paraId="14A0DE36"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398" w:type="pct"/>
            <w:tcBorders>
              <w:top w:val="nil"/>
              <w:left w:val="nil"/>
              <w:bottom w:val="nil"/>
              <w:right w:val="nil"/>
            </w:tcBorders>
            <w:shd w:val="clear" w:color="000000" w:fill="FFFFFF"/>
            <w:noWrap/>
            <w:vAlign w:val="center"/>
            <w:hideMark/>
          </w:tcPr>
          <w:p w14:paraId="7A797EE0"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398" w:type="pct"/>
            <w:tcBorders>
              <w:top w:val="nil"/>
              <w:left w:val="nil"/>
              <w:bottom w:val="nil"/>
              <w:right w:val="nil"/>
            </w:tcBorders>
            <w:shd w:val="clear" w:color="000000" w:fill="FFFFFF"/>
            <w:noWrap/>
            <w:vAlign w:val="center"/>
            <w:hideMark/>
          </w:tcPr>
          <w:p w14:paraId="22055F99"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398" w:type="pct"/>
            <w:tcBorders>
              <w:top w:val="nil"/>
              <w:left w:val="nil"/>
              <w:bottom w:val="nil"/>
              <w:right w:val="nil"/>
            </w:tcBorders>
            <w:shd w:val="clear" w:color="000000" w:fill="FFFFFF"/>
            <w:noWrap/>
            <w:vAlign w:val="center"/>
            <w:hideMark/>
          </w:tcPr>
          <w:p w14:paraId="43312CC0"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398" w:type="pct"/>
            <w:tcBorders>
              <w:top w:val="nil"/>
              <w:left w:val="nil"/>
              <w:bottom w:val="nil"/>
              <w:right w:val="nil"/>
            </w:tcBorders>
            <w:shd w:val="clear" w:color="000000" w:fill="FFFFFF"/>
            <w:noWrap/>
            <w:vAlign w:val="center"/>
            <w:hideMark/>
          </w:tcPr>
          <w:p w14:paraId="508E961E"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398" w:type="pct"/>
            <w:tcBorders>
              <w:top w:val="nil"/>
              <w:left w:val="nil"/>
              <w:bottom w:val="nil"/>
              <w:right w:val="nil"/>
            </w:tcBorders>
            <w:shd w:val="clear" w:color="000000" w:fill="FFFFFF"/>
            <w:noWrap/>
            <w:vAlign w:val="center"/>
            <w:hideMark/>
          </w:tcPr>
          <w:p w14:paraId="0921EAF9"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398" w:type="pct"/>
            <w:tcBorders>
              <w:top w:val="nil"/>
              <w:left w:val="nil"/>
              <w:bottom w:val="nil"/>
              <w:right w:val="nil"/>
            </w:tcBorders>
            <w:shd w:val="clear" w:color="000000" w:fill="FFFFFF"/>
            <w:noWrap/>
            <w:vAlign w:val="center"/>
            <w:hideMark/>
          </w:tcPr>
          <w:p w14:paraId="753FFF69"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47" w:type="pct"/>
            <w:tcBorders>
              <w:top w:val="nil"/>
              <w:left w:val="nil"/>
              <w:bottom w:val="nil"/>
              <w:right w:val="nil"/>
            </w:tcBorders>
            <w:shd w:val="clear" w:color="000000" w:fill="FFFFFF"/>
            <w:noWrap/>
            <w:vAlign w:val="center"/>
            <w:hideMark/>
          </w:tcPr>
          <w:p w14:paraId="33365EC0"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532" w:type="pct"/>
            <w:tcBorders>
              <w:top w:val="nil"/>
              <w:left w:val="nil"/>
              <w:bottom w:val="nil"/>
              <w:right w:val="nil"/>
            </w:tcBorders>
            <w:noWrap/>
            <w:vAlign w:val="center"/>
            <w:hideMark/>
          </w:tcPr>
          <w:p w14:paraId="47DDAC1D"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r>
      <w:tr w:rsidR="003661E9" w:rsidRPr="009B1522" w14:paraId="511F39FA"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66F9889B" w14:textId="4B96594F" w:rsidR="00E47796" w:rsidRPr="009B1522" w:rsidRDefault="00E47796" w:rsidP="00E47796">
            <w:pPr>
              <w:spacing w:before="0" w:after="0" w:line="240" w:lineRule="auto"/>
              <w:rPr>
                <w:rFonts w:ascii="Arial" w:hAnsi="Arial" w:cs="Arial"/>
                <w:b/>
                <w:color w:val="000000"/>
                <w:sz w:val="16"/>
                <w:szCs w:val="16"/>
              </w:rPr>
            </w:pPr>
            <w:r w:rsidRPr="009B1522">
              <w:rPr>
                <w:rFonts w:ascii="Arial" w:hAnsi="Arial" w:cs="Arial"/>
                <w:b/>
                <w:sz w:val="16"/>
                <w:szCs w:val="16"/>
              </w:rPr>
              <w:t>Gross debt(b)</w:t>
            </w:r>
          </w:p>
        </w:tc>
        <w:tc>
          <w:tcPr>
            <w:tcW w:w="396" w:type="pct"/>
            <w:tcBorders>
              <w:top w:val="nil"/>
              <w:left w:val="nil"/>
              <w:bottom w:val="nil"/>
              <w:right w:val="nil"/>
            </w:tcBorders>
            <w:shd w:val="clear" w:color="000000" w:fill="E6F2FF"/>
            <w:noWrap/>
            <w:vAlign w:val="center"/>
            <w:hideMark/>
          </w:tcPr>
          <w:p w14:paraId="0DFA8A9D" w14:textId="77777777" w:rsidR="00E47796" w:rsidRPr="009B1522" w:rsidRDefault="00E47796" w:rsidP="00E47796">
            <w:pPr>
              <w:spacing w:before="0" w:after="0" w:line="240" w:lineRule="auto"/>
              <w:jc w:val="right"/>
              <w:rPr>
                <w:rFonts w:ascii="Arial" w:hAnsi="Arial" w:cs="Arial"/>
                <w:b/>
                <w:color w:val="0000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E6F2FF"/>
            <w:noWrap/>
            <w:vAlign w:val="center"/>
            <w:hideMark/>
          </w:tcPr>
          <w:p w14:paraId="5FA45684" w14:textId="77777777" w:rsidR="00E47796" w:rsidRPr="009B1522" w:rsidRDefault="00E47796" w:rsidP="00E47796">
            <w:pPr>
              <w:spacing w:before="0" w:after="0" w:line="240" w:lineRule="auto"/>
              <w:jc w:val="right"/>
              <w:rPr>
                <w:rFonts w:ascii="Arial" w:hAnsi="Arial" w:cs="Arial"/>
                <w:b/>
                <w:color w:val="000000"/>
                <w:sz w:val="16"/>
                <w:szCs w:val="16"/>
              </w:rPr>
            </w:pPr>
            <w:r w:rsidRPr="009B1522">
              <w:rPr>
                <w:rFonts w:ascii="Arial" w:hAnsi="Arial" w:cs="Arial"/>
                <w:b/>
                <w:sz w:val="16"/>
                <w:szCs w:val="16"/>
              </w:rPr>
              <w:t> </w:t>
            </w:r>
          </w:p>
        </w:tc>
        <w:tc>
          <w:tcPr>
            <w:tcW w:w="398" w:type="pct"/>
            <w:tcBorders>
              <w:top w:val="nil"/>
              <w:left w:val="nil"/>
              <w:bottom w:val="nil"/>
              <w:right w:val="nil"/>
            </w:tcBorders>
            <w:shd w:val="clear" w:color="000000" w:fill="FFFFFF"/>
            <w:noWrap/>
            <w:vAlign w:val="center"/>
            <w:hideMark/>
          </w:tcPr>
          <w:p w14:paraId="3E97E99C"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64E9CF79"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78C951EF"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5E593D20"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208AE5D8"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0BA0548E"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47" w:type="pct"/>
            <w:tcBorders>
              <w:top w:val="nil"/>
              <w:left w:val="nil"/>
              <w:bottom w:val="nil"/>
              <w:right w:val="nil"/>
            </w:tcBorders>
            <w:shd w:val="clear" w:color="000000" w:fill="FFFFFF"/>
            <w:noWrap/>
            <w:vAlign w:val="center"/>
            <w:hideMark/>
          </w:tcPr>
          <w:p w14:paraId="20D89132"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 </w:t>
            </w:r>
          </w:p>
        </w:tc>
        <w:tc>
          <w:tcPr>
            <w:tcW w:w="532" w:type="pct"/>
            <w:tcBorders>
              <w:top w:val="nil"/>
              <w:left w:val="nil"/>
              <w:bottom w:val="nil"/>
              <w:right w:val="nil"/>
            </w:tcBorders>
            <w:noWrap/>
            <w:vAlign w:val="center"/>
            <w:hideMark/>
          </w:tcPr>
          <w:p w14:paraId="2F46FB30"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r>
      <w:tr w:rsidR="003661E9" w:rsidRPr="009B1522" w14:paraId="552F88D0"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360007FC" w14:textId="77777777" w:rsidR="00E47796" w:rsidRPr="009B1522" w:rsidRDefault="00E47796" w:rsidP="00E47796">
            <w:pPr>
              <w:spacing w:before="0" w:after="0" w:line="240" w:lineRule="auto"/>
              <w:ind w:firstLineChars="100" w:firstLine="160"/>
              <w:rPr>
                <w:rFonts w:ascii="Arial" w:hAnsi="Arial" w:cs="Arial"/>
                <w:color w:val="000000"/>
                <w:sz w:val="16"/>
                <w:szCs w:val="16"/>
              </w:rPr>
            </w:pPr>
            <w:r w:rsidRPr="009B1522">
              <w:rPr>
                <w:rFonts w:ascii="Arial" w:hAnsi="Arial" w:cs="Arial"/>
                <w:sz w:val="16"/>
                <w:szCs w:val="16"/>
              </w:rPr>
              <w:t>MYEFO</w:t>
            </w:r>
          </w:p>
        </w:tc>
        <w:tc>
          <w:tcPr>
            <w:tcW w:w="396" w:type="pct"/>
            <w:tcBorders>
              <w:top w:val="nil"/>
              <w:left w:val="nil"/>
              <w:bottom w:val="nil"/>
              <w:right w:val="nil"/>
            </w:tcBorders>
            <w:shd w:val="clear" w:color="000000" w:fill="E6F2FF"/>
            <w:noWrap/>
            <w:vAlign w:val="center"/>
            <w:hideMark/>
          </w:tcPr>
          <w:p w14:paraId="3A3F120F"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sz w:val="16"/>
                <w:szCs w:val="16"/>
              </w:rPr>
              <w:t>993.0</w:t>
            </w:r>
          </w:p>
        </w:tc>
        <w:tc>
          <w:tcPr>
            <w:tcW w:w="398" w:type="pct"/>
            <w:tcBorders>
              <w:top w:val="nil"/>
              <w:left w:val="nil"/>
              <w:bottom w:val="nil"/>
              <w:right w:val="nil"/>
            </w:tcBorders>
            <w:shd w:val="clear" w:color="000000" w:fill="E6F2FF"/>
            <w:noWrap/>
            <w:vAlign w:val="center"/>
            <w:hideMark/>
          </w:tcPr>
          <w:p w14:paraId="20A4962E"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sz w:val="16"/>
                <w:szCs w:val="16"/>
              </w:rPr>
              <w:t>34.0</w:t>
            </w:r>
          </w:p>
        </w:tc>
        <w:tc>
          <w:tcPr>
            <w:tcW w:w="398" w:type="pct"/>
            <w:tcBorders>
              <w:top w:val="nil"/>
              <w:left w:val="nil"/>
              <w:bottom w:val="nil"/>
              <w:right w:val="nil"/>
            </w:tcBorders>
            <w:shd w:val="clear" w:color="000000" w:fill="FFFFFF"/>
            <w:noWrap/>
            <w:vAlign w:val="center"/>
            <w:hideMark/>
          </w:tcPr>
          <w:p w14:paraId="6522162F"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1,069.0</w:t>
            </w:r>
          </w:p>
        </w:tc>
        <w:tc>
          <w:tcPr>
            <w:tcW w:w="398" w:type="pct"/>
            <w:tcBorders>
              <w:top w:val="nil"/>
              <w:left w:val="nil"/>
              <w:bottom w:val="nil"/>
              <w:right w:val="nil"/>
            </w:tcBorders>
            <w:shd w:val="clear" w:color="000000" w:fill="FFFFFF"/>
            <w:noWrap/>
            <w:vAlign w:val="center"/>
            <w:hideMark/>
          </w:tcPr>
          <w:p w14:paraId="67BA011B"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35.4</w:t>
            </w:r>
          </w:p>
        </w:tc>
        <w:tc>
          <w:tcPr>
            <w:tcW w:w="398" w:type="pct"/>
            <w:tcBorders>
              <w:top w:val="nil"/>
              <w:left w:val="nil"/>
              <w:bottom w:val="nil"/>
              <w:right w:val="nil"/>
            </w:tcBorders>
            <w:shd w:val="clear" w:color="000000" w:fill="FFFFFF"/>
            <w:noWrap/>
            <w:vAlign w:val="center"/>
            <w:hideMark/>
          </w:tcPr>
          <w:p w14:paraId="65C9688F"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1,142.0</w:t>
            </w:r>
          </w:p>
        </w:tc>
        <w:tc>
          <w:tcPr>
            <w:tcW w:w="398" w:type="pct"/>
            <w:tcBorders>
              <w:top w:val="nil"/>
              <w:left w:val="nil"/>
              <w:bottom w:val="nil"/>
              <w:right w:val="nil"/>
            </w:tcBorders>
            <w:shd w:val="clear" w:color="000000" w:fill="FFFFFF"/>
            <w:noWrap/>
            <w:vAlign w:val="center"/>
            <w:hideMark/>
          </w:tcPr>
          <w:p w14:paraId="7ABD2A89"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36.1</w:t>
            </w:r>
          </w:p>
        </w:tc>
        <w:tc>
          <w:tcPr>
            <w:tcW w:w="398" w:type="pct"/>
            <w:tcBorders>
              <w:top w:val="nil"/>
              <w:left w:val="nil"/>
              <w:bottom w:val="nil"/>
              <w:right w:val="nil"/>
            </w:tcBorders>
            <w:shd w:val="clear" w:color="000000" w:fill="FFFFFF"/>
            <w:noWrap/>
            <w:vAlign w:val="center"/>
            <w:hideMark/>
          </w:tcPr>
          <w:p w14:paraId="4615BBE3"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1,213.0</w:t>
            </w:r>
          </w:p>
        </w:tc>
        <w:tc>
          <w:tcPr>
            <w:tcW w:w="398" w:type="pct"/>
            <w:tcBorders>
              <w:top w:val="nil"/>
              <w:left w:val="nil"/>
              <w:bottom w:val="nil"/>
              <w:right w:val="nil"/>
            </w:tcBorders>
            <w:shd w:val="clear" w:color="000000" w:fill="FFFFFF"/>
            <w:noWrap/>
            <w:vAlign w:val="center"/>
            <w:hideMark/>
          </w:tcPr>
          <w:p w14:paraId="4AD5BF84"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36.4</w:t>
            </w:r>
          </w:p>
        </w:tc>
        <w:tc>
          <w:tcPr>
            <w:tcW w:w="47" w:type="pct"/>
            <w:tcBorders>
              <w:top w:val="nil"/>
              <w:left w:val="nil"/>
              <w:bottom w:val="nil"/>
              <w:right w:val="nil"/>
            </w:tcBorders>
            <w:shd w:val="clear" w:color="000000" w:fill="FFFFFF"/>
            <w:noWrap/>
            <w:vAlign w:val="center"/>
            <w:hideMark/>
          </w:tcPr>
          <w:p w14:paraId="052112CF" w14:textId="77777777" w:rsidR="00E47796" w:rsidRPr="009B1522" w:rsidRDefault="00E47796" w:rsidP="00E47796">
            <w:pPr>
              <w:spacing w:before="0" w:after="0" w:line="240" w:lineRule="auto"/>
              <w:jc w:val="right"/>
              <w:rPr>
                <w:rFonts w:ascii="Arial" w:hAnsi="Arial" w:cs="Arial"/>
                <w:b/>
                <w:bCs/>
                <w:sz w:val="16"/>
                <w:szCs w:val="16"/>
              </w:rPr>
            </w:pPr>
            <w:r w:rsidRPr="009B1522">
              <w:rPr>
                <w:rFonts w:ascii="Arial" w:hAnsi="Arial" w:cs="Arial"/>
                <w:b/>
                <w:bCs/>
                <w:sz w:val="16"/>
                <w:szCs w:val="16"/>
              </w:rPr>
              <w:t> </w:t>
            </w:r>
          </w:p>
        </w:tc>
        <w:tc>
          <w:tcPr>
            <w:tcW w:w="532" w:type="pct"/>
            <w:tcBorders>
              <w:top w:val="nil"/>
              <w:left w:val="nil"/>
              <w:bottom w:val="nil"/>
              <w:right w:val="nil"/>
            </w:tcBorders>
            <w:noWrap/>
            <w:vAlign w:val="center"/>
            <w:hideMark/>
          </w:tcPr>
          <w:p w14:paraId="60DB393B"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33.0</w:t>
            </w:r>
          </w:p>
        </w:tc>
      </w:tr>
      <w:tr w:rsidR="003661E9" w:rsidRPr="009B1522" w14:paraId="49B927D7"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1BA0817C" w14:textId="77777777" w:rsidR="00E47796" w:rsidRPr="009B1522" w:rsidRDefault="00E47796" w:rsidP="00E47796">
            <w:pPr>
              <w:spacing w:before="0" w:after="0" w:line="240" w:lineRule="auto"/>
              <w:ind w:firstLineChars="100" w:firstLine="160"/>
              <w:rPr>
                <w:rFonts w:ascii="Arial" w:hAnsi="Arial" w:cs="Arial"/>
                <w:i/>
                <w:color w:val="000000"/>
                <w:sz w:val="16"/>
                <w:szCs w:val="16"/>
              </w:rPr>
            </w:pPr>
            <w:r w:rsidRPr="009B1522">
              <w:rPr>
                <w:rFonts w:ascii="Arial" w:hAnsi="Arial" w:cs="Arial"/>
                <w:i/>
                <w:sz w:val="16"/>
                <w:szCs w:val="16"/>
              </w:rPr>
              <w:t>PEFO</w:t>
            </w:r>
          </w:p>
        </w:tc>
        <w:tc>
          <w:tcPr>
            <w:tcW w:w="396" w:type="pct"/>
            <w:tcBorders>
              <w:top w:val="nil"/>
              <w:left w:val="nil"/>
              <w:bottom w:val="nil"/>
              <w:right w:val="nil"/>
            </w:tcBorders>
            <w:shd w:val="clear" w:color="000000" w:fill="E6F2FF"/>
            <w:noWrap/>
            <w:vAlign w:val="center"/>
            <w:hideMark/>
          </w:tcPr>
          <w:p w14:paraId="7794376D" w14:textId="77777777" w:rsidR="00E47796" w:rsidRPr="009B1522" w:rsidRDefault="00E47796" w:rsidP="00E47796">
            <w:pPr>
              <w:spacing w:before="0" w:after="0" w:line="240" w:lineRule="auto"/>
              <w:jc w:val="right"/>
              <w:rPr>
                <w:rFonts w:ascii="Arial" w:hAnsi="Arial" w:cs="Arial"/>
                <w:i/>
                <w:color w:val="000000"/>
                <w:sz w:val="16"/>
                <w:szCs w:val="16"/>
              </w:rPr>
            </w:pPr>
            <w:r w:rsidRPr="009B1522">
              <w:rPr>
                <w:rFonts w:ascii="Arial" w:hAnsi="Arial" w:cs="Arial"/>
                <w:i/>
                <w:sz w:val="16"/>
                <w:szCs w:val="16"/>
              </w:rPr>
              <w:t>1,022.0</w:t>
            </w:r>
          </w:p>
        </w:tc>
        <w:tc>
          <w:tcPr>
            <w:tcW w:w="398" w:type="pct"/>
            <w:tcBorders>
              <w:top w:val="nil"/>
              <w:left w:val="nil"/>
              <w:bottom w:val="nil"/>
              <w:right w:val="nil"/>
            </w:tcBorders>
            <w:shd w:val="clear" w:color="000000" w:fill="E6F2FF"/>
            <w:noWrap/>
            <w:vAlign w:val="center"/>
            <w:hideMark/>
          </w:tcPr>
          <w:p w14:paraId="0C1F5872" w14:textId="77777777" w:rsidR="00E47796" w:rsidRPr="009B1522" w:rsidRDefault="00E47796" w:rsidP="00E47796">
            <w:pPr>
              <w:spacing w:before="0" w:after="0" w:line="240" w:lineRule="auto"/>
              <w:jc w:val="right"/>
              <w:rPr>
                <w:rFonts w:ascii="Arial" w:hAnsi="Arial" w:cs="Arial"/>
                <w:i/>
                <w:color w:val="000000"/>
                <w:sz w:val="16"/>
                <w:szCs w:val="16"/>
              </w:rPr>
            </w:pPr>
            <w:r w:rsidRPr="009B1522">
              <w:rPr>
                <w:rFonts w:ascii="Arial" w:hAnsi="Arial" w:cs="Arial"/>
                <w:i/>
                <w:sz w:val="16"/>
                <w:szCs w:val="16"/>
              </w:rPr>
              <w:t>35.5</w:t>
            </w:r>
          </w:p>
        </w:tc>
        <w:tc>
          <w:tcPr>
            <w:tcW w:w="398" w:type="pct"/>
            <w:tcBorders>
              <w:top w:val="nil"/>
              <w:left w:val="nil"/>
              <w:bottom w:val="nil"/>
              <w:right w:val="nil"/>
            </w:tcBorders>
            <w:shd w:val="clear" w:color="000000" w:fill="FFFFFF"/>
            <w:noWrap/>
            <w:vAlign w:val="center"/>
            <w:hideMark/>
          </w:tcPr>
          <w:p w14:paraId="2990CD08"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1,092.0</w:t>
            </w:r>
          </w:p>
        </w:tc>
        <w:tc>
          <w:tcPr>
            <w:tcW w:w="398" w:type="pct"/>
            <w:tcBorders>
              <w:top w:val="nil"/>
              <w:left w:val="nil"/>
              <w:bottom w:val="nil"/>
              <w:right w:val="nil"/>
            </w:tcBorders>
            <w:shd w:val="clear" w:color="000000" w:fill="FFFFFF"/>
            <w:noWrap/>
            <w:vAlign w:val="center"/>
            <w:hideMark/>
          </w:tcPr>
          <w:p w14:paraId="3316678D"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36.5</w:t>
            </w:r>
          </w:p>
        </w:tc>
        <w:tc>
          <w:tcPr>
            <w:tcW w:w="398" w:type="pct"/>
            <w:tcBorders>
              <w:top w:val="nil"/>
              <w:left w:val="nil"/>
              <w:bottom w:val="nil"/>
              <w:right w:val="nil"/>
            </w:tcBorders>
            <w:shd w:val="clear" w:color="000000" w:fill="FFFFFF"/>
            <w:noWrap/>
            <w:vAlign w:val="center"/>
            <w:hideMark/>
          </w:tcPr>
          <w:p w14:paraId="7D8F562C"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1,161.0</w:t>
            </w:r>
          </w:p>
        </w:tc>
        <w:tc>
          <w:tcPr>
            <w:tcW w:w="398" w:type="pct"/>
            <w:tcBorders>
              <w:top w:val="nil"/>
              <w:left w:val="nil"/>
              <w:bottom w:val="nil"/>
              <w:right w:val="nil"/>
            </w:tcBorders>
            <w:shd w:val="clear" w:color="000000" w:fill="FFFFFF"/>
            <w:noWrap/>
            <w:vAlign w:val="center"/>
            <w:hideMark/>
          </w:tcPr>
          <w:p w14:paraId="7EE9E0E6"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36.9</w:t>
            </w:r>
          </w:p>
        </w:tc>
        <w:tc>
          <w:tcPr>
            <w:tcW w:w="398" w:type="pct"/>
            <w:tcBorders>
              <w:top w:val="nil"/>
              <w:left w:val="nil"/>
              <w:bottom w:val="nil"/>
              <w:right w:val="nil"/>
            </w:tcBorders>
            <w:shd w:val="clear" w:color="000000" w:fill="FFFFFF"/>
            <w:noWrap/>
            <w:vAlign w:val="center"/>
            <w:hideMark/>
          </w:tcPr>
          <w:p w14:paraId="6D65CEC3"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1,223.0</w:t>
            </w:r>
          </w:p>
        </w:tc>
        <w:tc>
          <w:tcPr>
            <w:tcW w:w="398" w:type="pct"/>
            <w:tcBorders>
              <w:top w:val="nil"/>
              <w:left w:val="nil"/>
              <w:bottom w:val="nil"/>
              <w:right w:val="nil"/>
            </w:tcBorders>
            <w:shd w:val="clear" w:color="000000" w:fill="FFFFFF"/>
            <w:noWrap/>
            <w:vAlign w:val="center"/>
            <w:hideMark/>
          </w:tcPr>
          <w:p w14:paraId="75BA0EBD"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36.8</w:t>
            </w:r>
          </w:p>
        </w:tc>
        <w:tc>
          <w:tcPr>
            <w:tcW w:w="47" w:type="pct"/>
            <w:tcBorders>
              <w:top w:val="nil"/>
              <w:left w:val="nil"/>
              <w:bottom w:val="nil"/>
              <w:right w:val="nil"/>
            </w:tcBorders>
            <w:shd w:val="clear" w:color="000000" w:fill="FFFFFF"/>
            <w:noWrap/>
            <w:vAlign w:val="center"/>
            <w:hideMark/>
          </w:tcPr>
          <w:p w14:paraId="7DD46B42" w14:textId="77777777" w:rsidR="00E47796" w:rsidRPr="009B1522" w:rsidRDefault="00E47796" w:rsidP="00E47796">
            <w:pPr>
              <w:spacing w:before="0" w:after="0" w:line="240" w:lineRule="auto"/>
              <w:jc w:val="right"/>
              <w:rPr>
                <w:rFonts w:ascii="Arial" w:hAnsi="Arial" w:cs="Arial"/>
                <w:b/>
                <w:bCs/>
                <w:i/>
                <w:iCs/>
                <w:sz w:val="16"/>
                <w:szCs w:val="16"/>
              </w:rPr>
            </w:pPr>
            <w:r w:rsidRPr="009B1522">
              <w:rPr>
                <w:rFonts w:ascii="Arial" w:hAnsi="Arial" w:cs="Arial"/>
                <w:b/>
                <w:bCs/>
                <w:i/>
                <w:iCs/>
                <w:sz w:val="16"/>
                <w:szCs w:val="16"/>
              </w:rPr>
              <w:t> </w:t>
            </w:r>
          </w:p>
        </w:tc>
        <w:tc>
          <w:tcPr>
            <w:tcW w:w="532" w:type="pct"/>
            <w:tcBorders>
              <w:top w:val="nil"/>
              <w:left w:val="nil"/>
              <w:bottom w:val="nil"/>
              <w:right w:val="nil"/>
            </w:tcBorders>
            <w:noWrap/>
            <w:vAlign w:val="center"/>
            <w:hideMark/>
          </w:tcPr>
          <w:p w14:paraId="5923B3E4"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31.9</w:t>
            </w:r>
          </w:p>
        </w:tc>
      </w:tr>
      <w:tr w:rsidR="003661E9" w:rsidRPr="009B1522" w14:paraId="48AA9B36"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5F3A402A" w14:textId="77777777" w:rsidR="00E47796" w:rsidRPr="009B1522" w:rsidRDefault="00E47796" w:rsidP="00E47796">
            <w:pPr>
              <w:spacing w:before="0" w:after="0" w:line="240" w:lineRule="auto"/>
              <w:ind w:firstLineChars="100" w:firstLine="160"/>
              <w:rPr>
                <w:rFonts w:ascii="Arial" w:hAnsi="Arial" w:cs="Arial"/>
                <w:i/>
                <w:color w:val="000000"/>
                <w:sz w:val="16"/>
                <w:szCs w:val="16"/>
              </w:rPr>
            </w:pPr>
            <w:r w:rsidRPr="009B1522">
              <w:rPr>
                <w:rFonts w:ascii="Arial" w:hAnsi="Arial" w:cs="Arial"/>
                <w:i/>
                <w:sz w:val="16"/>
                <w:szCs w:val="16"/>
              </w:rPr>
              <w:t>Budget</w:t>
            </w:r>
          </w:p>
        </w:tc>
        <w:tc>
          <w:tcPr>
            <w:tcW w:w="396" w:type="pct"/>
            <w:tcBorders>
              <w:top w:val="nil"/>
              <w:left w:val="nil"/>
              <w:bottom w:val="nil"/>
              <w:right w:val="nil"/>
            </w:tcBorders>
            <w:shd w:val="clear" w:color="000000" w:fill="E6F2FF"/>
            <w:noWrap/>
            <w:vAlign w:val="center"/>
            <w:hideMark/>
          </w:tcPr>
          <w:p w14:paraId="58BC7C06" w14:textId="77777777" w:rsidR="00E47796" w:rsidRPr="009B1522" w:rsidRDefault="00E47796" w:rsidP="00E47796">
            <w:pPr>
              <w:spacing w:before="0" w:after="0" w:line="240" w:lineRule="auto"/>
              <w:jc w:val="right"/>
              <w:rPr>
                <w:rFonts w:ascii="Arial" w:hAnsi="Arial" w:cs="Arial"/>
                <w:i/>
                <w:color w:val="000000"/>
                <w:sz w:val="16"/>
                <w:szCs w:val="16"/>
              </w:rPr>
            </w:pPr>
            <w:r w:rsidRPr="009B1522">
              <w:rPr>
                <w:rFonts w:ascii="Arial" w:hAnsi="Arial" w:cs="Arial"/>
                <w:i/>
                <w:sz w:val="16"/>
                <w:szCs w:val="16"/>
              </w:rPr>
              <w:t>1,022.0</w:t>
            </w:r>
          </w:p>
        </w:tc>
        <w:tc>
          <w:tcPr>
            <w:tcW w:w="398" w:type="pct"/>
            <w:tcBorders>
              <w:top w:val="nil"/>
              <w:left w:val="nil"/>
              <w:bottom w:val="nil"/>
              <w:right w:val="nil"/>
            </w:tcBorders>
            <w:shd w:val="clear" w:color="000000" w:fill="E6F2FF"/>
            <w:noWrap/>
            <w:vAlign w:val="center"/>
            <w:hideMark/>
          </w:tcPr>
          <w:p w14:paraId="51EEDA2E" w14:textId="77777777" w:rsidR="00E47796" w:rsidRPr="009B1522" w:rsidRDefault="00E47796" w:rsidP="00E47796">
            <w:pPr>
              <w:spacing w:before="0" w:after="0" w:line="240" w:lineRule="auto"/>
              <w:jc w:val="right"/>
              <w:rPr>
                <w:rFonts w:ascii="Arial" w:hAnsi="Arial" w:cs="Arial"/>
                <w:i/>
                <w:color w:val="000000"/>
                <w:sz w:val="16"/>
                <w:szCs w:val="16"/>
              </w:rPr>
            </w:pPr>
            <w:r w:rsidRPr="009B1522">
              <w:rPr>
                <w:rFonts w:ascii="Arial" w:hAnsi="Arial" w:cs="Arial"/>
                <w:i/>
                <w:sz w:val="16"/>
                <w:szCs w:val="16"/>
              </w:rPr>
              <w:t>35.5</w:t>
            </w:r>
          </w:p>
        </w:tc>
        <w:tc>
          <w:tcPr>
            <w:tcW w:w="398" w:type="pct"/>
            <w:tcBorders>
              <w:top w:val="nil"/>
              <w:left w:val="nil"/>
              <w:bottom w:val="nil"/>
              <w:right w:val="nil"/>
            </w:tcBorders>
            <w:shd w:val="clear" w:color="000000" w:fill="FFFFFF"/>
            <w:noWrap/>
            <w:vAlign w:val="center"/>
            <w:hideMark/>
          </w:tcPr>
          <w:p w14:paraId="5334F50B"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1,092.0</w:t>
            </w:r>
          </w:p>
        </w:tc>
        <w:tc>
          <w:tcPr>
            <w:tcW w:w="398" w:type="pct"/>
            <w:tcBorders>
              <w:top w:val="nil"/>
              <w:left w:val="nil"/>
              <w:bottom w:val="nil"/>
              <w:right w:val="nil"/>
            </w:tcBorders>
            <w:shd w:val="clear" w:color="000000" w:fill="FFFFFF"/>
            <w:noWrap/>
            <w:vAlign w:val="center"/>
            <w:hideMark/>
          </w:tcPr>
          <w:p w14:paraId="31A99B23"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36.5</w:t>
            </w:r>
          </w:p>
        </w:tc>
        <w:tc>
          <w:tcPr>
            <w:tcW w:w="398" w:type="pct"/>
            <w:tcBorders>
              <w:top w:val="nil"/>
              <w:left w:val="nil"/>
              <w:bottom w:val="nil"/>
              <w:right w:val="nil"/>
            </w:tcBorders>
            <w:shd w:val="clear" w:color="000000" w:fill="FFFFFF"/>
            <w:noWrap/>
            <w:vAlign w:val="center"/>
            <w:hideMark/>
          </w:tcPr>
          <w:p w14:paraId="52B15605"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1,161.0</w:t>
            </w:r>
          </w:p>
        </w:tc>
        <w:tc>
          <w:tcPr>
            <w:tcW w:w="398" w:type="pct"/>
            <w:tcBorders>
              <w:top w:val="nil"/>
              <w:left w:val="nil"/>
              <w:bottom w:val="nil"/>
              <w:right w:val="nil"/>
            </w:tcBorders>
            <w:shd w:val="clear" w:color="000000" w:fill="FFFFFF"/>
            <w:noWrap/>
            <w:vAlign w:val="center"/>
            <w:hideMark/>
          </w:tcPr>
          <w:p w14:paraId="783DE284"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36.9</w:t>
            </w:r>
          </w:p>
        </w:tc>
        <w:tc>
          <w:tcPr>
            <w:tcW w:w="398" w:type="pct"/>
            <w:tcBorders>
              <w:top w:val="nil"/>
              <w:left w:val="nil"/>
              <w:bottom w:val="nil"/>
              <w:right w:val="nil"/>
            </w:tcBorders>
            <w:shd w:val="clear" w:color="000000" w:fill="FFFFFF"/>
            <w:noWrap/>
            <w:vAlign w:val="center"/>
            <w:hideMark/>
          </w:tcPr>
          <w:p w14:paraId="7927E6F3"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1,223.0</w:t>
            </w:r>
          </w:p>
        </w:tc>
        <w:tc>
          <w:tcPr>
            <w:tcW w:w="398" w:type="pct"/>
            <w:tcBorders>
              <w:top w:val="nil"/>
              <w:left w:val="nil"/>
              <w:bottom w:val="nil"/>
              <w:right w:val="nil"/>
            </w:tcBorders>
            <w:shd w:val="clear" w:color="000000" w:fill="FFFFFF"/>
            <w:noWrap/>
            <w:vAlign w:val="center"/>
            <w:hideMark/>
          </w:tcPr>
          <w:p w14:paraId="0AD3E201"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36.8</w:t>
            </w:r>
          </w:p>
        </w:tc>
        <w:tc>
          <w:tcPr>
            <w:tcW w:w="47" w:type="pct"/>
            <w:tcBorders>
              <w:top w:val="nil"/>
              <w:left w:val="nil"/>
              <w:bottom w:val="nil"/>
              <w:right w:val="nil"/>
            </w:tcBorders>
            <w:shd w:val="clear" w:color="000000" w:fill="FFFFFF"/>
            <w:noWrap/>
            <w:vAlign w:val="center"/>
            <w:hideMark/>
          </w:tcPr>
          <w:p w14:paraId="7D91FF3A" w14:textId="77777777" w:rsidR="00E47796" w:rsidRPr="009B1522" w:rsidRDefault="00E47796" w:rsidP="00E47796">
            <w:pPr>
              <w:spacing w:before="0" w:after="0" w:line="240" w:lineRule="auto"/>
              <w:jc w:val="right"/>
              <w:rPr>
                <w:rFonts w:ascii="Arial" w:hAnsi="Arial" w:cs="Arial"/>
                <w:i/>
                <w:iCs/>
                <w:sz w:val="16"/>
                <w:szCs w:val="16"/>
              </w:rPr>
            </w:pPr>
            <w:r w:rsidRPr="009B1522">
              <w:rPr>
                <w:rFonts w:ascii="Arial" w:hAnsi="Arial" w:cs="Arial"/>
                <w:i/>
                <w:iCs/>
                <w:sz w:val="16"/>
                <w:szCs w:val="16"/>
              </w:rPr>
              <w:t> </w:t>
            </w:r>
          </w:p>
        </w:tc>
        <w:tc>
          <w:tcPr>
            <w:tcW w:w="532" w:type="pct"/>
            <w:tcBorders>
              <w:top w:val="nil"/>
              <w:left w:val="nil"/>
              <w:bottom w:val="nil"/>
              <w:right w:val="nil"/>
            </w:tcBorders>
            <w:noWrap/>
            <w:vAlign w:val="center"/>
            <w:hideMark/>
          </w:tcPr>
          <w:p w14:paraId="64F93D1E"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31.9</w:t>
            </w:r>
          </w:p>
        </w:tc>
      </w:tr>
      <w:tr w:rsidR="007C6C9D" w:rsidRPr="009B1522" w14:paraId="7E90C2A5" w14:textId="77777777" w:rsidTr="0053154B">
        <w:trPr>
          <w:trHeight w:hRule="exact" w:val="60"/>
        </w:trPr>
        <w:tc>
          <w:tcPr>
            <w:tcW w:w="1241" w:type="pct"/>
            <w:tcBorders>
              <w:top w:val="nil"/>
              <w:left w:val="nil"/>
              <w:bottom w:val="nil"/>
              <w:right w:val="nil"/>
            </w:tcBorders>
            <w:shd w:val="clear" w:color="000000" w:fill="FFFFFF"/>
            <w:noWrap/>
            <w:vAlign w:val="center"/>
            <w:hideMark/>
          </w:tcPr>
          <w:p w14:paraId="5411555C" w14:textId="77777777" w:rsidR="00E47796" w:rsidRPr="009B1522" w:rsidRDefault="00E47796" w:rsidP="00E47796">
            <w:pPr>
              <w:spacing w:before="0" w:after="0" w:line="240" w:lineRule="auto"/>
              <w:rPr>
                <w:rFonts w:ascii="Arial" w:hAnsi="Arial" w:cs="Arial"/>
                <w:color w:val="000000"/>
                <w:sz w:val="16"/>
                <w:szCs w:val="16"/>
              </w:rPr>
            </w:pPr>
            <w:r w:rsidRPr="009B1522">
              <w:rPr>
                <w:rFonts w:ascii="Arial" w:hAnsi="Arial" w:cs="Arial"/>
                <w:color w:val="000000"/>
                <w:sz w:val="16"/>
                <w:szCs w:val="16"/>
              </w:rPr>
              <w:t> </w:t>
            </w:r>
          </w:p>
        </w:tc>
        <w:tc>
          <w:tcPr>
            <w:tcW w:w="396" w:type="pct"/>
            <w:tcBorders>
              <w:top w:val="nil"/>
              <w:left w:val="nil"/>
              <w:bottom w:val="nil"/>
              <w:right w:val="nil"/>
            </w:tcBorders>
            <w:shd w:val="clear" w:color="000000" w:fill="E6F2FF"/>
            <w:noWrap/>
            <w:vAlign w:val="center"/>
            <w:hideMark/>
          </w:tcPr>
          <w:p w14:paraId="38049618"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398" w:type="pct"/>
            <w:tcBorders>
              <w:top w:val="nil"/>
              <w:left w:val="nil"/>
              <w:bottom w:val="nil"/>
              <w:right w:val="nil"/>
            </w:tcBorders>
            <w:shd w:val="clear" w:color="000000" w:fill="E6F2FF"/>
            <w:noWrap/>
            <w:vAlign w:val="center"/>
            <w:hideMark/>
          </w:tcPr>
          <w:p w14:paraId="22FEF13C"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398" w:type="pct"/>
            <w:tcBorders>
              <w:top w:val="nil"/>
              <w:left w:val="nil"/>
              <w:bottom w:val="nil"/>
              <w:right w:val="nil"/>
            </w:tcBorders>
            <w:shd w:val="clear" w:color="000000" w:fill="FFFFFF"/>
            <w:noWrap/>
            <w:vAlign w:val="center"/>
            <w:hideMark/>
          </w:tcPr>
          <w:p w14:paraId="29794E75"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398" w:type="pct"/>
            <w:tcBorders>
              <w:top w:val="nil"/>
              <w:left w:val="nil"/>
              <w:bottom w:val="nil"/>
              <w:right w:val="nil"/>
            </w:tcBorders>
            <w:shd w:val="clear" w:color="000000" w:fill="FFFFFF"/>
            <w:noWrap/>
            <w:vAlign w:val="center"/>
            <w:hideMark/>
          </w:tcPr>
          <w:p w14:paraId="2DC3B92B"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398" w:type="pct"/>
            <w:tcBorders>
              <w:top w:val="nil"/>
              <w:left w:val="nil"/>
              <w:bottom w:val="nil"/>
              <w:right w:val="nil"/>
            </w:tcBorders>
            <w:shd w:val="clear" w:color="000000" w:fill="FFFFFF"/>
            <w:noWrap/>
            <w:vAlign w:val="center"/>
            <w:hideMark/>
          </w:tcPr>
          <w:p w14:paraId="48A37838"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398" w:type="pct"/>
            <w:tcBorders>
              <w:top w:val="nil"/>
              <w:left w:val="nil"/>
              <w:bottom w:val="nil"/>
              <w:right w:val="nil"/>
            </w:tcBorders>
            <w:shd w:val="clear" w:color="000000" w:fill="FFFFFF"/>
            <w:noWrap/>
            <w:vAlign w:val="center"/>
            <w:hideMark/>
          </w:tcPr>
          <w:p w14:paraId="4247CEC4"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398" w:type="pct"/>
            <w:tcBorders>
              <w:top w:val="nil"/>
              <w:left w:val="nil"/>
              <w:bottom w:val="nil"/>
              <w:right w:val="nil"/>
            </w:tcBorders>
            <w:shd w:val="clear" w:color="000000" w:fill="FFFFFF"/>
            <w:noWrap/>
            <w:vAlign w:val="center"/>
            <w:hideMark/>
          </w:tcPr>
          <w:p w14:paraId="57D4078C"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398" w:type="pct"/>
            <w:tcBorders>
              <w:top w:val="nil"/>
              <w:left w:val="nil"/>
              <w:bottom w:val="nil"/>
              <w:right w:val="nil"/>
            </w:tcBorders>
            <w:shd w:val="clear" w:color="000000" w:fill="FFFFFF"/>
            <w:noWrap/>
            <w:vAlign w:val="center"/>
            <w:hideMark/>
          </w:tcPr>
          <w:p w14:paraId="7C327799"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47" w:type="pct"/>
            <w:tcBorders>
              <w:top w:val="nil"/>
              <w:left w:val="nil"/>
              <w:bottom w:val="nil"/>
              <w:right w:val="nil"/>
            </w:tcBorders>
            <w:shd w:val="clear" w:color="000000" w:fill="FFFFFF"/>
            <w:noWrap/>
            <w:vAlign w:val="center"/>
            <w:hideMark/>
          </w:tcPr>
          <w:p w14:paraId="37231E72" w14:textId="77777777" w:rsidR="00E47796" w:rsidRPr="009B1522" w:rsidRDefault="00E47796" w:rsidP="00E47796">
            <w:pPr>
              <w:spacing w:before="0" w:after="0" w:line="240" w:lineRule="auto"/>
              <w:jc w:val="right"/>
              <w:rPr>
                <w:rFonts w:ascii="Arial" w:hAnsi="Arial" w:cs="Arial"/>
                <w:color w:val="000000"/>
                <w:sz w:val="16"/>
                <w:szCs w:val="16"/>
              </w:rPr>
            </w:pPr>
            <w:r w:rsidRPr="009B1522">
              <w:rPr>
                <w:rFonts w:ascii="Arial" w:hAnsi="Arial" w:cs="Arial"/>
                <w:color w:val="000000"/>
                <w:sz w:val="16"/>
                <w:szCs w:val="16"/>
              </w:rPr>
              <w:t> </w:t>
            </w:r>
          </w:p>
        </w:tc>
        <w:tc>
          <w:tcPr>
            <w:tcW w:w="532" w:type="pct"/>
            <w:tcBorders>
              <w:top w:val="nil"/>
              <w:left w:val="nil"/>
              <w:bottom w:val="nil"/>
              <w:right w:val="nil"/>
            </w:tcBorders>
            <w:noWrap/>
            <w:vAlign w:val="center"/>
            <w:hideMark/>
          </w:tcPr>
          <w:p w14:paraId="5953CA9D"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r>
      <w:tr w:rsidR="003661E9" w:rsidRPr="009B1522" w14:paraId="39B70C57"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12883D70" w14:textId="77777777" w:rsidR="00E47796" w:rsidRPr="009B1522" w:rsidRDefault="00E47796" w:rsidP="00E47796">
            <w:pPr>
              <w:spacing w:before="0" w:after="0" w:line="240" w:lineRule="auto"/>
              <w:rPr>
                <w:rFonts w:ascii="Arial" w:hAnsi="Arial" w:cs="Arial"/>
                <w:b/>
                <w:color w:val="FFFF00"/>
                <w:sz w:val="16"/>
                <w:szCs w:val="16"/>
              </w:rPr>
            </w:pPr>
            <w:r w:rsidRPr="009B1522">
              <w:rPr>
                <w:rFonts w:ascii="Arial" w:hAnsi="Arial" w:cs="Arial"/>
                <w:b/>
                <w:sz w:val="16"/>
                <w:szCs w:val="16"/>
              </w:rPr>
              <w:t>Net debt(c)</w:t>
            </w:r>
          </w:p>
        </w:tc>
        <w:tc>
          <w:tcPr>
            <w:tcW w:w="396" w:type="pct"/>
            <w:tcBorders>
              <w:top w:val="nil"/>
              <w:left w:val="nil"/>
              <w:bottom w:val="nil"/>
              <w:right w:val="nil"/>
            </w:tcBorders>
            <w:shd w:val="clear" w:color="000000" w:fill="E6F2FF"/>
            <w:noWrap/>
            <w:vAlign w:val="center"/>
            <w:hideMark/>
          </w:tcPr>
          <w:p w14:paraId="0FA9B128"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E6F2FF"/>
            <w:noWrap/>
            <w:vAlign w:val="center"/>
            <w:hideMark/>
          </w:tcPr>
          <w:p w14:paraId="7BFDF93C"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594F6B5B"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56D665F0"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7A1186E5"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0D70EFD0"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40ACB257"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3C427ACA"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47" w:type="pct"/>
            <w:tcBorders>
              <w:top w:val="nil"/>
              <w:left w:val="nil"/>
              <w:bottom w:val="nil"/>
              <w:right w:val="nil"/>
            </w:tcBorders>
            <w:shd w:val="clear" w:color="000000" w:fill="FFFFFF"/>
            <w:noWrap/>
            <w:vAlign w:val="center"/>
            <w:hideMark/>
          </w:tcPr>
          <w:p w14:paraId="5D6D6049"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532" w:type="pct"/>
            <w:tcBorders>
              <w:top w:val="nil"/>
              <w:left w:val="nil"/>
              <w:bottom w:val="nil"/>
              <w:right w:val="nil"/>
            </w:tcBorders>
            <w:noWrap/>
            <w:vAlign w:val="center"/>
            <w:hideMark/>
          </w:tcPr>
          <w:p w14:paraId="4813C69B"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r>
      <w:tr w:rsidR="003661E9" w:rsidRPr="009B1522" w14:paraId="5F3300CD"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3E612BE3" w14:textId="77777777" w:rsidR="00E47796" w:rsidRPr="009B1522" w:rsidRDefault="00E47796" w:rsidP="00E47796">
            <w:pPr>
              <w:spacing w:before="0" w:after="0" w:line="240" w:lineRule="auto"/>
              <w:ind w:firstLineChars="100" w:firstLine="160"/>
              <w:rPr>
                <w:rFonts w:ascii="Arial" w:hAnsi="Arial" w:cs="Arial"/>
                <w:color w:val="FFFF00"/>
                <w:sz w:val="16"/>
                <w:szCs w:val="16"/>
              </w:rPr>
            </w:pPr>
            <w:r w:rsidRPr="009B1522">
              <w:rPr>
                <w:rFonts w:ascii="Arial" w:hAnsi="Arial" w:cs="Arial"/>
                <w:sz w:val="16"/>
                <w:szCs w:val="16"/>
              </w:rPr>
              <w:t>MYEFO</w:t>
            </w:r>
          </w:p>
        </w:tc>
        <w:tc>
          <w:tcPr>
            <w:tcW w:w="396" w:type="pct"/>
            <w:tcBorders>
              <w:top w:val="nil"/>
              <w:left w:val="nil"/>
              <w:bottom w:val="nil"/>
              <w:right w:val="nil"/>
            </w:tcBorders>
            <w:shd w:val="clear" w:color="000000" w:fill="E6F2FF"/>
            <w:noWrap/>
            <w:vAlign w:val="center"/>
            <w:hideMark/>
          </w:tcPr>
          <w:p w14:paraId="30DD8BD7"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587.5</w:t>
            </w:r>
          </w:p>
        </w:tc>
        <w:tc>
          <w:tcPr>
            <w:tcW w:w="398" w:type="pct"/>
            <w:tcBorders>
              <w:top w:val="nil"/>
              <w:left w:val="nil"/>
              <w:bottom w:val="nil"/>
              <w:right w:val="nil"/>
            </w:tcBorders>
            <w:shd w:val="clear" w:color="000000" w:fill="E6F2FF"/>
            <w:noWrap/>
            <w:vAlign w:val="center"/>
            <w:hideMark/>
          </w:tcPr>
          <w:p w14:paraId="3E4A91EB"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20.1</w:t>
            </w:r>
          </w:p>
        </w:tc>
        <w:tc>
          <w:tcPr>
            <w:tcW w:w="398" w:type="pct"/>
            <w:tcBorders>
              <w:top w:val="nil"/>
              <w:left w:val="nil"/>
              <w:bottom w:val="nil"/>
              <w:right w:val="nil"/>
            </w:tcBorders>
            <w:shd w:val="clear" w:color="000000" w:fill="FFFFFF"/>
            <w:noWrap/>
            <w:vAlign w:val="center"/>
            <w:hideMark/>
          </w:tcPr>
          <w:p w14:paraId="4DCCC3E7"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646.9</w:t>
            </w:r>
          </w:p>
        </w:tc>
        <w:tc>
          <w:tcPr>
            <w:tcW w:w="398" w:type="pct"/>
            <w:tcBorders>
              <w:top w:val="nil"/>
              <w:left w:val="nil"/>
              <w:bottom w:val="nil"/>
              <w:right w:val="nil"/>
            </w:tcBorders>
            <w:shd w:val="clear" w:color="000000" w:fill="FFFFFF"/>
            <w:noWrap/>
            <w:vAlign w:val="center"/>
            <w:hideMark/>
          </w:tcPr>
          <w:p w14:paraId="43846576"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21.4</w:t>
            </w:r>
          </w:p>
        </w:tc>
        <w:tc>
          <w:tcPr>
            <w:tcW w:w="398" w:type="pct"/>
            <w:tcBorders>
              <w:top w:val="nil"/>
              <w:left w:val="nil"/>
              <w:bottom w:val="nil"/>
              <w:right w:val="nil"/>
            </w:tcBorders>
            <w:shd w:val="clear" w:color="000000" w:fill="FFFFFF"/>
            <w:noWrap/>
            <w:vAlign w:val="center"/>
            <w:hideMark/>
          </w:tcPr>
          <w:p w14:paraId="493532F6"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700.4</w:t>
            </w:r>
          </w:p>
        </w:tc>
        <w:tc>
          <w:tcPr>
            <w:tcW w:w="398" w:type="pct"/>
            <w:tcBorders>
              <w:top w:val="nil"/>
              <w:left w:val="nil"/>
              <w:bottom w:val="nil"/>
              <w:right w:val="nil"/>
            </w:tcBorders>
            <w:shd w:val="clear" w:color="000000" w:fill="FFFFFF"/>
            <w:noWrap/>
            <w:vAlign w:val="center"/>
            <w:hideMark/>
          </w:tcPr>
          <w:p w14:paraId="18F0F211"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22.2</w:t>
            </w:r>
          </w:p>
        </w:tc>
        <w:tc>
          <w:tcPr>
            <w:tcW w:w="398" w:type="pct"/>
            <w:tcBorders>
              <w:top w:val="nil"/>
              <w:left w:val="nil"/>
              <w:bottom w:val="nil"/>
              <w:right w:val="nil"/>
            </w:tcBorders>
            <w:shd w:val="clear" w:color="000000" w:fill="FFFFFF"/>
            <w:noWrap/>
            <w:vAlign w:val="center"/>
            <w:hideMark/>
          </w:tcPr>
          <w:p w14:paraId="6E8342D3"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754.8</w:t>
            </w:r>
          </w:p>
        </w:tc>
        <w:tc>
          <w:tcPr>
            <w:tcW w:w="398" w:type="pct"/>
            <w:tcBorders>
              <w:top w:val="nil"/>
              <w:left w:val="nil"/>
              <w:bottom w:val="nil"/>
              <w:right w:val="nil"/>
            </w:tcBorders>
            <w:shd w:val="clear" w:color="000000" w:fill="FFFFFF"/>
            <w:noWrap/>
            <w:vAlign w:val="center"/>
            <w:hideMark/>
          </w:tcPr>
          <w:p w14:paraId="3CA791E3"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22.6</w:t>
            </w:r>
          </w:p>
        </w:tc>
        <w:tc>
          <w:tcPr>
            <w:tcW w:w="47" w:type="pct"/>
            <w:tcBorders>
              <w:top w:val="nil"/>
              <w:left w:val="nil"/>
              <w:bottom w:val="nil"/>
              <w:right w:val="nil"/>
            </w:tcBorders>
            <w:shd w:val="clear" w:color="000000" w:fill="FFFFFF"/>
            <w:noWrap/>
            <w:vAlign w:val="center"/>
            <w:hideMark/>
          </w:tcPr>
          <w:p w14:paraId="03948769"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532" w:type="pct"/>
            <w:tcBorders>
              <w:top w:val="nil"/>
              <w:left w:val="nil"/>
              <w:bottom w:val="nil"/>
              <w:right w:val="nil"/>
            </w:tcBorders>
            <w:noWrap/>
            <w:vAlign w:val="center"/>
            <w:hideMark/>
          </w:tcPr>
          <w:p w14:paraId="741B87BB"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20.3</w:t>
            </w:r>
          </w:p>
        </w:tc>
      </w:tr>
      <w:tr w:rsidR="003661E9" w:rsidRPr="009B1522" w14:paraId="7997A397"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42B299A8" w14:textId="77777777" w:rsidR="00E47796" w:rsidRPr="009B1522" w:rsidRDefault="00E47796" w:rsidP="00E47796">
            <w:pPr>
              <w:spacing w:before="0" w:after="0" w:line="240" w:lineRule="auto"/>
              <w:ind w:firstLineChars="100" w:firstLine="160"/>
              <w:rPr>
                <w:rFonts w:ascii="Arial" w:hAnsi="Arial" w:cs="Arial"/>
                <w:i/>
                <w:color w:val="FFFF00"/>
                <w:sz w:val="16"/>
                <w:szCs w:val="16"/>
              </w:rPr>
            </w:pPr>
            <w:r w:rsidRPr="009B1522">
              <w:rPr>
                <w:rFonts w:ascii="Arial" w:hAnsi="Arial" w:cs="Arial"/>
                <w:i/>
                <w:sz w:val="16"/>
                <w:szCs w:val="16"/>
              </w:rPr>
              <w:t>PEFO</w:t>
            </w:r>
          </w:p>
        </w:tc>
        <w:tc>
          <w:tcPr>
            <w:tcW w:w="396" w:type="pct"/>
            <w:tcBorders>
              <w:top w:val="nil"/>
              <w:left w:val="nil"/>
              <w:bottom w:val="nil"/>
              <w:right w:val="nil"/>
            </w:tcBorders>
            <w:shd w:val="clear" w:color="000000" w:fill="E6F2FF"/>
            <w:noWrap/>
            <w:vAlign w:val="center"/>
            <w:hideMark/>
          </w:tcPr>
          <w:p w14:paraId="58BD8C0F"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620.7</w:t>
            </w:r>
          </w:p>
        </w:tc>
        <w:tc>
          <w:tcPr>
            <w:tcW w:w="398" w:type="pct"/>
            <w:tcBorders>
              <w:top w:val="nil"/>
              <w:left w:val="nil"/>
              <w:bottom w:val="nil"/>
              <w:right w:val="nil"/>
            </w:tcBorders>
            <w:shd w:val="clear" w:color="000000" w:fill="E6F2FF"/>
            <w:noWrap/>
            <w:vAlign w:val="center"/>
            <w:hideMark/>
          </w:tcPr>
          <w:p w14:paraId="7AB306F8"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21.6</w:t>
            </w:r>
          </w:p>
        </w:tc>
        <w:tc>
          <w:tcPr>
            <w:tcW w:w="398" w:type="pct"/>
            <w:tcBorders>
              <w:top w:val="nil"/>
              <w:left w:val="nil"/>
              <w:bottom w:val="nil"/>
              <w:right w:val="nil"/>
            </w:tcBorders>
            <w:shd w:val="clear" w:color="000000" w:fill="FFFFFF"/>
            <w:noWrap/>
            <w:vAlign w:val="center"/>
            <w:hideMark/>
          </w:tcPr>
          <w:p w14:paraId="411F4B09"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676.3</w:t>
            </w:r>
          </w:p>
        </w:tc>
        <w:tc>
          <w:tcPr>
            <w:tcW w:w="398" w:type="pct"/>
            <w:tcBorders>
              <w:top w:val="nil"/>
              <w:left w:val="nil"/>
              <w:bottom w:val="nil"/>
              <w:right w:val="nil"/>
            </w:tcBorders>
            <w:shd w:val="clear" w:color="000000" w:fill="FFFFFF"/>
            <w:noWrap/>
            <w:vAlign w:val="center"/>
            <w:hideMark/>
          </w:tcPr>
          <w:p w14:paraId="688E6452"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22.6</w:t>
            </w:r>
          </w:p>
        </w:tc>
        <w:tc>
          <w:tcPr>
            <w:tcW w:w="398" w:type="pct"/>
            <w:tcBorders>
              <w:top w:val="nil"/>
              <w:left w:val="nil"/>
              <w:bottom w:val="nil"/>
              <w:right w:val="nil"/>
            </w:tcBorders>
            <w:shd w:val="clear" w:color="000000" w:fill="FFFFFF"/>
            <w:noWrap/>
            <w:vAlign w:val="center"/>
            <w:hideMark/>
          </w:tcPr>
          <w:p w14:paraId="39AB85A4"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713.9</w:t>
            </w:r>
          </w:p>
        </w:tc>
        <w:tc>
          <w:tcPr>
            <w:tcW w:w="398" w:type="pct"/>
            <w:tcBorders>
              <w:top w:val="nil"/>
              <w:left w:val="nil"/>
              <w:bottom w:val="nil"/>
              <w:right w:val="nil"/>
            </w:tcBorders>
            <w:shd w:val="clear" w:color="000000" w:fill="FFFFFF"/>
            <w:noWrap/>
            <w:vAlign w:val="center"/>
            <w:hideMark/>
          </w:tcPr>
          <w:p w14:paraId="0432B4FB"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22.7</w:t>
            </w:r>
          </w:p>
        </w:tc>
        <w:tc>
          <w:tcPr>
            <w:tcW w:w="398" w:type="pct"/>
            <w:tcBorders>
              <w:top w:val="nil"/>
              <w:left w:val="nil"/>
              <w:bottom w:val="nil"/>
              <w:right w:val="nil"/>
            </w:tcBorders>
            <w:shd w:val="clear" w:color="000000" w:fill="FFFFFF"/>
            <w:noWrap/>
            <w:vAlign w:val="center"/>
            <w:hideMark/>
          </w:tcPr>
          <w:p w14:paraId="2855B0D7"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768.2</w:t>
            </w:r>
          </w:p>
        </w:tc>
        <w:tc>
          <w:tcPr>
            <w:tcW w:w="398" w:type="pct"/>
            <w:tcBorders>
              <w:top w:val="nil"/>
              <w:left w:val="nil"/>
              <w:bottom w:val="nil"/>
              <w:right w:val="nil"/>
            </w:tcBorders>
            <w:shd w:val="clear" w:color="000000" w:fill="FFFFFF"/>
            <w:noWrap/>
            <w:vAlign w:val="center"/>
            <w:hideMark/>
          </w:tcPr>
          <w:p w14:paraId="7A6DEFA9"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23.1</w:t>
            </w:r>
          </w:p>
        </w:tc>
        <w:tc>
          <w:tcPr>
            <w:tcW w:w="47" w:type="pct"/>
            <w:tcBorders>
              <w:top w:val="nil"/>
              <w:left w:val="nil"/>
              <w:bottom w:val="nil"/>
              <w:right w:val="nil"/>
            </w:tcBorders>
            <w:shd w:val="clear" w:color="000000" w:fill="FFFFFF"/>
            <w:noWrap/>
            <w:vAlign w:val="center"/>
            <w:hideMark/>
          </w:tcPr>
          <w:p w14:paraId="66901224"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532" w:type="pct"/>
            <w:tcBorders>
              <w:top w:val="nil"/>
              <w:left w:val="nil"/>
              <w:bottom w:val="nil"/>
              <w:right w:val="nil"/>
            </w:tcBorders>
            <w:noWrap/>
            <w:vAlign w:val="center"/>
            <w:hideMark/>
          </w:tcPr>
          <w:p w14:paraId="4014D0B6"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20.2</w:t>
            </w:r>
          </w:p>
        </w:tc>
      </w:tr>
      <w:tr w:rsidR="003661E9" w:rsidRPr="009B1522" w14:paraId="6BFD46D2"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496BD104" w14:textId="77777777" w:rsidR="00E47796" w:rsidRPr="009B1522" w:rsidRDefault="00E47796" w:rsidP="00E47796">
            <w:pPr>
              <w:spacing w:before="0" w:after="0" w:line="240" w:lineRule="auto"/>
              <w:ind w:firstLineChars="100" w:firstLine="160"/>
              <w:rPr>
                <w:rFonts w:ascii="Arial" w:hAnsi="Arial" w:cs="Arial"/>
                <w:i/>
                <w:color w:val="FFFF00"/>
                <w:sz w:val="16"/>
                <w:szCs w:val="16"/>
              </w:rPr>
            </w:pPr>
            <w:r w:rsidRPr="009B1522">
              <w:rPr>
                <w:rFonts w:ascii="Arial" w:hAnsi="Arial" w:cs="Arial"/>
                <w:i/>
                <w:sz w:val="16"/>
                <w:szCs w:val="16"/>
              </w:rPr>
              <w:t>Budget</w:t>
            </w:r>
          </w:p>
        </w:tc>
        <w:tc>
          <w:tcPr>
            <w:tcW w:w="396" w:type="pct"/>
            <w:tcBorders>
              <w:top w:val="nil"/>
              <w:left w:val="nil"/>
              <w:bottom w:val="nil"/>
              <w:right w:val="nil"/>
            </w:tcBorders>
            <w:shd w:val="clear" w:color="000000" w:fill="E6F2FF"/>
            <w:noWrap/>
            <w:vAlign w:val="center"/>
            <w:hideMark/>
          </w:tcPr>
          <w:p w14:paraId="483E555A"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620.3</w:t>
            </w:r>
          </w:p>
        </w:tc>
        <w:tc>
          <w:tcPr>
            <w:tcW w:w="398" w:type="pct"/>
            <w:tcBorders>
              <w:top w:val="nil"/>
              <w:left w:val="nil"/>
              <w:bottom w:val="nil"/>
              <w:right w:val="nil"/>
            </w:tcBorders>
            <w:shd w:val="clear" w:color="000000" w:fill="E6F2FF"/>
            <w:noWrap/>
            <w:vAlign w:val="center"/>
            <w:hideMark/>
          </w:tcPr>
          <w:p w14:paraId="1A5D41CD"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21.5</w:t>
            </w:r>
          </w:p>
        </w:tc>
        <w:tc>
          <w:tcPr>
            <w:tcW w:w="398" w:type="pct"/>
            <w:tcBorders>
              <w:top w:val="nil"/>
              <w:left w:val="nil"/>
              <w:bottom w:val="nil"/>
              <w:right w:val="nil"/>
            </w:tcBorders>
            <w:shd w:val="clear" w:color="000000" w:fill="FFFFFF"/>
            <w:noWrap/>
            <w:vAlign w:val="center"/>
            <w:hideMark/>
          </w:tcPr>
          <w:p w14:paraId="06B222BA"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676.3</w:t>
            </w:r>
          </w:p>
        </w:tc>
        <w:tc>
          <w:tcPr>
            <w:tcW w:w="398" w:type="pct"/>
            <w:tcBorders>
              <w:top w:val="nil"/>
              <w:left w:val="nil"/>
              <w:bottom w:val="nil"/>
              <w:right w:val="nil"/>
            </w:tcBorders>
            <w:shd w:val="clear" w:color="000000" w:fill="FFFFFF"/>
            <w:noWrap/>
            <w:vAlign w:val="center"/>
            <w:hideMark/>
          </w:tcPr>
          <w:p w14:paraId="7AEAF775"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22.6</w:t>
            </w:r>
          </w:p>
        </w:tc>
        <w:tc>
          <w:tcPr>
            <w:tcW w:w="398" w:type="pct"/>
            <w:tcBorders>
              <w:top w:val="nil"/>
              <w:left w:val="nil"/>
              <w:bottom w:val="nil"/>
              <w:right w:val="nil"/>
            </w:tcBorders>
            <w:shd w:val="clear" w:color="000000" w:fill="FFFFFF"/>
            <w:noWrap/>
            <w:vAlign w:val="center"/>
            <w:hideMark/>
          </w:tcPr>
          <w:p w14:paraId="2324450F"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714.1</w:t>
            </w:r>
          </w:p>
        </w:tc>
        <w:tc>
          <w:tcPr>
            <w:tcW w:w="398" w:type="pct"/>
            <w:tcBorders>
              <w:top w:val="nil"/>
              <w:left w:val="nil"/>
              <w:bottom w:val="nil"/>
              <w:right w:val="nil"/>
            </w:tcBorders>
            <w:shd w:val="clear" w:color="000000" w:fill="FFFFFF"/>
            <w:noWrap/>
            <w:vAlign w:val="center"/>
            <w:hideMark/>
          </w:tcPr>
          <w:p w14:paraId="417A062C"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22.7</w:t>
            </w:r>
          </w:p>
        </w:tc>
        <w:tc>
          <w:tcPr>
            <w:tcW w:w="398" w:type="pct"/>
            <w:tcBorders>
              <w:top w:val="nil"/>
              <w:left w:val="nil"/>
              <w:bottom w:val="nil"/>
              <w:right w:val="nil"/>
            </w:tcBorders>
            <w:shd w:val="clear" w:color="000000" w:fill="FFFFFF"/>
            <w:noWrap/>
            <w:vAlign w:val="center"/>
            <w:hideMark/>
          </w:tcPr>
          <w:p w14:paraId="014BA8E5"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768.2</w:t>
            </w:r>
          </w:p>
        </w:tc>
        <w:tc>
          <w:tcPr>
            <w:tcW w:w="398" w:type="pct"/>
            <w:tcBorders>
              <w:top w:val="nil"/>
              <w:left w:val="nil"/>
              <w:bottom w:val="nil"/>
              <w:right w:val="nil"/>
            </w:tcBorders>
            <w:shd w:val="clear" w:color="000000" w:fill="FFFFFF"/>
            <w:noWrap/>
            <w:vAlign w:val="center"/>
            <w:hideMark/>
          </w:tcPr>
          <w:p w14:paraId="4E9B03AD"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23.1</w:t>
            </w:r>
          </w:p>
        </w:tc>
        <w:tc>
          <w:tcPr>
            <w:tcW w:w="47" w:type="pct"/>
            <w:tcBorders>
              <w:top w:val="nil"/>
              <w:left w:val="nil"/>
              <w:bottom w:val="nil"/>
              <w:right w:val="nil"/>
            </w:tcBorders>
            <w:shd w:val="clear" w:color="000000" w:fill="FFFFFF"/>
            <w:noWrap/>
            <w:vAlign w:val="center"/>
            <w:hideMark/>
          </w:tcPr>
          <w:p w14:paraId="2BE8DD51"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532" w:type="pct"/>
            <w:tcBorders>
              <w:top w:val="nil"/>
              <w:left w:val="nil"/>
              <w:bottom w:val="nil"/>
              <w:right w:val="nil"/>
            </w:tcBorders>
            <w:noWrap/>
            <w:vAlign w:val="center"/>
            <w:hideMark/>
          </w:tcPr>
          <w:p w14:paraId="1F7F26B9"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20.2</w:t>
            </w:r>
          </w:p>
        </w:tc>
      </w:tr>
      <w:tr w:rsidR="003661E9" w:rsidRPr="009B1522" w14:paraId="2F49CF91" w14:textId="77777777" w:rsidTr="0053154B">
        <w:trPr>
          <w:trHeight w:hRule="exact" w:val="60"/>
        </w:trPr>
        <w:tc>
          <w:tcPr>
            <w:tcW w:w="1241" w:type="pct"/>
            <w:tcBorders>
              <w:top w:val="nil"/>
              <w:left w:val="nil"/>
              <w:bottom w:val="nil"/>
              <w:right w:val="nil"/>
            </w:tcBorders>
            <w:shd w:val="clear" w:color="000000" w:fill="FFFFFF"/>
            <w:noWrap/>
            <w:vAlign w:val="center"/>
            <w:hideMark/>
          </w:tcPr>
          <w:p w14:paraId="6E92C84B" w14:textId="77777777" w:rsidR="00E47796" w:rsidRPr="009B1522" w:rsidRDefault="00E47796" w:rsidP="00E47796">
            <w:pPr>
              <w:spacing w:before="0" w:after="0" w:line="240" w:lineRule="auto"/>
              <w:rPr>
                <w:rFonts w:ascii="Arial" w:hAnsi="Arial" w:cs="Arial"/>
                <w:color w:val="FFFF00"/>
                <w:sz w:val="16"/>
                <w:szCs w:val="16"/>
              </w:rPr>
            </w:pPr>
            <w:r w:rsidRPr="009B1522">
              <w:rPr>
                <w:rFonts w:ascii="Arial" w:hAnsi="Arial" w:cs="Arial"/>
                <w:sz w:val="16"/>
                <w:szCs w:val="16"/>
              </w:rPr>
              <w:t> </w:t>
            </w:r>
          </w:p>
        </w:tc>
        <w:tc>
          <w:tcPr>
            <w:tcW w:w="396" w:type="pct"/>
            <w:tcBorders>
              <w:top w:val="nil"/>
              <w:left w:val="nil"/>
              <w:bottom w:val="nil"/>
              <w:right w:val="nil"/>
            </w:tcBorders>
            <w:shd w:val="clear" w:color="000000" w:fill="E6F2FF"/>
            <w:noWrap/>
            <w:vAlign w:val="center"/>
            <w:hideMark/>
          </w:tcPr>
          <w:p w14:paraId="101AD591"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E6F2FF"/>
            <w:noWrap/>
            <w:vAlign w:val="center"/>
            <w:hideMark/>
          </w:tcPr>
          <w:p w14:paraId="707FD9F0"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73D8CA37"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5ED28DE6"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4E9A9C60"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1C6DF754"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41B60CEF"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001B083E"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47" w:type="pct"/>
            <w:tcBorders>
              <w:top w:val="nil"/>
              <w:left w:val="nil"/>
              <w:bottom w:val="nil"/>
              <w:right w:val="nil"/>
            </w:tcBorders>
            <w:shd w:val="clear" w:color="000000" w:fill="FFFFFF"/>
            <w:noWrap/>
            <w:vAlign w:val="center"/>
            <w:hideMark/>
          </w:tcPr>
          <w:p w14:paraId="2817D6B7"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532" w:type="pct"/>
            <w:tcBorders>
              <w:top w:val="nil"/>
              <w:left w:val="nil"/>
              <w:bottom w:val="nil"/>
              <w:right w:val="nil"/>
            </w:tcBorders>
            <w:noWrap/>
            <w:vAlign w:val="center"/>
            <w:hideMark/>
          </w:tcPr>
          <w:p w14:paraId="3594FA0F"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r>
      <w:tr w:rsidR="003661E9" w:rsidRPr="009B1522" w14:paraId="79D6475F"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3DACB768" w14:textId="77777777" w:rsidR="00E47796" w:rsidRPr="009B1522" w:rsidRDefault="00E47796" w:rsidP="00E47796">
            <w:pPr>
              <w:spacing w:before="0" w:after="0" w:line="240" w:lineRule="auto"/>
              <w:rPr>
                <w:rFonts w:ascii="Arial" w:hAnsi="Arial" w:cs="Arial"/>
                <w:b/>
                <w:color w:val="FFFF00"/>
                <w:sz w:val="16"/>
                <w:szCs w:val="16"/>
              </w:rPr>
            </w:pPr>
            <w:r w:rsidRPr="009B1522">
              <w:rPr>
                <w:rFonts w:ascii="Arial" w:hAnsi="Arial" w:cs="Arial"/>
                <w:b/>
                <w:sz w:val="16"/>
                <w:szCs w:val="16"/>
              </w:rPr>
              <w:t>Net interest payments(d)</w:t>
            </w:r>
          </w:p>
        </w:tc>
        <w:tc>
          <w:tcPr>
            <w:tcW w:w="396" w:type="pct"/>
            <w:tcBorders>
              <w:top w:val="nil"/>
              <w:left w:val="nil"/>
              <w:bottom w:val="nil"/>
              <w:right w:val="nil"/>
            </w:tcBorders>
            <w:shd w:val="clear" w:color="000000" w:fill="E6F2FF"/>
            <w:noWrap/>
            <w:vAlign w:val="center"/>
            <w:hideMark/>
          </w:tcPr>
          <w:p w14:paraId="2604E06F" w14:textId="77777777" w:rsidR="00E47796" w:rsidRPr="009B1522" w:rsidRDefault="00E47796" w:rsidP="00E47796">
            <w:pPr>
              <w:spacing w:before="0" w:after="0" w:line="240" w:lineRule="auto"/>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E6F2FF"/>
            <w:noWrap/>
            <w:vAlign w:val="center"/>
            <w:hideMark/>
          </w:tcPr>
          <w:p w14:paraId="2422B906"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6320E595" w14:textId="77777777" w:rsidR="00E47796" w:rsidRPr="009B1522" w:rsidRDefault="00E47796" w:rsidP="00E47796">
            <w:pPr>
              <w:spacing w:before="0" w:after="0" w:line="240" w:lineRule="auto"/>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00146D22"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2AAB6953" w14:textId="77777777" w:rsidR="00E47796" w:rsidRPr="009B1522" w:rsidRDefault="00E47796" w:rsidP="00E47796">
            <w:pPr>
              <w:spacing w:before="0" w:after="0" w:line="240" w:lineRule="auto"/>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0CF462EF"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16841A68" w14:textId="77777777" w:rsidR="00E47796" w:rsidRPr="009B1522" w:rsidRDefault="00E47796" w:rsidP="00E47796">
            <w:pPr>
              <w:spacing w:before="0" w:after="0" w:line="240" w:lineRule="auto"/>
              <w:rPr>
                <w:rFonts w:ascii="Arial" w:hAnsi="Arial" w:cs="Arial"/>
                <w:color w:val="FFFF00"/>
                <w:sz w:val="16"/>
                <w:szCs w:val="16"/>
              </w:rPr>
            </w:pPr>
            <w:r w:rsidRPr="009B1522">
              <w:rPr>
                <w:rFonts w:ascii="Arial" w:hAnsi="Arial" w:cs="Arial"/>
                <w:sz w:val="16"/>
                <w:szCs w:val="16"/>
              </w:rPr>
              <w:t> </w:t>
            </w:r>
          </w:p>
        </w:tc>
        <w:tc>
          <w:tcPr>
            <w:tcW w:w="398" w:type="pct"/>
            <w:tcBorders>
              <w:top w:val="nil"/>
              <w:left w:val="nil"/>
              <w:bottom w:val="nil"/>
              <w:right w:val="nil"/>
            </w:tcBorders>
            <w:shd w:val="clear" w:color="000000" w:fill="FFFFFF"/>
            <w:noWrap/>
            <w:vAlign w:val="center"/>
            <w:hideMark/>
          </w:tcPr>
          <w:p w14:paraId="64F5C85E"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47" w:type="pct"/>
            <w:tcBorders>
              <w:top w:val="nil"/>
              <w:left w:val="nil"/>
              <w:bottom w:val="nil"/>
              <w:right w:val="nil"/>
            </w:tcBorders>
            <w:shd w:val="clear" w:color="000000" w:fill="FFFFFF"/>
            <w:noWrap/>
            <w:vAlign w:val="center"/>
            <w:hideMark/>
          </w:tcPr>
          <w:p w14:paraId="4414AE04"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532" w:type="pct"/>
            <w:tcBorders>
              <w:top w:val="nil"/>
              <w:left w:val="nil"/>
              <w:bottom w:val="nil"/>
              <w:right w:val="nil"/>
            </w:tcBorders>
            <w:noWrap/>
            <w:vAlign w:val="center"/>
            <w:hideMark/>
          </w:tcPr>
          <w:p w14:paraId="6864B08F"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 </w:t>
            </w:r>
          </w:p>
        </w:tc>
      </w:tr>
      <w:tr w:rsidR="003661E9" w:rsidRPr="009B1522" w14:paraId="4F0254B2"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2C7CF728" w14:textId="77777777" w:rsidR="00E47796" w:rsidRPr="009B1522" w:rsidRDefault="00E47796" w:rsidP="00E47796">
            <w:pPr>
              <w:spacing w:before="0" w:after="0" w:line="240" w:lineRule="auto"/>
              <w:ind w:firstLineChars="100" w:firstLine="160"/>
              <w:rPr>
                <w:rFonts w:ascii="Arial" w:hAnsi="Arial" w:cs="Arial"/>
                <w:color w:val="FFFF00"/>
                <w:sz w:val="16"/>
                <w:szCs w:val="16"/>
              </w:rPr>
            </w:pPr>
            <w:r w:rsidRPr="009B1522">
              <w:rPr>
                <w:rFonts w:ascii="Arial" w:hAnsi="Arial" w:cs="Arial"/>
                <w:sz w:val="16"/>
                <w:szCs w:val="16"/>
              </w:rPr>
              <w:t>MYEFO</w:t>
            </w:r>
          </w:p>
        </w:tc>
        <w:tc>
          <w:tcPr>
            <w:tcW w:w="396" w:type="pct"/>
            <w:tcBorders>
              <w:top w:val="nil"/>
              <w:left w:val="nil"/>
              <w:bottom w:val="nil"/>
              <w:right w:val="nil"/>
            </w:tcBorders>
            <w:shd w:val="clear" w:color="000000" w:fill="E6F2FF"/>
            <w:noWrap/>
            <w:vAlign w:val="center"/>
            <w:hideMark/>
          </w:tcPr>
          <w:p w14:paraId="512285E2"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18.3</w:t>
            </w:r>
          </w:p>
        </w:tc>
        <w:tc>
          <w:tcPr>
            <w:tcW w:w="398" w:type="pct"/>
            <w:tcBorders>
              <w:top w:val="nil"/>
              <w:left w:val="nil"/>
              <w:bottom w:val="nil"/>
              <w:right w:val="nil"/>
            </w:tcBorders>
            <w:shd w:val="clear" w:color="000000" w:fill="E6F2FF"/>
            <w:noWrap/>
            <w:vAlign w:val="center"/>
            <w:hideMark/>
          </w:tcPr>
          <w:p w14:paraId="34770C77"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0.6</w:t>
            </w:r>
          </w:p>
        </w:tc>
        <w:tc>
          <w:tcPr>
            <w:tcW w:w="398" w:type="pct"/>
            <w:tcBorders>
              <w:top w:val="nil"/>
              <w:left w:val="nil"/>
              <w:bottom w:val="nil"/>
              <w:right w:val="nil"/>
            </w:tcBorders>
            <w:shd w:val="clear" w:color="000000" w:fill="FFFFFF"/>
            <w:noWrap/>
            <w:vAlign w:val="center"/>
            <w:hideMark/>
          </w:tcPr>
          <w:p w14:paraId="5625F125"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20.3</w:t>
            </w:r>
          </w:p>
        </w:tc>
        <w:tc>
          <w:tcPr>
            <w:tcW w:w="398" w:type="pct"/>
            <w:tcBorders>
              <w:top w:val="nil"/>
              <w:left w:val="nil"/>
              <w:bottom w:val="nil"/>
              <w:right w:val="nil"/>
            </w:tcBorders>
            <w:shd w:val="clear" w:color="000000" w:fill="FFFFFF"/>
            <w:noWrap/>
            <w:vAlign w:val="center"/>
            <w:hideMark/>
          </w:tcPr>
          <w:p w14:paraId="08A0EFF6"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0.7</w:t>
            </w:r>
          </w:p>
        </w:tc>
        <w:tc>
          <w:tcPr>
            <w:tcW w:w="398" w:type="pct"/>
            <w:tcBorders>
              <w:top w:val="nil"/>
              <w:left w:val="nil"/>
              <w:bottom w:val="nil"/>
              <w:right w:val="nil"/>
            </w:tcBorders>
            <w:shd w:val="clear" w:color="000000" w:fill="FFFFFF"/>
            <w:noWrap/>
            <w:vAlign w:val="center"/>
            <w:hideMark/>
          </w:tcPr>
          <w:p w14:paraId="212269D7"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27.4</w:t>
            </w:r>
          </w:p>
        </w:tc>
        <w:tc>
          <w:tcPr>
            <w:tcW w:w="398" w:type="pct"/>
            <w:tcBorders>
              <w:top w:val="nil"/>
              <w:left w:val="nil"/>
              <w:bottom w:val="nil"/>
              <w:right w:val="nil"/>
            </w:tcBorders>
            <w:shd w:val="clear" w:color="000000" w:fill="FFFFFF"/>
            <w:noWrap/>
            <w:vAlign w:val="center"/>
            <w:hideMark/>
          </w:tcPr>
          <w:p w14:paraId="40431CCB"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0.9</w:t>
            </w:r>
          </w:p>
        </w:tc>
        <w:tc>
          <w:tcPr>
            <w:tcW w:w="398" w:type="pct"/>
            <w:tcBorders>
              <w:top w:val="nil"/>
              <w:left w:val="nil"/>
              <w:bottom w:val="nil"/>
              <w:right w:val="nil"/>
            </w:tcBorders>
            <w:shd w:val="clear" w:color="000000" w:fill="FFFFFF"/>
            <w:noWrap/>
            <w:vAlign w:val="center"/>
            <w:hideMark/>
          </w:tcPr>
          <w:p w14:paraId="69B480B8"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28.7</w:t>
            </w:r>
          </w:p>
        </w:tc>
        <w:tc>
          <w:tcPr>
            <w:tcW w:w="398" w:type="pct"/>
            <w:tcBorders>
              <w:top w:val="nil"/>
              <w:left w:val="nil"/>
              <w:bottom w:val="nil"/>
              <w:right w:val="nil"/>
            </w:tcBorders>
            <w:shd w:val="clear" w:color="000000" w:fill="FFFFFF"/>
            <w:noWrap/>
            <w:vAlign w:val="center"/>
            <w:hideMark/>
          </w:tcPr>
          <w:p w14:paraId="4CBAFF0A"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0.9</w:t>
            </w:r>
          </w:p>
        </w:tc>
        <w:tc>
          <w:tcPr>
            <w:tcW w:w="47" w:type="pct"/>
            <w:tcBorders>
              <w:top w:val="nil"/>
              <w:left w:val="nil"/>
              <w:bottom w:val="nil"/>
              <w:right w:val="nil"/>
            </w:tcBorders>
            <w:shd w:val="clear" w:color="000000" w:fill="FFFFFF"/>
            <w:noWrap/>
            <w:vAlign w:val="center"/>
            <w:hideMark/>
          </w:tcPr>
          <w:p w14:paraId="3CD70790" w14:textId="77777777" w:rsidR="00E47796" w:rsidRPr="009B1522" w:rsidRDefault="00E47796" w:rsidP="00E47796">
            <w:pPr>
              <w:spacing w:before="0" w:after="0" w:line="240" w:lineRule="auto"/>
              <w:jc w:val="right"/>
              <w:rPr>
                <w:rFonts w:ascii="Arial" w:hAnsi="Arial" w:cs="Arial"/>
                <w:color w:val="FFFF00"/>
                <w:sz w:val="16"/>
                <w:szCs w:val="16"/>
              </w:rPr>
            </w:pPr>
            <w:r w:rsidRPr="009B1522">
              <w:rPr>
                <w:rFonts w:ascii="Arial" w:hAnsi="Arial" w:cs="Arial"/>
                <w:sz w:val="16"/>
                <w:szCs w:val="16"/>
              </w:rPr>
              <w:t> </w:t>
            </w:r>
          </w:p>
        </w:tc>
        <w:tc>
          <w:tcPr>
            <w:tcW w:w="532" w:type="pct"/>
            <w:tcBorders>
              <w:top w:val="nil"/>
              <w:left w:val="nil"/>
              <w:bottom w:val="nil"/>
              <w:right w:val="nil"/>
            </w:tcBorders>
            <w:noWrap/>
            <w:vAlign w:val="center"/>
            <w:hideMark/>
          </w:tcPr>
          <w:p w14:paraId="2049EC7E" w14:textId="77777777" w:rsidR="00E47796" w:rsidRPr="009B1522" w:rsidRDefault="00E47796" w:rsidP="00E47796">
            <w:pPr>
              <w:spacing w:before="0" w:after="0" w:line="240" w:lineRule="auto"/>
              <w:jc w:val="right"/>
              <w:rPr>
                <w:rFonts w:ascii="Arial" w:hAnsi="Arial" w:cs="Arial"/>
                <w:sz w:val="16"/>
                <w:szCs w:val="16"/>
              </w:rPr>
            </w:pPr>
            <w:r w:rsidRPr="009B1522">
              <w:rPr>
                <w:rFonts w:ascii="Arial" w:hAnsi="Arial" w:cs="Arial"/>
                <w:sz w:val="16"/>
                <w:szCs w:val="16"/>
              </w:rPr>
              <w:t>1.2</w:t>
            </w:r>
          </w:p>
        </w:tc>
      </w:tr>
      <w:tr w:rsidR="003661E9" w:rsidRPr="009B1522" w14:paraId="4AD44B28" w14:textId="77777777" w:rsidTr="0053154B">
        <w:trPr>
          <w:trHeight w:hRule="exact" w:val="225"/>
        </w:trPr>
        <w:tc>
          <w:tcPr>
            <w:tcW w:w="1241" w:type="pct"/>
            <w:tcBorders>
              <w:top w:val="nil"/>
              <w:left w:val="nil"/>
              <w:bottom w:val="nil"/>
              <w:right w:val="nil"/>
            </w:tcBorders>
            <w:shd w:val="clear" w:color="000000" w:fill="FFFFFF"/>
            <w:noWrap/>
            <w:vAlign w:val="center"/>
            <w:hideMark/>
          </w:tcPr>
          <w:p w14:paraId="27780FFA" w14:textId="77777777" w:rsidR="00E47796" w:rsidRPr="009B1522" w:rsidRDefault="00E47796" w:rsidP="00E47796">
            <w:pPr>
              <w:spacing w:before="0" w:after="0" w:line="240" w:lineRule="auto"/>
              <w:ind w:firstLineChars="100" w:firstLine="160"/>
              <w:rPr>
                <w:rFonts w:ascii="Arial" w:hAnsi="Arial" w:cs="Arial"/>
                <w:i/>
                <w:color w:val="FFFF00"/>
                <w:sz w:val="16"/>
                <w:szCs w:val="16"/>
              </w:rPr>
            </w:pPr>
            <w:r w:rsidRPr="009B1522">
              <w:rPr>
                <w:rFonts w:ascii="Arial" w:hAnsi="Arial" w:cs="Arial"/>
                <w:i/>
                <w:sz w:val="16"/>
                <w:szCs w:val="16"/>
              </w:rPr>
              <w:t>PEFO</w:t>
            </w:r>
          </w:p>
        </w:tc>
        <w:tc>
          <w:tcPr>
            <w:tcW w:w="396" w:type="pct"/>
            <w:tcBorders>
              <w:top w:val="nil"/>
              <w:left w:val="nil"/>
              <w:bottom w:val="nil"/>
              <w:right w:val="nil"/>
            </w:tcBorders>
            <w:shd w:val="clear" w:color="000000" w:fill="E6F2FF"/>
            <w:noWrap/>
            <w:vAlign w:val="center"/>
            <w:hideMark/>
          </w:tcPr>
          <w:p w14:paraId="44099F18"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18.5</w:t>
            </w:r>
          </w:p>
        </w:tc>
        <w:tc>
          <w:tcPr>
            <w:tcW w:w="398" w:type="pct"/>
            <w:tcBorders>
              <w:top w:val="nil"/>
              <w:left w:val="nil"/>
              <w:bottom w:val="nil"/>
              <w:right w:val="nil"/>
            </w:tcBorders>
            <w:shd w:val="clear" w:color="000000" w:fill="E6F2FF"/>
            <w:noWrap/>
            <w:vAlign w:val="center"/>
            <w:hideMark/>
          </w:tcPr>
          <w:p w14:paraId="40293B2D"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0.6</w:t>
            </w:r>
          </w:p>
        </w:tc>
        <w:tc>
          <w:tcPr>
            <w:tcW w:w="398" w:type="pct"/>
            <w:tcBorders>
              <w:top w:val="nil"/>
              <w:left w:val="nil"/>
              <w:bottom w:val="nil"/>
              <w:right w:val="nil"/>
            </w:tcBorders>
            <w:shd w:val="clear" w:color="000000" w:fill="FFFFFF"/>
            <w:noWrap/>
            <w:vAlign w:val="center"/>
            <w:hideMark/>
          </w:tcPr>
          <w:p w14:paraId="08D016ED"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21.2</w:t>
            </w:r>
          </w:p>
        </w:tc>
        <w:tc>
          <w:tcPr>
            <w:tcW w:w="398" w:type="pct"/>
            <w:tcBorders>
              <w:top w:val="nil"/>
              <w:left w:val="nil"/>
              <w:bottom w:val="nil"/>
              <w:right w:val="nil"/>
            </w:tcBorders>
            <w:shd w:val="clear" w:color="000000" w:fill="FFFFFF"/>
            <w:noWrap/>
            <w:vAlign w:val="center"/>
            <w:hideMark/>
          </w:tcPr>
          <w:p w14:paraId="320C32F4"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0.7</w:t>
            </w:r>
          </w:p>
        </w:tc>
        <w:tc>
          <w:tcPr>
            <w:tcW w:w="398" w:type="pct"/>
            <w:tcBorders>
              <w:top w:val="nil"/>
              <w:left w:val="nil"/>
              <w:bottom w:val="nil"/>
              <w:right w:val="nil"/>
            </w:tcBorders>
            <w:shd w:val="clear" w:color="000000" w:fill="FFFFFF"/>
            <w:noWrap/>
            <w:vAlign w:val="center"/>
            <w:hideMark/>
          </w:tcPr>
          <w:p w14:paraId="190B7E9A"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26.9</w:t>
            </w:r>
          </w:p>
        </w:tc>
        <w:tc>
          <w:tcPr>
            <w:tcW w:w="398" w:type="pct"/>
            <w:tcBorders>
              <w:top w:val="nil"/>
              <w:left w:val="nil"/>
              <w:bottom w:val="nil"/>
              <w:right w:val="nil"/>
            </w:tcBorders>
            <w:shd w:val="clear" w:color="000000" w:fill="FFFFFF"/>
            <w:noWrap/>
            <w:vAlign w:val="center"/>
            <w:hideMark/>
          </w:tcPr>
          <w:p w14:paraId="6904AA1E"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0.9</w:t>
            </w:r>
          </w:p>
        </w:tc>
        <w:tc>
          <w:tcPr>
            <w:tcW w:w="398" w:type="pct"/>
            <w:tcBorders>
              <w:top w:val="nil"/>
              <w:left w:val="nil"/>
              <w:bottom w:val="nil"/>
              <w:right w:val="nil"/>
            </w:tcBorders>
            <w:shd w:val="clear" w:color="000000" w:fill="FFFFFF"/>
            <w:noWrap/>
            <w:vAlign w:val="center"/>
            <w:hideMark/>
          </w:tcPr>
          <w:p w14:paraId="72FF285F"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28.1</w:t>
            </w:r>
          </w:p>
        </w:tc>
        <w:tc>
          <w:tcPr>
            <w:tcW w:w="398" w:type="pct"/>
            <w:tcBorders>
              <w:top w:val="nil"/>
              <w:left w:val="nil"/>
              <w:bottom w:val="nil"/>
              <w:right w:val="nil"/>
            </w:tcBorders>
            <w:shd w:val="clear" w:color="000000" w:fill="FFFFFF"/>
            <w:noWrap/>
            <w:vAlign w:val="center"/>
            <w:hideMark/>
          </w:tcPr>
          <w:p w14:paraId="41BCBECB"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0.8</w:t>
            </w:r>
          </w:p>
        </w:tc>
        <w:tc>
          <w:tcPr>
            <w:tcW w:w="47" w:type="pct"/>
            <w:tcBorders>
              <w:top w:val="nil"/>
              <w:left w:val="nil"/>
              <w:bottom w:val="nil"/>
              <w:right w:val="nil"/>
            </w:tcBorders>
            <w:shd w:val="clear" w:color="000000" w:fill="FFFFFF"/>
            <w:noWrap/>
            <w:vAlign w:val="center"/>
            <w:hideMark/>
          </w:tcPr>
          <w:p w14:paraId="00F05C60"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532" w:type="pct"/>
            <w:tcBorders>
              <w:top w:val="nil"/>
              <w:left w:val="nil"/>
              <w:bottom w:val="nil"/>
              <w:right w:val="nil"/>
            </w:tcBorders>
            <w:noWrap/>
            <w:vAlign w:val="center"/>
            <w:hideMark/>
          </w:tcPr>
          <w:p w14:paraId="20146E33" w14:textId="77777777" w:rsidR="00E47796" w:rsidRPr="009B1522"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1.1</w:t>
            </w:r>
          </w:p>
        </w:tc>
      </w:tr>
      <w:tr w:rsidR="003661E9" w:rsidRPr="00954D98" w14:paraId="09CBE549" w14:textId="77777777" w:rsidTr="0053154B">
        <w:trPr>
          <w:trHeight w:hRule="exact" w:val="225"/>
        </w:trPr>
        <w:tc>
          <w:tcPr>
            <w:tcW w:w="1241" w:type="pct"/>
            <w:tcBorders>
              <w:top w:val="nil"/>
              <w:left w:val="nil"/>
              <w:bottom w:val="single" w:sz="4" w:space="0" w:color="293F5B"/>
              <w:right w:val="nil"/>
            </w:tcBorders>
            <w:shd w:val="clear" w:color="000000" w:fill="FFFFFF"/>
            <w:noWrap/>
            <w:vAlign w:val="center"/>
            <w:hideMark/>
          </w:tcPr>
          <w:p w14:paraId="4D541E73" w14:textId="77777777" w:rsidR="00E47796" w:rsidRPr="009B1522" w:rsidRDefault="00E47796" w:rsidP="00E47796">
            <w:pPr>
              <w:spacing w:before="0" w:after="0" w:line="240" w:lineRule="auto"/>
              <w:ind w:firstLineChars="100" w:firstLine="160"/>
              <w:rPr>
                <w:rFonts w:ascii="Arial" w:hAnsi="Arial" w:cs="Arial"/>
                <w:i/>
                <w:color w:val="FFFF00"/>
                <w:sz w:val="16"/>
                <w:szCs w:val="16"/>
              </w:rPr>
            </w:pPr>
            <w:r w:rsidRPr="009B1522">
              <w:rPr>
                <w:rFonts w:ascii="Arial" w:hAnsi="Arial" w:cs="Arial"/>
                <w:i/>
                <w:sz w:val="16"/>
                <w:szCs w:val="16"/>
              </w:rPr>
              <w:t>Budget</w:t>
            </w:r>
          </w:p>
        </w:tc>
        <w:tc>
          <w:tcPr>
            <w:tcW w:w="396" w:type="pct"/>
            <w:tcBorders>
              <w:top w:val="nil"/>
              <w:left w:val="nil"/>
              <w:bottom w:val="single" w:sz="4" w:space="0" w:color="293F5B"/>
              <w:right w:val="nil"/>
            </w:tcBorders>
            <w:shd w:val="clear" w:color="000000" w:fill="E6F2FF"/>
            <w:noWrap/>
            <w:vAlign w:val="center"/>
            <w:hideMark/>
          </w:tcPr>
          <w:p w14:paraId="2F210CED"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18.5</w:t>
            </w:r>
          </w:p>
        </w:tc>
        <w:tc>
          <w:tcPr>
            <w:tcW w:w="398" w:type="pct"/>
            <w:tcBorders>
              <w:top w:val="nil"/>
              <w:left w:val="nil"/>
              <w:bottom w:val="single" w:sz="4" w:space="0" w:color="293F5B"/>
              <w:right w:val="nil"/>
            </w:tcBorders>
            <w:shd w:val="clear" w:color="000000" w:fill="E6F2FF"/>
            <w:noWrap/>
            <w:vAlign w:val="center"/>
            <w:hideMark/>
          </w:tcPr>
          <w:p w14:paraId="21F9B033"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0.6</w:t>
            </w:r>
          </w:p>
        </w:tc>
        <w:tc>
          <w:tcPr>
            <w:tcW w:w="398" w:type="pct"/>
            <w:tcBorders>
              <w:top w:val="nil"/>
              <w:left w:val="nil"/>
              <w:bottom w:val="single" w:sz="4" w:space="0" w:color="293F5B"/>
              <w:right w:val="nil"/>
            </w:tcBorders>
            <w:shd w:val="clear" w:color="000000" w:fill="FFFFFF"/>
            <w:noWrap/>
            <w:vAlign w:val="center"/>
            <w:hideMark/>
          </w:tcPr>
          <w:p w14:paraId="02E94EAD"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21.2</w:t>
            </w:r>
          </w:p>
        </w:tc>
        <w:tc>
          <w:tcPr>
            <w:tcW w:w="398" w:type="pct"/>
            <w:tcBorders>
              <w:top w:val="nil"/>
              <w:left w:val="nil"/>
              <w:bottom w:val="single" w:sz="4" w:space="0" w:color="293F5B"/>
              <w:right w:val="nil"/>
            </w:tcBorders>
            <w:shd w:val="clear" w:color="000000" w:fill="FFFFFF"/>
            <w:noWrap/>
            <w:vAlign w:val="center"/>
            <w:hideMark/>
          </w:tcPr>
          <w:p w14:paraId="4B7BF486"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0.7</w:t>
            </w:r>
          </w:p>
        </w:tc>
        <w:tc>
          <w:tcPr>
            <w:tcW w:w="398" w:type="pct"/>
            <w:tcBorders>
              <w:top w:val="nil"/>
              <w:left w:val="nil"/>
              <w:bottom w:val="single" w:sz="4" w:space="0" w:color="293F5B"/>
              <w:right w:val="nil"/>
            </w:tcBorders>
            <w:shd w:val="clear" w:color="000000" w:fill="FFFFFF"/>
            <w:noWrap/>
            <w:vAlign w:val="center"/>
            <w:hideMark/>
          </w:tcPr>
          <w:p w14:paraId="6D60A2EE"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26.9</w:t>
            </w:r>
          </w:p>
        </w:tc>
        <w:tc>
          <w:tcPr>
            <w:tcW w:w="398" w:type="pct"/>
            <w:tcBorders>
              <w:top w:val="nil"/>
              <w:left w:val="nil"/>
              <w:bottom w:val="single" w:sz="4" w:space="0" w:color="293F5B"/>
              <w:right w:val="nil"/>
            </w:tcBorders>
            <w:shd w:val="clear" w:color="000000" w:fill="FFFFFF"/>
            <w:noWrap/>
            <w:vAlign w:val="center"/>
            <w:hideMark/>
          </w:tcPr>
          <w:p w14:paraId="2F5764AC"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0.9</w:t>
            </w:r>
          </w:p>
        </w:tc>
        <w:tc>
          <w:tcPr>
            <w:tcW w:w="398" w:type="pct"/>
            <w:tcBorders>
              <w:top w:val="nil"/>
              <w:left w:val="nil"/>
              <w:bottom w:val="single" w:sz="4" w:space="0" w:color="293F5B"/>
              <w:right w:val="nil"/>
            </w:tcBorders>
            <w:shd w:val="clear" w:color="000000" w:fill="FFFFFF"/>
            <w:noWrap/>
            <w:vAlign w:val="center"/>
            <w:hideMark/>
          </w:tcPr>
          <w:p w14:paraId="46BDD6A7"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28.1</w:t>
            </w:r>
          </w:p>
        </w:tc>
        <w:tc>
          <w:tcPr>
            <w:tcW w:w="398" w:type="pct"/>
            <w:tcBorders>
              <w:top w:val="nil"/>
              <w:left w:val="nil"/>
              <w:bottom w:val="single" w:sz="4" w:space="0" w:color="293F5B"/>
              <w:right w:val="nil"/>
            </w:tcBorders>
            <w:shd w:val="clear" w:color="000000" w:fill="FFFFFF"/>
            <w:noWrap/>
            <w:vAlign w:val="center"/>
            <w:hideMark/>
          </w:tcPr>
          <w:p w14:paraId="7BE09909"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0.8</w:t>
            </w:r>
          </w:p>
        </w:tc>
        <w:tc>
          <w:tcPr>
            <w:tcW w:w="47" w:type="pct"/>
            <w:tcBorders>
              <w:top w:val="nil"/>
              <w:left w:val="nil"/>
              <w:bottom w:val="single" w:sz="4" w:space="0" w:color="293F5B"/>
              <w:right w:val="nil"/>
            </w:tcBorders>
            <w:shd w:val="clear" w:color="000000" w:fill="FFFFFF"/>
            <w:noWrap/>
            <w:vAlign w:val="center"/>
            <w:hideMark/>
          </w:tcPr>
          <w:p w14:paraId="725BDC56" w14:textId="77777777" w:rsidR="00E47796" w:rsidRPr="009B1522" w:rsidRDefault="00E47796" w:rsidP="00E47796">
            <w:pPr>
              <w:spacing w:before="0" w:after="0" w:line="240" w:lineRule="auto"/>
              <w:jc w:val="right"/>
              <w:rPr>
                <w:rFonts w:ascii="Arial" w:hAnsi="Arial" w:cs="Arial"/>
                <w:i/>
                <w:color w:val="FFFF00"/>
                <w:sz w:val="16"/>
                <w:szCs w:val="16"/>
              </w:rPr>
            </w:pPr>
            <w:r w:rsidRPr="009B1522">
              <w:rPr>
                <w:rFonts w:ascii="Arial" w:hAnsi="Arial" w:cs="Arial"/>
                <w:i/>
                <w:sz w:val="16"/>
                <w:szCs w:val="16"/>
              </w:rPr>
              <w:t> </w:t>
            </w:r>
          </w:p>
        </w:tc>
        <w:tc>
          <w:tcPr>
            <w:tcW w:w="532" w:type="pct"/>
            <w:tcBorders>
              <w:top w:val="nil"/>
              <w:left w:val="nil"/>
              <w:bottom w:val="single" w:sz="4" w:space="0" w:color="293F5B"/>
              <w:right w:val="nil"/>
            </w:tcBorders>
            <w:noWrap/>
            <w:vAlign w:val="center"/>
            <w:hideMark/>
          </w:tcPr>
          <w:p w14:paraId="4920C900" w14:textId="77777777" w:rsidR="00E47796" w:rsidRPr="00954D98" w:rsidRDefault="00E47796" w:rsidP="00E47796">
            <w:pPr>
              <w:spacing w:before="0" w:after="0" w:line="240" w:lineRule="auto"/>
              <w:jc w:val="right"/>
              <w:rPr>
                <w:rFonts w:ascii="Arial" w:hAnsi="Arial" w:cs="Arial"/>
                <w:i/>
                <w:sz w:val="16"/>
                <w:szCs w:val="16"/>
              </w:rPr>
            </w:pPr>
            <w:r w:rsidRPr="009B1522">
              <w:rPr>
                <w:rFonts w:ascii="Arial" w:hAnsi="Arial" w:cs="Arial"/>
                <w:i/>
                <w:sz w:val="16"/>
                <w:szCs w:val="16"/>
              </w:rPr>
              <w:t>1.1</w:t>
            </w:r>
          </w:p>
        </w:tc>
      </w:tr>
    </w:tbl>
    <w:p w14:paraId="36DDEE69" w14:textId="31F999C0" w:rsidR="00F1044A" w:rsidRPr="00954D98" w:rsidRDefault="00F1044A" w:rsidP="00F1044A">
      <w:pPr>
        <w:pStyle w:val="ChartandTableFootnoteAlpha"/>
        <w:rPr>
          <w:rFonts w:eastAsiaTheme="minorHAnsi"/>
          <w:color w:val="auto"/>
        </w:rPr>
      </w:pPr>
      <w:r w:rsidRPr="00954D98">
        <w:rPr>
          <w:rFonts w:eastAsiaTheme="minorHAnsi"/>
          <w:color w:val="auto"/>
        </w:rPr>
        <w:t>Equivalent to cash payments for operating activities, purchases of non</w:t>
      </w:r>
      <w:r w:rsidR="00536CFF">
        <w:rPr>
          <w:rFonts w:eastAsiaTheme="minorHAnsi"/>
          <w:color w:val="auto"/>
        </w:rPr>
        <w:noBreakHyphen/>
      </w:r>
      <w:r w:rsidRPr="00954D98">
        <w:rPr>
          <w:rFonts w:eastAsiaTheme="minorHAnsi"/>
          <w:color w:val="auto"/>
        </w:rPr>
        <w:t>financial assets and principal payments of lease liabilities.</w:t>
      </w:r>
    </w:p>
    <w:p w14:paraId="7B0FFF05" w14:textId="2DA51A95" w:rsidR="00F1044A" w:rsidRPr="00954D98" w:rsidRDefault="00F1044A" w:rsidP="00F1044A">
      <w:pPr>
        <w:pStyle w:val="ChartandTableFootnoteAlpha"/>
        <w:rPr>
          <w:rFonts w:eastAsiaTheme="minorHAnsi"/>
        </w:rPr>
      </w:pPr>
      <w:r w:rsidRPr="00954D98">
        <w:rPr>
          <w:rFonts w:eastAsiaTheme="minorHAnsi"/>
          <w:color w:val="auto"/>
        </w:rPr>
        <w:t>Gross debt measures the face value of Australian Government Securities (AGS) on issue</w:t>
      </w:r>
      <w:r w:rsidR="00A255B9" w:rsidRPr="00954D98">
        <w:rPr>
          <w:rFonts w:eastAsiaTheme="minorHAnsi"/>
          <w:color w:val="auto"/>
        </w:rPr>
        <w:t xml:space="preserve"> and is presented as at the end of the financial year.</w:t>
      </w:r>
    </w:p>
    <w:p w14:paraId="2FB74A98" w14:textId="4A1C37DB" w:rsidR="00F1044A" w:rsidRPr="00954D98" w:rsidRDefault="00F1044A" w:rsidP="00F1044A">
      <w:pPr>
        <w:pStyle w:val="ChartandTableFootnoteAlpha"/>
        <w:rPr>
          <w:rFonts w:eastAsiaTheme="minorHAnsi"/>
          <w:color w:val="auto"/>
        </w:rPr>
      </w:pPr>
      <w:r w:rsidRPr="00954D98">
        <w:rPr>
          <w:rFonts w:eastAsiaTheme="minorHAnsi"/>
          <w:color w:val="auto"/>
        </w:rPr>
        <w:t>Net debt is the sum of interest</w:t>
      </w:r>
      <w:r w:rsidR="00536CFF">
        <w:rPr>
          <w:rFonts w:eastAsiaTheme="minorHAnsi"/>
          <w:color w:val="auto"/>
        </w:rPr>
        <w:noBreakHyphen/>
      </w:r>
      <w:r w:rsidRPr="00954D98">
        <w:rPr>
          <w:rFonts w:eastAsiaTheme="minorHAnsi"/>
          <w:color w:val="auto"/>
        </w:rPr>
        <w:t>bearing liabilities (which includes AGS on issue measured at market value) less the sum of selected financial assets (cash and deposits, advances paid and investments, loans and placements)</w:t>
      </w:r>
      <w:r w:rsidR="0063006B" w:rsidRPr="00954D98">
        <w:rPr>
          <w:rFonts w:eastAsiaTheme="minorHAnsi"/>
          <w:color w:val="auto"/>
        </w:rPr>
        <w:t xml:space="preserve"> and is presented as at the end of the financial year</w:t>
      </w:r>
      <w:r w:rsidRPr="00954D98">
        <w:rPr>
          <w:rFonts w:eastAsiaTheme="minorHAnsi"/>
          <w:color w:val="auto"/>
        </w:rPr>
        <w:t>.</w:t>
      </w:r>
    </w:p>
    <w:p w14:paraId="25B572BA" w14:textId="1DD3316F" w:rsidR="00F1044A" w:rsidRPr="00954D98" w:rsidRDefault="00F1044A" w:rsidP="00F1044A">
      <w:pPr>
        <w:pStyle w:val="ChartandTableFootnoteAlpha"/>
        <w:rPr>
          <w:rFonts w:eastAsiaTheme="minorHAnsi"/>
          <w:color w:val="auto"/>
        </w:rPr>
      </w:pPr>
      <w:r w:rsidRPr="00954D98">
        <w:rPr>
          <w:rFonts w:eastAsiaTheme="minorHAnsi"/>
          <w:color w:val="auto"/>
        </w:rPr>
        <w:t>Net interest payments are equal to the difference between interest payments and interest receipts.</w:t>
      </w:r>
    </w:p>
    <w:p w14:paraId="3CFF0451" w14:textId="69079C7C" w:rsidR="00F1044A" w:rsidRPr="00954D98" w:rsidRDefault="00F1044A" w:rsidP="00F1044A">
      <w:pPr>
        <w:pStyle w:val="TableLine"/>
      </w:pPr>
    </w:p>
    <w:p w14:paraId="1E555A7D" w14:textId="51099F34" w:rsidR="00F1044A" w:rsidRPr="00954D98" w:rsidRDefault="00F1044A" w:rsidP="00F1044A">
      <w:pPr>
        <w:pStyle w:val="SingleParagraph"/>
      </w:pPr>
      <w:r w:rsidRPr="00954D98">
        <w:rPr>
          <w:lang w:eastAsia="en-US"/>
        </w:rPr>
        <w:br w:type="page"/>
      </w:r>
    </w:p>
    <w:p w14:paraId="4B7D36B1" w14:textId="4032698A" w:rsidR="00F1044A" w:rsidRPr="00954D98" w:rsidRDefault="00F1044A" w:rsidP="00347494">
      <w:pPr>
        <w:pStyle w:val="Heading2"/>
      </w:pPr>
      <w:bookmarkStart w:id="1" w:name="_Toc134093756"/>
      <w:bookmarkStart w:id="2" w:name="_Toc148428060"/>
      <w:r w:rsidRPr="00954D98">
        <w:lastRenderedPageBreak/>
        <w:t>Economic and Fiscal Strategy</w:t>
      </w:r>
      <w:bookmarkEnd w:id="1"/>
      <w:bookmarkEnd w:id="2"/>
    </w:p>
    <w:p w14:paraId="0C074438" w14:textId="4A276CFB" w:rsidR="00F1044A" w:rsidRPr="00954D98" w:rsidRDefault="00F1044A" w:rsidP="00F1044A">
      <w:pPr>
        <w:keepNext/>
        <w:keepLines/>
      </w:pPr>
      <w:r w:rsidRPr="00954D98">
        <w:t>The Government</w:t>
      </w:r>
      <w:r w:rsidR="00536CFF">
        <w:t>’</w:t>
      </w:r>
      <w:r w:rsidRPr="00954D98">
        <w:t xml:space="preserve">s Economic and Fiscal Strategy is </w:t>
      </w:r>
      <w:r w:rsidR="00967B5E" w:rsidRPr="00954D98">
        <w:t>outlined in</w:t>
      </w:r>
      <w:r w:rsidRPr="00954D98">
        <w:t xml:space="preserve"> Box 3.1. The Strategy is consistent with the requirements of the </w:t>
      </w:r>
      <w:r w:rsidRPr="00954D98">
        <w:rPr>
          <w:rFonts w:eastAsia="Calibri"/>
          <w:i/>
        </w:rPr>
        <w:t>Charter of Budget Honesty Act 1998</w:t>
      </w:r>
      <w:r w:rsidRPr="00954D98">
        <w:t xml:space="preserve">, with </w:t>
      </w:r>
      <w:r w:rsidRPr="00954D98">
        <w:rPr>
          <w:rFonts w:eastAsia="Calibri"/>
        </w:rPr>
        <w:t>progress reviewed at each budget update.</w:t>
      </w:r>
      <w:r w:rsidR="002A1F5F" w:rsidRPr="00954D98">
        <w:t xml:space="preserve"> The Strategy is unchanged since the 2025</w:t>
      </w:r>
      <w:r w:rsidR="00BC6486" w:rsidRPr="00954D98">
        <w:t>–</w:t>
      </w:r>
      <w:r w:rsidR="002A1F5F" w:rsidRPr="00954D98">
        <w:t>26 Budget.</w:t>
      </w:r>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0"/>
      </w:tblGrid>
      <w:tr w:rsidR="00F1044A" w:rsidRPr="00954D98" w14:paraId="62C4E2D3" w14:textId="77777777" w:rsidTr="00C55D9C">
        <w:trPr>
          <w:cantSplit/>
          <w:trHeight w:val="9043"/>
        </w:trPr>
        <w:tc>
          <w:tcPr>
            <w:tcW w:w="5000" w:type="pct"/>
            <w:shd w:val="clear" w:color="auto" w:fill="E6F2FF"/>
          </w:tcPr>
          <w:p w14:paraId="4EC25449" w14:textId="77777777" w:rsidR="00F1044A" w:rsidRPr="00954D98" w:rsidRDefault="00F1044A">
            <w:pPr>
              <w:pStyle w:val="BoxHeading"/>
            </w:pPr>
            <w:r w:rsidRPr="00954D98">
              <w:t>Box 3.1: The Government’s Economic and Fiscal Strategy</w:t>
            </w:r>
          </w:p>
          <w:p w14:paraId="1028630B" w14:textId="77777777" w:rsidR="00F1044A" w:rsidRPr="00954D98" w:rsidRDefault="00F1044A">
            <w:pPr>
              <w:pStyle w:val="BoxText"/>
              <w:keepNext/>
              <w:keepLines/>
              <w:rPr>
                <w:rFonts w:eastAsia="Calibri"/>
              </w:rPr>
            </w:pPr>
            <w:r w:rsidRPr="00954D98">
              <w:rPr>
                <w:rFonts w:eastAsia="Calibri"/>
              </w:rPr>
              <w:t xml:space="preserve">The Government’s Economic and Fiscal Strategy will make the economy more resilient and put the budget on a more sustainable footing over time. </w:t>
            </w:r>
          </w:p>
          <w:p w14:paraId="786C4D66" w14:textId="77777777" w:rsidR="00F1044A" w:rsidRPr="00954D98" w:rsidRDefault="00F1044A">
            <w:pPr>
              <w:pStyle w:val="BoxText"/>
              <w:keepNext/>
              <w:keepLines/>
              <w:rPr>
                <w:rFonts w:eastAsia="Calibri"/>
              </w:rPr>
            </w:pPr>
            <w:r w:rsidRPr="00954D98">
              <w:rPr>
                <w:rFonts w:eastAsia="Calibri"/>
              </w:rPr>
              <w:t xml:space="preserve">The Strategy is focused on the objectives of strong, inclusive and sustainable economic growth, full employment, growing real wages, ensuring women’s economic participation and equality, and improving living standards for all Australians. </w:t>
            </w:r>
          </w:p>
          <w:p w14:paraId="6DE228EE" w14:textId="77777777" w:rsidR="00F1044A" w:rsidRPr="00954D98" w:rsidRDefault="00F1044A">
            <w:pPr>
              <w:pStyle w:val="BoxText"/>
              <w:keepNext/>
              <w:keepLines/>
              <w:rPr>
                <w:rFonts w:eastAsia="Calibri"/>
              </w:rPr>
            </w:pPr>
            <w:r w:rsidRPr="00954D98">
              <w:rPr>
                <w:rFonts w:eastAsia="Calibri"/>
              </w:rPr>
              <w:t>The Government will improve the budget position in a measured way, consistent with the overarching goal of reducing gross debt as a share of the economy over time. This approach enables fiscal policy to respond to changes in economic conditions to support macroeconomic stability, including in times of high inflation.</w:t>
            </w:r>
          </w:p>
          <w:p w14:paraId="18491B70" w14:textId="77777777" w:rsidR="00F1044A" w:rsidRPr="00954D98" w:rsidRDefault="00F1044A">
            <w:pPr>
              <w:pStyle w:val="BoxText"/>
              <w:keepNext/>
              <w:keepLines/>
              <w:rPr>
                <w:rFonts w:eastAsia="Calibri"/>
              </w:rPr>
            </w:pPr>
            <w:r w:rsidRPr="00954D98">
              <w:rPr>
                <w:rFonts w:eastAsia="Calibri"/>
              </w:rPr>
              <w:t xml:space="preserve">These objectives will be achieved by investments that grow the economy and expand productive capacity, and budget discipline that restrains spending growth and enhances the quality of spending. The budget will be improved in a manner consistent with the objective of maintaining full employment, while continuing to deliver essential services. </w:t>
            </w:r>
          </w:p>
          <w:p w14:paraId="47AE5D98" w14:textId="77777777" w:rsidR="00F1044A" w:rsidRPr="00954D98" w:rsidRDefault="00F1044A">
            <w:pPr>
              <w:pStyle w:val="BoxText"/>
              <w:keepNext/>
              <w:keepLines/>
              <w:rPr>
                <w:rFonts w:eastAsia="Calibri"/>
              </w:rPr>
            </w:pPr>
            <w:r w:rsidRPr="00954D98">
              <w:rPr>
                <w:rFonts w:eastAsia="Calibri"/>
              </w:rPr>
              <w:t xml:space="preserve">Putting the budget on a more sustainable footing will ensure the Government has the fiscal buffers to withstand economic shocks and better manage the fiscal pressures from an ageing population and climate change. </w:t>
            </w:r>
          </w:p>
          <w:p w14:paraId="07497C1F" w14:textId="77777777" w:rsidR="00F1044A" w:rsidRPr="00954D98" w:rsidRDefault="00F1044A">
            <w:pPr>
              <w:pStyle w:val="BoxText"/>
              <w:keepNext/>
              <w:keepLines/>
              <w:rPr>
                <w:rFonts w:eastAsia="Calibri"/>
              </w:rPr>
            </w:pPr>
            <w:r w:rsidRPr="00954D98">
              <w:rPr>
                <w:rFonts w:eastAsia="Calibri"/>
              </w:rPr>
              <w:t>These commitments will be underpinned by the following elements:</w:t>
            </w:r>
          </w:p>
          <w:p w14:paraId="292B53F5" w14:textId="77777777" w:rsidR="00F1044A" w:rsidRPr="00954D98" w:rsidRDefault="00F1044A">
            <w:pPr>
              <w:pStyle w:val="BoxBullet"/>
              <w:keepNext/>
              <w:keepLines/>
              <w:rPr>
                <w:rFonts w:eastAsia="Calibri"/>
              </w:rPr>
            </w:pPr>
            <w:r w:rsidRPr="00954D98">
              <w:rPr>
                <w:rFonts w:eastAsia="Calibri"/>
              </w:rPr>
              <w:t xml:space="preserve">Allowing tax receipts and income support to respond in line with changes in the economy and directing </w:t>
            </w:r>
            <w:proofErr w:type="gramStart"/>
            <w:r w:rsidRPr="00954D98">
              <w:rPr>
                <w:rFonts w:eastAsia="Calibri"/>
              </w:rPr>
              <w:t>the majority of</w:t>
            </w:r>
            <w:proofErr w:type="gramEnd"/>
            <w:r w:rsidRPr="00954D98">
              <w:rPr>
                <w:rFonts w:eastAsia="Calibri"/>
              </w:rPr>
              <w:t xml:space="preserve"> improvements in tax receipts to budget repair. </w:t>
            </w:r>
          </w:p>
          <w:p w14:paraId="7E40954C" w14:textId="77777777" w:rsidR="00F1044A" w:rsidRPr="00954D98" w:rsidRDefault="00F1044A">
            <w:pPr>
              <w:pStyle w:val="BoxBullet"/>
              <w:keepNext/>
              <w:keepLines/>
              <w:rPr>
                <w:rFonts w:eastAsia="Calibri"/>
              </w:rPr>
            </w:pPr>
            <w:r w:rsidRPr="00954D98">
              <w:rPr>
                <w:rFonts w:eastAsia="Calibri"/>
              </w:rPr>
              <w:t>Limiting growth in spending until gross debt as a share of GDP is on a downwards trajectory, while growth prospects are sound and unemployment is low.</w:t>
            </w:r>
          </w:p>
          <w:p w14:paraId="0EAC86C3" w14:textId="77777777" w:rsidR="00F1044A" w:rsidRPr="00954D98" w:rsidRDefault="00F1044A">
            <w:pPr>
              <w:pStyle w:val="BoxBullet"/>
              <w:keepNext/>
              <w:keepLines/>
              <w:rPr>
                <w:rFonts w:eastAsia="Calibri"/>
              </w:rPr>
            </w:pPr>
            <w:r w:rsidRPr="00954D98">
              <w:rPr>
                <w:rFonts w:eastAsia="Calibri"/>
              </w:rPr>
              <w:t>Improving the efficiency, quality and sustainability of spending.</w:t>
            </w:r>
          </w:p>
          <w:p w14:paraId="0BBAADF3" w14:textId="77777777" w:rsidR="00F1044A" w:rsidRPr="00954D98" w:rsidRDefault="00F1044A">
            <w:pPr>
              <w:pStyle w:val="BoxBullet"/>
              <w:keepNext/>
              <w:keepLines/>
              <w:rPr>
                <w:rFonts w:eastAsia="Calibri"/>
              </w:rPr>
            </w:pPr>
            <w:r w:rsidRPr="00954D98">
              <w:rPr>
                <w:rFonts w:eastAsia="Calibri"/>
              </w:rPr>
              <w:t>Focusing new spending on investments and reforms that build the capability of our people, expand the productive capacity of our economy, and support action on climate change.</w:t>
            </w:r>
          </w:p>
          <w:p w14:paraId="13B00538" w14:textId="102395B1" w:rsidR="00F1044A" w:rsidRPr="00954D98" w:rsidRDefault="00F1044A">
            <w:pPr>
              <w:pStyle w:val="BoxBullet"/>
              <w:keepNext/>
              <w:keepLines/>
            </w:pPr>
            <w:r w:rsidRPr="00954D98">
              <w:rPr>
                <w:rFonts w:eastAsia="Calibri"/>
              </w:rPr>
              <w:t>Delivering a tax system that funds government services in an efficient, fair and sustainable way.</w:t>
            </w:r>
            <w:r w:rsidR="00CC1BB5" w:rsidRPr="00954D98">
              <w:t xml:space="preserve"> </w:t>
            </w:r>
          </w:p>
        </w:tc>
      </w:tr>
    </w:tbl>
    <w:p w14:paraId="363E9C4F" w14:textId="2BC71955" w:rsidR="00F1044A" w:rsidRPr="00954D98" w:rsidRDefault="00F1044A" w:rsidP="00FE7D18">
      <w:pPr>
        <w:pStyle w:val="Heading3"/>
      </w:pPr>
      <w:bookmarkStart w:id="3" w:name="_Toc148428061"/>
      <w:r w:rsidRPr="00954D98">
        <w:lastRenderedPageBreak/>
        <w:t>Delivering on the Economic and Fiscal Strategy</w:t>
      </w:r>
      <w:bookmarkEnd w:id="3"/>
      <w:r w:rsidRPr="00954D98">
        <w:t xml:space="preserve"> </w:t>
      </w:r>
    </w:p>
    <w:p w14:paraId="1AFF4C82" w14:textId="19556CC5" w:rsidR="00F1044A" w:rsidRPr="00954D98" w:rsidRDefault="00F1044A" w:rsidP="00C97A43">
      <w:r w:rsidRPr="00954D98">
        <w:t>The Government continues to deliver on its Economic and Fiscal Strategy by:</w:t>
      </w:r>
    </w:p>
    <w:p w14:paraId="4F26C77B" w14:textId="097D6CE4" w:rsidR="00F1044A" w:rsidRPr="00954D98" w:rsidRDefault="00F1044A" w:rsidP="00B16B47">
      <w:pPr>
        <w:pStyle w:val="Bullet"/>
      </w:pPr>
      <w:r w:rsidRPr="00954D98">
        <w:t xml:space="preserve">Improving the budget balance. </w:t>
      </w:r>
    </w:p>
    <w:p w14:paraId="6957139D" w14:textId="35DB1D01" w:rsidR="00D833DC" w:rsidRPr="00954D98" w:rsidRDefault="00F1044A">
      <w:pPr>
        <w:pStyle w:val="Dash"/>
      </w:pPr>
      <w:r w:rsidRPr="00954D98">
        <w:t xml:space="preserve">The underlying cash balance in </w:t>
      </w:r>
      <w:r w:rsidR="00026A81" w:rsidRPr="00954D98">
        <w:t>2025</w:t>
      </w:r>
      <w:r w:rsidR="000E3E3E" w:rsidRPr="00954D98">
        <w:rPr>
          <w:w w:val="1"/>
        </w:rPr>
        <w:t> </w:t>
      </w:r>
      <w:r w:rsidR="000E3E3E" w:rsidRPr="00954D98">
        <w:t>–</w:t>
      </w:r>
      <w:r w:rsidR="000E3E3E" w:rsidRPr="00954D98">
        <w:rPr>
          <w:w w:val="1"/>
        </w:rPr>
        <w:t> </w:t>
      </w:r>
      <w:r w:rsidR="00026A81" w:rsidRPr="00954D98">
        <w:t>26 has improved by $</w:t>
      </w:r>
      <w:r w:rsidR="00C935B8" w:rsidRPr="00954D98">
        <w:t>5</w:t>
      </w:r>
      <w:r w:rsidR="00744333" w:rsidRPr="00954D98">
        <w:t>.4</w:t>
      </w:r>
      <w:r w:rsidR="00026A81" w:rsidRPr="00954D98">
        <w:t xml:space="preserve"> billion since the 2025</w:t>
      </w:r>
      <w:r w:rsidR="00854BAA" w:rsidRPr="00954D98">
        <w:t> </w:t>
      </w:r>
      <w:r w:rsidR="00026A81" w:rsidRPr="00954D98">
        <w:t xml:space="preserve">PEFO. </w:t>
      </w:r>
      <w:r w:rsidR="00D833DC" w:rsidRPr="00954D98">
        <w:t xml:space="preserve">The </w:t>
      </w:r>
      <w:r w:rsidR="00C9161F" w:rsidRPr="00954D98">
        <w:t>underlying cash balance</w:t>
      </w:r>
      <w:r w:rsidR="00D833DC" w:rsidRPr="00954D98">
        <w:t xml:space="preserve"> has improved in ever</w:t>
      </w:r>
      <w:r w:rsidR="002B6F8B" w:rsidRPr="00954D98">
        <w:t xml:space="preserve">y year of the </w:t>
      </w:r>
      <w:r w:rsidR="00083EA0" w:rsidRPr="00954D98">
        <w:t>fo</w:t>
      </w:r>
      <w:r w:rsidR="001B13ED" w:rsidRPr="00954D98">
        <w:t>rward estimates</w:t>
      </w:r>
      <w:r w:rsidR="002B6F8B" w:rsidRPr="00954D98">
        <w:t xml:space="preserve"> since the 2025</w:t>
      </w:r>
      <w:r w:rsidR="001B13ED" w:rsidRPr="00954D98">
        <w:t> </w:t>
      </w:r>
      <w:r w:rsidR="002B6F8B" w:rsidRPr="00954D98">
        <w:t xml:space="preserve">PEFO, </w:t>
      </w:r>
      <w:r w:rsidR="00384DA8" w:rsidRPr="00954D98">
        <w:t xml:space="preserve">resulting in a </w:t>
      </w:r>
      <w:r w:rsidR="002B6F8B" w:rsidRPr="00954D98">
        <w:t xml:space="preserve">cumulative </w:t>
      </w:r>
      <w:r w:rsidR="0086672E" w:rsidRPr="00954D98">
        <w:t>budget improvement</w:t>
      </w:r>
      <w:r w:rsidR="002B6F8B" w:rsidRPr="00954D98">
        <w:t xml:space="preserve"> of</w:t>
      </w:r>
      <w:r w:rsidR="006163DD">
        <w:t> </w:t>
      </w:r>
      <w:r w:rsidR="00BB040D" w:rsidRPr="00954D98">
        <w:t>$</w:t>
      </w:r>
      <w:r w:rsidR="00C74434" w:rsidRPr="00954D98">
        <w:t>8</w:t>
      </w:r>
      <w:r w:rsidR="00BB040D" w:rsidRPr="00954D98">
        <w:t>.4 billion</w:t>
      </w:r>
      <w:r w:rsidR="002B6F8B" w:rsidRPr="00954D98">
        <w:t xml:space="preserve">. </w:t>
      </w:r>
    </w:p>
    <w:p w14:paraId="76E6A56C" w14:textId="5244D639" w:rsidR="00904A37" w:rsidRPr="00954D98" w:rsidRDefault="005E1A3F" w:rsidP="00B16B47">
      <w:pPr>
        <w:pStyle w:val="Dash"/>
      </w:pPr>
      <w:r w:rsidRPr="00954D98">
        <w:t>Compared to projections at the 2022</w:t>
      </w:r>
      <w:r w:rsidR="00215070" w:rsidRPr="00954D98">
        <w:t> </w:t>
      </w:r>
      <w:r w:rsidRPr="00954D98">
        <w:t>PEFO, t</w:t>
      </w:r>
      <w:r w:rsidR="00904A37" w:rsidRPr="00954D98">
        <w:t xml:space="preserve">he underlying cash balance has improved by </w:t>
      </w:r>
      <w:r w:rsidR="00653A7E" w:rsidRPr="00954D98">
        <w:t>$6.2 billion in 2025–</w:t>
      </w:r>
      <w:r w:rsidR="00653A7E" w:rsidRPr="00954D98">
        <w:rPr>
          <w:w w:val="1"/>
        </w:rPr>
        <w:t> </w:t>
      </w:r>
      <w:r w:rsidR="00653A7E" w:rsidRPr="00954D98">
        <w:t>26</w:t>
      </w:r>
      <w:r w:rsidR="00DD4778" w:rsidRPr="00954D98">
        <w:t xml:space="preserve"> and by</w:t>
      </w:r>
      <w:r w:rsidR="00904A37" w:rsidRPr="00954D98">
        <w:t xml:space="preserve"> a cumulative $</w:t>
      </w:r>
      <w:r w:rsidR="005A519C" w:rsidRPr="00954D98">
        <w:t>233.5</w:t>
      </w:r>
      <w:r w:rsidR="00904A37" w:rsidRPr="00954D98">
        <w:t xml:space="preserve"> billion over the </w:t>
      </w:r>
      <w:r w:rsidR="003F1CE2" w:rsidRPr="00954D98">
        <w:t>seven</w:t>
      </w:r>
      <w:r w:rsidR="006A6685" w:rsidRPr="00954D98">
        <w:t> </w:t>
      </w:r>
      <w:r w:rsidR="00904A37" w:rsidRPr="00954D98">
        <w:t>years to 2028–29</w:t>
      </w:r>
      <w:r w:rsidR="00E2786D" w:rsidRPr="00954D98">
        <w:t>.</w:t>
      </w:r>
      <w:r w:rsidR="00904A37" w:rsidRPr="00954D98">
        <w:t xml:space="preserve"> </w:t>
      </w:r>
    </w:p>
    <w:p w14:paraId="24D65866" w14:textId="52358EC0" w:rsidR="00F1044A" w:rsidRPr="00954D98" w:rsidRDefault="00F1044A" w:rsidP="00B16B47">
      <w:pPr>
        <w:pStyle w:val="Bullet"/>
      </w:pPr>
      <w:r w:rsidRPr="00954D98">
        <w:t>Reducing debt as a share of the economy over time.</w:t>
      </w:r>
    </w:p>
    <w:p w14:paraId="70967027" w14:textId="6AB79E37" w:rsidR="00903C9F" w:rsidRPr="00954D98" w:rsidRDefault="00497862" w:rsidP="00033D14">
      <w:pPr>
        <w:pStyle w:val="Dash"/>
      </w:pPr>
      <w:r w:rsidRPr="00954D98">
        <w:t xml:space="preserve">Compared to projections </w:t>
      </w:r>
      <w:r w:rsidR="007C1589" w:rsidRPr="00954D98">
        <w:t>at</w:t>
      </w:r>
      <w:r w:rsidRPr="00954D98">
        <w:t xml:space="preserve"> the 2025 PEFO, gross debt</w:t>
      </w:r>
      <w:r w:rsidR="00536CFF">
        <w:noBreakHyphen/>
      </w:r>
      <w:r w:rsidRPr="00954D98">
        <w:t>to</w:t>
      </w:r>
      <w:r w:rsidR="00536CFF">
        <w:noBreakHyphen/>
      </w:r>
      <w:r w:rsidRPr="00954D98">
        <w:t>GDP is lower in every year of the forward estimates.</w:t>
      </w:r>
    </w:p>
    <w:p w14:paraId="4445C4F7" w14:textId="510FEB02" w:rsidR="00497862" w:rsidRPr="00954D98" w:rsidRDefault="00497862" w:rsidP="00497862">
      <w:pPr>
        <w:pStyle w:val="Dash"/>
      </w:pPr>
      <w:r w:rsidRPr="00954D98">
        <w:t>Gross debt at 30 June 2026 is forecast to be $</w:t>
      </w:r>
      <w:r w:rsidR="00F635A2" w:rsidRPr="00954D98">
        <w:t>29</w:t>
      </w:r>
      <w:r w:rsidRPr="00954D98">
        <w:t> billion lower than estimated at the 2025 PEFO and $</w:t>
      </w:r>
      <w:r w:rsidR="001A0170" w:rsidRPr="00954D98">
        <w:t>176</w:t>
      </w:r>
      <w:r w:rsidRPr="00954D98">
        <w:t xml:space="preserve"> billion lower than estimated at the 2022 PEFO. </w:t>
      </w:r>
    </w:p>
    <w:p w14:paraId="4E0A0AC9" w14:textId="0FED3C63" w:rsidR="00A115E0" w:rsidRPr="00954D98" w:rsidRDefault="00A115E0" w:rsidP="00A115E0">
      <w:pPr>
        <w:pStyle w:val="Dash"/>
      </w:pPr>
      <w:r w:rsidRPr="00954D98">
        <w:t>Gross debt</w:t>
      </w:r>
      <w:r w:rsidR="00536CFF">
        <w:noBreakHyphen/>
      </w:r>
      <w:r w:rsidRPr="00954D98">
        <w:t>to</w:t>
      </w:r>
      <w:r w:rsidR="00536CFF">
        <w:noBreakHyphen/>
      </w:r>
      <w:r w:rsidRPr="00954D98">
        <w:t>GDP is expected to peak at 37.0 per cent at 30 June 2031 and then fall to 33.0 per cent at 30 June 2036. Gross debt is expected to peak at the same level as the 2025 PEFO and 7.9 percentage points lower than the forecast peak at the 2022 PEFO.</w:t>
      </w:r>
    </w:p>
    <w:p w14:paraId="630A4EA0" w14:textId="7FD95BCB" w:rsidR="00F1044A" w:rsidRPr="00954D98" w:rsidRDefault="009B7C84" w:rsidP="006D36B2">
      <w:pPr>
        <w:pStyle w:val="Dash"/>
      </w:pPr>
      <w:r w:rsidRPr="00954D98">
        <w:t>The cumulative improvements</w:t>
      </w:r>
      <w:r w:rsidR="00F1044A" w:rsidRPr="00954D98">
        <w:t xml:space="preserve"> to the budget position, compared to the </w:t>
      </w:r>
      <w:r w:rsidR="00291CB5" w:rsidRPr="00954D98">
        <w:t>2022</w:t>
      </w:r>
      <w:r w:rsidR="00EB7718">
        <w:t> </w:t>
      </w:r>
      <w:r w:rsidR="00F1044A" w:rsidRPr="00954D98">
        <w:t>PEFO,</w:t>
      </w:r>
      <w:r w:rsidR="00F1044A" w:rsidRPr="00954D98" w:rsidDel="00A97DCD">
        <w:t xml:space="preserve"> </w:t>
      </w:r>
      <w:r w:rsidR="00F1044A" w:rsidRPr="00954D98">
        <w:t xml:space="preserve">are expected to save </w:t>
      </w:r>
      <w:r w:rsidR="00431BC5" w:rsidRPr="00954D98">
        <w:t>more than</w:t>
      </w:r>
      <w:r w:rsidR="00F1044A" w:rsidRPr="00954D98">
        <w:t xml:space="preserve"> $</w:t>
      </w:r>
      <w:r w:rsidR="006374D1" w:rsidRPr="00954D98">
        <w:t>6</w:t>
      </w:r>
      <w:r w:rsidR="00431BC5" w:rsidRPr="00954D98">
        <w:t>0</w:t>
      </w:r>
      <w:r w:rsidR="00F1044A" w:rsidRPr="00954D98">
        <w:t xml:space="preserve"> billion in interest payments </w:t>
      </w:r>
      <w:r w:rsidR="00A97DCD" w:rsidRPr="00954D98">
        <w:t>over the 11 years to</w:t>
      </w:r>
      <w:r w:rsidR="00911945">
        <w:t> </w:t>
      </w:r>
      <w:r w:rsidR="00A97DCD" w:rsidRPr="00954D98">
        <w:t>2032</w:t>
      </w:r>
      <w:r w:rsidR="00A97DCD" w:rsidRPr="00954D98" w:rsidDel="00AC2ADA">
        <w:t>–</w:t>
      </w:r>
      <w:r w:rsidR="00A97DCD" w:rsidRPr="00954D98">
        <w:t>33</w:t>
      </w:r>
      <w:r w:rsidR="00F1044A" w:rsidRPr="00954D98">
        <w:t xml:space="preserve">. </w:t>
      </w:r>
    </w:p>
    <w:p w14:paraId="67694971" w14:textId="705858AD" w:rsidR="004D569C" w:rsidRPr="00954D98" w:rsidRDefault="00291CB5" w:rsidP="00640479">
      <w:pPr>
        <w:pStyle w:val="Bullet"/>
      </w:pPr>
      <w:r w:rsidRPr="00954D98">
        <w:t>Repairing the budget</w:t>
      </w:r>
      <w:r w:rsidR="004731B3" w:rsidRPr="00954D98">
        <w:t xml:space="preserve"> through savings and re</w:t>
      </w:r>
      <w:r w:rsidR="00536CFF">
        <w:noBreakHyphen/>
      </w:r>
      <w:r w:rsidR="004731B3" w:rsidRPr="00954D98">
        <w:t>prioritisations.</w:t>
      </w:r>
    </w:p>
    <w:p w14:paraId="328431BD" w14:textId="6A5168D4" w:rsidR="00774045" w:rsidRPr="00954D98" w:rsidRDefault="00774045" w:rsidP="00033D14">
      <w:pPr>
        <w:pStyle w:val="Dash"/>
      </w:pPr>
      <w:r w:rsidRPr="00954D98">
        <w:t>Net policy decisions have improved the budget position by $2.</w:t>
      </w:r>
      <w:r w:rsidR="0021516F" w:rsidRPr="00954D98">
        <w:t>2</w:t>
      </w:r>
      <w:r w:rsidRPr="00954D98">
        <w:t xml:space="preserve"> billion </w:t>
      </w:r>
      <w:r w:rsidR="0056072D" w:rsidRPr="00954D98">
        <w:t>over the forward estimates</w:t>
      </w:r>
      <w:r w:rsidRPr="00954D98">
        <w:t>.</w:t>
      </w:r>
      <w:r w:rsidR="0072496A" w:rsidRPr="00954D98">
        <w:t xml:space="preserve"> This is the first time since </w:t>
      </w:r>
      <w:r w:rsidR="00152289" w:rsidRPr="00954D98">
        <w:t xml:space="preserve">the </w:t>
      </w:r>
      <w:r w:rsidR="0072496A" w:rsidRPr="00954D98">
        <w:t>2017</w:t>
      </w:r>
      <w:r w:rsidR="0006291E" w:rsidRPr="00954D98">
        <w:t>–</w:t>
      </w:r>
      <w:r w:rsidR="0072496A" w:rsidRPr="00954D98">
        <w:t>18 Budget tha</w:t>
      </w:r>
      <w:r w:rsidR="00152289" w:rsidRPr="00954D98">
        <w:t>t</w:t>
      </w:r>
      <w:r w:rsidR="0072496A" w:rsidRPr="00954D98">
        <w:t xml:space="preserve"> net policy decisions have been positive.</w:t>
      </w:r>
    </w:p>
    <w:p w14:paraId="45BF77A1" w14:textId="57D74AE6" w:rsidR="00291CB5" w:rsidRPr="00954D98" w:rsidRDefault="004D569C" w:rsidP="00033D14">
      <w:pPr>
        <w:pStyle w:val="Dash"/>
      </w:pPr>
      <w:r w:rsidRPr="00954D98">
        <w:t>This MYEFO</w:t>
      </w:r>
      <w:r w:rsidR="008F5EC2" w:rsidRPr="00954D98">
        <w:t xml:space="preserve"> provid</w:t>
      </w:r>
      <w:r w:rsidRPr="00954D98">
        <w:t>es</w:t>
      </w:r>
      <w:r w:rsidR="00291CB5" w:rsidRPr="00954D98">
        <w:t xml:space="preserve"> $</w:t>
      </w:r>
      <w:r w:rsidR="00800759" w:rsidRPr="00954D98">
        <w:t>2</w:t>
      </w:r>
      <w:r w:rsidR="00D57A0D" w:rsidRPr="00954D98">
        <w:t>0.0</w:t>
      </w:r>
      <w:r w:rsidR="00291CB5" w:rsidRPr="00954D98">
        <w:t xml:space="preserve"> billion in savings and reprioritisations</w:t>
      </w:r>
      <w:r w:rsidR="00782856" w:rsidRPr="00954D98">
        <w:t xml:space="preserve">. </w:t>
      </w:r>
      <w:r w:rsidR="00291CB5" w:rsidRPr="00954D98">
        <w:t>This brings total savings and spending reprioritisations to $</w:t>
      </w:r>
      <w:r w:rsidR="00C80D88" w:rsidRPr="00954D98">
        <w:t>114.1</w:t>
      </w:r>
      <w:r w:rsidR="00467A8B">
        <w:t> </w:t>
      </w:r>
      <w:r w:rsidR="00291CB5" w:rsidRPr="00954D98">
        <w:t>billion, and total budget improvements to $</w:t>
      </w:r>
      <w:r w:rsidR="00C80D88" w:rsidRPr="00954D98">
        <w:t>145.</w:t>
      </w:r>
      <w:r w:rsidR="00296E83" w:rsidRPr="00954D98">
        <w:t>0</w:t>
      </w:r>
      <w:r w:rsidR="00291CB5" w:rsidRPr="00954D98">
        <w:t xml:space="preserve"> billion, since the 2022 PEFO.</w:t>
      </w:r>
    </w:p>
    <w:p w14:paraId="4DA3F47F" w14:textId="74D39F59" w:rsidR="00767CC4" w:rsidRPr="00954D98" w:rsidRDefault="008E3113" w:rsidP="00033D14">
      <w:pPr>
        <w:pStyle w:val="Bullet"/>
      </w:pPr>
      <w:r w:rsidRPr="00954D98">
        <w:t>Limiting spending</w:t>
      </w:r>
      <w:r w:rsidR="00767CC4" w:rsidRPr="00954D98">
        <w:t>.</w:t>
      </w:r>
    </w:p>
    <w:p w14:paraId="06322A01" w14:textId="56F79E51" w:rsidR="00906679" w:rsidRPr="00954D98" w:rsidRDefault="00767CC4" w:rsidP="00347494">
      <w:pPr>
        <w:pStyle w:val="Dash"/>
      </w:pPr>
      <w:r w:rsidRPr="00954D98">
        <w:t>R</w:t>
      </w:r>
      <w:r w:rsidR="008E3113" w:rsidRPr="00954D98">
        <w:t>eal payments growth over the seven years to 2028–29 averag</w:t>
      </w:r>
      <w:r w:rsidR="005978E3" w:rsidRPr="00954D98">
        <w:t>es</w:t>
      </w:r>
      <w:r w:rsidR="008E3113" w:rsidRPr="00954D98">
        <w:t xml:space="preserve"> </w:t>
      </w:r>
      <w:r w:rsidR="000039B3" w:rsidRPr="00954D98">
        <w:t>1.</w:t>
      </w:r>
      <w:r w:rsidR="00192CC7" w:rsidRPr="00954D98">
        <w:t>7</w:t>
      </w:r>
      <w:r w:rsidR="005978E3" w:rsidRPr="00954D98">
        <w:t> </w:t>
      </w:r>
      <w:r w:rsidR="008E3113" w:rsidRPr="00954D98">
        <w:t>per</w:t>
      </w:r>
      <w:r w:rsidR="005978E3" w:rsidRPr="00954D98">
        <w:t> </w:t>
      </w:r>
      <w:r w:rsidR="008E3113" w:rsidRPr="00954D98">
        <w:t>cent per</w:t>
      </w:r>
      <w:r w:rsidR="0023647A" w:rsidRPr="00954D98">
        <w:t> </w:t>
      </w:r>
      <w:r w:rsidR="008E3113" w:rsidRPr="00954D98">
        <w:t xml:space="preserve">year, and </w:t>
      </w:r>
      <w:r w:rsidR="00C13811" w:rsidRPr="00954D98">
        <w:t>2.1</w:t>
      </w:r>
      <w:r w:rsidR="008E3113" w:rsidRPr="00954D98">
        <w:t xml:space="preserve"> per</w:t>
      </w:r>
      <w:r w:rsidR="0023647A" w:rsidRPr="00954D98">
        <w:t> </w:t>
      </w:r>
      <w:r w:rsidR="008E3113" w:rsidRPr="00954D98">
        <w:t xml:space="preserve">cent per year over the </w:t>
      </w:r>
      <w:r w:rsidR="00EF2048" w:rsidRPr="00954D98">
        <w:t>four years</w:t>
      </w:r>
      <w:r w:rsidR="008E3113" w:rsidRPr="00954D98">
        <w:t xml:space="preserve"> to 2028–29. </w:t>
      </w:r>
    </w:p>
    <w:p w14:paraId="76DDE969" w14:textId="47CF93B7" w:rsidR="008E3113" w:rsidRPr="00954D98" w:rsidRDefault="008E3113" w:rsidP="00347494">
      <w:pPr>
        <w:pStyle w:val="Dash"/>
      </w:pPr>
      <w:r w:rsidRPr="00954D98">
        <w:t xml:space="preserve">This compares to an annual average of </w:t>
      </w:r>
      <w:r w:rsidR="000039B3" w:rsidRPr="00954D98">
        <w:t>3.3</w:t>
      </w:r>
      <w:r w:rsidRPr="00954D98">
        <w:t xml:space="preserve"> per cent over the past 30</w:t>
      </w:r>
      <w:r w:rsidR="002E0507" w:rsidRPr="00954D98">
        <w:t> </w:t>
      </w:r>
      <w:r w:rsidRPr="00954D98">
        <w:t>years.</w:t>
      </w:r>
    </w:p>
    <w:p w14:paraId="1D774624" w14:textId="2783659C" w:rsidR="00F1044A" w:rsidRPr="00954D98" w:rsidRDefault="00F1044A" w:rsidP="00347494">
      <w:pPr>
        <w:pStyle w:val="Bullet"/>
        <w:keepNext/>
      </w:pPr>
      <w:r w:rsidRPr="00954D98">
        <w:lastRenderedPageBreak/>
        <w:t xml:space="preserve">Returning </w:t>
      </w:r>
      <w:proofErr w:type="gramStart"/>
      <w:r w:rsidRPr="00954D98">
        <w:t>the majority of</w:t>
      </w:r>
      <w:proofErr w:type="gramEnd"/>
      <w:r w:rsidRPr="00954D98">
        <w:t xml:space="preserve"> tax receipt upgrades to the budget.</w:t>
      </w:r>
    </w:p>
    <w:p w14:paraId="061CC7D0" w14:textId="1C3E2032" w:rsidR="00B25625" w:rsidRPr="00954D98" w:rsidRDefault="00B25625" w:rsidP="00347494">
      <w:pPr>
        <w:pStyle w:val="Dash"/>
        <w:keepNext/>
      </w:pPr>
      <w:r w:rsidRPr="00954D98">
        <w:t>The 2025</w:t>
      </w:r>
      <w:r w:rsidR="006B6AE4" w:rsidRPr="00954D98">
        <w:t>–</w:t>
      </w:r>
      <w:r w:rsidRPr="00954D98">
        <w:t>26 MYEFO returns all tax receipt upgrades to</w:t>
      </w:r>
      <w:r w:rsidR="00220E98" w:rsidRPr="00954D98">
        <w:t xml:space="preserve"> the</w:t>
      </w:r>
      <w:r w:rsidRPr="00954D98">
        <w:t xml:space="preserve"> budget.</w:t>
      </w:r>
      <w:r w:rsidR="007146FC" w:rsidRPr="00954D98">
        <w:t xml:space="preserve"> </w:t>
      </w:r>
      <w:r w:rsidR="009D6ACA" w:rsidRPr="00954D98">
        <w:t>This is the first time this has occurred since the 20</w:t>
      </w:r>
      <w:r w:rsidR="00AE340D" w:rsidRPr="00954D98">
        <w:t>09</w:t>
      </w:r>
      <w:r w:rsidR="00D335BB" w:rsidRPr="00954D98">
        <w:t>–</w:t>
      </w:r>
      <w:r w:rsidR="00AE340D" w:rsidRPr="00954D98">
        <w:t>10</w:t>
      </w:r>
      <w:r w:rsidR="00C329FB" w:rsidRPr="00954D98">
        <w:t xml:space="preserve"> MYEFO</w:t>
      </w:r>
      <w:r w:rsidR="000E4631" w:rsidRPr="00954D98">
        <w:t>.</w:t>
      </w:r>
    </w:p>
    <w:p w14:paraId="04F9378A" w14:textId="377CB5B0" w:rsidR="00995E26" w:rsidRPr="00954D98" w:rsidRDefault="00A61E58" w:rsidP="00347494">
      <w:pPr>
        <w:pStyle w:val="Dash"/>
      </w:pPr>
      <w:r w:rsidRPr="00954D98">
        <w:t xml:space="preserve">Since coming to </w:t>
      </w:r>
      <w:r w:rsidR="009C3B27" w:rsidRPr="00954D98">
        <w:t>g</w:t>
      </w:r>
      <w:r w:rsidRPr="00954D98">
        <w:t xml:space="preserve">overnment, the </w:t>
      </w:r>
      <w:r w:rsidR="00F1044A" w:rsidRPr="00954D98">
        <w:t xml:space="preserve">Government has returned </w:t>
      </w:r>
      <w:r w:rsidRPr="00954D98">
        <w:t xml:space="preserve">to the budget </w:t>
      </w:r>
      <w:r w:rsidR="009E25FA" w:rsidRPr="00954D98">
        <w:t>72</w:t>
      </w:r>
      <w:r w:rsidR="00EA646F" w:rsidRPr="00954D98">
        <w:t> </w:t>
      </w:r>
      <w:r w:rsidRPr="00954D98">
        <w:t>per</w:t>
      </w:r>
      <w:r w:rsidR="00EA646F" w:rsidRPr="00954D98">
        <w:t> </w:t>
      </w:r>
      <w:r w:rsidRPr="00954D98">
        <w:t>cent of tax receipt upgrades over the seven years to 2028</w:t>
      </w:r>
      <w:r w:rsidR="00C654FE" w:rsidRPr="00954D98">
        <w:rPr>
          <w:w w:val="1"/>
        </w:rPr>
        <w:t> </w:t>
      </w:r>
      <w:r w:rsidR="00C654FE" w:rsidRPr="00954D98">
        <w:t>–</w:t>
      </w:r>
      <w:r w:rsidR="00C654FE" w:rsidRPr="00954D98">
        <w:rPr>
          <w:w w:val="1"/>
        </w:rPr>
        <w:t> </w:t>
      </w:r>
      <w:r w:rsidRPr="00954D98">
        <w:t>29.</w:t>
      </w:r>
      <w:r w:rsidR="00BF6814" w:rsidRPr="00954D98">
        <w:t xml:space="preserve"> </w:t>
      </w:r>
    </w:p>
    <w:tbl>
      <w:tblPr>
        <w:tblW w:w="5000" w:type="pct"/>
        <w:tblCellMar>
          <w:left w:w="0" w:type="dxa"/>
        </w:tblCellMar>
        <w:tblLook w:val="04A0" w:firstRow="1" w:lastRow="0" w:firstColumn="1" w:lastColumn="0" w:noHBand="0" w:noVBand="1"/>
      </w:tblPr>
      <w:tblGrid>
        <w:gridCol w:w="3855"/>
        <w:gridCol w:w="3855"/>
      </w:tblGrid>
      <w:tr w:rsidR="003564BB" w:rsidRPr="00954D98" w14:paraId="3CEC0E42" w14:textId="77777777" w:rsidTr="00E9042A">
        <w:tc>
          <w:tcPr>
            <w:tcW w:w="3855" w:type="dxa"/>
          </w:tcPr>
          <w:p w14:paraId="7D570662" w14:textId="60FF26B4" w:rsidR="00892F3D" w:rsidRPr="00954D98" w:rsidRDefault="00892F3D" w:rsidP="00D870AF">
            <w:pPr>
              <w:pStyle w:val="ChartMainHeading"/>
            </w:pPr>
            <w:r w:rsidRPr="00954D98">
              <w:t>Chart 3.</w:t>
            </w:r>
            <w:r w:rsidR="00C9577D" w:rsidRPr="00954D98">
              <w:t>1</w:t>
            </w:r>
            <w:r w:rsidRPr="00954D98">
              <w:t xml:space="preserve">: Underlying cash balance </w:t>
            </w:r>
          </w:p>
        </w:tc>
        <w:tc>
          <w:tcPr>
            <w:tcW w:w="3855" w:type="dxa"/>
          </w:tcPr>
          <w:p w14:paraId="3382D32C" w14:textId="44F5836C" w:rsidR="00892F3D" w:rsidRPr="00954D98" w:rsidRDefault="00892F3D" w:rsidP="00CE5AAA">
            <w:pPr>
              <w:pStyle w:val="ChartMainHeading"/>
            </w:pPr>
            <w:r w:rsidRPr="00954D98">
              <w:t>Chart 3.</w:t>
            </w:r>
            <w:r w:rsidR="00C9577D" w:rsidRPr="00954D98">
              <w:t>2</w:t>
            </w:r>
            <w:r w:rsidRPr="00954D98">
              <w:t>: Gross debt</w:t>
            </w:r>
            <w:r w:rsidRPr="00954D98" w:rsidDel="00316E2D">
              <w:t xml:space="preserve"> </w:t>
            </w:r>
          </w:p>
        </w:tc>
      </w:tr>
      <w:tr w:rsidR="003564BB" w:rsidRPr="00954D98" w14:paraId="030F6323" w14:textId="77777777" w:rsidTr="00E9042A">
        <w:tblPrEx>
          <w:tblCellMar>
            <w:left w:w="108" w:type="dxa"/>
          </w:tblCellMar>
        </w:tblPrEx>
        <w:tc>
          <w:tcPr>
            <w:tcW w:w="3855" w:type="dxa"/>
          </w:tcPr>
          <w:p w14:paraId="46EBDA8F" w14:textId="61A9AEC8" w:rsidR="00892F3D" w:rsidRPr="00954D98" w:rsidRDefault="00D057FC">
            <w:pPr>
              <w:pStyle w:val="ChartGraphic"/>
            </w:pPr>
            <w:r w:rsidRPr="00954D98">
              <w:rPr>
                <w:noProof/>
              </w:rPr>
              <w:drawing>
                <wp:inline distT="0" distB="0" distL="0" distR="0" wp14:anchorId="45A3159C" wp14:editId="32290892">
                  <wp:extent cx="2314575" cy="2295525"/>
                  <wp:effectExtent l="0" t="0" r="0" b="0"/>
                  <wp:docPr id="1609990080" name="Graphic 1" descr="This line chart compares projections of the underlying cash balance at the 2025-26 MYEFO, the 2025 PEFO and the 2022 PEFO. The underlying cash balance as a share of GDP is expected to be in deficit over the projection period. In the 2025-26 MYEFO, the underlying cash balance is estimated to be a deficit of 1.3 per cent as a share of GDP in 2025-26, improving to a deficit of 1.1 per cent of GDP by 2028-29, and improving to a deficit of 0.1 per cent of GDP by 2035-36. At the 2025 PEFO, the underlying cash balance was expected to be a deficit of 1.5 per cent as a share of GDP in 2025-26, improve to a deficit of 1.1 per cent of GDP by 2028-29, and improve to balance by 2035-36. At the 2022 PEFO, the underlying cash balance was expected to be a deficit of 1.6 per cent as a share of GDP in 2025-26, improve to a deficit of 1.4 per cent of GDP by 2028-29, and improve to a deficit of 0.7 per cent of GDP by 2032-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90080" name="Graphic 1" descr="This line chart compares projections of the underlying cash balance at the 2025-26 MYEFO, the 2025 PEFO and the 2022 PEFO. The underlying cash balance as a share of GDP is expected to be in deficit over the projection period. In the 2025-26 MYEFO, the underlying cash balance is estimated to be a deficit of 1.3 per cent as a share of GDP in 2025-26, improving to a deficit of 1.1 per cent of GDP by 2028-29, and improving to a deficit of 0.1 per cent of GDP by 2035-36. At the 2025 PEFO, the underlying cash balance was expected to be a deficit of 1.5 per cent as a share of GDP in 2025-26, improve to a deficit of 1.1 per cent of GDP by 2028-29, and improve to balance by 2035-36. At the 2022 PEFO, the underlying cash balance was expected to be a deficit of 1.6 per cent as a share of GDP in 2025-26, improve to a deficit of 1.4 per cent of GDP by 2028-29, and improve to a deficit of 0.7 per cent of GDP by 2032-33.&#10;"/>
                          <pic:cNvPicPr/>
                        </pic:nvPicPr>
                        <pic:blipFill>
                          <a:blip r:embed="rId7">
                            <a:extLst>
                              <a:ext uri="{96DAC541-7B7A-43D3-8B79-37D633B846F1}">
                                <asvg:svgBlip xmlns:asvg="http://schemas.microsoft.com/office/drawing/2016/SVG/main" r:embed="rId8"/>
                              </a:ext>
                            </a:extLst>
                          </a:blip>
                          <a:stretch>
                            <a:fillRect/>
                          </a:stretch>
                        </pic:blipFill>
                        <pic:spPr>
                          <a:xfrm>
                            <a:off x="0" y="0"/>
                            <a:ext cx="2314575" cy="2295525"/>
                          </a:xfrm>
                          <a:prstGeom prst="rect">
                            <a:avLst/>
                          </a:prstGeom>
                        </pic:spPr>
                      </pic:pic>
                    </a:graphicData>
                  </a:graphic>
                </wp:inline>
              </w:drawing>
            </w:r>
          </w:p>
        </w:tc>
        <w:tc>
          <w:tcPr>
            <w:tcW w:w="3855" w:type="dxa"/>
          </w:tcPr>
          <w:p w14:paraId="612C7EF5" w14:textId="2C94DCE4" w:rsidR="00892F3D" w:rsidRPr="00954D98" w:rsidRDefault="004F0982">
            <w:pPr>
              <w:pStyle w:val="ChartGraphic"/>
            </w:pPr>
            <w:r w:rsidRPr="00954D98">
              <w:rPr>
                <w:noProof/>
              </w:rPr>
              <w:drawing>
                <wp:inline distT="0" distB="0" distL="0" distR="0" wp14:anchorId="65EAF2FD" wp14:editId="6DC531D8">
                  <wp:extent cx="2314575" cy="2333625"/>
                  <wp:effectExtent l="0" t="0" r="0" b="9525"/>
                  <wp:docPr id="1809836235" name="Graphic 1" descr="This line chart compares projections of gross debt as a share of GDP at the 2025-26 MYEFO, the 2025 PEFO and the 2022 PEFO. In the 2025-26 MYEFO, gross debt is expected to be 34.0 per cent of GDP in 2025-26 before peaking at 37.0 per cent of GDP in 2030-31 and reducing to 33.0 per cent of GDP by the end of the medium term. At the 2025 PEFO, gross debt was expected to stabilise at 37.0 per cent of GDP in 2029-30 and decrease to 31.9 per cent by 2035-36. At the 2022 PEFO, gross debt was expected to peak at 44.9 per cent of GDP in 2024-25 and decrease to 40.3 per cent by 2032-33. Gross debt as a share of GDP is projected to be at the same level as the 2025 PEFO, but lower over the medium term compared to the 2022 PE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36235" name="Graphic 1" descr="This line chart compares projections of gross debt as a share of GDP at the 2025-26 MYEFO, the 2025 PEFO and the 2022 PEFO. In the 2025-26 MYEFO, gross debt is expected to be 34.0 per cent of GDP in 2025-26 before peaking at 37.0 per cent of GDP in 2030-31 and reducing to 33.0 per cent of GDP by the end of the medium term. At the 2025 PEFO, gross debt was expected to stabilise at 37.0 per cent of GDP in 2029-30 and decrease to 31.9 per cent by 2035-36. At the 2022 PEFO, gross debt was expected to peak at 44.9 per cent of GDP in 2024-25 and decrease to 40.3 per cent by 2032-33. Gross debt as a share of GDP is projected to be at the same level as the 2025 PEFO, but lower over the medium term compared to the 2022 PEFO.&#10;"/>
                          <pic:cNvPicPr/>
                        </pic:nvPicPr>
                        <pic:blipFill>
                          <a:blip r:embed="rId9">
                            <a:extLst>
                              <a:ext uri="{96DAC541-7B7A-43D3-8B79-37D633B846F1}">
                                <asvg:svgBlip xmlns:asvg="http://schemas.microsoft.com/office/drawing/2016/SVG/main" r:embed="rId10"/>
                              </a:ext>
                            </a:extLst>
                          </a:blip>
                          <a:stretch>
                            <a:fillRect/>
                          </a:stretch>
                        </pic:blipFill>
                        <pic:spPr>
                          <a:xfrm>
                            <a:off x="0" y="0"/>
                            <a:ext cx="2314575" cy="2333625"/>
                          </a:xfrm>
                          <a:prstGeom prst="rect">
                            <a:avLst/>
                          </a:prstGeom>
                        </pic:spPr>
                      </pic:pic>
                    </a:graphicData>
                  </a:graphic>
                </wp:inline>
              </w:drawing>
            </w:r>
          </w:p>
        </w:tc>
      </w:tr>
      <w:tr w:rsidR="003564BB" w:rsidRPr="00954D98" w14:paraId="323E2612" w14:textId="77777777" w:rsidTr="00E9042A">
        <w:tc>
          <w:tcPr>
            <w:tcW w:w="3855" w:type="dxa"/>
          </w:tcPr>
          <w:p w14:paraId="005AD8EF" w14:textId="77777777" w:rsidR="00892F3D" w:rsidRPr="00E24D4A" w:rsidRDefault="00892F3D">
            <w:pPr>
              <w:pStyle w:val="ChartandTableFootnote"/>
            </w:pPr>
            <w:r w:rsidRPr="00E24D4A">
              <w:t xml:space="preserve">Source: </w:t>
            </w:r>
            <w:r w:rsidRPr="00E24D4A">
              <w:tab/>
            </w:r>
            <w:r w:rsidRPr="00F36692">
              <w:t>Treasury</w:t>
            </w:r>
            <w:r w:rsidRPr="00E24D4A">
              <w:t xml:space="preserve">. </w:t>
            </w:r>
          </w:p>
        </w:tc>
        <w:tc>
          <w:tcPr>
            <w:tcW w:w="3855" w:type="dxa"/>
          </w:tcPr>
          <w:p w14:paraId="38410A8A" w14:textId="4B10DD1B" w:rsidR="00892F3D" w:rsidRPr="00E24D4A" w:rsidRDefault="00892F3D">
            <w:pPr>
              <w:pStyle w:val="ChartandTableFootnote"/>
            </w:pPr>
            <w:r w:rsidRPr="00F36692">
              <w:t>Source</w:t>
            </w:r>
            <w:r w:rsidRPr="00E24D4A">
              <w:t xml:space="preserve">: </w:t>
            </w:r>
            <w:r w:rsidRPr="00E24D4A">
              <w:tab/>
            </w:r>
            <w:r w:rsidR="00660C94" w:rsidRPr="00E24D4A">
              <w:t>Australian Office of Financial Management</w:t>
            </w:r>
            <w:r w:rsidR="003A6303" w:rsidRPr="00E24D4A">
              <w:t xml:space="preserve">, </w:t>
            </w:r>
            <w:r w:rsidRPr="00E24D4A">
              <w:t>Treasury</w:t>
            </w:r>
            <w:r w:rsidR="00E44121" w:rsidRPr="00E24D4A">
              <w:t>.</w:t>
            </w:r>
          </w:p>
        </w:tc>
      </w:tr>
    </w:tbl>
    <w:p w14:paraId="1547573C" w14:textId="3C2EDB61" w:rsidR="00892F3D" w:rsidRPr="00954D98" w:rsidRDefault="00892F3D" w:rsidP="00892F3D">
      <w:pPr>
        <w:pStyle w:val="ChartLine"/>
      </w:pPr>
    </w:p>
    <w:p w14:paraId="771BA3E8" w14:textId="3EEAA6E1" w:rsidR="00F1044A" w:rsidRPr="00954D98" w:rsidRDefault="00F1044A" w:rsidP="00467A8B">
      <w:pPr>
        <w:pStyle w:val="Heading3"/>
        <w:rPr>
          <w:lang w:val="en-US"/>
        </w:rPr>
      </w:pPr>
      <w:r w:rsidRPr="00954D98">
        <w:rPr>
          <w:lang w:val="en-US"/>
        </w:rPr>
        <w:t xml:space="preserve">International comparisons of fiscal performance </w:t>
      </w:r>
    </w:p>
    <w:p w14:paraId="3C02DA24" w14:textId="645D6096" w:rsidR="00134D9D" w:rsidRPr="00954D98" w:rsidRDefault="00F625A0" w:rsidP="00D870AF">
      <w:pPr>
        <w:keepNext/>
      </w:pPr>
      <w:r w:rsidRPr="00954D98">
        <w:t>Australia</w:t>
      </w:r>
      <w:r w:rsidR="00536CFF">
        <w:t>’</w:t>
      </w:r>
      <w:r w:rsidRPr="00954D98">
        <w:t xml:space="preserve">s strong record of responsible economic management has </w:t>
      </w:r>
      <w:r w:rsidR="007A2BCA" w:rsidRPr="00954D98">
        <w:t>kept</w:t>
      </w:r>
      <w:r w:rsidRPr="00954D98">
        <w:t xml:space="preserve"> gross debt </w:t>
      </w:r>
      <w:r w:rsidR="00572310" w:rsidRPr="00954D98">
        <w:t xml:space="preserve">well below </w:t>
      </w:r>
      <w:r w:rsidRPr="00954D98">
        <w:t xml:space="preserve">international </w:t>
      </w:r>
      <w:r w:rsidR="00572310" w:rsidRPr="00954D98">
        <w:t>benchmarks</w:t>
      </w:r>
      <w:r w:rsidRPr="00954D98">
        <w:t xml:space="preserve">. Australia is </w:t>
      </w:r>
      <w:r w:rsidR="00134D9D" w:rsidRPr="00954D98">
        <w:t>one of only nine countries</w:t>
      </w:r>
      <w:r w:rsidRPr="00954D98">
        <w:t xml:space="preserve"> with</w:t>
      </w:r>
      <w:r w:rsidR="00134D9D" w:rsidRPr="00954D98">
        <w:t xml:space="preserve"> a AAA credit rating from all three major ratings agencies</w:t>
      </w:r>
      <w:r w:rsidRPr="00954D98">
        <w:t>, reflecting the strength and resilience of the economy</w:t>
      </w:r>
      <w:r w:rsidR="00134D9D" w:rsidRPr="00954D98">
        <w:t xml:space="preserve">. </w:t>
      </w:r>
    </w:p>
    <w:p w14:paraId="5477600F" w14:textId="15A90169" w:rsidR="00134D9D" w:rsidRPr="00954D98" w:rsidRDefault="00076008" w:rsidP="00D870AF">
      <w:r w:rsidRPr="00954D98">
        <w:t xml:space="preserve">While many advanced economies </w:t>
      </w:r>
      <w:r w:rsidR="00D37D98" w:rsidRPr="00954D98">
        <w:t xml:space="preserve">are projected to </w:t>
      </w:r>
      <w:r w:rsidRPr="00954D98">
        <w:t>experience increases in debt</w:t>
      </w:r>
      <w:r w:rsidR="00536CFF">
        <w:noBreakHyphen/>
      </w:r>
      <w:r w:rsidR="00634C4F" w:rsidRPr="00954D98">
        <w:t>to</w:t>
      </w:r>
      <w:r w:rsidR="00536CFF">
        <w:noBreakHyphen/>
      </w:r>
      <w:r w:rsidR="00634C4F" w:rsidRPr="00954D98">
        <w:t>GDP</w:t>
      </w:r>
      <w:r w:rsidR="00D37D98" w:rsidRPr="00954D98">
        <w:t xml:space="preserve"> </w:t>
      </w:r>
      <w:r w:rsidR="002C1B23" w:rsidRPr="00954D98">
        <w:t>in</w:t>
      </w:r>
      <w:r w:rsidR="00F92AE5" w:rsidRPr="00954D98">
        <w:t> </w:t>
      </w:r>
      <w:r w:rsidR="002C1B23" w:rsidRPr="00954D98">
        <w:t>2025 and 2026</w:t>
      </w:r>
      <w:r w:rsidRPr="00954D98">
        <w:t>,</w:t>
      </w:r>
      <w:r w:rsidR="00134D9D" w:rsidRPr="00954D98">
        <w:t xml:space="preserve"> Australia</w:t>
      </w:r>
      <w:r w:rsidR="00536CFF">
        <w:t>’</w:t>
      </w:r>
      <w:r w:rsidR="00134D9D" w:rsidRPr="00954D98">
        <w:t xml:space="preserve">s general government </w:t>
      </w:r>
      <w:r w:rsidRPr="00954D98">
        <w:t>gross debt</w:t>
      </w:r>
      <w:r w:rsidR="00134D9D" w:rsidRPr="00954D98">
        <w:t xml:space="preserve"> (including all levels of government) </w:t>
      </w:r>
      <w:r w:rsidR="00D71152" w:rsidRPr="00954D98">
        <w:t xml:space="preserve">is </w:t>
      </w:r>
      <w:r w:rsidR="00053551" w:rsidRPr="00954D98">
        <w:t>forecast</w:t>
      </w:r>
      <w:r w:rsidR="00D71152" w:rsidRPr="00954D98">
        <w:t xml:space="preserve"> to </w:t>
      </w:r>
      <w:r w:rsidR="004B773C" w:rsidRPr="00954D98">
        <w:t>remain</w:t>
      </w:r>
      <w:r w:rsidR="00D71152" w:rsidRPr="00954D98">
        <w:t xml:space="preserve"> </w:t>
      </w:r>
      <w:r w:rsidR="00053551" w:rsidRPr="00954D98">
        <w:t>broadly</w:t>
      </w:r>
      <w:r w:rsidR="00D71152" w:rsidRPr="00954D98">
        <w:t xml:space="preserve"> </w:t>
      </w:r>
      <w:r w:rsidR="00A57828" w:rsidRPr="00954D98">
        <w:t>stable</w:t>
      </w:r>
      <w:r w:rsidR="005116E7" w:rsidRPr="00954D98">
        <w:t>, maintaining</w:t>
      </w:r>
      <w:r w:rsidR="00A57828" w:rsidRPr="00954D98">
        <w:t xml:space="preserve"> </w:t>
      </w:r>
      <w:r w:rsidRPr="00954D98">
        <w:t>comparatively low</w:t>
      </w:r>
      <w:r w:rsidR="007E51D2" w:rsidRPr="00954D98">
        <w:t xml:space="preserve"> debt</w:t>
      </w:r>
      <w:r w:rsidR="00536CFF">
        <w:noBreakHyphen/>
      </w:r>
      <w:r w:rsidR="007E51D2" w:rsidRPr="00954D98">
        <w:t>to</w:t>
      </w:r>
      <w:r w:rsidR="00536CFF">
        <w:noBreakHyphen/>
      </w:r>
      <w:r w:rsidR="007E51D2" w:rsidRPr="00954D98">
        <w:t>GDP</w:t>
      </w:r>
      <w:r w:rsidRPr="00954D98">
        <w:t xml:space="preserve">. </w:t>
      </w:r>
      <w:r w:rsidR="00E445DB" w:rsidRPr="00954D98">
        <w:t xml:space="preserve">According </w:t>
      </w:r>
      <w:r w:rsidR="00134D9D" w:rsidRPr="00954D98">
        <w:t xml:space="preserve">to </w:t>
      </w:r>
      <w:r w:rsidRPr="00954D98">
        <w:t>International Monetary Fund (IMF) project</w:t>
      </w:r>
      <w:r w:rsidR="00E445DB" w:rsidRPr="00954D98">
        <w:t>ions</w:t>
      </w:r>
      <w:r w:rsidR="00B66ABC" w:rsidRPr="00954D98">
        <w:t>,</w:t>
      </w:r>
      <w:r w:rsidRPr="00954D98">
        <w:t xml:space="preserve"> Australia</w:t>
      </w:r>
      <w:r w:rsidR="00536CFF">
        <w:t>’</w:t>
      </w:r>
      <w:r w:rsidRPr="00954D98">
        <w:t>s gross debt</w:t>
      </w:r>
      <w:r w:rsidR="00536CFF">
        <w:noBreakHyphen/>
      </w:r>
      <w:r w:rsidRPr="00954D98">
        <w:t>to</w:t>
      </w:r>
      <w:r w:rsidR="00536CFF">
        <w:noBreakHyphen/>
      </w:r>
      <w:r w:rsidRPr="00954D98">
        <w:t>GDP</w:t>
      </w:r>
      <w:r w:rsidR="00DE080A" w:rsidRPr="00954D98">
        <w:t xml:space="preserve"> </w:t>
      </w:r>
      <w:r w:rsidR="00F73717" w:rsidRPr="00954D98">
        <w:t>is</w:t>
      </w:r>
      <w:r w:rsidR="00DE080A" w:rsidRPr="00954D98">
        <w:t xml:space="preserve"> less than </w:t>
      </w:r>
      <w:r w:rsidRPr="00954D98">
        <w:t>half the advanced economy average (Chart 3.</w:t>
      </w:r>
      <w:r w:rsidR="00535A3C" w:rsidRPr="00954D98">
        <w:t>3</w:t>
      </w:r>
      <w:r w:rsidRPr="00954D98">
        <w:t>)</w:t>
      </w:r>
      <w:r w:rsidR="004F2FF7" w:rsidRPr="00954D98">
        <w:t xml:space="preserve">, </w:t>
      </w:r>
      <w:r w:rsidR="00D13462" w:rsidRPr="00954D98">
        <w:t xml:space="preserve">and </w:t>
      </w:r>
      <w:r w:rsidRPr="00954D98">
        <w:t>the fifth</w:t>
      </w:r>
      <w:r w:rsidR="00F92AE5" w:rsidRPr="00954D98">
        <w:t> </w:t>
      </w:r>
      <w:r w:rsidRPr="00954D98">
        <w:t>lowest gross debt</w:t>
      </w:r>
      <w:r w:rsidR="00536CFF">
        <w:noBreakHyphen/>
      </w:r>
      <w:r w:rsidRPr="00954D98">
        <w:t>to</w:t>
      </w:r>
      <w:r w:rsidR="00536CFF">
        <w:noBreakHyphen/>
      </w:r>
      <w:r w:rsidRPr="00954D98">
        <w:t>GDP ratio in the G20</w:t>
      </w:r>
      <w:r w:rsidR="00134D9D" w:rsidRPr="00954D98">
        <w:t xml:space="preserve">. </w:t>
      </w:r>
    </w:p>
    <w:p w14:paraId="3D6FFFE2" w14:textId="6D16FB38" w:rsidR="00F1044A" w:rsidRPr="00954D98" w:rsidRDefault="002D7C21" w:rsidP="00640479">
      <w:r w:rsidRPr="00954D98">
        <w:t xml:space="preserve">Maintaining low levels of government debt helps to keep borrowing costs down, preserves fiscal flexibility to respond to future economic challenges, and supports the sustainable funding of essential services. </w:t>
      </w:r>
    </w:p>
    <w:p w14:paraId="32598A60" w14:textId="068CEADA" w:rsidR="00CF0CFF" w:rsidRDefault="00CF0CFF" w:rsidP="00CF0CFF">
      <w:pPr>
        <w:pStyle w:val="ChartMainHeading"/>
      </w:pPr>
      <w:bookmarkStart w:id="4" w:name="_1795240515"/>
      <w:bookmarkStart w:id="5" w:name="_1795413747"/>
      <w:bookmarkStart w:id="6" w:name="_1795417375"/>
      <w:bookmarkStart w:id="7" w:name="_1795519287"/>
      <w:bookmarkStart w:id="8" w:name="_1795592145"/>
      <w:bookmarkEnd w:id="4"/>
      <w:bookmarkEnd w:id="5"/>
      <w:bookmarkEnd w:id="6"/>
      <w:bookmarkEnd w:id="7"/>
      <w:bookmarkEnd w:id="8"/>
      <w:r w:rsidRPr="00E24D4A">
        <w:lastRenderedPageBreak/>
        <w:t>Chart 3.3: Gross debt in 2025</w:t>
      </w:r>
    </w:p>
    <w:p w14:paraId="77C81180" w14:textId="23F65BA6" w:rsidR="00CF0CFF" w:rsidRDefault="00EB7313" w:rsidP="00EB7313">
      <w:pPr>
        <w:pStyle w:val="ChartGraphic"/>
      </w:pPr>
      <w:r w:rsidRPr="00E24D4A">
        <w:rPr>
          <w:noProof/>
        </w:rPr>
        <w:drawing>
          <wp:inline distT="0" distB="0" distL="0" distR="0" wp14:anchorId="3D26A8DA" wp14:editId="6CAEFFAC">
            <wp:extent cx="4695825" cy="2590800"/>
            <wp:effectExtent l="0" t="0" r="0" b="0"/>
            <wp:docPr id="1638079582" name="Graphic 1" descr="This column chart shows, in ascending order, the estimate of general government gross debt for 2025 as a per cent of GDP for Australia, New Zealand, the Euro Area average, United Kingdom, the Advanced Economy average, Canada, and the United States. The chart shows Australia's projected gross debt as a per cent of GDP to be 51.0 per cent, which is the lowest of the group, less than New Zealand at 53.2 per cent and the Euro Area average at 87.7 per cent and less than half of the UK at 103.4 per cent, the Advanced Economy average at 110.2 per cent, Canada at 113.9 per cent, and the United States’ at 125.1 per cent. The 2024-25 financial year gross debt as a per cent of GDP outcome for the Australian Commonwealth Government is 33.4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79582" name="Graphic 1" descr="This column chart shows, in ascending order, the estimate of general government gross debt for 2025 as a per cent of GDP for Australia, New Zealand, the Euro Area average, United Kingdom, the Advanced Economy average, Canada, and the United States. The chart shows Australia's projected gross debt as a per cent of GDP to be 51.0 per cent, which is the lowest of the group, less than New Zealand at 53.2 per cent and the Euro Area average at 87.7 per cent and less than half of the UK at 103.4 per cent, the Advanced Economy average at 110.2 per cent, Canada at 113.9 per cent, and the United States’ at 125.1 per cent. The 2024-25 financial year gross debt as a per cent of GDP outcome for the Australian Commonwealth Government is 33.4 per cent.&#10;"/>
                    <pic:cNvPicPr/>
                  </pic:nvPicPr>
                  <pic:blipFill>
                    <a:blip r:embed="rId11">
                      <a:extLst>
                        <a:ext uri="{96DAC541-7B7A-43D3-8B79-37D633B846F1}">
                          <asvg:svgBlip xmlns:asvg="http://schemas.microsoft.com/office/drawing/2016/SVG/main" r:embed="rId12"/>
                        </a:ext>
                      </a:extLst>
                    </a:blip>
                    <a:stretch>
                      <a:fillRect/>
                    </a:stretch>
                  </pic:blipFill>
                  <pic:spPr>
                    <a:xfrm>
                      <a:off x="0" y="0"/>
                      <a:ext cx="4695825" cy="2590800"/>
                    </a:xfrm>
                    <a:prstGeom prst="rect">
                      <a:avLst/>
                    </a:prstGeom>
                  </pic:spPr>
                </pic:pic>
              </a:graphicData>
            </a:graphic>
          </wp:inline>
        </w:drawing>
      </w:r>
    </w:p>
    <w:p w14:paraId="104DDC5F" w14:textId="77777777" w:rsidR="00576CA6" w:rsidRPr="00954D98" w:rsidRDefault="00576CA6" w:rsidP="00576CA6">
      <w:pPr>
        <w:pStyle w:val="ChartandTableFootnote"/>
        <w:rPr>
          <w:color w:val="auto"/>
        </w:rPr>
      </w:pPr>
      <w:r w:rsidRPr="00954D98">
        <w:rPr>
          <w:color w:val="auto"/>
        </w:rPr>
        <w:t xml:space="preserve">Note: </w:t>
      </w:r>
      <w:r w:rsidRPr="00954D98">
        <w:rPr>
          <w:color w:val="auto"/>
        </w:rPr>
        <w:tab/>
        <w:t xml:space="preserve">International Monetary Fund fiscal data are produced on a consistent basis across countries. They are produced for calendar years and on a general government basis. They are not directly comparable with fiscal aggregates reported elsewhere in the MYEFO. </w:t>
      </w:r>
    </w:p>
    <w:p w14:paraId="160BE74E" w14:textId="77777777" w:rsidR="00E0371F" w:rsidRPr="00954D98" w:rsidRDefault="00E0371F" w:rsidP="00C473FB">
      <w:pPr>
        <w:pStyle w:val="ChartandTableFootnote"/>
        <w:rPr>
          <w:color w:val="auto"/>
        </w:rPr>
      </w:pPr>
      <w:r w:rsidRPr="00954D98">
        <w:rPr>
          <w:color w:val="auto"/>
        </w:rPr>
        <w:t xml:space="preserve">Source: </w:t>
      </w:r>
      <w:r w:rsidRPr="00954D98">
        <w:rPr>
          <w:color w:val="auto"/>
        </w:rPr>
        <w:tab/>
        <w:t>Treasury, International Monetary Fund.</w:t>
      </w:r>
    </w:p>
    <w:p w14:paraId="61B5570D" w14:textId="77777777" w:rsidR="00E0371F" w:rsidRPr="00954D98" w:rsidRDefault="00E0371F" w:rsidP="00385913">
      <w:pPr>
        <w:pStyle w:val="ChartLine"/>
      </w:pPr>
    </w:p>
    <w:p w14:paraId="66F992A5" w14:textId="31846385" w:rsidR="00F1044A" w:rsidRPr="00954D98" w:rsidRDefault="00F1044A" w:rsidP="00F1044A">
      <w:pPr>
        <w:pStyle w:val="Heading2"/>
      </w:pPr>
      <w:bookmarkStart w:id="9" w:name="_Toc148428062"/>
      <w:r w:rsidRPr="00954D98">
        <w:t xml:space="preserve">Fiscal </w:t>
      </w:r>
      <w:bookmarkEnd w:id="9"/>
      <w:r w:rsidR="006D4A4A" w:rsidRPr="00954D98">
        <w:t>o</w:t>
      </w:r>
      <w:r w:rsidRPr="00954D98">
        <w:t>utlook</w:t>
      </w:r>
    </w:p>
    <w:p w14:paraId="0F7BC2CC" w14:textId="77777777" w:rsidR="00F1044A" w:rsidRPr="00954D98" w:rsidRDefault="00F1044A" w:rsidP="006163DD">
      <w:pPr>
        <w:pStyle w:val="Heading3"/>
      </w:pPr>
      <w:bookmarkStart w:id="10" w:name="_Toc148428063"/>
      <w:r w:rsidRPr="00954D98">
        <w:t>Underlying cash balance estimates</w:t>
      </w:r>
      <w:bookmarkEnd w:id="10"/>
      <w:r w:rsidRPr="00954D98">
        <w:t xml:space="preserve"> </w:t>
      </w:r>
    </w:p>
    <w:p w14:paraId="227CDC66" w14:textId="22172EB1" w:rsidR="001B59BE" w:rsidRPr="00954D98" w:rsidRDefault="001B59BE" w:rsidP="00747224">
      <w:r w:rsidRPr="00954D98">
        <w:t>The underlying cash balance has improved by $</w:t>
      </w:r>
      <w:r w:rsidR="00C84B10" w:rsidRPr="00954D98">
        <w:t>8</w:t>
      </w:r>
      <w:r w:rsidR="009A6535" w:rsidRPr="00954D98">
        <w:t>.4</w:t>
      </w:r>
      <w:r w:rsidRPr="00954D98">
        <w:t xml:space="preserve"> billion over the </w:t>
      </w:r>
      <w:r w:rsidR="00EF2048" w:rsidRPr="00954D98">
        <w:t>four years</w:t>
      </w:r>
      <w:r w:rsidRPr="00954D98">
        <w:t xml:space="preserve"> to 2028–29 since the 2025</w:t>
      </w:r>
      <w:r w:rsidR="00467A8B">
        <w:t> </w:t>
      </w:r>
      <w:r w:rsidRPr="00954D98">
        <w:t>PEFO</w:t>
      </w:r>
      <w:r w:rsidR="00710959" w:rsidRPr="00954D98">
        <w:t>.</w:t>
      </w:r>
    </w:p>
    <w:p w14:paraId="2B1FFF4F" w14:textId="70040DBC" w:rsidR="001B59BE" w:rsidRPr="00954D98" w:rsidRDefault="001B59BE" w:rsidP="00747224">
      <w:r w:rsidRPr="00954D98">
        <w:t xml:space="preserve">The </w:t>
      </w:r>
      <w:r w:rsidR="00D9069C" w:rsidRPr="00954D98">
        <w:t>2025–26</w:t>
      </w:r>
      <w:r w:rsidRPr="00954D98">
        <w:t xml:space="preserve"> underlying cash balance is estimated to be a $</w:t>
      </w:r>
      <w:r w:rsidR="00F60AE3" w:rsidRPr="00954D98">
        <w:t>3</w:t>
      </w:r>
      <w:r w:rsidR="00974D42" w:rsidRPr="00954D98">
        <w:t>6</w:t>
      </w:r>
      <w:r w:rsidR="00F60AE3" w:rsidRPr="00954D98">
        <w:t>.</w:t>
      </w:r>
      <w:r w:rsidR="00FA0C6C" w:rsidRPr="00954D98">
        <w:t>8</w:t>
      </w:r>
      <w:r w:rsidRPr="00954D98">
        <w:t xml:space="preserve"> billion deficit (</w:t>
      </w:r>
      <w:r w:rsidR="00F60AE3" w:rsidRPr="00954D98">
        <w:t>1.3</w:t>
      </w:r>
      <w:r w:rsidR="00463541" w:rsidRPr="00954D98">
        <w:t> </w:t>
      </w:r>
      <w:r w:rsidRPr="00954D98">
        <w:t>per</w:t>
      </w:r>
      <w:r w:rsidR="00463541" w:rsidRPr="00954D98">
        <w:t> </w:t>
      </w:r>
      <w:r w:rsidRPr="00954D98">
        <w:t>cent of</w:t>
      </w:r>
      <w:r w:rsidR="006B5686">
        <w:t> </w:t>
      </w:r>
      <w:r w:rsidRPr="00954D98">
        <w:t xml:space="preserve">GDP), which is </w:t>
      </w:r>
      <w:r w:rsidR="0032465A" w:rsidRPr="00954D98">
        <w:t xml:space="preserve">a </w:t>
      </w:r>
      <w:r w:rsidRPr="00954D98">
        <w:t>$</w:t>
      </w:r>
      <w:r w:rsidR="008A2516" w:rsidRPr="00954D98">
        <w:t>5</w:t>
      </w:r>
      <w:r w:rsidR="00664927" w:rsidRPr="00954D98">
        <w:t>.4</w:t>
      </w:r>
      <w:r w:rsidRPr="00954D98">
        <w:t xml:space="preserve"> billion </w:t>
      </w:r>
      <w:r w:rsidR="0032465A" w:rsidRPr="00954D98">
        <w:t>improvement</w:t>
      </w:r>
      <w:r w:rsidRPr="00954D98">
        <w:t xml:space="preserve"> </w:t>
      </w:r>
      <w:r w:rsidR="0053666A" w:rsidRPr="00954D98">
        <w:t>compared to</w:t>
      </w:r>
      <w:r w:rsidRPr="00954D98">
        <w:t xml:space="preserve"> the </w:t>
      </w:r>
      <w:r w:rsidR="00882B16" w:rsidRPr="00954D98">
        <w:t>2025</w:t>
      </w:r>
      <w:r w:rsidR="002542A5" w:rsidRPr="00954D98">
        <w:t> </w:t>
      </w:r>
      <w:r w:rsidR="00953F1E" w:rsidRPr="00954D98">
        <w:t>PEFO</w:t>
      </w:r>
      <w:r w:rsidRPr="00954D98">
        <w:t xml:space="preserve"> </w:t>
      </w:r>
      <w:r w:rsidR="0013384A" w:rsidRPr="00954D98">
        <w:t>and</w:t>
      </w:r>
      <w:r w:rsidR="00476592" w:rsidRPr="00954D98">
        <w:t xml:space="preserve"> </w:t>
      </w:r>
      <w:r w:rsidR="002277A2" w:rsidRPr="00954D98">
        <w:t xml:space="preserve">a </w:t>
      </w:r>
      <w:r w:rsidR="005D5B70" w:rsidRPr="00954D98">
        <w:t>0.2</w:t>
      </w:r>
      <w:r w:rsidR="00E162A4" w:rsidRPr="00954D98">
        <w:t> </w:t>
      </w:r>
      <w:r w:rsidR="005D5B70" w:rsidRPr="00954D98">
        <w:t>percentage point</w:t>
      </w:r>
      <w:r w:rsidR="008506E4" w:rsidRPr="00954D98">
        <w:t>s</w:t>
      </w:r>
      <w:r w:rsidR="002277A2" w:rsidRPr="00954D98">
        <w:t xml:space="preserve"> improvement</w:t>
      </w:r>
      <w:r w:rsidRPr="00954D98">
        <w:t xml:space="preserve"> </w:t>
      </w:r>
      <w:r w:rsidR="00A67004" w:rsidRPr="00954D98">
        <w:t xml:space="preserve">as a proportion of </w:t>
      </w:r>
      <w:r w:rsidRPr="00954D98">
        <w:t>GDP (Table 3.</w:t>
      </w:r>
      <w:r w:rsidR="00CA7B8F" w:rsidRPr="00954D98">
        <w:t>2</w:t>
      </w:r>
      <w:r w:rsidRPr="00954D98">
        <w:t xml:space="preserve">). </w:t>
      </w:r>
    </w:p>
    <w:p w14:paraId="059253C4" w14:textId="4DA29F78" w:rsidR="001B59BE" w:rsidRPr="00954D98" w:rsidRDefault="001B59BE" w:rsidP="00747224">
      <w:r w:rsidRPr="00954D98">
        <w:t>The underlying cash deficit is then expected to improve to $</w:t>
      </w:r>
      <w:r w:rsidR="004C0A9C" w:rsidRPr="00954D98">
        <w:t>36.</w:t>
      </w:r>
      <w:r w:rsidR="007D0EF4" w:rsidRPr="00954D98">
        <w:t>0</w:t>
      </w:r>
      <w:r w:rsidR="00F92AE5" w:rsidRPr="00954D98">
        <w:t> </w:t>
      </w:r>
      <w:r w:rsidRPr="00954D98">
        <w:t>billion (</w:t>
      </w:r>
      <w:r w:rsidR="004C0A9C" w:rsidRPr="00954D98">
        <w:t>1.1</w:t>
      </w:r>
      <w:r w:rsidRPr="00954D98">
        <w:t xml:space="preserve"> per</w:t>
      </w:r>
      <w:r w:rsidR="00F92AE5" w:rsidRPr="00954D98">
        <w:t> </w:t>
      </w:r>
      <w:r w:rsidRPr="00954D98">
        <w:t>cent of</w:t>
      </w:r>
      <w:r w:rsidR="006B5686">
        <w:t> </w:t>
      </w:r>
      <w:r w:rsidRPr="00954D98">
        <w:t xml:space="preserve">GDP) </w:t>
      </w:r>
      <w:r w:rsidR="00F11DF6" w:rsidRPr="00954D98">
        <w:t>by</w:t>
      </w:r>
      <w:r w:rsidRPr="00954D98">
        <w:t xml:space="preserve"> 2028–29. </w:t>
      </w:r>
    </w:p>
    <w:p w14:paraId="1E40B286" w14:textId="11964A07" w:rsidR="001B598A" w:rsidRDefault="00DC0423" w:rsidP="00116FD7">
      <w:r w:rsidRPr="00954D98">
        <w:t>N</w:t>
      </w:r>
      <w:r w:rsidR="001B59BE" w:rsidRPr="00954D98">
        <w:t xml:space="preserve">et policy decisions have </w:t>
      </w:r>
      <w:r w:rsidR="00792F21" w:rsidRPr="00954D98">
        <w:t>improved</w:t>
      </w:r>
      <w:r w:rsidR="001B59BE" w:rsidRPr="00954D98">
        <w:t xml:space="preserve"> the underlying cash </w:t>
      </w:r>
      <w:r w:rsidR="00792F21" w:rsidRPr="00954D98">
        <w:t>balance</w:t>
      </w:r>
      <w:r w:rsidR="001B59BE" w:rsidRPr="00954D98">
        <w:t xml:space="preserve"> by $</w:t>
      </w:r>
      <w:r w:rsidR="00E95D6F" w:rsidRPr="00954D98">
        <w:t>2.</w:t>
      </w:r>
      <w:r w:rsidR="007D0EF4" w:rsidRPr="00954D98">
        <w:t>2</w:t>
      </w:r>
      <w:r w:rsidR="00F92AE5" w:rsidRPr="00954D98">
        <w:t> </w:t>
      </w:r>
      <w:r w:rsidR="001B59BE" w:rsidRPr="00954D98">
        <w:t>billion</w:t>
      </w:r>
      <w:r w:rsidRPr="00954D98">
        <w:t xml:space="preserve"> over the four years to 2028</w:t>
      </w:r>
      <w:r w:rsidR="008102D2" w:rsidRPr="00954D98">
        <w:rPr>
          <w:w w:val="1"/>
        </w:rPr>
        <w:t> </w:t>
      </w:r>
      <w:r w:rsidR="008102D2" w:rsidRPr="00954D98">
        <w:t>–</w:t>
      </w:r>
      <w:r w:rsidR="008102D2" w:rsidRPr="00954D98">
        <w:rPr>
          <w:w w:val="1"/>
        </w:rPr>
        <w:t> </w:t>
      </w:r>
      <w:r w:rsidRPr="00954D98">
        <w:t>29</w:t>
      </w:r>
      <w:r w:rsidR="001B59BE" w:rsidRPr="00954D98">
        <w:t>.</w:t>
      </w:r>
      <w:r w:rsidR="00F92AE5" w:rsidRPr="00954D98">
        <w:t xml:space="preserve"> </w:t>
      </w:r>
      <w:r w:rsidR="001B59BE" w:rsidRPr="00954D98">
        <w:t xml:space="preserve">This includes </w:t>
      </w:r>
      <w:r w:rsidR="009468B2" w:rsidRPr="00954D98">
        <w:t>reducing spending on consultants and contractors in the APS</w:t>
      </w:r>
      <w:r w:rsidR="008F75AE" w:rsidRPr="00954D98">
        <w:t>, strengthening program integrity in the Veterans</w:t>
      </w:r>
      <w:r w:rsidR="00536CFF">
        <w:t>’</w:t>
      </w:r>
      <w:r w:rsidR="008F75AE" w:rsidRPr="00954D98">
        <w:t xml:space="preserve"> Affairs portfolio</w:t>
      </w:r>
      <w:r w:rsidR="001441B0" w:rsidRPr="00954D98">
        <w:t>,</w:t>
      </w:r>
      <w:r w:rsidR="009468B2" w:rsidRPr="00954D98">
        <w:t xml:space="preserve"> </w:t>
      </w:r>
      <w:r w:rsidR="001441B0" w:rsidRPr="00954D98">
        <w:t>gradually returning deeming rates to pre</w:t>
      </w:r>
      <w:r w:rsidR="00536CFF">
        <w:noBreakHyphen/>
      </w:r>
      <w:r w:rsidR="001441B0" w:rsidRPr="00954D98">
        <w:t xml:space="preserve">pandemic settings, </w:t>
      </w:r>
      <w:r w:rsidR="009468B2" w:rsidRPr="00954D98">
        <w:t>and increasing student visa application charges</w:t>
      </w:r>
      <w:r w:rsidR="001B59BE" w:rsidRPr="00954D98">
        <w:t xml:space="preserve">. </w:t>
      </w:r>
      <w:r w:rsidR="00792F21" w:rsidRPr="00954D98">
        <w:t xml:space="preserve">This is the </w:t>
      </w:r>
      <w:r w:rsidR="00A93385" w:rsidRPr="00954D98">
        <w:t>first time in eight year</w:t>
      </w:r>
      <w:r w:rsidR="003D6310" w:rsidRPr="00954D98">
        <w:t>s</w:t>
      </w:r>
      <w:r w:rsidR="00A93385" w:rsidRPr="00954D98">
        <w:t xml:space="preserve"> </w:t>
      </w:r>
      <w:r w:rsidR="00A74ECE" w:rsidRPr="00954D98">
        <w:t xml:space="preserve">that </w:t>
      </w:r>
      <w:r w:rsidR="00A93385" w:rsidRPr="00954D98">
        <w:t>net policy decisions are positive</w:t>
      </w:r>
      <w:r w:rsidR="002F79B8" w:rsidRPr="00954D98">
        <w:t xml:space="preserve"> in a budget update</w:t>
      </w:r>
      <w:r w:rsidR="00792F21" w:rsidRPr="00954D98">
        <w:t>.</w:t>
      </w:r>
      <w:r w:rsidR="001B59BE" w:rsidRPr="00954D98">
        <w:t xml:space="preserve"> Parameter and other variations since </w:t>
      </w:r>
      <w:r w:rsidR="008B30A4" w:rsidRPr="00954D98">
        <w:t xml:space="preserve">PEFO </w:t>
      </w:r>
      <w:r w:rsidR="001B59BE" w:rsidRPr="00954D98">
        <w:t xml:space="preserve">have </w:t>
      </w:r>
      <w:r w:rsidR="007D0EF4" w:rsidRPr="00954D98">
        <w:t>improved</w:t>
      </w:r>
      <w:r w:rsidR="001B59BE" w:rsidRPr="00954D98">
        <w:t xml:space="preserve"> the underlying cash </w:t>
      </w:r>
      <w:r w:rsidR="007D0EF4" w:rsidRPr="00954D98">
        <w:t xml:space="preserve">balance </w:t>
      </w:r>
      <w:r w:rsidR="001B59BE" w:rsidRPr="00954D98">
        <w:t>by $</w:t>
      </w:r>
      <w:r w:rsidR="00880F41" w:rsidRPr="00954D98">
        <w:t>6.</w:t>
      </w:r>
      <w:r w:rsidR="00675E35" w:rsidRPr="00954D98">
        <w:t>2</w:t>
      </w:r>
      <w:r w:rsidR="00F92AE5" w:rsidRPr="00954D98">
        <w:t> </w:t>
      </w:r>
      <w:r w:rsidR="001B59BE" w:rsidRPr="00954D98">
        <w:t xml:space="preserve">billion over the </w:t>
      </w:r>
      <w:r w:rsidR="007939DC" w:rsidRPr="00954D98">
        <w:t>four</w:t>
      </w:r>
      <w:r w:rsidR="001B59BE" w:rsidRPr="00954D98">
        <w:t xml:space="preserve"> years to 2028–29. </w:t>
      </w:r>
      <w:r w:rsidR="001B598A">
        <w:br w:type="page"/>
      </w:r>
    </w:p>
    <w:p w14:paraId="522713A8" w14:textId="3CD704AE" w:rsidR="00B9190E" w:rsidRPr="00954D98" w:rsidRDefault="00F1044A" w:rsidP="00B9190E">
      <w:pPr>
        <w:pStyle w:val="TableHeading"/>
        <w:rPr>
          <w:rFonts w:asciiTheme="minorHAnsi" w:eastAsiaTheme="minorHAnsi" w:hAnsiTheme="minorHAnsi" w:cstheme="minorBidi"/>
          <w:sz w:val="22"/>
          <w:szCs w:val="22"/>
          <w:lang w:eastAsia="en-US"/>
        </w:rPr>
      </w:pPr>
      <w:bookmarkStart w:id="11" w:name="_Toc134093761"/>
      <w:bookmarkStart w:id="12" w:name="_Toc148428065"/>
      <w:r w:rsidRPr="00954D98">
        <w:lastRenderedPageBreak/>
        <w:t>Table 3.</w:t>
      </w:r>
      <w:r w:rsidR="00615D6E" w:rsidRPr="00954D98">
        <w:t>2</w:t>
      </w:r>
      <w:r w:rsidRPr="00954D98">
        <w:t>: Reconciliation of general government sector underlying cash balance estimates</w:t>
      </w:r>
    </w:p>
    <w:tbl>
      <w:tblPr>
        <w:tblW w:w="5000" w:type="pct"/>
        <w:tblCellMar>
          <w:left w:w="0" w:type="dxa"/>
          <w:right w:w="28" w:type="dxa"/>
        </w:tblCellMar>
        <w:tblLook w:val="04A0" w:firstRow="1" w:lastRow="0" w:firstColumn="1" w:lastColumn="0" w:noHBand="0" w:noVBand="1"/>
      </w:tblPr>
      <w:tblGrid>
        <w:gridCol w:w="3346"/>
        <w:gridCol w:w="889"/>
        <w:gridCol w:w="889"/>
        <w:gridCol w:w="889"/>
        <w:gridCol w:w="889"/>
        <w:gridCol w:w="81"/>
        <w:gridCol w:w="727"/>
      </w:tblGrid>
      <w:tr w:rsidR="0008560F" w:rsidRPr="00954D98" w14:paraId="2D91D49C" w14:textId="77777777" w:rsidTr="0008560F">
        <w:trPr>
          <w:trHeight w:hRule="exact" w:val="225"/>
        </w:trPr>
        <w:tc>
          <w:tcPr>
            <w:tcW w:w="2071" w:type="pct"/>
            <w:tcBorders>
              <w:top w:val="single" w:sz="4" w:space="0" w:color="293F5B"/>
              <w:left w:val="nil"/>
              <w:bottom w:val="nil"/>
              <w:right w:val="nil"/>
            </w:tcBorders>
            <w:shd w:val="clear" w:color="000000" w:fill="FFFFFF"/>
            <w:noWrap/>
            <w:vAlign w:val="bottom"/>
            <w:hideMark/>
          </w:tcPr>
          <w:p w14:paraId="5EB0E24F" w14:textId="77777777" w:rsidR="0008560F" w:rsidRPr="00954D98" w:rsidRDefault="0008560F" w:rsidP="0008560F">
            <w:pPr>
              <w:spacing w:before="0" w:after="0" w:line="240" w:lineRule="auto"/>
              <w:rPr>
                <w:rFonts w:ascii="Calibri" w:hAnsi="Calibri" w:cs="Calibri"/>
                <w:color w:val="FFFF00"/>
                <w:sz w:val="22"/>
                <w:szCs w:val="22"/>
              </w:rPr>
            </w:pPr>
            <w:r w:rsidRPr="00954D98">
              <w:rPr>
                <w:rFonts w:ascii="Calibri" w:hAnsi="Calibri" w:cs="Calibri"/>
                <w:sz w:val="22"/>
                <w:szCs w:val="22"/>
              </w:rPr>
              <w:t> </w:t>
            </w:r>
          </w:p>
        </w:tc>
        <w:tc>
          <w:tcPr>
            <w:tcW w:w="2372" w:type="pct"/>
            <w:gridSpan w:val="4"/>
            <w:tcBorders>
              <w:top w:val="single" w:sz="4" w:space="0" w:color="auto"/>
              <w:left w:val="nil"/>
              <w:bottom w:val="single" w:sz="4" w:space="0" w:color="293F5B"/>
              <w:right w:val="nil"/>
            </w:tcBorders>
            <w:shd w:val="clear" w:color="000000" w:fill="FFFFFF"/>
            <w:noWrap/>
            <w:vAlign w:val="center"/>
            <w:hideMark/>
          </w:tcPr>
          <w:p w14:paraId="42E6DDDF" w14:textId="77777777" w:rsidR="0008560F" w:rsidRPr="00954D98" w:rsidRDefault="0008560F" w:rsidP="0008560F">
            <w:pPr>
              <w:spacing w:before="0" w:after="0" w:line="240" w:lineRule="auto"/>
              <w:jc w:val="center"/>
              <w:rPr>
                <w:rFonts w:ascii="Arial" w:hAnsi="Arial" w:cs="Arial"/>
                <w:color w:val="FFFF00"/>
                <w:sz w:val="16"/>
                <w:szCs w:val="16"/>
              </w:rPr>
            </w:pPr>
            <w:r w:rsidRPr="00954D98">
              <w:rPr>
                <w:rFonts w:ascii="Arial" w:hAnsi="Arial" w:cs="Arial"/>
                <w:sz w:val="16"/>
                <w:szCs w:val="16"/>
              </w:rPr>
              <w:t>Estimates</w:t>
            </w:r>
          </w:p>
        </w:tc>
        <w:tc>
          <w:tcPr>
            <w:tcW w:w="69" w:type="pct"/>
            <w:tcBorders>
              <w:top w:val="single" w:sz="4" w:space="0" w:color="293F5B"/>
              <w:left w:val="nil"/>
              <w:bottom w:val="nil"/>
              <w:right w:val="nil"/>
            </w:tcBorders>
            <w:shd w:val="clear" w:color="000000" w:fill="FFFFFF"/>
            <w:noWrap/>
            <w:vAlign w:val="center"/>
            <w:hideMark/>
          </w:tcPr>
          <w:p w14:paraId="2DDA8071" w14:textId="77777777" w:rsidR="0008560F" w:rsidRPr="00954D98" w:rsidRDefault="0008560F" w:rsidP="0008560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89" w:type="pct"/>
            <w:tcBorders>
              <w:top w:val="single" w:sz="4" w:space="0" w:color="293F5B"/>
              <w:left w:val="nil"/>
              <w:bottom w:val="single" w:sz="4" w:space="0" w:color="293F5B"/>
              <w:right w:val="nil"/>
            </w:tcBorders>
            <w:shd w:val="clear" w:color="000000" w:fill="FFFFFF"/>
            <w:noWrap/>
            <w:vAlign w:val="center"/>
            <w:hideMark/>
          </w:tcPr>
          <w:p w14:paraId="327E2D05" w14:textId="77777777" w:rsidR="0008560F" w:rsidRPr="00954D98" w:rsidRDefault="0008560F" w:rsidP="0008560F">
            <w:pPr>
              <w:spacing w:before="0" w:after="0" w:line="240" w:lineRule="auto"/>
              <w:rPr>
                <w:rFonts w:ascii="Arial" w:hAnsi="Arial" w:cs="Arial"/>
                <w:sz w:val="16"/>
                <w:szCs w:val="16"/>
              </w:rPr>
            </w:pPr>
            <w:r w:rsidRPr="00954D98">
              <w:rPr>
                <w:rFonts w:ascii="Arial" w:hAnsi="Arial" w:cs="Arial"/>
                <w:sz w:val="16"/>
                <w:szCs w:val="16"/>
              </w:rPr>
              <w:t> </w:t>
            </w:r>
          </w:p>
        </w:tc>
      </w:tr>
      <w:tr w:rsidR="0008560F" w:rsidRPr="00954D98" w14:paraId="506352B9" w14:textId="77777777" w:rsidTr="0008560F">
        <w:trPr>
          <w:trHeight w:hRule="exact" w:val="225"/>
        </w:trPr>
        <w:tc>
          <w:tcPr>
            <w:tcW w:w="2071" w:type="pct"/>
            <w:tcBorders>
              <w:top w:val="nil"/>
              <w:left w:val="nil"/>
              <w:bottom w:val="nil"/>
              <w:right w:val="nil"/>
            </w:tcBorders>
            <w:shd w:val="clear" w:color="000000" w:fill="FFFFFF"/>
            <w:noWrap/>
            <w:vAlign w:val="bottom"/>
            <w:hideMark/>
          </w:tcPr>
          <w:p w14:paraId="4E963C90" w14:textId="77777777" w:rsidR="0008560F" w:rsidRPr="00954D98" w:rsidRDefault="0008560F" w:rsidP="0008560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93" w:type="pct"/>
            <w:tcBorders>
              <w:top w:val="single" w:sz="4" w:space="0" w:color="293F5B"/>
              <w:left w:val="nil"/>
              <w:bottom w:val="nil"/>
              <w:right w:val="nil"/>
            </w:tcBorders>
            <w:shd w:val="clear" w:color="000000" w:fill="E6F2FF"/>
            <w:noWrap/>
            <w:vAlign w:val="center"/>
            <w:hideMark/>
          </w:tcPr>
          <w:p w14:paraId="749E3C9F"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2025-26</w:t>
            </w:r>
          </w:p>
        </w:tc>
        <w:tc>
          <w:tcPr>
            <w:tcW w:w="593" w:type="pct"/>
            <w:tcBorders>
              <w:top w:val="single" w:sz="4" w:space="0" w:color="293F5B"/>
              <w:left w:val="nil"/>
              <w:bottom w:val="nil"/>
              <w:right w:val="nil"/>
            </w:tcBorders>
            <w:shd w:val="clear" w:color="000000" w:fill="FFFFFF"/>
            <w:noWrap/>
            <w:vAlign w:val="center"/>
            <w:hideMark/>
          </w:tcPr>
          <w:p w14:paraId="75889792"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2026-27</w:t>
            </w:r>
          </w:p>
        </w:tc>
        <w:tc>
          <w:tcPr>
            <w:tcW w:w="593" w:type="pct"/>
            <w:tcBorders>
              <w:top w:val="single" w:sz="4" w:space="0" w:color="293F5B"/>
              <w:left w:val="nil"/>
              <w:bottom w:val="nil"/>
              <w:right w:val="nil"/>
            </w:tcBorders>
            <w:shd w:val="clear" w:color="000000" w:fill="FFFFFF"/>
            <w:noWrap/>
            <w:vAlign w:val="center"/>
            <w:hideMark/>
          </w:tcPr>
          <w:p w14:paraId="142BA6F7"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2027-28</w:t>
            </w:r>
          </w:p>
        </w:tc>
        <w:tc>
          <w:tcPr>
            <w:tcW w:w="593" w:type="pct"/>
            <w:tcBorders>
              <w:top w:val="nil"/>
              <w:left w:val="nil"/>
              <w:bottom w:val="nil"/>
              <w:right w:val="nil"/>
            </w:tcBorders>
            <w:shd w:val="clear" w:color="000000" w:fill="FFFFFF"/>
            <w:noWrap/>
            <w:vAlign w:val="center"/>
            <w:hideMark/>
          </w:tcPr>
          <w:p w14:paraId="69B10CFF"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2028-29</w:t>
            </w:r>
          </w:p>
        </w:tc>
        <w:tc>
          <w:tcPr>
            <w:tcW w:w="69" w:type="pct"/>
            <w:tcBorders>
              <w:top w:val="nil"/>
              <w:left w:val="nil"/>
              <w:bottom w:val="nil"/>
              <w:right w:val="nil"/>
            </w:tcBorders>
            <w:shd w:val="clear" w:color="000000" w:fill="FFFFFF"/>
            <w:noWrap/>
            <w:vAlign w:val="center"/>
            <w:hideMark/>
          </w:tcPr>
          <w:p w14:paraId="484C867A"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nil"/>
              <w:right w:val="nil"/>
            </w:tcBorders>
            <w:shd w:val="clear" w:color="000000" w:fill="FFFFFF"/>
            <w:noWrap/>
            <w:vAlign w:val="center"/>
            <w:hideMark/>
          </w:tcPr>
          <w:p w14:paraId="3ACFC91E" w14:textId="77777777" w:rsidR="0008560F" w:rsidRPr="00954D98" w:rsidRDefault="0008560F" w:rsidP="0008560F">
            <w:pPr>
              <w:spacing w:before="0" w:after="0" w:line="240" w:lineRule="auto"/>
              <w:jc w:val="right"/>
              <w:rPr>
                <w:rFonts w:ascii="Arial" w:hAnsi="Arial" w:cs="Arial"/>
                <w:sz w:val="16"/>
                <w:szCs w:val="16"/>
              </w:rPr>
            </w:pPr>
            <w:r w:rsidRPr="00954D98">
              <w:rPr>
                <w:rFonts w:ascii="Arial" w:hAnsi="Arial" w:cs="Arial"/>
                <w:sz w:val="16"/>
                <w:szCs w:val="16"/>
              </w:rPr>
              <w:t>Total</w:t>
            </w:r>
          </w:p>
        </w:tc>
      </w:tr>
      <w:tr w:rsidR="002C4687" w:rsidRPr="00954D98" w14:paraId="4FFD3C02" w14:textId="77777777" w:rsidTr="0008560F">
        <w:trPr>
          <w:trHeight w:val="225"/>
        </w:trPr>
        <w:tc>
          <w:tcPr>
            <w:tcW w:w="2071" w:type="pct"/>
            <w:tcBorders>
              <w:top w:val="nil"/>
              <w:left w:val="nil"/>
              <w:bottom w:val="nil"/>
              <w:right w:val="nil"/>
            </w:tcBorders>
            <w:shd w:val="clear" w:color="000000" w:fill="FFFFFF"/>
            <w:noWrap/>
            <w:vAlign w:val="center"/>
            <w:hideMark/>
          </w:tcPr>
          <w:p w14:paraId="0D696059" w14:textId="77777777" w:rsidR="0008560F" w:rsidRPr="00954D98" w:rsidRDefault="0008560F" w:rsidP="0008560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single" w:sz="4" w:space="0" w:color="293F5B"/>
              <w:right w:val="nil"/>
            </w:tcBorders>
            <w:shd w:val="clear" w:color="000000" w:fill="E6F2FF"/>
            <w:noWrap/>
            <w:vAlign w:val="center"/>
            <w:hideMark/>
          </w:tcPr>
          <w:p w14:paraId="1EA1E158"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93" w:type="pct"/>
            <w:tcBorders>
              <w:top w:val="nil"/>
              <w:left w:val="nil"/>
              <w:bottom w:val="single" w:sz="4" w:space="0" w:color="293F5B"/>
              <w:right w:val="nil"/>
            </w:tcBorders>
            <w:shd w:val="clear" w:color="000000" w:fill="FFFFFF"/>
            <w:noWrap/>
            <w:vAlign w:val="center"/>
            <w:hideMark/>
          </w:tcPr>
          <w:p w14:paraId="434EAA7C"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93" w:type="pct"/>
            <w:tcBorders>
              <w:top w:val="nil"/>
              <w:left w:val="nil"/>
              <w:bottom w:val="single" w:sz="4" w:space="0" w:color="293F5B"/>
              <w:right w:val="nil"/>
            </w:tcBorders>
            <w:shd w:val="clear" w:color="000000" w:fill="FFFFFF"/>
            <w:noWrap/>
            <w:vAlign w:val="center"/>
            <w:hideMark/>
          </w:tcPr>
          <w:p w14:paraId="3BEF35C2"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93" w:type="pct"/>
            <w:tcBorders>
              <w:top w:val="nil"/>
              <w:left w:val="nil"/>
              <w:bottom w:val="single" w:sz="4" w:space="0" w:color="293F5B"/>
              <w:right w:val="nil"/>
            </w:tcBorders>
            <w:shd w:val="clear" w:color="000000" w:fill="FFFFFF"/>
            <w:noWrap/>
            <w:vAlign w:val="center"/>
            <w:hideMark/>
          </w:tcPr>
          <w:p w14:paraId="62EE1DBB"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69" w:type="pct"/>
            <w:tcBorders>
              <w:top w:val="nil"/>
              <w:left w:val="nil"/>
              <w:bottom w:val="nil"/>
              <w:right w:val="nil"/>
            </w:tcBorders>
            <w:shd w:val="clear" w:color="000000" w:fill="FFFFFF"/>
            <w:noWrap/>
            <w:vAlign w:val="center"/>
            <w:hideMark/>
          </w:tcPr>
          <w:p w14:paraId="63F768FF"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single" w:sz="4" w:space="0" w:color="293F5B"/>
              <w:right w:val="nil"/>
            </w:tcBorders>
            <w:shd w:val="clear" w:color="000000" w:fill="FFFFFF"/>
            <w:noWrap/>
            <w:vAlign w:val="center"/>
            <w:hideMark/>
          </w:tcPr>
          <w:p w14:paraId="2583E537" w14:textId="77777777" w:rsidR="0008560F" w:rsidRPr="00954D98" w:rsidRDefault="0008560F" w:rsidP="0008560F">
            <w:pPr>
              <w:spacing w:before="0" w:after="0" w:line="240" w:lineRule="auto"/>
              <w:jc w:val="right"/>
              <w:rPr>
                <w:rFonts w:ascii="Arial" w:hAnsi="Arial" w:cs="Arial"/>
                <w:sz w:val="16"/>
                <w:szCs w:val="16"/>
              </w:rPr>
            </w:pPr>
            <w:r w:rsidRPr="00954D98">
              <w:rPr>
                <w:rFonts w:ascii="Arial" w:hAnsi="Arial" w:cs="Arial"/>
                <w:sz w:val="16"/>
                <w:szCs w:val="16"/>
              </w:rPr>
              <w:t>$m</w:t>
            </w:r>
          </w:p>
        </w:tc>
      </w:tr>
      <w:tr w:rsidR="0008560F" w:rsidRPr="00954D98" w14:paraId="6ABB4110"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40F3E813"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2025-26 Budget underlying cash balance</w:t>
            </w:r>
          </w:p>
        </w:tc>
        <w:tc>
          <w:tcPr>
            <w:tcW w:w="593" w:type="pct"/>
            <w:tcBorders>
              <w:top w:val="nil"/>
              <w:left w:val="nil"/>
              <w:bottom w:val="nil"/>
              <w:right w:val="nil"/>
            </w:tcBorders>
            <w:shd w:val="clear" w:color="000000" w:fill="E6F2FF"/>
            <w:noWrap/>
            <w:vAlign w:val="bottom"/>
            <w:hideMark/>
          </w:tcPr>
          <w:p w14:paraId="681B0873"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-42,122</w:t>
            </w:r>
          </w:p>
        </w:tc>
        <w:tc>
          <w:tcPr>
            <w:tcW w:w="593" w:type="pct"/>
            <w:tcBorders>
              <w:top w:val="nil"/>
              <w:left w:val="nil"/>
              <w:bottom w:val="nil"/>
              <w:right w:val="nil"/>
            </w:tcBorders>
            <w:shd w:val="clear" w:color="000000" w:fill="FFFFFF"/>
            <w:noWrap/>
            <w:vAlign w:val="bottom"/>
            <w:hideMark/>
          </w:tcPr>
          <w:p w14:paraId="70202507"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-35,706</w:t>
            </w:r>
          </w:p>
        </w:tc>
        <w:tc>
          <w:tcPr>
            <w:tcW w:w="593" w:type="pct"/>
            <w:tcBorders>
              <w:top w:val="nil"/>
              <w:left w:val="nil"/>
              <w:bottom w:val="nil"/>
              <w:right w:val="nil"/>
            </w:tcBorders>
            <w:shd w:val="clear" w:color="000000" w:fill="FFFFFF"/>
            <w:noWrap/>
            <w:vAlign w:val="bottom"/>
            <w:hideMark/>
          </w:tcPr>
          <w:p w14:paraId="1C39640C"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-37,247</w:t>
            </w:r>
          </w:p>
        </w:tc>
        <w:tc>
          <w:tcPr>
            <w:tcW w:w="593" w:type="pct"/>
            <w:tcBorders>
              <w:top w:val="nil"/>
              <w:left w:val="nil"/>
              <w:bottom w:val="nil"/>
              <w:right w:val="nil"/>
            </w:tcBorders>
            <w:shd w:val="clear" w:color="000000" w:fill="FFFFFF"/>
            <w:noWrap/>
            <w:vAlign w:val="bottom"/>
            <w:hideMark/>
          </w:tcPr>
          <w:p w14:paraId="60BFE66A"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-36,854</w:t>
            </w:r>
          </w:p>
        </w:tc>
        <w:tc>
          <w:tcPr>
            <w:tcW w:w="69" w:type="pct"/>
            <w:tcBorders>
              <w:top w:val="nil"/>
              <w:left w:val="nil"/>
              <w:bottom w:val="nil"/>
              <w:right w:val="nil"/>
            </w:tcBorders>
            <w:shd w:val="clear" w:color="000000" w:fill="FFFFFF"/>
            <w:noWrap/>
            <w:vAlign w:val="center"/>
            <w:hideMark/>
          </w:tcPr>
          <w:p w14:paraId="3CF76A57"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nil"/>
              <w:right w:val="nil"/>
            </w:tcBorders>
            <w:shd w:val="clear" w:color="000000" w:fill="FFFFFF"/>
            <w:noWrap/>
            <w:vAlign w:val="center"/>
            <w:hideMark/>
          </w:tcPr>
          <w:p w14:paraId="7AB772C7" w14:textId="77777777" w:rsidR="0008560F" w:rsidRPr="00954D98" w:rsidRDefault="0008560F" w:rsidP="0008560F">
            <w:pPr>
              <w:spacing w:before="0" w:after="0" w:line="240" w:lineRule="auto"/>
              <w:jc w:val="right"/>
              <w:rPr>
                <w:rFonts w:ascii="Arial" w:hAnsi="Arial" w:cs="Arial"/>
                <w:b/>
                <w:bCs/>
                <w:sz w:val="16"/>
                <w:szCs w:val="16"/>
              </w:rPr>
            </w:pPr>
            <w:r w:rsidRPr="00954D98">
              <w:rPr>
                <w:rFonts w:ascii="Arial" w:hAnsi="Arial" w:cs="Arial"/>
                <w:b/>
                <w:bCs/>
                <w:sz w:val="16"/>
                <w:szCs w:val="16"/>
              </w:rPr>
              <w:t>-151,929</w:t>
            </w:r>
          </w:p>
        </w:tc>
      </w:tr>
      <w:tr w:rsidR="0008560F" w:rsidRPr="00954D98" w14:paraId="4020B9F7"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2CBBFDEC" w14:textId="77777777" w:rsidR="0008560F" w:rsidRPr="00954D98" w:rsidRDefault="0008560F" w:rsidP="0008560F">
            <w:pPr>
              <w:spacing w:before="0" w:after="0" w:line="240" w:lineRule="auto"/>
              <w:rPr>
                <w:rFonts w:ascii="Arial" w:hAnsi="Arial" w:cs="Arial"/>
                <w:color w:val="FFFF00"/>
                <w:sz w:val="16"/>
                <w:szCs w:val="16"/>
              </w:rPr>
            </w:pPr>
            <w:r w:rsidRPr="00954D98">
              <w:rPr>
                <w:rFonts w:ascii="Arial" w:hAnsi="Arial" w:cs="Arial"/>
                <w:sz w:val="16"/>
                <w:szCs w:val="16"/>
              </w:rPr>
              <w:t>Per cent of GDP</w:t>
            </w:r>
          </w:p>
        </w:tc>
        <w:tc>
          <w:tcPr>
            <w:tcW w:w="593" w:type="pct"/>
            <w:tcBorders>
              <w:top w:val="nil"/>
              <w:left w:val="nil"/>
              <w:bottom w:val="nil"/>
              <w:right w:val="nil"/>
            </w:tcBorders>
            <w:shd w:val="clear" w:color="000000" w:fill="E6F2FF"/>
            <w:noWrap/>
            <w:vAlign w:val="center"/>
            <w:hideMark/>
          </w:tcPr>
          <w:p w14:paraId="43090AEB"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-1.5</w:t>
            </w:r>
          </w:p>
        </w:tc>
        <w:tc>
          <w:tcPr>
            <w:tcW w:w="593" w:type="pct"/>
            <w:tcBorders>
              <w:top w:val="nil"/>
              <w:left w:val="nil"/>
              <w:bottom w:val="nil"/>
              <w:right w:val="nil"/>
            </w:tcBorders>
            <w:shd w:val="clear" w:color="000000" w:fill="FFFFFF"/>
            <w:noWrap/>
            <w:vAlign w:val="center"/>
            <w:hideMark/>
          </w:tcPr>
          <w:p w14:paraId="4CF4BE73"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-1.2</w:t>
            </w:r>
          </w:p>
        </w:tc>
        <w:tc>
          <w:tcPr>
            <w:tcW w:w="593" w:type="pct"/>
            <w:tcBorders>
              <w:top w:val="nil"/>
              <w:left w:val="nil"/>
              <w:bottom w:val="nil"/>
              <w:right w:val="nil"/>
            </w:tcBorders>
            <w:shd w:val="clear" w:color="000000" w:fill="FFFFFF"/>
            <w:noWrap/>
            <w:vAlign w:val="center"/>
            <w:hideMark/>
          </w:tcPr>
          <w:p w14:paraId="643B1CE3"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-1.2</w:t>
            </w:r>
          </w:p>
        </w:tc>
        <w:tc>
          <w:tcPr>
            <w:tcW w:w="593" w:type="pct"/>
            <w:tcBorders>
              <w:top w:val="nil"/>
              <w:left w:val="nil"/>
              <w:bottom w:val="nil"/>
              <w:right w:val="nil"/>
            </w:tcBorders>
            <w:shd w:val="clear" w:color="000000" w:fill="FFFFFF"/>
            <w:noWrap/>
            <w:vAlign w:val="center"/>
            <w:hideMark/>
          </w:tcPr>
          <w:p w14:paraId="4AD02BDF"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-1.1</w:t>
            </w:r>
          </w:p>
        </w:tc>
        <w:tc>
          <w:tcPr>
            <w:tcW w:w="69" w:type="pct"/>
            <w:tcBorders>
              <w:top w:val="nil"/>
              <w:left w:val="nil"/>
              <w:bottom w:val="nil"/>
              <w:right w:val="nil"/>
            </w:tcBorders>
            <w:shd w:val="clear" w:color="000000" w:fill="FFFFFF"/>
            <w:noWrap/>
            <w:vAlign w:val="center"/>
            <w:hideMark/>
          </w:tcPr>
          <w:p w14:paraId="2F2FEA12"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nil"/>
              <w:right w:val="nil"/>
            </w:tcBorders>
            <w:shd w:val="clear" w:color="000000" w:fill="FFFFFF"/>
            <w:noWrap/>
            <w:vAlign w:val="center"/>
            <w:hideMark/>
          </w:tcPr>
          <w:p w14:paraId="5C338922" w14:textId="77777777" w:rsidR="0008560F" w:rsidRPr="00954D98" w:rsidRDefault="0008560F" w:rsidP="0008560F">
            <w:pPr>
              <w:spacing w:before="0" w:after="0" w:line="240" w:lineRule="auto"/>
              <w:rPr>
                <w:rFonts w:ascii="Arial" w:hAnsi="Arial" w:cs="Arial"/>
                <w:sz w:val="16"/>
                <w:szCs w:val="16"/>
              </w:rPr>
            </w:pPr>
            <w:r w:rsidRPr="00954D98">
              <w:rPr>
                <w:rFonts w:ascii="Arial" w:hAnsi="Arial" w:cs="Arial"/>
                <w:sz w:val="16"/>
                <w:szCs w:val="16"/>
              </w:rPr>
              <w:t> </w:t>
            </w:r>
          </w:p>
        </w:tc>
      </w:tr>
      <w:tr w:rsidR="0008560F" w:rsidRPr="00954D98" w14:paraId="01A588C4" w14:textId="77777777" w:rsidTr="0008560F">
        <w:trPr>
          <w:trHeight w:hRule="exact" w:val="60"/>
        </w:trPr>
        <w:tc>
          <w:tcPr>
            <w:tcW w:w="2071" w:type="pct"/>
            <w:tcBorders>
              <w:top w:val="nil"/>
              <w:left w:val="nil"/>
              <w:bottom w:val="nil"/>
              <w:right w:val="nil"/>
            </w:tcBorders>
            <w:shd w:val="clear" w:color="000000" w:fill="FFFFFF"/>
            <w:noWrap/>
            <w:vAlign w:val="center"/>
            <w:hideMark/>
          </w:tcPr>
          <w:p w14:paraId="428AFFB0" w14:textId="77777777" w:rsidR="0008560F" w:rsidRPr="00954D98" w:rsidRDefault="0008560F" w:rsidP="0008560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E6F2FF"/>
            <w:noWrap/>
            <w:vAlign w:val="center"/>
            <w:hideMark/>
          </w:tcPr>
          <w:p w14:paraId="697FDD4C"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6959AF0F"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309DB55B"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2D4334E8"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9" w:type="pct"/>
            <w:tcBorders>
              <w:top w:val="nil"/>
              <w:left w:val="nil"/>
              <w:bottom w:val="nil"/>
              <w:right w:val="nil"/>
            </w:tcBorders>
            <w:shd w:val="clear" w:color="000000" w:fill="FFFFFF"/>
            <w:noWrap/>
            <w:vAlign w:val="center"/>
            <w:hideMark/>
          </w:tcPr>
          <w:p w14:paraId="065181C0"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nil"/>
              <w:right w:val="nil"/>
            </w:tcBorders>
            <w:shd w:val="clear" w:color="000000" w:fill="FFFFFF"/>
            <w:noWrap/>
            <w:vAlign w:val="center"/>
            <w:hideMark/>
          </w:tcPr>
          <w:p w14:paraId="7FEB5194" w14:textId="77777777" w:rsidR="0008560F" w:rsidRPr="00954D98" w:rsidRDefault="0008560F" w:rsidP="0008560F">
            <w:pPr>
              <w:spacing w:before="0" w:after="0" w:line="240" w:lineRule="auto"/>
              <w:rPr>
                <w:rFonts w:ascii="Arial" w:hAnsi="Arial" w:cs="Arial"/>
                <w:sz w:val="16"/>
                <w:szCs w:val="16"/>
              </w:rPr>
            </w:pPr>
            <w:r w:rsidRPr="00954D98">
              <w:rPr>
                <w:rFonts w:ascii="Arial" w:hAnsi="Arial" w:cs="Arial"/>
                <w:sz w:val="16"/>
                <w:szCs w:val="16"/>
              </w:rPr>
              <w:t> </w:t>
            </w:r>
          </w:p>
        </w:tc>
      </w:tr>
      <w:tr w:rsidR="0008560F" w:rsidRPr="00954D98" w14:paraId="30AFF02C"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467C6D31"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Changes from 2025-26 Budget to</w:t>
            </w:r>
          </w:p>
        </w:tc>
        <w:tc>
          <w:tcPr>
            <w:tcW w:w="593" w:type="pct"/>
            <w:tcBorders>
              <w:top w:val="nil"/>
              <w:left w:val="nil"/>
              <w:bottom w:val="nil"/>
              <w:right w:val="nil"/>
            </w:tcBorders>
            <w:shd w:val="clear" w:color="000000" w:fill="E6F2FF"/>
            <w:noWrap/>
            <w:vAlign w:val="center"/>
            <w:hideMark/>
          </w:tcPr>
          <w:p w14:paraId="2E75CE2A"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93" w:type="pct"/>
            <w:tcBorders>
              <w:top w:val="nil"/>
              <w:left w:val="nil"/>
              <w:bottom w:val="nil"/>
              <w:right w:val="nil"/>
            </w:tcBorders>
            <w:shd w:val="clear" w:color="000000" w:fill="FFFFFF"/>
            <w:noWrap/>
            <w:vAlign w:val="center"/>
            <w:hideMark/>
          </w:tcPr>
          <w:p w14:paraId="7872ECA2"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6BECF8B6"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7D0E53AD"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9" w:type="pct"/>
            <w:tcBorders>
              <w:top w:val="nil"/>
              <w:left w:val="nil"/>
              <w:bottom w:val="nil"/>
              <w:right w:val="nil"/>
            </w:tcBorders>
            <w:shd w:val="clear" w:color="000000" w:fill="FFFFFF"/>
            <w:noWrap/>
            <w:vAlign w:val="center"/>
            <w:hideMark/>
          </w:tcPr>
          <w:p w14:paraId="29AD13E7"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nil"/>
              <w:right w:val="nil"/>
            </w:tcBorders>
            <w:shd w:val="clear" w:color="000000" w:fill="FFFFFF"/>
            <w:noWrap/>
            <w:vAlign w:val="center"/>
            <w:hideMark/>
          </w:tcPr>
          <w:p w14:paraId="6FE148BA" w14:textId="77777777" w:rsidR="0008560F" w:rsidRPr="00954D98" w:rsidRDefault="0008560F" w:rsidP="0008560F">
            <w:pPr>
              <w:spacing w:before="0" w:after="0" w:line="240" w:lineRule="auto"/>
              <w:rPr>
                <w:rFonts w:ascii="Arial" w:hAnsi="Arial" w:cs="Arial"/>
                <w:sz w:val="16"/>
                <w:szCs w:val="16"/>
              </w:rPr>
            </w:pPr>
            <w:r w:rsidRPr="00954D98">
              <w:rPr>
                <w:rFonts w:ascii="Arial" w:hAnsi="Arial" w:cs="Arial"/>
                <w:sz w:val="16"/>
                <w:szCs w:val="16"/>
              </w:rPr>
              <w:t> </w:t>
            </w:r>
          </w:p>
        </w:tc>
      </w:tr>
      <w:tr w:rsidR="0008560F" w:rsidRPr="00954D98" w14:paraId="3F098718"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689D9156" w14:textId="77777777" w:rsidR="0008560F" w:rsidRPr="00954D98" w:rsidRDefault="0008560F" w:rsidP="0008560F">
            <w:pPr>
              <w:spacing w:before="0" w:after="0" w:line="240" w:lineRule="auto"/>
              <w:ind w:firstLineChars="100" w:firstLine="161"/>
              <w:rPr>
                <w:rFonts w:ascii="Arial" w:hAnsi="Arial" w:cs="Arial"/>
                <w:b/>
                <w:bCs/>
                <w:color w:val="FFFF00"/>
                <w:sz w:val="16"/>
                <w:szCs w:val="16"/>
              </w:rPr>
            </w:pPr>
            <w:r w:rsidRPr="00954D98">
              <w:rPr>
                <w:rFonts w:ascii="Arial" w:hAnsi="Arial" w:cs="Arial"/>
                <w:b/>
                <w:bCs/>
                <w:sz w:val="16"/>
                <w:szCs w:val="16"/>
              </w:rPr>
              <w:t>2025 PEFO</w:t>
            </w:r>
          </w:p>
        </w:tc>
        <w:tc>
          <w:tcPr>
            <w:tcW w:w="593" w:type="pct"/>
            <w:tcBorders>
              <w:top w:val="nil"/>
              <w:left w:val="nil"/>
              <w:bottom w:val="nil"/>
              <w:right w:val="nil"/>
            </w:tcBorders>
            <w:shd w:val="clear" w:color="000000" w:fill="E6F2FF"/>
            <w:noWrap/>
            <w:vAlign w:val="center"/>
            <w:hideMark/>
          </w:tcPr>
          <w:p w14:paraId="7FDD89C6"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70FB6298"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7702502F"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2ECB1BBA"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9" w:type="pct"/>
            <w:tcBorders>
              <w:top w:val="nil"/>
              <w:left w:val="nil"/>
              <w:bottom w:val="nil"/>
              <w:right w:val="nil"/>
            </w:tcBorders>
            <w:shd w:val="clear" w:color="000000" w:fill="FFFFFF"/>
            <w:noWrap/>
            <w:vAlign w:val="center"/>
            <w:hideMark/>
          </w:tcPr>
          <w:p w14:paraId="40F383C4"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nil"/>
              <w:right w:val="nil"/>
            </w:tcBorders>
            <w:shd w:val="clear" w:color="000000" w:fill="FFFFFF"/>
            <w:noWrap/>
            <w:vAlign w:val="center"/>
            <w:hideMark/>
          </w:tcPr>
          <w:p w14:paraId="5912BDD5" w14:textId="77777777" w:rsidR="0008560F" w:rsidRPr="00954D98" w:rsidRDefault="0008560F" w:rsidP="0008560F">
            <w:pPr>
              <w:spacing w:before="0" w:after="0" w:line="240" w:lineRule="auto"/>
              <w:rPr>
                <w:rFonts w:ascii="Arial" w:hAnsi="Arial" w:cs="Arial"/>
                <w:sz w:val="16"/>
                <w:szCs w:val="16"/>
              </w:rPr>
            </w:pPr>
            <w:r w:rsidRPr="00954D98">
              <w:rPr>
                <w:rFonts w:ascii="Arial" w:hAnsi="Arial" w:cs="Arial"/>
                <w:sz w:val="16"/>
                <w:szCs w:val="16"/>
              </w:rPr>
              <w:t> </w:t>
            </w:r>
          </w:p>
        </w:tc>
      </w:tr>
      <w:tr w:rsidR="0008560F" w:rsidRPr="00954D98" w14:paraId="02509D6F"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6B908114" w14:textId="77777777" w:rsidR="0008560F" w:rsidRPr="00954D98" w:rsidRDefault="0008560F" w:rsidP="0008560F">
            <w:pPr>
              <w:spacing w:before="0" w:after="0" w:line="240" w:lineRule="auto"/>
              <w:rPr>
                <w:rFonts w:ascii="Arial" w:hAnsi="Arial" w:cs="Arial"/>
                <w:color w:val="FFFF00"/>
                <w:sz w:val="16"/>
                <w:szCs w:val="16"/>
              </w:rPr>
            </w:pPr>
            <w:r w:rsidRPr="00954D98">
              <w:rPr>
                <w:rFonts w:ascii="Arial" w:hAnsi="Arial" w:cs="Arial"/>
                <w:sz w:val="16"/>
                <w:szCs w:val="16"/>
              </w:rPr>
              <w:t>Effect of policy decisions(a)</w:t>
            </w:r>
          </w:p>
        </w:tc>
        <w:tc>
          <w:tcPr>
            <w:tcW w:w="593" w:type="pct"/>
            <w:tcBorders>
              <w:top w:val="nil"/>
              <w:left w:val="nil"/>
              <w:bottom w:val="nil"/>
              <w:right w:val="nil"/>
            </w:tcBorders>
            <w:shd w:val="clear" w:color="000000" w:fill="E6F2FF"/>
            <w:noWrap/>
            <w:vAlign w:val="center"/>
            <w:hideMark/>
          </w:tcPr>
          <w:p w14:paraId="21B4C28C"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-226</w:t>
            </w:r>
          </w:p>
        </w:tc>
        <w:tc>
          <w:tcPr>
            <w:tcW w:w="593" w:type="pct"/>
            <w:tcBorders>
              <w:top w:val="nil"/>
              <w:left w:val="nil"/>
              <w:bottom w:val="nil"/>
              <w:right w:val="nil"/>
            </w:tcBorders>
            <w:shd w:val="clear" w:color="000000" w:fill="FFFFFF"/>
            <w:noWrap/>
            <w:vAlign w:val="center"/>
            <w:hideMark/>
          </w:tcPr>
          <w:p w14:paraId="2E982617"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-380</w:t>
            </w:r>
          </w:p>
        </w:tc>
        <w:tc>
          <w:tcPr>
            <w:tcW w:w="593" w:type="pct"/>
            <w:tcBorders>
              <w:top w:val="nil"/>
              <w:left w:val="nil"/>
              <w:bottom w:val="nil"/>
              <w:right w:val="nil"/>
            </w:tcBorders>
            <w:shd w:val="clear" w:color="000000" w:fill="FFFFFF"/>
            <w:noWrap/>
            <w:vAlign w:val="center"/>
            <w:hideMark/>
          </w:tcPr>
          <w:p w14:paraId="1DFA00CC"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-276</w:t>
            </w:r>
          </w:p>
        </w:tc>
        <w:tc>
          <w:tcPr>
            <w:tcW w:w="593" w:type="pct"/>
            <w:tcBorders>
              <w:top w:val="nil"/>
              <w:left w:val="nil"/>
              <w:bottom w:val="nil"/>
              <w:right w:val="nil"/>
            </w:tcBorders>
            <w:shd w:val="clear" w:color="000000" w:fill="FFFFFF"/>
            <w:noWrap/>
            <w:vAlign w:val="center"/>
            <w:hideMark/>
          </w:tcPr>
          <w:p w14:paraId="1AFD4DAE"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-223</w:t>
            </w:r>
          </w:p>
        </w:tc>
        <w:tc>
          <w:tcPr>
            <w:tcW w:w="69" w:type="pct"/>
            <w:tcBorders>
              <w:top w:val="nil"/>
              <w:left w:val="nil"/>
              <w:bottom w:val="nil"/>
              <w:right w:val="nil"/>
            </w:tcBorders>
            <w:shd w:val="clear" w:color="000000" w:fill="FFFFFF"/>
            <w:noWrap/>
            <w:vAlign w:val="center"/>
            <w:hideMark/>
          </w:tcPr>
          <w:p w14:paraId="0299CF33"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nil"/>
              <w:right w:val="nil"/>
            </w:tcBorders>
            <w:shd w:val="clear" w:color="000000" w:fill="FFFFFF"/>
            <w:noWrap/>
            <w:vAlign w:val="center"/>
            <w:hideMark/>
          </w:tcPr>
          <w:p w14:paraId="61AE99D6" w14:textId="77777777" w:rsidR="0008560F" w:rsidRPr="00954D98" w:rsidRDefault="0008560F" w:rsidP="0008560F">
            <w:pPr>
              <w:spacing w:before="0" w:after="0" w:line="240" w:lineRule="auto"/>
              <w:jc w:val="right"/>
              <w:rPr>
                <w:rFonts w:ascii="Arial" w:hAnsi="Arial" w:cs="Arial"/>
                <w:sz w:val="16"/>
                <w:szCs w:val="16"/>
              </w:rPr>
            </w:pPr>
            <w:r w:rsidRPr="00954D98">
              <w:rPr>
                <w:rFonts w:ascii="Arial" w:hAnsi="Arial" w:cs="Arial"/>
                <w:sz w:val="16"/>
                <w:szCs w:val="16"/>
              </w:rPr>
              <w:t>-1,105</w:t>
            </w:r>
          </w:p>
        </w:tc>
      </w:tr>
      <w:tr w:rsidR="002C4687" w:rsidRPr="00954D98" w14:paraId="0EB8EE1E"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69B46B03" w14:textId="77777777" w:rsidR="0008560F" w:rsidRPr="00954D98" w:rsidRDefault="0008560F" w:rsidP="0008560F">
            <w:pPr>
              <w:spacing w:before="0" w:after="0" w:line="240" w:lineRule="auto"/>
              <w:rPr>
                <w:rFonts w:ascii="Arial" w:hAnsi="Arial" w:cs="Arial"/>
                <w:color w:val="FFFF00"/>
                <w:sz w:val="16"/>
                <w:szCs w:val="16"/>
              </w:rPr>
            </w:pPr>
            <w:r w:rsidRPr="00954D98">
              <w:rPr>
                <w:rFonts w:ascii="Arial" w:hAnsi="Arial" w:cs="Arial"/>
                <w:sz w:val="16"/>
                <w:szCs w:val="16"/>
              </w:rPr>
              <w:t>Effect of parameter and other variations</w:t>
            </w:r>
          </w:p>
        </w:tc>
        <w:tc>
          <w:tcPr>
            <w:tcW w:w="593" w:type="pct"/>
            <w:tcBorders>
              <w:top w:val="nil"/>
              <w:left w:val="nil"/>
              <w:bottom w:val="single" w:sz="4" w:space="0" w:color="000000"/>
              <w:right w:val="nil"/>
            </w:tcBorders>
            <w:shd w:val="clear" w:color="000000" w:fill="E6F2FF"/>
            <w:noWrap/>
            <w:vAlign w:val="center"/>
            <w:hideMark/>
          </w:tcPr>
          <w:p w14:paraId="497A3B11"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183</w:t>
            </w:r>
          </w:p>
        </w:tc>
        <w:tc>
          <w:tcPr>
            <w:tcW w:w="593" w:type="pct"/>
            <w:tcBorders>
              <w:top w:val="nil"/>
              <w:left w:val="nil"/>
              <w:bottom w:val="single" w:sz="4" w:space="0" w:color="000000"/>
              <w:right w:val="nil"/>
            </w:tcBorders>
            <w:shd w:val="clear" w:color="000000" w:fill="FFFFFF"/>
            <w:noWrap/>
            <w:vAlign w:val="center"/>
            <w:hideMark/>
          </w:tcPr>
          <w:p w14:paraId="7138D802"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720</w:t>
            </w:r>
          </w:p>
        </w:tc>
        <w:tc>
          <w:tcPr>
            <w:tcW w:w="593" w:type="pct"/>
            <w:tcBorders>
              <w:top w:val="nil"/>
              <w:left w:val="nil"/>
              <w:bottom w:val="single" w:sz="4" w:space="0" w:color="000000"/>
              <w:right w:val="nil"/>
            </w:tcBorders>
            <w:shd w:val="clear" w:color="000000" w:fill="FFFFFF"/>
            <w:noWrap/>
            <w:vAlign w:val="center"/>
            <w:hideMark/>
          </w:tcPr>
          <w:p w14:paraId="2CC3C6F4"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436</w:t>
            </w:r>
          </w:p>
        </w:tc>
        <w:tc>
          <w:tcPr>
            <w:tcW w:w="593" w:type="pct"/>
            <w:tcBorders>
              <w:top w:val="nil"/>
              <w:left w:val="nil"/>
              <w:bottom w:val="single" w:sz="4" w:space="0" w:color="000000"/>
              <w:right w:val="nil"/>
            </w:tcBorders>
            <w:shd w:val="clear" w:color="000000" w:fill="FFFFFF"/>
            <w:noWrap/>
            <w:vAlign w:val="center"/>
            <w:hideMark/>
          </w:tcPr>
          <w:p w14:paraId="6DB44CCA"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49</w:t>
            </w:r>
          </w:p>
        </w:tc>
        <w:tc>
          <w:tcPr>
            <w:tcW w:w="69" w:type="pct"/>
            <w:tcBorders>
              <w:top w:val="nil"/>
              <w:left w:val="nil"/>
              <w:bottom w:val="nil"/>
              <w:right w:val="nil"/>
            </w:tcBorders>
            <w:shd w:val="clear" w:color="000000" w:fill="FFFFFF"/>
            <w:noWrap/>
            <w:vAlign w:val="center"/>
            <w:hideMark/>
          </w:tcPr>
          <w:p w14:paraId="38F2CC88"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single" w:sz="4" w:space="0" w:color="000000"/>
              <w:right w:val="nil"/>
            </w:tcBorders>
            <w:shd w:val="clear" w:color="000000" w:fill="FFFFFF"/>
            <w:noWrap/>
            <w:vAlign w:val="center"/>
            <w:hideMark/>
          </w:tcPr>
          <w:p w14:paraId="559D4DA7" w14:textId="77777777" w:rsidR="0008560F" w:rsidRPr="00954D98" w:rsidRDefault="0008560F" w:rsidP="0008560F">
            <w:pPr>
              <w:spacing w:before="0" w:after="0" w:line="240" w:lineRule="auto"/>
              <w:jc w:val="right"/>
              <w:rPr>
                <w:rFonts w:ascii="Arial" w:hAnsi="Arial" w:cs="Arial"/>
                <w:sz w:val="16"/>
                <w:szCs w:val="16"/>
              </w:rPr>
            </w:pPr>
            <w:r w:rsidRPr="00954D98">
              <w:rPr>
                <w:rFonts w:ascii="Arial" w:hAnsi="Arial" w:cs="Arial"/>
                <w:sz w:val="16"/>
                <w:szCs w:val="16"/>
              </w:rPr>
              <w:t>1,387</w:t>
            </w:r>
          </w:p>
        </w:tc>
      </w:tr>
      <w:tr w:rsidR="002C4687" w:rsidRPr="00954D98" w14:paraId="3666B9FE"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67939E55"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Total variations</w:t>
            </w:r>
          </w:p>
        </w:tc>
        <w:tc>
          <w:tcPr>
            <w:tcW w:w="593" w:type="pct"/>
            <w:tcBorders>
              <w:top w:val="single" w:sz="4" w:space="0" w:color="293F5B"/>
              <w:left w:val="nil"/>
              <w:bottom w:val="single" w:sz="4" w:space="0" w:color="293F5B"/>
              <w:right w:val="nil"/>
            </w:tcBorders>
            <w:shd w:val="clear" w:color="000000" w:fill="E6F2FF"/>
            <w:noWrap/>
            <w:vAlign w:val="center"/>
            <w:hideMark/>
          </w:tcPr>
          <w:p w14:paraId="252E0DE1"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-43</w:t>
            </w:r>
          </w:p>
        </w:tc>
        <w:tc>
          <w:tcPr>
            <w:tcW w:w="593" w:type="pct"/>
            <w:tcBorders>
              <w:top w:val="single" w:sz="4" w:space="0" w:color="293F5B"/>
              <w:left w:val="nil"/>
              <w:bottom w:val="single" w:sz="4" w:space="0" w:color="293F5B"/>
              <w:right w:val="nil"/>
            </w:tcBorders>
            <w:shd w:val="clear" w:color="000000" w:fill="FFFFFF"/>
            <w:noWrap/>
            <w:vAlign w:val="center"/>
            <w:hideMark/>
          </w:tcPr>
          <w:p w14:paraId="72D732E6"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339</w:t>
            </w:r>
          </w:p>
        </w:tc>
        <w:tc>
          <w:tcPr>
            <w:tcW w:w="593" w:type="pct"/>
            <w:tcBorders>
              <w:top w:val="single" w:sz="4" w:space="0" w:color="293F5B"/>
              <w:left w:val="nil"/>
              <w:bottom w:val="single" w:sz="4" w:space="0" w:color="293F5B"/>
              <w:right w:val="nil"/>
            </w:tcBorders>
            <w:shd w:val="clear" w:color="000000" w:fill="FFFFFF"/>
            <w:noWrap/>
            <w:vAlign w:val="center"/>
            <w:hideMark/>
          </w:tcPr>
          <w:p w14:paraId="44C88A4E"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160</w:t>
            </w:r>
          </w:p>
        </w:tc>
        <w:tc>
          <w:tcPr>
            <w:tcW w:w="593" w:type="pct"/>
            <w:tcBorders>
              <w:top w:val="single" w:sz="4" w:space="0" w:color="293F5B"/>
              <w:left w:val="nil"/>
              <w:bottom w:val="single" w:sz="4" w:space="0" w:color="293F5B"/>
              <w:right w:val="nil"/>
            </w:tcBorders>
            <w:shd w:val="clear" w:color="000000" w:fill="FFFFFF"/>
            <w:noWrap/>
            <w:vAlign w:val="center"/>
            <w:hideMark/>
          </w:tcPr>
          <w:p w14:paraId="5C6EA9C7"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-174</w:t>
            </w:r>
          </w:p>
        </w:tc>
        <w:tc>
          <w:tcPr>
            <w:tcW w:w="69" w:type="pct"/>
            <w:tcBorders>
              <w:top w:val="nil"/>
              <w:left w:val="nil"/>
              <w:bottom w:val="nil"/>
              <w:right w:val="nil"/>
            </w:tcBorders>
            <w:shd w:val="clear" w:color="000000" w:fill="FFFFFF"/>
            <w:noWrap/>
            <w:vAlign w:val="center"/>
            <w:hideMark/>
          </w:tcPr>
          <w:p w14:paraId="1C741029"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489" w:type="pct"/>
            <w:tcBorders>
              <w:top w:val="single" w:sz="4" w:space="0" w:color="293F5B"/>
              <w:left w:val="nil"/>
              <w:bottom w:val="single" w:sz="4" w:space="0" w:color="293F5B"/>
              <w:right w:val="nil"/>
            </w:tcBorders>
            <w:shd w:val="clear" w:color="000000" w:fill="FFFFFF"/>
            <w:noWrap/>
            <w:vAlign w:val="center"/>
            <w:hideMark/>
          </w:tcPr>
          <w:p w14:paraId="2B9CB8B5" w14:textId="77777777" w:rsidR="0008560F" w:rsidRPr="00954D98" w:rsidRDefault="0008560F" w:rsidP="0008560F">
            <w:pPr>
              <w:spacing w:before="0" w:after="0" w:line="240" w:lineRule="auto"/>
              <w:jc w:val="right"/>
              <w:rPr>
                <w:rFonts w:ascii="Arial" w:hAnsi="Arial" w:cs="Arial"/>
                <w:b/>
                <w:bCs/>
                <w:sz w:val="16"/>
                <w:szCs w:val="16"/>
              </w:rPr>
            </w:pPr>
            <w:r w:rsidRPr="00954D98">
              <w:rPr>
                <w:rFonts w:ascii="Arial" w:hAnsi="Arial" w:cs="Arial"/>
                <w:b/>
                <w:bCs/>
                <w:sz w:val="16"/>
                <w:szCs w:val="16"/>
              </w:rPr>
              <w:t>282</w:t>
            </w:r>
          </w:p>
        </w:tc>
      </w:tr>
      <w:tr w:rsidR="0008560F" w:rsidRPr="00954D98" w14:paraId="1F5C7C98" w14:textId="77777777" w:rsidTr="0008560F">
        <w:trPr>
          <w:trHeight w:hRule="exact" w:val="60"/>
        </w:trPr>
        <w:tc>
          <w:tcPr>
            <w:tcW w:w="2071" w:type="pct"/>
            <w:tcBorders>
              <w:top w:val="nil"/>
              <w:left w:val="nil"/>
              <w:bottom w:val="nil"/>
              <w:right w:val="nil"/>
            </w:tcBorders>
            <w:shd w:val="clear" w:color="000000" w:fill="FFFFFF"/>
            <w:noWrap/>
            <w:vAlign w:val="center"/>
            <w:hideMark/>
          </w:tcPr>
          <w:p w14:paraId="1DFA0EA1"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93" w:type="pct"/>
            <w:tcBorders>
              <w:top w:val="nil"/>
              <w:left w:val="nil"/>
              <w:bottom w:val="nil"/>
              <w:right w:val="nil"/>
            </w:tcBorders>
            <w:shd w:val="clear" w:color="000000" w:fill="E6F2FF"/>
            <w:noWrap/>
            <w:vAlign w:val="center"/>
            <w:hideMark/>
          </w:tcPr>
          <w:p w14:paraId="1D1009A9"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93" w:type="pct"/>
            <w:tcBorders>
              <w:top w:val="nil"/>
              <w:left w:val="nil"/>
              <w:bottom w:val="nil"/>
              <w:right w:val="nil"/>
            </w:tcBorders>
            <w:shd w:val="clear" w:color="000000" w:fill="FFFFFF"/>
            <w:noWrap/>
            <w:vAlign w:val="center"/>
            <w:hideMark/>
          </w:tcPr>
          <w:p w14:paraId="0B4F63B3"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7FB0928E"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33F34B32"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9" w:type="pct"/>
            <w:tcBorders>
              <w:top w:val="nil"/>
              <w:left w:val="nil"/>
              <w:bottom w:val="nil"/>
              <w:right w:val="nil"/>
            </w:tcBorders>
            <w:shd w:val="clear" w:color="000000" w:fill="FFFFFF"/>
            <w:noWrap/>
            <w:vAlign w:val="center"/>
            <w:hideMark/>
          </w:tcPr>
          <w:p w14:paraId="17988F83"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nil"/>
              <w:right w:val="nil"/>
            </w:tcBorders>
            <w:shd w:val="clear" w:color="000000" w:fill="FFFFFF"/>
            <w:noWrap/>
            <w:vAlign w:val="center"/>
            <w:hideMark/>
          </w:tcPr>
          <w:p w14:paraId="52C65FF8" w14:textId="77777777" w:rsidR="0008560F" w:rsidRPr="00954D98" w:rsidRDefault="0008560F" w:rsidP="0008560F">
            <w:pPr>
              <w:spacing w:before="0" w:after="0" w:line="240" w:lineRule="auto"/>
              <w:rPr>
                <w:rFonts w:ascii="Arial" w:hAnsi="Arial" w:cs="Arial"/>
                <w:sz w:val="16"/>
                <w:szCs w:val="16"/>
              </w:rPr>
            </w:pPr>
            <w:r w:rsidRPr="00954D98">
              <w:rPr>
                <w:rFonts w:ascii="Arial" w:hAnsi="Arial" w:cs="Arial"/>
                <w:sz w:val="16"/>
                <w:szCs w:val="16"/>
              </w:rPr>
              <w:t> </w:t>
            </w:r>
          </w:p>
        </w:tc>
      </w:tr>
      <w:tr w:rsidR="0008560F" w:rsidRPr="00954D98" w14:paraId="711868A1"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3A24A258"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2025 PEFO underlying cash balance</w:t>
            </w:r>
          </w:p>
        </w:tc>
        <w:tc>
          <w:tcPr>
            <w:tcW w:w="593" w:type="pct"/>
            <w:tcBorders>
              <w:top w:val="nil"/>
              <w:left w:val="nil"/>
              <w:bottom w:val="nil"/>
              <w:right w:val="nil"/>
            </w:tcBorders>
            <w:shd w:val="clear" w:color="000000" w:fill="E6F2FF"/>
            <w:noWrap/>
            <w:vAlign w:val="center"/>
            <w:hideMark/>
          </w:tcPr>
          <w:p w14:paraId="2A74DC9E"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-42,165</w:t>
            </w:r>
          </w:p>
        </w:tc>
        <w:tc>
          <w:tcPr>
            <w:tcW w:w="593" w:type="pct"/>
            <w:tcBorders>
              <w:top w:val="nil"/>
              <w:left w:val="nil"/>
              <w:bottom w:val="nil"/>
              <w:right w:val="nil"/>
            </w:tcBorders>
            <w:shd w:val="clear" w:color="000000" w:fill="FFFFFF"/>
            <w:noWrap/>
            <w:vAlign w:val="center"/>
            <w:hideMark/>
          </w:tcPr>
          <w:p w14:paraId="60405A49"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-35,366</w:t>
            </w:r>
          </w:p>
        </w:tc>
        <w:tc>
          <w:tcPr>
            <w:tcW w:w="593" w:type="pct"/>
            <w:tcBorders>
              <w:top w:val="nil"/>
              <w:left w:val="nil"/>
              <w:bottom w:val="nil"/>
              <w:right w:val="nil"/>
            </w:tcBorders>
            <w:shd w:val="clear" w:color="000000" w:fill="FFFFFF"/>
            <w:noWrap/>
            <w:vAlign w:val="center"/>
            <w:hideMark/>
          </w:tcPr>
          <w:p w14:paraId="1FD487E6"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-37,087</w:t>
            </w:r>
          </w:p>
        </w:tc>
        <w:tc>
          <w:tcPr>
            <w:tcW w:w="593" w:type="pct"/>
            <w:tcBorders>
              <w:top w:val="nil"/>
              <w:left w:val="nil"/>
              <w:bottom w:val="nil"/>
              <w:right w:val="nil"/>
            </w:tcBorders>
            <w:shd w:val="clear" w:color="000000" w:fill="FFFFFF"/>
            <w:noWrap/>
            <w:vAlign w:val="center"/>
            <w:hideMark/>
          </w:tcPr>
          <w:p w14:paraId="376E532E"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-37,028</w:t>
            </w:r>
          </w:p>
        </w:tc>
        <w:tc>
          <w:tcPr>
            <w:tcW w:w="69" w:type="pct"/>
            <w:tcBorders>
              <w:top w:val="nil"/>
              <w:left w:val="nil"/>
              <w:bottom w:val="nil"/>
              <w:right w:val="nil"/>
            </w:tcBorders>
            <w:shd w:val="clear" w:color="000000" w:fill="FFFFFF"/>
            <w:noWrap/>
            <w:vAlign w:val="center"/>
            <w:hideMark/>
          </w:tcPr>
          <w:p w14:paraId="1E79D046"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nil"/>
              <w:right w:val="nil"/>
            </w:tcBorders>
            <w:shd w:val="clear" w:color="000000" w:fill="FFFFFF"/>
            <w:noWrap/>
            <w:vAlign w:val="center"/>
            <w:hideMark/>
          </w:tcPr>
          <w:p w14:paraId="4237C8A0" w14:textId="77777777" w:rsidR="0008560F" w:rsidRPr="00954D98" w:rsidRDefault="0008560F" w:rsidP="0008560F">
            <w:pPr>
              <w:spacing w:before="0" w:after="0" w:line="240" w:lineRule="auto"/>
              <w:jc w:val="right"/>
              <w:rPr>
                <w:rFonts w:ascii="Arial" w:hAnsi="Arial" w:cs="Arial"/>
                <w:b/>
                <w:bCs/>
                <w:sz w:val="16"/>
                <w:szCs w:val="16"/>
              </w:rPr>
            </w:pPr>
            <w:r w:rsidRPr="00954D98">
              <w:rPr>
                <w:rFonts w:ascii="Arial" w:hAnsi="Arial" w:cs="Arial"/>
                <w:b/>
                <w:bCs/>
                <w:sz w:val="16"/>
                <w:szCs w:val="16"/>
              </w:rPr>
              <w:t>-151,647</w:t>
            </w:r>
          </w:p>
        </w:tc>
      </w:tr>
      <w:tr w:rsidR="0008560F" w:rsidRPr="00954D98" w14:paraId="2B488AED"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5072E5C5" w14:textId="77777777" w:rsidR="0008560F" w:rsidRPr="00954D98" w:rsidRDefault="0008560F" w:rsidP="0008560F">
            <w:pPr>
              <w:spacing w:before="0" w:after="0" w:line="240" w:lineRule="auto"/>
              <w:rPr>
                <w:rFonts w:ascii="Arial" w:hAnsi="Arial" w:cs="Arial"/>
                <w:color w:val="FFFF00"/>
                <w:sz w:val="16"/>
                <w:szCs w:val="16"/>
              </w:rPr>
            </w:pPr>
            <w:r w:rsidRPr="00954D98">
              <w:rPr>
                <w:rFonts w:ascii="Arial" w:hAnsi="Arial" w:cs="Arial"/>
                <w:sz w:val="16"/>
                <w:szCs w:val="16"/>
              </w:rPr>
              <w:t>Per cent of GDP</w:t>
            </w:r>
          </w:p>
        </w:tc>
        <w:tc>
          <w:tcPr>
            <w:tcW w:w="593" w:type="pct"/>
            <w:tcBorders>
              <w:top w:val="nil"/>
              <w:left w:val="nil"/>
              <w:bottom w:val="nil"/>
              <w:right w:val="nil"/>
            </w:tcBorders>
            <w:shd w:val="clear" w:color="000000" w:fill="E6F2FF"/>
            <w:noWrap/>
            <w:vAlign w:val="center"/>
            <w:hideMark/>
          </w:tcPr>
          <w:p w14:paraId="62E58504"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-1.5</w:t>
            </w:r>
          </w:p>
        </w:tc>
        <w:tc>
          <w:tcPr>
            <w:tcW w:w="593" w:type="pct"/>
            <w:tcBorders>
              <w:top w:val="nil"/>
              <w:left w:val="nil"/>
              <w:bottom w:val="nil"/>
              <w:right w:val="nil"/>
            </w:tcBorders>
            <w:shd w:val="clear" w:color="000000" w:fill="FFFFFF"/>
            <w:noWrap/>
            <w:vAlign w:val="center"/>
            <w:hideMark/>
          </w:tcPr>
          <w:p w14:paraId="1A2CCB1D"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-1.2</w:t>
            </w:r>
          </w:p>
        </w:tc>
        <w:tc>
          <w:tcPr>
            <w:tcW w:w="593" w:type="pct"/>
            <w:tcBorders>
              <w:top w:val="nil"/>
              <w:left w:val="nil"/>
              <w:bottom w:val="nil"/>
              <w:right w:val="nil"/>
            </w:tcBorders>
            <w:shd w:val="clear" w:color="000000" w:fill="FFFFFF"/>
            <w:noWrap/>
            <w:vAlign w:val="center"/>
            <w:hideMark/>
          </w:tcPr>
          <w:p w14:paraId="4378D726"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-1.2</w:t>
            </w:r>
          </w:p>
        </w:tc>
        <w:tc>
          <w:tcPr>
            <w:tcW w:w="593" w:type="pct"/>
            <w:tcBorders>
              <w:top w:val="nil"/>
              <w:left w:val="nil"/>
              <w:bottom w:val="nil"/>
              <w:right w:val="nil"/>
            </w:tcBorders>
            <w:shd w:val="clear" w:color="000000" w:fill="FFFFFF"/>
            <w:noWrap/>
            <w:vAlign w:val="center"/>
            <w:hideMark/>
          </w:tcPr>
          <w:p w14:paraId="0DE2AED0"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-1.1</w:t>
            </w:r>
          </w:p>
        </w:tc>
        <w:tc>
          <w:tcPr>
            <w:tcW w:w="69" w:type="pct"/>
            <w:tcBorders>
              <w:top w:val="nil"/>
              <w:left w:val="nil"/>
              <w:bottom w:val="nil"/>
              <w:right w:val="nil"/>
            </w:tcBorders>
            <w:shd w:val="clear" w:color="000000" w:fill="FFFFFF"/>
            <w:noWrap/>
            <w:vAlign w:val="center"/>
            <w:hideMark/>
          </w:tcPr>
          <w:p w14:paraId="4C592B84"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nil"/>
              <w:right w:val="nil"/>
            </w:tcBorders>
            <w:shd w:val="clear" w:color="000000" w:fill="FFFFFF"/>
            <w:noWrap/>
            <w:vAlign w:val="center"/>
            <w:hideMark/>
          </w:tcPr>
          <w:p w14:paraId="13E74B83" w14:textId="77777777" w:rsidR="0008560F" w:rsidRPr="00954D98" w:rsidRDefault="0008560F" w:rsidP="0008560F">
            <w:pPr>
              <w:spacing w:before="0" w:after="0" w:line="240" w:lineRule="auto"/>
              <w:rPr>
                <w:rFonts w:ascii="Arial" w:hAnsi="Arial" w:cs="Arial"/>
                <w:sz w:val="16"/>
                <w:szCs w:val="16"/>
              </w:rPr>
            </w:pPr>
            <w:r w:rsidRPr="00954D98">
              <w:rPr>
                <w:rFonts w:ascii="Arial" w:hAnsi="Arial" w:cs="Arial"/>
                <w:sz w:val="16"/>
                <w:szCs w:val="16"/>
              </w:rPr>
              <w:t> </w:t>
            </w:r>
          </w:p>
        </w:tc>
      </w:tr>
      <w:tr w:rsidR="0008560F" w:rsidRPr="00954D98" w14:paraId="5041B7C8" w14:textId="77777777" w:rsidTr="0008560F">
        <w:trPr>
          <w:trHeight w:hRule="exact" w:val="60"/>
        </w:trPr>
        <w:tc>
          <w:tcPr>
            <w:tcW w:w="2071" w:type="pct"/>
            <w:tcBorders>
              <w:top w:val="nil"/>
              <w:left w:val="nil"/>
              <w:bottom w:val="nil"/>
              <w:right w:val="nil"/>
            </w:tcBorders>
            <w:shd w:val="clear" w:color="000000" w:fill="FFFFFF"/>
            <w:noWrap/>
            <w:vAlign w:val="center"/>
            <w:hideMark/>
          </w:tcPr>
          <w:p w14:paraId="190671A1"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93" w:type="pct"/>
            <w:tcBorders>
              <w:top w:val="nil"/>
              <w:left w:val="nil"/>
              <w:bottom w:val="nil"/>
              <w:right w:val="nil"/>
            </w:tcBorders>
            <w:shd w:val="clear" w:color="000000" w:fill="E6F2FF"/>
            <w:noWrap/>
            <w:vAlign w:val="center"/>
            <w:hideMark/>
          </w:tcPr>
          <w:p w14:paraId="2741E490"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93" w:type="pct"/>
            <w:tcBorders>
              <w:top w:val="nil"/>
              <w:left w:val="nil"/>
              <w:bottom w:val="nil"/>
              <w:right w:val="nil"/>
            </w:tcBorders>
            <w:shd w:val="clear" w:color="000000" w:fill="FFFFFF"/>
            <w:noWrap/>
            <w:vAlign w:val="center"/>
            <w:hideMark/>
          </w:tcPr>
          <w:p w14:paraId="25EA2F32"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93" w:type="pct"/>
            <w:tcBorders>
              <w:top w:val="nil"/>
              <w:left w:val="nil"/>
              <w:bottom w:val="nil"/>
              <w:right w:val="nil"/>
            </w:tcBorders>
            <w:shd w:val="clear" w:color="000000" w:fill="FFFFFF"/>
            <w:noWrap/>
            <w:vAlign w:val="center"/>
            <w:hideMark/>
          </w:tcPr>
          <w:p w14:paraId="24216490"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93" w:type="pct"/>
            <w:tcBorders>
              <w:top w:val="nil"/>
              <w:left w:val="nil"/>
              <w:bottom w:val="nil"/>
              <w:right w:val="nil"/>
            </w:tcBorders>
            <w:shd w:val="clear" w:color="000000" w:fill="FFFFFF"/>
            <w:noWrap/>
            <w:vAlign w:val="center"/>
            <w:hideMark/>
          </w:tcPr>
          <w:p w14:paraId="301BA229"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9" w:type="pct"/>
            <w:tcBorders>
              <w:top w:val="nil"/>
              <w:left w:val="nil"/>
              <w:bottom w:val="nil"/>
              <w:right w:val="nil"/>
            </w:tcBorders>
            <w:shd w:val="clear" w:color="000000" w:fill="FFFFFF"/>
            <w:noWrap/>
            <w:vAlign w:val="center"/>
            <w:hideMark/>
          </w:tcPr>
          <w:p w14:paraId="2F28BB10"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489" w:type="pct"/>
            <w:tcBorders>
              <w:top w:val="nil"/>
              <w:left w:val="nil"/>
              <w:bottom w:val="nil"/>
              <w:right w:val="nil"/>
            </w:tcBorders>
            <w:shd w:val="clear" w:color="000000" w:fill="FFFFFF"/>
            <w:noWrap/>
            <w:vAlign w:val="center"/>
            <w:hideMark/>
          </w:tcPr>
          <w:p w14:paraId="489D292E" w14:textId="77777777" w:rsidR="0008560F" w:rsidRPr="00954D98" w:rsidRDefault="0008560F" w:rsidP="0008560F">
            <w:pPr>
              <w:spacing w:before="0" w:after="0" w:line="240" w:lineRule="auto"/>
              <w:jc w:val="right"/>
              <w:rPr>
                <w:rFonts w:ascii="Arial" w:hAnsi="Arial" w:cs="Arial"/>
                <w:b/>
                <w:bCs/>
                <w:sz w:val="16"/>
                <w:szCs w:val="16"/>
              </w:rPr>
            </w:pPr>
            <w:r w:rsidRPr="00954D98">
              <w:rPr>
                <w:rFonts w:ascii="Arial" w:hAnsi="Arial" w:cs="Arial"/>
                <w:b/>
                <w:bCs/>
                <w:sz w:val="16"/>
                <w:szCs w:val="16"/>
              </w:rPr>
              <w:t> </w:t>
            </w:r>
          </w:p>
        </w:tc>
      </w:tr>
      <w:tr w:rsidR="0008560F" w:rsidRPr="00954D98" w14:paraId="6A50F5A9"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043446FB"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Changes from 2025 PEFO to</w:t>
            </w:r>
          </w:p>
        </w:tc>
        <w:tc>
          <w:tcPr>
            <w:tcW w:w="593" w:type="pct"/>
            <w:tcBorders>
              <w:top w:val="nil"/>
              <w:left w:val="nil"/>
              <w:bottom w:val="nil"/>
              <w:right w:val="nil"/>
            </w:tcBorders>
            <w:shd w:val="clear" w:color="000000" w:fill="E6F2FF"/>
            <w:noWrap/>
            <w:vAlign w:val="center"/>
            <w:hideMark/>
          </w:tcPr>
          <w:p w14:paraId="6493BE0F"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93" w:type="pct"/>
            <w:tcBorders>
              <w:top w:val="nil"/>
              <w:left w:val="nil"/>
              <w:bottom w:val="nil"/>
              <w:right w:val="nil"/>
            </w:tcBorders>
            <w:shd w:val="clear" w:color="000000" w:fill="FFFFFF"/>
            <w:noWrap/>
            <w:vAlign w:val="center"/>
            <w:hideMark/>
          </w:tcPr>
          <w:p w14:paraId="12EF2C1B"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93" w:type="pct"/>
            <w:tcBorders>
              <w:top w:val="nil"/>
              <w:left w:val="nil"/>
              <w:bottom w:val="nil"/>
              <w:right w:val="nil"/>
            </w:tcBorders>
            <w:shd w:val="clear" w:color="000000" w:fill="FFFFFF"/>
            <w:noWrap/>
            <w:vAlign w:val="center"/>
            <w:hideMark/>
          </w:tcPr>
          <w:p w14:paraId="7C7BB570"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93" w:type="pct"/>
            <w:tcBorders>
              <w:top w:val="nil"/>
              <w:left w:val="nil"/>
              <w:bottom w:val="nil"/>
              <w:right w:val="nil"/>
            </w:tcBorders>
            <w:shd w:val="clear" w:color="000000" w:fill="FFFFFF"/>
            <w:noWrap/>
            <w:vAlign w:val="center"/>
            <w:hideMark/>
          </w:tcPr>
          <w:p w14:paraId="30EC7B48"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69" w:type="pct"/>
            <w:tcBorders>
              <w:top w:val="nil"/>
              <w:left w:val="nil"/>
              <w:bottom w:val="nil"/>
              <w:right w:val="nil"/>
            </w:tcBorders>
            <w:shd w:val="clear" w:color="000000" w:fill="FFFFFF"/>
            <w:noWrap/>
            <w:vAlign w:val="center"/>
            <w:hideMark/>
          </w:tcPr>
          <w:p w14:paraId="7B423AB7"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489" w:type="pct"/>
            <w:tcBorders>
              <w:top w:val="nil"/>
              <w:left w:val="nil"/>
              <w:bottom w:val="nil"/>
              <w:right w:val="nil"/>
            </w:tcBorders>
            <w:shd w:val="clear" w:color="000000" w:fill="FFFFFF"/>
            <w:noWrap/>
            <w:vAlign w:val="center"/>
            <w:hideMark/>
          </w:tcPr>
          <w:p w14:paraId="36D37C36" w14:textId="77777777" w:rsidR="0008560F" w:rsidRPr="00954D98" w:rsidRDefault="0008560F" w:rsidP="0008560F">
            <w:pPr>
              <w:spacing w:before="0" w:after="0" w:line="240" w:lineRule="auto"/>
              <w:rPr>
                <w:rFonts w:ascii="Arial" w:hAnsi="Arial" w:cs="Arial"/>
                <w:sz w:val="16"/>
                <w:szCs w:val="16"/>
              </w:rPr>
            </w:pPr>
            <w:r w:rsidRPr="00954D98">
              <w:rPr>
                <w:rFonts w:ascii="Arial" w:hAnsi="Arial" w:cs="Arial"/>
                <w:sz w:val="16"/>
                <w:szCs w:val="16"/>
              </w:rPr>
              <w:t> </w:t>
            </w:r>
          </w:p>
        </w:tc>
      </w:tr>
      <w:tr w:rsidR="0008560F" w:rsidRPr="00954D98" w14:paraId="03C48809"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3EED50A0" w14:textId="77777777" w:rsidR="0008560F" w:rsidRPr="00954D98" w:rsidRDefault="0008560F" w:rsidP="0008560F">
            <w:pPr>
              <w:spacing w:before="0" w:after="0" w:line="240" w:lineRule="auto"/>
              <w:ind w:firstLineChars="100" w:firstLine="161"/>
              <w:rPr>
                <w:rFonts w:ascii="Arial" w:hAnsi="Arial" w:cs="Arial"/>
                <w:b/>
                <w:bCs/>
                <w:color w:val="FFFF00"/>
                <w:sz w:val="16"/>
                <w:szCs w:val="16"/>
              </w:rPr>
            </w:pPr>
            <w:r w:rsidRPr="00954D98">
              <w:rPr>
                <w:rFonts w:ascii="Arial" w:hAnsi="Arial" w:cs="Arial"/>
                <w:b/>
                <w:bCs/>
                <w:sz w:val="16"/>
                <w:szCs w:val="16"/>
              </w:rPr>
              <w:t>2025-26 MYEFO</w:t>
            </w:r>
          </w:p>
        </w:tc>
        <w:tc>
          <w:tcPr>
            <w:tcW w:w="593" w:type="pct"/>
            <w:tcBorders>
              <w:top w:val="nil"/>
              <w:left w:val="nil"/>
              <w:bottom w:val="nil"/>
              <w:right w:val="nil"/>
            </w:tcBorders>
            <w:shd w:val="clear" w:color="000000" w:fill="E6F2FF"/>
            <w:noWrap/>
            <w:vAlign w:val="center"/>
            <w:hideMark/>
          </w:tcPr>
          <w:p w14:paraId="313AEA1C"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93" w:type="pct"/>
            <w:tcBorders>
              <w:top w:val="nil"/>
              <w:left w:val="nil"/>
              <w:bottom w:val="nil"/>
              <w:right w:val="nil"/>
            </w:tcBorders>
            <w:shd w:val="clear" w:color="000000" w:fill="FFFFFF"/>
            <w:noWrap/>
            <w:vAlign w:val="center"/>
            <w:hideMark/>
          </w:tcPr>
          <w:p w14:paraId="3C3401CC"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93" w:type="pct"/>
            <w:tcBorders>
              <w:top w:val="nil"/>
              <w:left w:val="nil"/>
              <w:bottom w:val="nil"/>
              <w:right w:val="nil"/>
            </w:tcBorders>
            <w:shd w:val="clear" w:color="000000" w:fill="FFFFFF"/>
            <w:noWrap/>
            <w:vAlign w:val="center"/>
            <w:hideMark/>
          </w:tcPr>
          <w:p w14:paraId="3235CFD8"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93" w:type="pct"/>
            <w:tcBorders>
              <w:top w:val="nil"/>
              <w:left w:val="nil"/>
              <w:bottom w:val="nil"/>
              <w:right w:val="nil"/>
            </w:tcBorders>
            <w:shd w:val="clear" w:color="000000" w:fill="FFFFFF"/>
            <w:noWrap/>
            <w:vAlign w:val="center"/>
            <w:hideMark/>
          </w:tcPr>
          <w:p w14:paraId="5573580D"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69" w:type="pct"/>
            <w:tcBorders>
              <w:top w:val="nil"/>
              <w:left w:val="nil"/>
              <w:bottom w:val="nil"/>
              <w:right w:val="nil"/>
            </w:tcBorders>
            <w:shd w:val="clear" w:color="000000" w:fill="FFFFFF"/>
            <w:noWrap/>
            <w:vAlign w:val="center"/>
            <w:hideMark/>
          </w:tcPr>
          <w:p w14:paraId="4505C89C"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489" w:type="pct"/>
            <w:tcBorders>
              <w:top w:val="nil"/>
              <w:left w:val="nil"/>
              <w:bottom w:val="nil"/>
              <w:right w:val="nil"/>
            </w:tcBorders>
            <w:shd w:val="clear" w:color="000000" w:fill="FFFFFF"/>
            <w:noWrap/>
            <w:vAlign w:val="center"/>
            <w:hideMark/>
          </w:tcPr>
          <w:p w14:paraId="09EDD301" w14:textId="77777777" w:rsidR="0008560F" w:rsidRPr="00954D98" w:rsidRDefault="0008560F" w:rsidP="0008560F">
            <w:pPr>
              <w:spacing w:before="0" w:after="0" w:line="240" w:lineRule="auto"/>
              <w:rPr>
                <w:rFonts w:ascii="Arial" w:hAnsi="Arial" w:cs="Arial"/>
                <w:sz w:val="16"/>
                <w:szCs w:val="16"/>
              </w:rPr>
            </w:pPr>
            <w:r w:rsidRPr="00954D98">
              <w:rPr>
                <w:rFonts w:ascii="Arial" w:hAnsi="Arial" w:cs="Arial"/>
                <w:sz w:val="16"/>
                <w:szCs w:val="16"/>
              </w:rPr>
              <w:t> </w:t>
            </w:r>
          </w:p>
        </w:tc>
      </w:tr>
      <w:tr w:rsidR="0008560F" w:rsidRPr="00954D98" w14:paraId="017FFA33"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25A37D5D" w14:textId="77777777" w:rsidR="0008560F" w:rsidRPr="00954D98" w:rsidRDefault="0008560F" w:rsidP="0008560F">
            <w:pPr>
              <w:spacing w:before="0" w:after="0" w:line="240" w:lineRule="auto"/>
              <w:rPr>
                <w:rFonts w:ascii="Arial" w:hAnsi="Arial" w:cs="Arial"/>
                <w:color w:val="FFFF00"/>
                <w:sz w:val="16"/>
                <w:szCs w:val="16"/>
              </w:rPr>
            </w:pPr>
            <w:r w:rsidRPr="00954D98">
              <w:rPr>
                <w:rFonts w:ascii="Arial" w:hAnsi="Arial" w:cs="Arial"/>
                <w:sz w:val="16"/>
                <w:szCs w:val="16"/>
              </w:rPr>
              <w:t>Effect of policy decisions(a)(b)</w:t>
            </w:r>
          </w:p>
        </w:tc>
        <w:tc>
          <w:tcPr>
            <w:tcW w:w="593" w:type="pct"/>
            <w:tcBorders>
              <w:top w:val="nil"/>
              <w:left w:val="nil"/>
              <w:bottom w:val="nil"/>
              <w:right w:val="nil"/>
            </w:tcBorders>
            <w:shd w:val="clear" w:color="000000" w:fill="E6F2FF"/>
            <w:noWrap/>
            <w:vAlign w:val="center"/>
            <w:hideMark/>
          </w:tcPr>
          <w:p w14:paraId="0C0D2631"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6F7ECB43"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6E48C2A5"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78603723"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9" w:type="pct"/>
            <w:tcBorders>
              <w:top w:val="nil"/>
              <w:left w:val="nil"/>
              <w:bottom w:val="nil"/>
              <w:right w:val="nil"/>
            </w:tcBorders>
            <w:shd w:val="clear" w:color="000000" w:fill="FFFFFF"/>
            <w:noWrap/>
            <w:vAlign w:val="center"/>
            <w:hideMark/>
          </w:tcPr>
          <w:p w14:paraId="1E303C04"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nil"/>
              <w:right w:val="nil"/>
            </w:tcBorders>
            <w:shd w:val="clear" w:color="000000" w:fill="FFFFFF"/>
            <w:noWrap/>
            <w:vAlign w:val="center"/>
            <w:hideMark/>
          </w:tcPr>
          <w:p w14:paraId="3B7B3A7F" w14:textId="77777777" w:rsidR="0008560F" w:rsidRPr="00954D98" w:rsidRDefault="0008560F" w:rsidP="0008560F">
            <w:pPr>
              <w:spacing w:before="0" w:after="0" w:line="240" w:lineRule="auto"/>
              <w:rPr>
                <w:rFonts w:ascii="Arial" w:hAnsi="Arial" w:cs="Arial"/>
                <w:sz w:val="16"/>
                <w:szCs w:val="16"/>
              </w:rPr>
            </w:pPr>
            <w:r w:rsidRPr="00954D98">
              <w:rPr>
                <w:rFonts w:ascii="Arial" w:hAnsi="Arial" w:cs="Arial"/>
                <w:sz w:val="16"/>
                <w:szCs w:val="16"/>
              </w:rPr>
              <w:t> </w:t>
            </w:r>
          </w:p>
        </w:tc>
      </w:tr>
      <w:tr w:rsidR="0008560F" w:rsidRPr="00954D98" w14:paraId="73DAF8F4"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25AE24C3" w14:textId="77777777" w:rsidR="0008560F" w:rsidRPr="00954D98" w:rsidRDefault="0008560F" w:rsidP="0008560F">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Receipts</w:t>
            </w:r>
          </w:p>
        </w:tc>
        <w:tc>
          <w:tcPr>
            <w:tcW w:w="593" w:type="pct"/>
            <w:tcBorders>
              <w:top w:val="nil"/>
              <w:left w:val="nil"/>
              <w:bottom w:val="nil"/>
              <w:right w:val="nil"/>
            </w:tcBorders>
            <w:shd w:val="clear" w:color="000000" w:fill="E6F2FF"/>
            <w:noWrap/>
            <w:vAlign w:val="center"/>
            <w:hideMark/>
          </w:tcPr>
          <w:p w14:paraId="24C50317"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-151</w:t>
            </w:r>
          </w:p>
        </w:tc>
        <w:tc>
          <w:tcPr>
            <w:tcW w:w="593" w:type="pct"/>
            <w:tcBorders>
              <w:top w:val="nil"/>
              <w:left w:val="nil"/>
              <w:bottom w:val="nil"/>
              <w:right w:val="nil"/>
            </w:tcBorders>
            <w:shd w:val="clear" w:color="000000" w:fill="FFFFFF"/>
            <w:noWrap/>
            <w:vAlign w:val="center"/>
            <w:hideMark/>
          </w:tcPr>
          <w:p w14:paraId="35145BD1"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-103</w:t>
            </w:r>
          </w:p>
        </w:tc>
        <w:tc>
          <w:tcPr>
            <w:tcW w:w="593" w:type="pct"/>
            <w:tcBorders>
              <w:top w:val="nil"/>
              <w:left w:val="nil"/>
              <w:bottom w:val="nil"/>
              <w:right w:val="nil"/>
            </w:tcBorders>
            <w:shd w:val="clear" w:color="000000" w:fill="FFFFFF"/>
            <w:noWrap/>
            <w:vAlign w:val="center"/>
            <w:hideMark/>
          </w:tcPr>
          <w:p w14:paraId="69132393"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-819</w:t>
            </w:r>
          </w:p>
        </w:tc>
        <w:tc>
          <w:tcPr>
            <w:tcW w:w="593" w:type="pct"/>
            <w:tcBorders>
              <w:top w:val="nil"/>
              <w:left w:val="nil"/>
              <w:bottom w:val="nil"/>
              <w:right w:val="nil"/>
            </w:tcBorders>
            <w:shd w:val="clear" w:color="000000" w:fill="FFFFFF"/>
            <w:noWrap/>
            <w:vAlign w:val="center"/>
            <w:hideMark/>
          </w:tcPr>
          <w:p w14:paraId="1E489AE7"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-511</w:t>
            </w:r>
          </w:p>
        </w:tc>
        <w:tc>
          <w:tcPr>
            <w:tcW w:w="69" w:type="pct"/>
            <w:tcBorders>
              <w:top w:val="nil"/>
              <w:left w:val="nil"/>
              <w:bottom w:val="nil"/>
              <w:right w:val="nil"/>
            </w:tcBorders>
            <w:shd w:val="clear" w:color="000000" w:fill="FFFFFF"/>
            <w:noWrap/>
            <w:vAlign w:val="center"/>
            <w:hideMark/>
          </w:tcPr>
          <w:p w14:paraId="626B5FA4"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489" w:type="pct"/>
            <w:tcBorders>
              <w:top w:val="nil"/>
              <w:left w:val="nil"/>
              <w:bottom w:val="nil"/>
              <w:right w:val="nil"/>
            </w:tcBorders>
            <w:shd w:val="clear" w:color="000000" w:fill="FFFFFF"/>
            <w:noWrap/>
            <w:vAlign w:val="center"/>
            <w:hideMark/>
          </w:tcPr>
          <w:p w14:paraId="4C40FA9B" w14:textId="77777777" w:rsidR="0008560F" w:rsidRPr="00954D98" w:rsidRDefault="0008560F" w:rsidP="0008560F">
            <w:pPr>
              <w:spacing w:before="0" w:after="0" w:line="240" w:lineRule="auto"/>
              <w:jc w:val="right"/>
              <w:rPr>
                <w:rFonts w:ascii="Arial" w:hAnsi="Arial" w:cs="Arial"/>
                <w:i/>
                <w:iCs/>
                <w:sz w:val="16"/>
                <w:szCs w:val="16"/>
              </w:rPr>
            </w:pPr>
            <w:r w:rsidRPr="00954D98">
              <w:rPr>
                <w:rFonts w:ascii="Arial" w:hAnsi="Arial" w:cs="Arial"/>
                <w:i/>
                <w:iCs/>
                <w:sz w:val="16"/>
                <w:szCs w:val="16"/>
              </w:rPr>
              <w:t>-1,584</w:t>
            </w:r>
          </w:p>
        </w:tc>
      </w:tr>
      <w:tr w:rsidR="002C4687" w:rsidRPr="00954D98" w14:paraId="7848819A"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328D9104" w14:textId="77777777" w:rsidR="0008560F" w:rsidRPr="00954D98" w:rsidRDefault="0008560F" w:rsidP="0008560F">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Payments</w:t>
            </w:r>
          </w:p>
        </w:tc>
        <w:tc>
          <w:tcPr>
            <w:tcW w:w="593" w:type="pct"/>
            <w:tcBorders>
              <w:top w:val="nil"/>
              <w:left w:val="nil"/>
              <w:bottom w:val="single" w:sz="4" w:space="0" w:color="auto"/>
              <w:right w:val="nil"/>
            </w:tcBorders>
            <w:shd w:val="clear" w:color="000000" w:fill="E6F2FF"/>
            <w:noWrap/>
            <w:vAlign w:val="center"/>
            <w:hideMark/>
          </w:tcPr>
          <w:p w14:paraId="7C012156"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1,758</w:t>
            </w:r>
          </w:p>
        </w:tc>
        <w:tc>
          <w:tcPr>
            <w:tcW w:w="593" w:type="pct"/>
            <w:tcBorders>
              <w:top w:val="nil"/>
              <w:left w:val="nil"/>
              <w:bottom w:val="single" w:sz="4" w:space="0" w:color="auto"/>
              <w:right w:val="nil"/>
            </w:tcBorders>
            <w:shd w:val="clear" w:color="000000" w:fill="FFFFFF"/>
            <w:noWrap/>
            <w:vAlign w:val="center"/>
            <w:hideMark/>
          </w:tcPr>
          <w:p w14:paraId="5268ED1B"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44</w:t>
            </w:r>
          </w:p>
        </w:tc>
        <w:tc>
          <w:tcPr>
            <w:tcW w:w="593" w:type="pct"/>
            <w:tcBorders>
              <w:top w:val="nil"/>
              <w:left w:val="nil"/>
              <w:bottom w:val="single" w:sz="4" w:space="0" w:color="auto"/>
              <w:right w:val="nil"/>
            </w:tcBorders>
            <w:shd w:val="clear" w:color="000000" w:fill="FFFFFF"/>
            <w:noWrap/>
            <w:vAlign w:val="center"/>
            <w:hideMark/>
          </w:tcPr>
          <w:p w14:paraId="1E5D113B"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-2,156</w:t>
            </w:r>
          </w:p>
        </w:tc>
        <w:tc>
          <w:tcPr>
            <w:tcW w:w="593" w:type="pct"/>
            <w:tcBorders>
              <w:top w:val="nil"/>
              <w:left w:val="nil"/>
              <w:bottom w:val="single" w:sz="4" w:space="0" w:color="auto"/>
              <w:right w:val="nil"/>
            </w:tcBorders>
            <w:shd w:val="clear" w:color="000000" w:fill="FFFFFF"/>
            <w:noWrap/>
            <w:vAlign w:val="center"/>
            <w:hideMark/>
          </w:tcPr>
          <w:p w14:paraId="736AD7E7"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-3,399</w:t>
            </w:r>
          </w:p>
        </w:tc>
        <w:tc>
          <w:tcPr>
            <w:tcW w:w="69" w:type="pct"/>
            <w:tcBorders>
              <w:top w:val="nil"/>
              <w:left w:val="nil"/>
              <w:bottom w:val="nil"/>
              <w:right w:val="nil"/>
            </w:tcBorders>
            <w:shd w:val="clear" w:color="000000" w:fill="FFFFFF"/>
            <w:noWrap/>
            <w:vAlign w:val="center"/>
            <w:hideMark/>
          </w:tcPr>
          <w:p w14:paraId="64E9A018"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489" w:type="pct"/>
            <w:tcBorders>
              <w:top w:val="nil"/>
              <w:left w:val="nil"/>
              <w:bottom w:val="single" w:sz="4" w:space="0" w:color="auto"/>
              <w:right w:val="nil"/>
            </w:tcBorders>
            <w:shd w:val="clear" w:color="000000" w:fill="FFFFFF"/>
            <w:noWrap/>
            <w:vAlign w:val="center"/>
            <w:hideMark/>
          </w:tcPr>
          <w:p w14:paraId="71AF9733" w14:textId="77777777" w:rsidR="0008560F" w:rsidRPr="00954D98" w:rsidRDefault="0008560F" w:rsidP="0008560F">
            <w:pPr>
              <w:spacing w:before="0" w:after="0" w:line="240" w:lineRule="auto"/>
              <w:jc w:val="right"/>
              <w:rPr>
                <w:rFonts w:ascii="Arial" w:hAnsi="Arial" w:cs="Arial"/>
                <w:i/>
                <w:iCs/>
                <w:sz w:val="16"/>
                <w:szCs w:val="16"/>
              </w:rPr>
            </w:pPr>
            <w:r w:rsidRPr="00954D98">
              <w:rPr>
                <w:rFonts w:ascii="Arial" w:hAnsi="Arial" w:cs="Arial"/>
                <w:i/>
                <w:iCs/>
                <w:sz w:val="16"/>
                <w:szCs w:val="16"/>
              </w:rPr>
              <w:t>-3,754</w:t>
            </w:r>
          </w:p>
        </w:tc>
      </w:tr>
      <w:tr w:rsidR="002C4687" w:rsidRPr="00954D98" w14:paraId="28931222"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10A0D760" w14:textId="77777777" w:rsidR="0008560F" w:rsidRPr="00954D98" w:rsidRDefault="0008560F" w:rsidP="0008560F">
            <w:pPr>
              <w:spacing w:before="0" w:after="0" w:line="240" w:lineRule="auto"/>
              <w:rPr>
                <w:rFonts w:ascii="Arial" w:hAnsi="Arial" w:cs="Arial"/>
                <w:color w:val="FFFF00"/>
                <w:sz w:val="16"/>
                <w:szCs w:val="16"/>
              </w:rPr>
            </w:pPr>
            <w:r w:rsidRPr="00954D98">
              <w:rPr>
                <w:rFonts w:ascii="Arial" w:hAnsi="Arial" w:cs="Arial"/>
                <w:sz w:val="16"/>
                <w:szCs w:val="16"/>
              </w:rPr>
              <w:t xml:space="preserve">Total policy decisions impact on </w:t>
            </w:r>
          </w:p>
        </w:tc>
        <w:tc>
          <w:tcPr>
            <w:tcW w:w="593" w:type="pct"/>
            <w:tcBorders>
              <w:top w:val="single" w:sz="4" w:space="0" w:color="293F5B"/>
              <w:left w:val="nil"/>
              <w:bottom w:val="nil"/>
              <w:right w:val="nil"/>
            </w:tcBorders>
            <w:shd w:val="clear" w:color="000000" w:fill="E6F2FF"/>
            <w:noWrap/>
            <w:vAlign w:val="center"/>
            <w:hideMark/>
          </w:tcPr>
          <w:p w14:paraId="05733D0B"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593" w:type="pct"/>
            <w:tcBorders>
              <w:top w:val="single" w:sz="4" w:space="0" w:color="293F5B"/>
              <w:left w:val="nil"/>
              <w:bottom w:val="nil"/>
              <w:right w:val="nil"/>
            </w:tcBorders>
            <w:shd w:val="clear" w:color="000000" w:fill="FFFFFF"/>
            <w:noWrap/>
            <w:vAlign w:val="center"/>
            <w:hideMark/>
          </w:tcPr>
          <w:p w14:paraId="30F98732"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593" w:type="pct"/>
            <w:tcBorders>
              <w:top w:val="single" w:sz="4" w:space="0" w:color="293F5B"/>
              <w:left w:val="nil"/>
              <w:bottom w:val="nil"/>
              <w:right w:val="nil"/>
            </w:tcBorders>
            <w:shd w:val="clear" w:color="000000" w:fill="FFFFFF"/>
            <w:noWrap/>
            <w:vAlign w:val="center"/>
            <w:hideMark/>
          </w:tcPr>
          <w:p w14:paraId="6FC4457B"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593" w:type="pct"/>
            <w:tcBorders>
              <w:top w:val="single" w:sz="4" w:space="0" w:color="293F5B"/>
              <w:left w:val="nil"/>
              <w:bottom w:val="nil"/>
              <w:right w:val="nil"/>
            </w:tcBorders>
            <w:shd w:val="clear" w:color="000000" w:fill="FFFFFF"/>
            <w:noWrap/>
            <w:vAlign w:val="center"/>
            <w:hideMark/>
          </w:tcPr>
          <w:p w14:paraId="57AA61FD"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69" w:type="pct"/>
            <w:tcBorders>
              <w:top w:val="nil"/>
              <w:left w:val="nil"/>
              <w:bottom w:val="nil"/>
              <w:right w:val="nil"/>
            </w:tcBorders>
            <w:shd w:val="clear" w:color="000000" w:fill="FFFFFF"/>
            <w:noWrap/>
            <w:vAlign w:val="center"/>
            <w:hideMark/>
          </w:tcPr>
          <w:p w14:paraId="3E7E0CBD"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489" w:type="pct"/>
            <w:tcBorders>
              <w:top w:val="single" w:sz="4" w:space="0" w:color="293F5B"/>
              <w:left w:val="nil"/>
              <w:bottom w:val="nil"/>
              <w:right w:val="nil"/>
            </w:tcBorders>
            <w:shd w:val="clear" w:color="000000" w:fill="FFFFFF"/>
            <w:noWrap/>
            <w:vAlign w:val="center"/>
            <w:hideMark/>
          </w:tcPr>
          <w:p w14:paraId="04BB82BC" w14:textId="77777777" w:rsidR="0008560F" w:rsidRPr="00954D98" w:rsidRDefault="0008560F" w:rsidP="0008560F">
            <w:pPr>
              <w:spacing w:before="0" w:after="0" w:line="240" w:lineRule="auto"/>
              <w:jc w:val="right"/>
              <w:rPr>
                <w:rFonts w:ascii="Arial" w:hAnsi="Arial" w:cs="Arial"/>
                <w:i/>
                <w:iCs/>
                <w:sz w:val="16"/>
                <w:szCs w:val="16"/>
              </w:rPr>
            </w:pPr>
            <w:r w:rsidRPr="00954D98">
              <w:rPr>
                <w:rFonts w:ascii="Arial" w:hAnsi="Arial" w:cs="Arial"/>
                <w:i/>
                <w:iCs/>
                <w:sz w:val="16"/>
                <w:szCs w:val="16"/>
              </w:rPr>
              <w:t> </w:t>
            </w:r>
          </w:p>
        </w:tc>
      </w:tr>
      <w:tr w:rsidR="002C4687" w:rsidRPr="00954D98" w14:paraId="34EDFD17"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2D2B5FCB" w14:textId="77777777" w:rsidR="0008560F" w:rsidRPr="00954D98" w:rsidRDefault="0008560F" w:rsidP="0008560F">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underlying cash balance</w:t>
            </w:r>
          </w:p>
        </w:tc>
        <w:tc>
          <w:tcPr>
            <w:tcW w:w="593" w:type="pct"/>
            <w:tcBorders>
              <w:top w:val="nil"/>
              <w:left w:val="nil"/>
              <w:bottom w:val="single" w:sz="4" w:space="0" w:color="293F5B"/>
              <w:right w:val="nil"/>
            </w:tcBorders>
            <w:shd w:val="clear" w:color="000000" w:fill="E6F2FF"/>
            <w:vAlign w:val="center"/>
            <w:hideMark/>
          </w:tcPr>
          <w:p w14:paraId="7406C67C"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-1,909</w:t>
            </w:r>
          </w:p>
        </w:tc>
        <w:tc>
          <w:tcPr>
            <w:tcW w:w="593" w:type="pct"/>
            <w:tcBorders>
              <w:top w:val="nil"/>
              <w:left w:val="nil"/>
              <w:bottom w:val="single" w:sz="4" w:space="0" w:color="293F5B"/>
              <w:right w:val="nil"/>
            </w:tcBorders>
            <w:shd w:val="clear" w:color="000000" w:fill="FFFFFF"/>
            <w:vAlign w:val="center"/>
            <w:hideMark/>
          </w:tcPr>
          <w:p w14:paraId="42F977C9"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-147</w:t>
            </w:r>
          </w:p>
        </w:tc>
        <w:tc>
          <w:tcPr>
            <w:tcW w:w="593" w:type="pct"/>
            <w:tcBorders>
              <w:top w:val="nil"/>
              <w:left w:val="nil"/>
              <w:bottom w:val="single" w:sz="4" w:space="0" w:color="293F5B"/>
              <w:right w:val="nil"/>
            </w:tcBorders>
            <w:shd w:val="clear" w:color="000000" w:fill="FFFFFF"/>
            <w:vAlign w:val="center"/>
            <w:hideMark/>
          </w:tcPr>
          <w:p w14:paraId="777533DB"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1,337</w:t>
            </w:r>
          </w:p>
        </w:tc>
        <w:tc>
          <w:tcPr>
            <w:tcW w:w="593" w:type="pct"/>
            <w:tcBorders>
              <w:top w:val="nil"/>
              <w:left w:val="nil"/>
              <w:bottom w:val="single" w:sz="4" w:space="0" w:color="293F5B"/>
              <w:right w:val="nil"/>
            </w:tcBorders>
            <w:shd w:val="clear" w:color="000000" w:fill="FFFFFF"/>
            <w:vAlign w:val="center"/>
            <w:hideMark/>
          </w:tcPr>
          <w:p w14:paraId="66535097"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2,888</w:t>
            </w:r>
          </w:p>
        </w:tc>
        <w:tc>
          <w:tcPr>
            <w:tcW w:w="69" w:type="pct"/>
            <w:tcBorders>
              <w:top w:val="nil"/>
              <w:left w:val="nil"/>
              <w:bottom w:val="nil"/>
              <w:right w:val="nil"/>
            </w:tcBorders>
            <w:shd w:val="clear" w:color="000000" w:fill="FFFFFF"/>
            <w:vAlign w:val="center"/>
            <w:hideMark/>
          </w:tcPr>
          <w:p w14:paraId="2547B0C3" w14:textId="77777777" w:rsidR="0008560F" w:rsidRPr="00954D98" w:rsidRDefault="0008560F" w:rsidP="0008560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single" w:sz="4" w:space="0" w:color="293F5B"/>
              <w:right w:val="nil"/>
            </w:tcBorders>
            <w:shd w:val="clear" w:color="000000" w:fill="FFFFFF"/>
            <w:vAlign w:val="center"/>
            <w:hideMark/>
          </w:tcPr>
          <w:p w14:paraId="4A54DEA3" w14:textId="77777777" w:rsidR="0008560F" w:rsidRPr="00954D98" w:rsidRDefault="0008560F" w:rsidP="0008560F">
            <w:pPr>
              <w:spacing w:before="0" w:after="0" w:line="240" w:lineRule="auto"/>
              <w:jc w:val="right"/>
              <w:rPr>
                <w:rFonts w:ascii="Arial" w:hAnsi="Arial" w:cs="Arial"/>
                <w:sz w:val="16"/>
                <w:szCs w:val="16"/>
              </w:rPr>
            </w:pPr>
            <w:r w:rsidRPr="00954D98">
              <w:rPr>
                <w:rFonts w:ascii="Arial" w:hAnsi="Arial" w:cs="Arial"/>
                <w:sz w:val="16"/>
                <w:szCs w:val="16"/>
              </w:rPr>
              <w:t>2,170</w:t>
            </w:r>
          </w:p>
        </w:tc>
      </w:tr>
      <w:tr w:rsidR="0008560F" w:rsidRPr="00954D98" w14:paraId="7136C2F6" w14:textId="77777777" w:rsidTr="0008560F">
        <w:trPr>
          <w:trHeight w:hRule="exact" w:val="60"/>
        </w:trPr>
        <w:tc>
          <w:tcPr>
            <w:tcW w:w="2071" w:type="pct"/>
            <w:tcBorders>
              <w:top w:val="nil"/>
              <w:left w:val="nil"/>
              <w:bottom w:val="nil"/>
              <w:right w:val="nil"/>
            </w:tcBorders>
            <w:shd w:val="clear" w:color="000000" w:fill="FFFFFF"/>
            <w:noWrap/>
            <w:vAlign w:val="center"/>
            <w:hideMark/>
          </w:tcPr>
          <w:p w14:paraId="29132815" w14:textId="77777777" w:rsidR="0008560F" w:rsidRPr="00954D98" w:rsidRDefault="0008560F" w:rsidP="0008560F">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 </w:t>
            </w:r>
          </w:p>
        </w:tc>
        <w:tc>
          <w:tcPr>
            <w:tcW w:w="593" w:type="pct"/>
            <w:tcBorders>
              <w:top w:val="nil"/>
              <w:left w:val="nil"/>
              <w:bottom w:val="nil"/>
              <w:right w:val="nil"/>
            </w:tcBorders>
            <w:shd w:val="clear" w:color="000000" w:fill="E6F2FF"/>
            <w:noWrap/>
            <w:vAlign w:val="center"/>
            <w:hideMark/>
          </w:tcPr>
          <w:p w14:paraId="5EF58777"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593" w:type="pct"/>
            <w:tcBorders>
              <w:top w:val="nil"/>
              <w:left w:val="nil"/>
              <w:bottom w:val="nil"/>
              <w:right w:val="nil"/>
            </w:tcBorders>
            <w:shd w:val="clear" w:color="000000" w:fill="FFFFFF"/>
            <w:noWrap/>
            <w:vAlign w:val="center"/>
            <w:hideMark/>
          </w:tcPr>
          <w:p w14:paraId="0C5AD845"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593" w:type="pct"/>
            <w:tcBorders>
              <w:top w:val="nil"/>
              <w:left w:val="nil"/>
              <w:bottom w:val="nil"/>
              <w:right w:val="nil"/>
            </w:tcBorders>
            <w:shd w:val="clear" w:color="000000" w:fill="FFFFFF"/>
            <w:noWrap/>
            <w:vAlign w:val="center"/>
            <w:hideMark/>
          </w:tcPr>
          <w:p w14:paraId="14278218"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593" w:type="pct"/>
            <w:tcBorders>
              <w:top w:val="nil"/>
              <w:left w:val="nil"/>
              <w:bottom w:val="nil"/>
              <w:right w:val="nil"/>
            </w:tcBorders>
            <w:shd w:val="clear" w:color="000000" w:fill="FFFFFF"/>
            <w:noWrap/>
            <w:vAlign w:val="center"/>
            <w:hideMark/>
          </w:tcPr>
          <w:p w14:paraId="4AB6A0F2"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69" w:type="pct"/>
            <w:tcBorders>
              <w:top w:val="nil"/>
              <w:left w:val="nil"/>
              <w:bottom w:val="nil"/>
              <w:right w:val="nil"/>
            </w:tcBorders>
            <w:shd w:val="clear" w:color="000000" w:fill="FFFFFF"/>
            <w:noWrap/>
            <w:vAlign w:val="center"/>
            <w:hideMark/>
          </w:tcPr>
          <w:p w14:paraId="5B492FAA"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489" w:type="pct"/>
            <w:tcBorders>
              <w:top w:val="nil"/>
              <w:left w:val="nil"/>
              <w:bottom w:val="nil"/>
              <w:right w:val="nil"/>
            </w:tcBorders>
            <w:shd w:val="clear" w:color="000000" w:fill="FFFFFF"/>
            <w:noWrap/>
            <w:vAlign w:val="center"/>
            <w:hideMark/>
          </w:tcPr>
          <w:p w14:paraId="21B67F1A" w14:textId="77777777" w:rsidR="0008560F" w:rsidRPr="00954D98" w:rsidRDefault="0008560F" w:rsidP="0008560F">
            <w:pPr>
              <w:spacing w:before="0" w:after="0" w:line="240" w:lineRule="auto"/>
              <w:rPr>
                <w:rFonts w:ascii="Arial" w:hAnsi="Arial" w:cs="Arial"/>
                <w:sz w:val="16"/>
                <w:szCs w:val="16"/>
              </w:rPr>
            </w:pPr>
            <w:r w:rsidRPr="00954D98">
              <w:rPr>
                <w:rFonts w:ascii="Arial" w:hAnsi="Arial" w:cs="Arial"/>
                <w:sz w:val="16"/>
                <w:szCs w:val="16"/>
              </w:rPr>
              <w:t> </w:t>
            </w:r>
          </w:p>
        </w:tc>
      </w:tr>
      <w:tr w:rsidR="0008560F" w:rsidRPr="00954D98" w14:paraId="3BBC73DC" w14:textId="77777777" w:rsidTr="0008560F">
        <w:trPr>
          <w:trHeight w:hRule="exact" w:val="225"/>
        </w:trPr>
        <w:tc>
          <w:tcPr>
            <w:tcW w:w="2071" w:type="pct"/>
            <w:tcBorders>
              <w:top w:val="nil"/>
              <w:left w:val="nil"/>
              <w:bottom w:val="nil"/>
              <w:right w:val="nil"/>
            </w:tcBorders>
            <w:shd w:val="clear" w:color="000000" w:fill="FFFFFF"/>
            <w:noWrap/>
            <w:vAlign w:val="bottom"/>
            <w:hideMark/>
          </w:tcPr>
          <w:p w14:paraId="5CE25240" w14:textId="77777777" w:rsidR="0008560F" w:rsidRPr="00954D98" w:rsidRDefault="0008560F" w:rsidP="0008560F">
            <w:pPr>
              <w:spacing w:before="0" w:after="0" w:line="240" w:lineRule="auto"/>
              <w:rPr>
                <w:rFonts w:ascii="Arial" w:hAnsi="Arial" w:cs="Arial"/>
                <w:color w:val="FFFF00"/>
                <w:sz w:val="16"/>
                <w:szCs w:val="16"/>
              </w:rPr>
            </w:pPr>
            <w:r w:rsidRPr="00954D98">
              <w:rPr>
                <w:rFonts w:ascii="Arial" w:hAnsi="Arial" w:cs="Arial"/>
                <w:sz w:val="16"/>
                <w:szCs w:val="16"/>
              </w:rPr>
              <w:t>Effect of parameter and other variations(b)</w:t>
            </w:r>
          </w:p>
        </w:tc>
        <w:tc>
          <w:tcPr>
            <w:tcW w:w="593" w:type="pct"/>
            <w:tcBorders>
              <w:top w:val="nil"/>
              <w:left w:val="nil"/>
              <w:bottom w:val="nil"/>
              <w:right w:val="nil"/>
            </w:tcBorders>
            <w:shd w:val="clear" w:color="000000" w:fill="E6F2FF"/>
            <w:noWrap/>
            <w:vAlign w:val="center"/>
            <w:hideMark/>
          </w:tcPr>
          <w:p w14:paraId="717A36E4"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7898BA44"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162EC335"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1B038F83"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9" w:type="pct"/>
            <w:tcBorders>
              <w:top w:val="nil"/>
              <w:left w:val="nil"/>
              <w:bottom w:val="nil"/>
              <w:right w:val="nil"/>
            </w:tcBorders>
            <w:shd w:val="clear" w:color="000000" w:fill="FFFFFF"/>
            <w:noWrap/>
            <w:vAlign w:val="center"/>
            <w:hideMark/>
          </w:tcPr>
          <w:p w14:paraId="72A56476"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nil"/>
              <w:right w:val="nil"/>
            </w:tcBorders>
            <w:shd w:val="clear" w:color="000000" w:fill="FFFFFF"/>
            <w:noWrap/>
            <w:vAlign w:val="center"/>
            <w:hideMark/>
          </w:tcPr>
          <w:p w14:paraId="4E0BF4D5" w14:textId="77777777" w:rsidR="0008560F" w:rsidRPr="00954D98" w:rsidRDefault="0008560F" w:rsidP="0008560F">
            <w:pPr>
              <w:spacing w:before="0" w:after="0" w:line="240" w:lineRule="auto"/>
              <w:rPr>
                <w:rFonts w:ascii="Arial" w:hAnsi="Arial" w:cs="Arial"/>
                <w:sz w:val="16"/>
                <w:szCs w:val="16"/>
              </w:rPr>
            </w:pPr>
            <w:r w:rsidRPr="00954D98">
              <w:rPr>
                <w:rFonts w:ascii="Arial" w:hAnsi="Arial" w:cs="Arial"/>
                <w:sz w:val="16"/>
                <w:szCs w:val="16"/>
              </w:rPr>
              <w:t> </w:t>
            </w:r>
          </w:p>
        </w:tc>
      </w:tr>
      <w:tr w:rsidR="0008560F" w:rsidRPr="00954D98" w14:paraId="585287CE"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47B588A7" w14:textId="77777777" w:rsidR="0008560F" w:rsidRPr="00954D98" w:rsidRDefault="0008560F" w:rsidP="0008560F">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Receipts</w:t>
            </w:r>
          </w:p>
        </w:tc>
        <w:tc>
          <w:tcPr>
            <w:tcW w:w="593" w:type="pct"/>
            <w:tcBorders>
              <w:top w:val="nil"/>
              <w:left w:val="nil"/>
              <w:bottom w:val="nil"/>
              <w:right w:val="nil"/>
            </w:tcBorders>
            <w:shd w:val="clear" w:color="000000" w:fill="E6F2FF"/>
            <w:noWrap/>
            <w:vAlign w:val="center"/>
            <w:hideMark/>
          </w:tcPr>
          <w:p w14:paraId="1A483E52"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14,585</w:t>
            </w:r>
          </w:p>
        </w:tc>
        <w:tc>
          <w:tcPr>
            <w:tcW w:w="593" w:type="pct"/>
            <w:tcBorders>
              <w:top w:val="nil"/>
              <w:left w:val="nil"/>
              <w:bottom w:val="nil"/>
              <w:right w:val="nil"/>
            </w:tcBorders>
            <w:shd w:val="clear" w:color="000000" w:fill="FFFFFF"/>
            <w:noWrap/>
            <w:vAlign w:val="center"/>
            <w:hideMark/>
          </w:tcPr>
          <w:p w14:paraId="608B867C"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11,158</w:t>
            </w:r>
          </w:p>
        </w:tc>
        <w:tc>
          <w:tcPr>
            <w:tcW w:w="593" w:type="pct"/>
            <w:tcBorders>
              <w:top w:val="nil"/>
              <w:left w:val="nil"/>
              <w:bottom w:val="nil"/>
              <w:right w:val="nil"/>
            </w:tcBorders>
            <w:shd w:val="clear" w:color="000000" w:fill="FFFFFF"/>
            <w:noWrap/>
            <w:vAlign w:val="center"/>
            <w:hideMark/>
          </w:tcPr>
          <w:p w14:paraId="63B333D0"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8,989</w:t>
            </w:r>
          </w:p>
        </w:tc>
        <w:tc>
          <w:tcPr>
            <w:tcW w:w="593" w:type="pct"/>
            <w:tcBorders>
              <w:top w:val="nil"/>
              <w:left w:val="nil"/>
              <w:bottom w:val="nil"/>
              <w:right w:val="nil"/>
            </w:tcBorders>
            <w:shd w:val="clear" w:color="000000" w:fill="FFFFFF"/>
            <w:noWrap/>
            <w:vAlign w:val="center"/>
            <w:hideMark/>
          </w:tcPr>
          <w:p w14:paraId="6CD79A90"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6,590</w:t>
            </w:r>
          </w:p>
        </w:tc>
        <w:tc>
          <w:tcPr>
            <w:tcW w:w="69" w:type="pct"/>
            <w:tcBorders>
              <w:top w:val="nil"/>
              <w:left w:val="nil"/>
              <w:bottom w:val="nil"/>
              <w:right w:val="nil"/>
            </w:tcBorders>
            <w:shd w:val="clear" w:color="000000" w:fill="FFFFFF"/>
            <w:noWrap/>
            <w:vAlign w:val="center"/>
            <w:hideMark/>
          </w:tcPr>
          <w:p w14:paraId="265164A6"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489" w:type="pct"/>
            <w:tcBorders>
              <w:top w:val="nil"/>
              <w:left w:val="nil"/>
              <w:bottom w:val="nil"/>
              <w:right w:val="nil"/>
            </w:tcBorders>
            <w:shd w:val="clear" w:color="000000" w:fill="FFFFFF"/>
            <w:noWrap/>
            <w:vAlign w:val="center"/>
            <w:hideMark/>
          </w:tcPr>
          <w:p w14:paraId="1B8F0228" w14:textId="77777777" w:rsidR="0008560F" w:rsidRPr="00954D98" w:rsidRDefault="0008560F" w:rsidP="0008560F">
            <w:pPr>
              <w:spacing w:before="0" w:after="0" w:line="240" w:lineRule="auto"/>
              <w:jc w:val="right"/>
              <w:rPr>
                <w:rFonts w:ascii="Arial" w:hAnsi="Arial" w:cs="Arial"/>
                <w:i/>
                <w:iCs/>
                <w:sz w:val="16"/>
                <w:szCs w:val="16"/>
              </w:rPr>
            </w:pPr>
            <w:r w:rsidRPr="00954D98">
              <w:rPr>
                <w:rFonts w:ascii="Arial" w:hAnsi="Arial" w:cs="Arial"/>
                <w:i/>
                <w:iCs/>
                <w:sz w:val="16"/>
                <w:szCs w:val="16"/>
              </w:rPr>
              <w:t>41,322</w:t>
            </w:r>
          </w:p>
        </w:tc>
      </w:tr>
      <w:tr w:rsidR="002C4687" w:rsidRPr="00954D98" w14:paraId="24F64B83"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7130CA6A" w14:textId="77777777" w:rsidR="0008560F" w:rsidRPr="00954D98" w:rsidRDefault="0008560F" w:rsidP="0008560F">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Payments</w:t>
            </w:r>
          </w:p>
        </w:tc>
        <w:tc>
          <w:tcPr>
            <w:tcW w:w="593" w:type="pct"/>
            <w:tcBorders>
              <w:top w:val="nil"/>
              <w:left w:val="nil"/>
              <w:bottom w:val="single" w:sz="4" w:space="0" w:color="293F5B"/>
              <w:right w:val="nil"/>
            </w:tcBorders>
            <w:shd w:val="clear" w:color="000000" w:fill="E6F2FF"/>
            <w:noWrap/>
            <w:vAlign w:val="center"/>
            <w:hideMark/>
          </w:tcPr>
          <w:p w14:paraId="77D249E1"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7,275</w:t>
            </w:r>
          </w:p>
        </w:tc>
        <w:tc>
          <w:tcPr>
            <w:tcW w:w="593" w:type="pct"/>
            <w:tcBorders>
              <w:top w:val="nil"/>
              <w:left w:val="nil"/>
              <w:bottom w:val="single" w:sz="4" w:space="0" w:color="293F5B"/>
              <w:right w:val="nil"/>
            </w:tcBorders>
            <w:shd w:val="clear" w:color="000000" w:fill="FFFFFF"/>
            <w:noWrap/>
            <w:vAlign w:val="center"/>
            <w:hideMark/>
          </w:tcPr>
          <w:p w14:paraId="596922DD"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9,948</w:t>
            </w:r>
          </w:p>
        </w:tc>
        <w:tc>
          <w:tcPr>
            <w:tcW w:w="593" w:type="pct"/>
            <w:tcBorders>
              <w:top w:val="nil"/>
              <w:left w:val="nil"/>
              <w:bottom w:val="single" w:sz="4" w:space="0" w:color="293F5B"/>
              <w:right w:val="nil"/>
            </w:tcBorders>
            <w:shd w:val="clear" w:color="000000" w:fill="FFFFFF"/>
            <w:noWrap/>
            <w:vAlign w:val="center"/>
            <w:hideMark/>
          </w:tcPr>
          <w:p w14:paraId="316B684E"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9,428</w:t>
            </w:r>
          </w:p>
        </w:tc>
        <w:tc>
          <w:tcPr>
            <w:tcW w:w="593" w:type="pct"/>
            <w:tcBorders>
              <w:top w:val="nil"/>
              <w:left w:val="nil"/>
              <w:bottom w:val="single" w:sz="4" w:space="0" w:color="293F5B"/>
              <w:right w:val="nil"/>
            </w:tcBorders>
            <w:shd w:val="clear" w:color="000000" w:fill="FFFFFF"/>
            <w:noWrap/>
            <w:vAlign w:val="center"/>
            <w:hideMark/>
          </w:tcPr>
          <w:p w14:paraId="008D4105"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8,442</w:t>
            </w:r>
          </w:p>
        </w:tc>
        <w:tc>
          <w:tcPr>
            <w:tcW w:w="69" w:type="pct"/>
            <w:tcBorders>
              <w:top w:val="nil"/>
              <w:left w:val="nil"/>
              <w:bottom w:val="nil"/>
              <w:right w:val="nil"/>
            </w:tcBorders>
            <w:shd w:val="clear" w:color="000000" w:fill="FFFFFF"/>
            <w:noWrap/>
            <w:vAlign w:val="center"/>
            <w:hideMark/>
          </w:tcPr>
          <w:p w14:paraId="460417A3" w14:textId="77777777" w:rsidR="0008560F" w:rsidRPr="00954D98" w:rsidRDefault="0008560F" w:rsidP="0008560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489" w:type="pct"/>
            <w:tcBorders>
              <w:top w:val="nil"/>
              <w:left w:val="nil"/>
              <w:bottom w:val="single" w:sz="4" w:space="0" w:color="293F5B"/>
              <w:right w:val="nil"/>
            </w:tcBorders>
            <w:shd w:val="clear" w:color="000000" w:fill="FFFFFF"/>
            <w:noWrap/>
            <w:vAlign w:val="center"/>
            <w:hideMark/>
          </w:tcPr>
          <w:p w14:paraId="260B923F" w14:textId="77777777" w:rsidR="0008560F" w:rsidRPr="00954D98" w:rsidRDefault="0008560F" w:rsidP="0008560F">
            <w:pPr>
              <w:spacing w:before="0" w:after="0" w:line="240" w:lineRule="auto"/>
              <w:jc w:val="right"/>
              <w:rPr>
                <w:rFonts w:ascii="Arial" w:hAnsi="Arial" w:cs="Arial"/>
                <w:i/>
                <w:iCs/>
                <w:sz w:val="16"/>
                <w:szCs w:val="16"/>
              </w:rPr>
            </w:pPr>
            <w:r w:rsidRPr="00954D98">
              <w:rPr>
                <w:rFonts w:ascii="Arial" w:hAnsi="Arial" w:cs="Arial"/>
                <w:i/>
                <w:iCs/>
                <w:sz w:val="16"/>
                <w:szCs w:val="16"/>
              </w:rPr>
              <w:t>35,094</w:t>
            </w:r>
          </w:p>
        </w:tc>
      </w:tr>
      <w:tr w:rsidR="0008560F" w:rsidRPr="00954D98" w14:paraId="4A7AAB43"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17BBA527" w14:textId="77777777" w:rsidR="0008560F" w:rsidRPr="00954D98" w:rsidRDefault="0008560F" w:rsidP="0008560F">
            <w:pPr>
              <w:spacing w:before="0" w:after="0" w:line="240" w:lineRule="auto"/>
              <w:rPr>
                <w:rFonts w:ascii="Arial" w:hAnsi="Arial" w:cs="Arial"/>
                <w:color w:val="FFFF00"/>
                <w:sz w:val="16"/>
                <w:szCs w:val="16"/>
              </w:rPr>
            </w:pPr>
            <w:r w:rsidRPr="00954D98">
              <w:rPr>
                <w:rFonts w:ascii="Arial" w:hAnsi="Arial" w:cs="Arial"/>
                <w:sz w:val="16"/>
                <w:szCs w:val="16"/>
              </w:rPr>
              <w:t>Total parameter and other variations impact on</w:t>
            </w:r>
          </w:p>
        </w:tc>
        <w:tc>
          <w:tcPr>
            <w:tcW w:w="593" w:type="pct"/>
            <w:tcBorders>
              <w:top w:val="nil"/>
              <w:left w:val="nil"/>
              <w:bottom w:val="nil"/>
              <w:right w:val="nil"/>
            </w:tcBorders>
            <w:shd w:val="clear" w:color="000000" w:fill="E6F2FF"/>
            <w:noWrap/>
            <w:vAlign w:val="center"/>
            <w:hideMark/>
          </w:tcPr>
          <w:p w14:paraId="14BB845D"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78D1AA4A"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1E7ED62A"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nil"/>
              <w:right w:val="nil"/>
            </w:tcBorders>
            <w:shd w:val="clear" w:color="000000" w:fill="FFFFFF"/>
            <w:noWrap/>
            <w:vAlign w:val="center"/>
            <w:hideMark/>
          </w:tcPr>
          <w:p w14:paraId="02EAD7B6"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9" w:type="pct"/>
            <w:tcBorders>
              <w:top w:val="nil"/>
              <w:left w:val="nil"/>
              <w:bottom w:val="nil"/>
              <w:right w:val="nil"/>
            </w:tcBorders>
            <w:shd w:val="clear" w:color="000000" w:fill="FFFFFF"/>
            <w:noWrap/>
            <w:vAlign w:val="center"/>
            <w:hideMark/>
          </w:tcPr>
          <w:p w14:paraId="06621B6A"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nil"/>
              <w:right w:val="nil"/>
            </w:tcBorders>
            <w:shd w:val="clear" w:color="000000" w:fill="FFFFFF"/>
            <w:noWrap/>
            <w:vAlign w:val="center"/>
            <w:hideMark/>
          </w:tcPr>
          <w:p w14:paraId="7CC2711F" w14:textId="77777777" w:rsidR="0008560F" w:rsidRPr="00954D98" w:rsidRDefault="0008560F" w:rsidP="0008560F">
            <w:pPr>
              <w:spacing w:before="0" w:after="0" w:line="240" w:lineRule="auto"/>
              <w:jc w:val="right"/>
              <w:rPr>
                <w:rFonts w:ascii="Arial" w:hAnsi="Arial" w:cs="Arial"/>
                <w:sz w:val="16"/>
                <w:szCs w:val="16"/>
              </w:rPr>
            </w:pPr>
            <w:r w:rsidRPr="00954D98">
              <w:rPr>
                <w:rFonts w:ascii="Arial" w:hAnsi="Arial" w:cs="Arial"/>
                <w:sz w:val="16"/>
                <w:szCs w:val="16"/>
              </w:rPr>
              <w:t> </w:t>
            </w:r>
          </w:p>
        </w:tc>
      </w:tr>
      <w:tr w:rsidR="0008560F" w:rsidRPr="00954D98" w14:paraId="5FD1438B"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5F090161" w14:textId="77777777" w:rsidR="0008560F" w:rsidRPr="00954D98" w:rsidRDefault="0008560F" w:rsidP="0008560F">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underlying cash balance</w:t>
            </w:r>
          </w:p>
        </w:tc>
        <w:tc>
          <w:tcPr>
            <w:tcW w:w="593" w:type="pct"/>
            <w:tcBorders>
              <w:top w:val="nil"/>
              <w:left w:val="nil"/>
              <w:bottom w:val="nil"/>
              <w:right w:val="nil"/>
            </w:tcBorders>
            <w:shd w:val="clear" w:color="000000" w:fill="E6F2FF"/>
            <w:noWrap/>
            <w:vAlign w:val="center"/>
            <w:hideMark/>
          </w:tcPr>
          <w:p w14:paraId="7786D07C"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7,310</w:t>
            </w:r>
          </w:p>
        </w:tc>
        <w:tc>
          <w:tcPr>
            <w:tcW w:w="593" w:type="pct"/>
            <w:tcBorders>
              <w:top w:val="nil"/>
              <w:left w:val="nil"/>
              <w:bottom w:val="nil"/>
              <w:right w:val="nil"/>
            </w:tcBorders>
            <w:shd w:val="clear" w:color="000000" w:fill="FFFFFF"/>
            <w:noWrap/>
            <w:vAlign w:val="center"/>
            <w:hideMark/>
          </w:tcPr>
          <w:p w14:paraId="09F9149E"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1,210</w:t>
            </w:r>
          </w:p>
        </w:tc>
        <w:tc>
          <w:tcPr>
            <w:tcW w:w="593" w:type="pct"/>
            <w:tcBorders>
              <w:top w:val="nil"/>
              <w:left w:val="nil"/>
              <w:bottom w:val="nil"/>
              <w:right w:val="nil"/>
            </w:tcBorders>
            <w:shd w:val="clear" w:color="000000" w:fill="FFFFFF"/>
            <w:noWrap/>
            <w:vAlign w:val="center"/>
            <w:hideMark/>
          </w:tcPr>
          <w:p w14:paraId="3398B6B5"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-439</w:t>
            </w:r>
          </w:p>
        </w:tc>
        <w:tc>
          <w:tcPr>
            <w:tcW w:w="593" w:type="pct"/>
            <w:tcBorders>
              <w:top w:val="nil"/>
              <w:left w:val="nil"/>
              <w:bottom w:val="nil"/>
              <w:right w:val="nil"/>
            </w:tcBorders>
            <w:shd w:val="clear" w:color="000000" w:fill="FFFFFF"/>
            <w:noWrap/>
            <w:vAlign w:val="center"/>
            <w:hideMark/>
          </w:tcPr>
          <w:p w14:paraId="04A61845"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-1,852</w:t>
            </w:r>
          </w:p>
        </w:tc>
        <w:tc>
          <w:tcPr>
            <w:tcW w:w="69" w:type="pct"/>
            <w:tcBorders>
              <w:top w:val="nil"/>
              <w:left w:val="nil"/>
              <w:bottom w:val="nil"/>
              <w:right w:val="nil"/>
            </w:tcBorders>
            <w:shd w:val="clear" w:color="000000" w:fill="FFFFFF"/>
            <w:noWrap/>
            <w:vAlign w:val="center"/>
            <w:hideMark/>
          </w:tcPr>
          <w:p w14:paraId="72FDD2B9"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nil"/>
              <w:right w:val="nil"/>
            </w:tcBorders>
            <w:shd w:val="clear" w:color="000000" w:fill="FFFFFF"/>
            <w:noWrap/>
            <w:vAlign w:val="center"/>
            <w:hideMark/>
          </w:tcPr>
          <w:p w14:paraId="0E8A043D" w14:textId="77777777" w:rsidR="0008560F" w:rsidRPr="00954D98" w:rsidRDefault="0008560F" w:rsidP="0008560F">
            <w:pPr>
              <w:spacing w:before="0" w:after="0" w:line="240" w:lineRule="auto"/>
              <w:jc w:val="right"/>
              <w:rPr>
                <w:rFonts w:ascii="Arial" w:hAnsi="Arial" w:cs="Arial"/>
                <w:sz w:val="16"/>
                <w:szCs w:val="16"/>
              </w:rPr>
            </w:pPr>
            <w:r w:rsidRPr="00954D98">
              <w:rPr>
                <w:rFonts w:ascii="Arial" w:hAnsi="Arial" w:cs="Arial"/>
                <w:sz w:val="16"/>
                <w:szCs w:val="16"/>
              </w:rPr>
              <w:t>6,229</w:t>
            </w:r>
          </w:p>
        </w:tc>
      </w:tr>
      <w:tr w:rsidR="002C4687" w:rsidRPr="00954D98" w14:paraId="5262EE6B" w14:textId="77777777" w:rsidTr="0008560F">
        <w:trPr>
          <w:trHeight w:hRule="exact" w:val="60"/>
        </w:trPr>
        <w:tc>
          <w:tcPr>
            <w:tcW w:w="2071" w:type="pct"/>
            <w:tcBorders>
              <w:top w:val="nil"/>
              <w:left w:val="nil"/>
              <w:bottom w:val="nil"/>
              <w:right w:val="nil"/>
            </w:tcBorders>
            <w:shd w:val="clear" w:color="000000" w:fill="FFFFFF"/>
            <w:noWrap/>
            <w:vAlign w:val="center"/>
            <w:hideMark/>
          </w:tcPr>
          <w:p w14:paraId="7A190BDA" w14:textId="77777777" w:rsidR="0008560F" w:rsidRPr="00954D98" w:rsidRDefault="0008560F" w:rsidP="0008560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single" w:sz="4" w:space="0" w:color="293F5B"/>
              <w:right w:val="nil"/>
            </w:tcBorders>
            <w:shd w:val="clear" w:color="000000" w:fill="E6F2FF"/>
            <w:noWrap/>
            <w:vAlign w:val="center"/>
            <w:hideMark/>
          </w:tcPr>
          <w:p w14:paraId="2DE89AAA"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single" w:sz="4" w:space="0" w:color="293F5B"/>
              <w:right w:val="nil"/>
            </w:tcBorders>
            <w:shd w:val="clear" w:color="000000" w:fill="FFFFFF"/>
            <w:noWrap/>
            <w:vAlign w:val="center"/>
            <w:hideMark/>
          </w:tcPr>
          <w:p w14:paraId="4F8237F6"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single" w:sz="4" w:space="0" w:color="293F5B"/>
              <w:right w:val="nil"/>
            </w:tcBorders>
            <w:shd w:val="clear" w:color="000000" w:fill="FFFFFF"/>
            <w:noWrap/>
            <w:vAlign w:val="center"/>
            <w:hideMark/>
          </w:tcPr>
          <w:p w14:paraId="51A9A7CA"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93" w:type="pct"/>
            <w:tcBorders>
              <w:top w:val="nil"/>
              <w:left w:val="nil"/>
              <w:bottom w:val="single" w:sz="4" w:space="0" w:color="293F5B"/>
              <w:right w:val="nil"/>
            </w:tcBorders>
            <w:shd w:val="clear" w:color="000000" w:fill="FFFFFF"/>
            <w:noWrap/>
            <w:vAlign w:val="center"/>
            <w:hideMark/>
          </w:tcPr>
          <w:p w14:paraId="7496DEE6"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9" w:type="pct"/>
            <w:tcBorders>
              <w:top w:val="nil"/>
              <w:left w:val="nil"/>
              <w:bottom w:val="nil"/>
              <w:right w:val="nil"/>
            </w:tcBorders>
            <w:shd w:val="clear" w:color="000000" w:fill="FFFFFF"/>
            <w:noWrap/>
            <w:vAlign w:val="center"/>
            <w:hideMark/>
          </w:tcPr>
          <w:p w14:paraId="5AF21AAF"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single" w:sz="4" w:space="0" w:color="293F5B"/>
              <w:right w:val="nil"/>
            </w:tcBorders>
            <w:shd w:val="clear" w:color="000000" w:fill="FFFFFF"/>
            <w:noWrap/>
            <w:vAlign w:val="center"/>
            <w:hideMark/>
          </w:tcPr>
          <w:p w14:paraId="14F6929B" w14:textId="77777777" w:rsidR="0008560F" w:rsidRPr="00954D98" w:rsidRDefault="0008560F" w:rsidP="0008560F">
            <w:pPr>
              <w:spacing w:before="0" w:after="0" w:line="240" w:lineRule="auto"/>
              <w:jc w:val="right"/>
              <w:rPr>
                <w:rFonts w:ascii="Arial" w:hAnsi="Arial" w:cs="Arial"/>
                <w:sz w:val="16"/>
                <w:szCs w:val="16"/>
              </w:rPr>
            </w:pPr>
            <w:r w:rsidRPr="00954D98">
              <w:rPr>
                <w:rFonts w:ascii="Arial" w:hAnsi="Arial" w:cs="Arial"/>
                <w:sz w:val="16"/>
                <w:szCs w:val="16"/>
              </w:rPr>
              <w:t> </w:t>
            </w:r>
          </w:p>
        </w:tc>
      </w:tr>
      <w:tr w:rsidR="002C4687" w:rsidRPr="00954D98" w14:paraId="55DEFD2E" w14:textId="77777777" w:rsidTr="0008560F">
        <w:trPr>
          <w:trHeight w:hRule="exact" w:val="225"/>
        </w:trPr>
        <w:tc>
          <w:tcPr>
            <w:tcW w:w="2071" w:type="pct"/>
            <w:tcBorders>
              <w:top w:val="nil"/>
              <w:left w:val="nil"/>
              <w:bottom w:val="nil"/>
              <w:right w:val="nil"/>
            </w:tcBorders>
            <w:shd w:val="clear" w:color="000000" w:fill="FFFFFF"/>
            <w:noWrap/>
            <w:vAlign w:val="center"/>
            <w:hideMark/>
          </w:tcPr>
          <w:p w14:paraId="38615BDC" w14:textId="77777777" w:rsidR="0008560F" w:rsidRPr="00954D98" w:rsidRDefault="0008560F" w:rsidP="0008560F">
            <w:pPr>
              <w:spacing w:before="0" w:after="0" w:line="240" w:lineRule="auto"/>
              <w:rPr>
                <w:rFonts w:ascii="Arial" w:hAnsi="Arial" w:cs="Arial"/>
                <w:b/>
                <w:bCs/>
                <w:color w:val="FFFF00"/>
                <w:sz w:val="16"/>
                <w:szCs w:val="16"/>
              </w:rPr>
            </w:pPr>
            <w:r w:rsidRPr="00954D98">
              <w:rPr>
                <w:rFonts w:ascii="Arial" w:hAnsi="Arial" w:cs="Arial"/>
                <w:b/>
                <w:bCs/>
                <w:sz w:val="16"/>
                <w:szCs w:val="16"/>
              </w:rPr>
              <w:t>2025-26 MYEFO underlying cash balance</w:t>
            </w:r>
          </w:p>
        </w:tc>
        <w:tc>
          <w:tcPr>
            <w:tcW w:w="593" w:type="pct"/>
            <w:tcBorders>
              <w:top w:val="single" w:sz="4" w:space="0" w:color="293F5B"/>
              <w:left w:val="nil"/>
              <w:bottom w:val="nil"/>
              <w:right w:val="nil"/>
            </w:tcBorders>
            <w:shd w:val="clear" w:color="000000" w:fill="E6F2FF"/>
            <w:noWrap/>
            <w:vAlign w:val="center"/>
            <w:hideMark/>
          </w:tcPr>
          <w:p w14:paraId="0A0DCA5C"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-36,764</w:t>
            </w:r>
          </w:p>
        </w:tc>
        <w:tc>
          <w:tcPr>
            <w:tcW w:w="593" w:type="pct"/>
            <w:tcBorders>
              <w:top w:val="single" w:sz="4" w:space="0" w:color="293F5B"/>
              <w:left w:val="nil"/>
              <w:bottom w:val="nil"/>
              <w:right w:val="nil"/>
            </w:tcBorders>
            <w:shd w:val="clear" w:color="000000" w:fill="FFFFFF"/>
            <w:noWrap/>
            <w:vAlign w:val="center"/>
            <w:hideMark/>
          </w:tcPr>
          <w:p w14:paraId="4E18F12E"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-34,303</w:t>
            </w:r>
          </w:p>
        </w:tc>
        <w:tc>
          <w:tcPr>
            <w:tcW w:w="593" w:type="pct"/>
            <w:tcBorders>
              <w:top w:val="single" w:sz="4" w:space="0" w:color="293F5B"/>
              <w:left w:val="nil"/>
              <w:bottom w:val="nil"/>
              <w:right w:val="nil"/>
            </w:tcBorders>
            <w:shd w:val="clear" w:color="000000" w:fill="FFFFFF"/>
            <w:noWrap/>
            <w:vAlign w:val="center"/>
            <w:hideMark/>
          </w:tcPr>
          <w:p w14:paraId="2DE94FAC"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-36,189</w:t>
            </w:r>
          </w:p>
        </w:tc>
        <w:tc>
          <w:tcPr>
            <w:tcW w:w="593" w:type="pct"/>
            <w:tcBorders>
              <w:top w:val="single" w:sz="4" w:space="0" w:color="293F5B"/>
              <w:left w:val="nil"/>
              <w:bottom w:val="nil"/>
              <w:right w:val="nil"/>
            </w:tcBorders>
            <w:shd w:val="clear" w:color="000000" w:fill="FFFFFF"/>
            <w:noWrap/>
            <w:vAlign w:val="center"/>
            <w:hideMark/>
          </w:tcPr>
          <w:p w14:paraId="6AA24AC7"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-35,993</w:t>
            </w:r>
          </w:p>
        </w:tc>
        <w:tc>
          <w:tcPr>
            <w:tcW w:w="69" w:type="pct"/>
            <w:tcBorders>
              <w:top w:val="nil"/>
              <w:left w:val="nil"/>
              <w:bottom w:val="nil"/>
              <w:right w:val="nil"/>
            </w:tcBorders>
            <w:shd w:val="clear" w:color="000000" w:fill="FFFFFF"/>
            <w:noWrap/>
            <w:vAlign w:val="center"/>
            <w:hideMark/>
          </w:tcPr>
          <w:p w14:paraId="6F1BB791" w14:textId="77777777" w:rsidR="0008560F" w:rsidRPr="00954D98" w:rsidRDefault="0008560F" w:rsidP="0008560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489" w:type="pct"/>
            <w:tcBorders>
              <w:top w:val="single" w:sz="4" w:space="0" w:color="293F5B"/>
              <w:left w:val="nil"/>
              <w:bottom w:val="nil"/>
              <w:right w:val="nil"/>
            </w:tcBorders>
            <w:shd w:val="clear" w:color="000000" w:fill="FFFFFF"/>
            <w:noWrap/>
            <w:vAlign w:val="center"/>
            <w:hideMark/>
          </w:tcPr>
          <w:p w14:paraId="155E1882" w14:textId="77777777" w:rsidR="0008560F" w:rsidRPr="00954D98" w:rsidRDefault="0008560F" w:rsidP="0008560F">
            <w:pPr>
              <w:spacing w:before="0" w:after="0" w:line="240" w:lineRule="auto"/>
              <w:jc w:val="right"/>
              <w:rPr>
                <w:rFonts w:ascii="Arial" w:hAnsi="Arial" w:cs="Arial"/>
                <w:b/>
                <w:bCs/>
                <w:sz w:val="16"/>
                <w:szCs w:val="16"/>
              </w:rPr>
            </w:pPr>
            <w:r w:rsidRPr="00954D98">
              <w:rPr>
                <w:rFonts w:ascii="Arial" w:hAnsi="Arial" w:cs="Arial"/>
                <w:b/>
                <w:bCs/>
                <w:sz w:val="16"/>
                <w:szCs w:val="16"/>
              </w:rPr>
              <w:t>-143,248</w:t>
            </w:r>
          </w:p>
        </w:tc>
      </w:tr>
      <w:tr w:rsidR="0008560F" w:rsidRPr="00954D98" w14:paraId="0F5306FB" w14:textId="77777777" w:rsidTr="0008560F">
        <w:trPr>
          <w:trHeight w:hRule="exact" w:val="225"/>
        </w:trPr>
        <w:tc>
          <w:tcPr>
            <w:tcW w:w="2071" w:type="pct"/>
            <w:tcBorders>
              <w:top w:val="nil"/>
              <w:left w:val="nil"/>
              <w:bottom w:val="single" w:sz="4" w:space="0" w:color="293F5B"/>
              <w:right w:val="nil"/>
            </w:tcBorders>
            <w:shd w:val="clear" w:color="000000" w:fill="FFFFFF"/>
            <w:noWrap/>
            <w:vAlign w:val="center"/>
            <w:hideMark/>
          </w:tcPr>
          <w:p w14:paraId="66A3B243" w14:textId="77777777" w:rsidR="0008560F" w:rsidRPr="00954D98" w:rsidRDefault="0008560F" w:rsidP="0008560F">
            <w:pPr>
              <w:spacing w:before="0" w:after="0" w:line="240" w:lineRule="auto"/>
              <w:rPr>
                <w:rFonts w:ascii="Arial" w:hAnsi="Arial" w:cs="Arial"/>
                <w:color w:val="FFFF00"/>
                <w:sz w:val="16"/>
                <w:szCs w:val="16"/>
              </w:rPr>
            </w:pPr>
            <w:r w:rsidRPr="00954D98">
              <w:rPr>
                <w:rFonts w:ascii="Arial" w:hAnsi="Arial" w:cs="Arial"/>
                <w:sz w:val="16"/>
                <w:szCs w:val="16"/>
              </w:rPr>
              <w:t>Per cent of GDP</w:t>
            </w:r>
          </w:p>
        </w:tc>
        <w:tc>
          <w:tcPr>
            <w:tcW w:w="593" w:type="pct"/>
            <w:tcBorders>
              <w:top w:val="nil"/>
              <w:left w:val="nil"/>
              <w:bottom w:val="single" w:sz="4" w:space="0" w:color="293F5B"/>
              <w:right w:val="nil"/>
            </w:tcBorders>
            <w:shd w:val="clear" w:color="000000" w:fill="E6F2FF"/>
            <w:noWrap/>
            <w:vAlign w:val="center"/>
            <w:hideMark/>
          </w:tcPr>
          <w:p w14:paraId="30FAAB67"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-1.3</w:t>
            </w:r>
          </w:p>
        </w:tc>
        <w:tc>
          <w:tcPr>
            <w:tcW w:w="593" w:type="pct"/>
            <w:tcBorders>
              <w:top w:val="nil"/>
              <w:left w:val="nil"/>
              <w:bottom w:val="single" w:sz="4" w:space="0" w:color="293F5B"/>
              <w:right w:val="nil"/>
            </w:tcBorders>
            <w:shd w:val="clear" w:color="000000" w:fill="FFFFFF"/>
            <w:noWrap/>
            <w:vAlign w:val="center"/>
            <w:hideMark/>
          </w:tcPr>
          <w:p w14:paraId="1B8E59F3"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-1.1</w:t>
            </w:r>
          </w:p>
        </w:tc>
        <w:tc>
          <w:tcPr>
            <w:tcW w:w="593" w:type="pct"/>
            <w:tcBorders>
              <w:top w:val="nil"/>
              <w:left w:val="nil"/>
              <w:bottom w:val="single" w:sz="4" w:space="0" w:color="293F5B"/>
              <w:right w:val="nil"/>
            </w:tcBorders>
            <w:shd w:val="clear" w:color="000000" w:fill="FFFFFF"/>
            <w:noWrap/>
            <w:vAlign w:val="center"/>
            <w:hideMark/>
          </w:tcPr>
          <w:p w14:paraId="3F1D765A"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-1.1</w:t>
            </w:r>
          </w:p>
        </w:tc>
        <w:tc>
          <w:tcPr>
            <w:tcW w:w="593" w:type="pct"/>
            <w:tcBorders>
              <w:top w:val="nil"/>
              <w:left w:val="nil"/>
              <w:bottom w:val="single" w:sz="4" w:space="0" w:color="293F5B"/>
              <w:right w:val="nil"/>
            </w:tcBorders>
            <w:shd w:val="clear" w:color="000000" w:fill="FFFFFF"/>
            <w:noWrap/>
            <w:vAlign w:val="center"/>
            <w:hideMark/>
          </w:tcPr>
          <w:p w14:paraId="68522193"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-1.1</w:t>
            </w:r>
          </w:p>
        </w:tc>
        <w:tc>
          <w:tcPr>
            <w:tcW w:w="69" w:type="pct"/>
            <w:tcBorders>
              <w:top w:val="nil"/>
              <w:left w:val="nil"/>
              <w:bottom w:val="single" w:sz="4" w:space="0" w:color="293F5B"/>
              <w:right w:val="nil"/>
            </w:tcBorders>
            <w:shd w:val="clear" w:color="000000" w:fill="FFFFFF"/>
            <w:noWrap/>
            <w:vAlign w:val="center"/>
            <w:hideMark/>
          </w:tcPr>
          <w:p w14:paraId="31DEFE29" w14:textId="77777777" w:rsidR="0008560F" w:rsidRPr="00954D98" w:rsidRDefault="0008560F" w:rsidP="0008560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89" w:type="pct"/>
            <w:tcBorders>
              <w:top w:val="nil"/>
              <w:left w:val="nil"/>
              <w:bottom w:val="single" w:sz="4" w:space="0" w:color="293F5B"/>
              <w:right w:val="nil"/>
            </w:tcBorders>
            <w:shd w:val="clear" w:color="000000" w:fill="FFFFFF"/>
            <w:noWrap/>
            <w:vAlign w:val="center"/>
            <w:hideMark/>
          </w:tcPr>
          <w:p w14:paraId="52C94B1A" w14:textId="77777777" w:rsidR="0008560F" w:rsidRPr="00954D98" w:rsidRDefault="0008560F" w:rsidP="0008560F">
            <w:pPr>
              <w:spacing w:before="0" w:after="0" w:line="240" w:lineRule="auto"/>
              <w:jc w:val="right"/>
              <w:rPr>
                <w:rFonts w:ascii="Arial" w:hAnsi="Arial" w:cs="Arial"/>
                <w:sz w:val="16"/>
                <w:szCs w:val="16"/>
              </w:rPr>
            </w:pPr>
            <w:r w:rsidRPr="00954D98">
              <w:rPr>
                <w:rFonts w:ascii="Arial" w:hAnsi="Arial" w:cs="Arial"/>
                <w:sz w:val="16"/>
                <w:szCs w:val="16"/>
              </w:rPr>
              <w:t> </w:t>
            </w:r>
          </w:p>
        </w:tc>
      </w:tr>
    </w:tbl>
    <w:p w14:paraId="56900D5F" w14:textId="5F6B1818" w:rsidR="00F1044A" w:rsidRPr="00954D98" w:rsidRDefault="00F1044A" w:rsidP="00F1044A">
      <w:pPr>
        <w:pStyle w:val="ChartandTableFootnoteAlpha"/>
        <w:numPr>
          <w:ilvl w:val="0"/>
          <w:numId w:val="19"/>
        </w:numPr>
        <w:rPr>
          <w:rFonts w:eastAsiaTheme="minorHAnsi"/>
          <w:color w:val="auto"/>
        </w:rPr>
      </w:pPr>
      <w:r w:rsidRPr="00954D98">
        <w:rPr>
          <w:rFonts w:eastAsiaTheme="minorHAnsi"/>
          <w:color w:val="auto"/>
        </w:rPr>
        <w:t>Excludes secondary impacts on public debt interest of policy decisions and offsets from the Contingency Reserve for decisions taken.</w:t>
      </w:r>
    </w:p>
    <w:p w14:paraId="6F5DCA41" w14:textId="78766BA9" w:rsidR="00F1044A" w:rsidRPr="00954D98" w:rsidRDefault="00F1044A" w:rsidP="00F1044A">
      <w:pPr>
        <w:pStyle w:val="ChartandTableFootnoteAlpha"/>
        <w:numPr>
          <w:ilvl w:val="0"/>
          <w:numId w:val="19"/>
        </w:numPr>
        <w:rPr>
          <w:rFonts w:eastAsiaTheme="minorHAnsi"/>
          <w:color w:val="auto"/>
        </w:rPr>
      </w:pPr>
      <w:r w:rsidRPr="00954D98">
        <w:rPr>
          <w:rFonts w:eastAsiaTheme="minorHAnsi"/>
          <w:color w:val="auto"/>
        </w:rPr>
        <w:t>A positive number for receipts improves the underlying cash balance, while a positive number for payments worsens the underlying cash balance.</w:t>
      </w:r>
    </w:p>
    <w:bookmarkEnd w:id="11"/>
    <w:bookmarkEnd w:id="12"/>
    <w:p w14:paraId="7C250A28" w14:textId="511C7681" w:rsidR="00F1044A" w:rsidRPr="00954D98" w:rsidRDefault="00F1044A" w:rsidP="00F1044A">
      <w:pPr>
        <w:pStyle w:val="TableLine"/>
      </w:pPr>
    </w:p>
    <w:p w14:paraId="5E5C47FB" w14:textId="6E97DC50" w:rsidR="00F1044A" w:rsidRPr="00954D98" w:rsidRDefault="00F1044A" w:rsidP="00116FD7">
      <w:pPr>
        <w:pStyle w:val="SingleParagraph"/>
      </w:pPr>
      <w:bookmarkStart w:id="13" w:name="_Toc148428066"/>
      <w:r w:rsidRPr="00954D98">
        <w:br w:type="page"/>
      </w:r>
    </w:p>
    <w:p w14:paraId="15425C8D" w14:textId="1E3B938A" w:rsidR="00F1044A" w:rsidRPr="00954D98" w:rsidRDefault="00F1044A" w:rsidP="00A803F5">
      <w:pPr>
        <w:pStyle w:val="Heading3"/>
      </w:pPr>
      <w:r w:rsidRPr="00954D98">
        <w:lastRenderedPageBreak/>
        <w:t>Medium</w:t>
      </w:r>
      <w:r w:rsidR="00536CFF">
        <w:noBreakHyphen/>
      </w:r>
      <w:r w:rsidRPr="00954D98">
        <w:t>term projections</w:t>
      </w:r>
      <w:bookmarkEnd w:id="13"/>
    </w:p>
    <w:p w14:paraId="290D2FFD" w14:textId="4C915DB0" w:rsidR="004447D0" w:rsidRPr="00954D98" w:rsidRDefault="00274AAB" w:rsidP="0096443C">
      <w:r w:rsidRPr="00954D98">
        <w:t>The medium</w:t>
      </w:r>
      <w:r w:rsidR="00536CFF">
        <w:noBreakHyphen/>
      </w:r>
      <w:r w:rsidRPr="00954D98">
        <w:t>term fiscal outlook is broadly in line with the 2025 PEFO</w:t>
      </w:r>
      <w:r w:rsidR="00D000D2" w:rsidRPr="00954D98">
        <w:t xml:space="preserve">. </w:t>
      </w:r>
      <w:r w:rsidR="00DB6460" w:rsidRPr="00954D98">
        <w:t>T</w:t>
      </w:r>
      <w:r w:rsidR="00F1044A" w:rsidRPr="00954D98">
        <w:t xml:space="preserve">he underlying cash balance </w:t>
      </w:r>
      <w:r w:rsidR="0026700C" w:rsidRPr="00954D98">
        <w:t>improves</w:t>
      </w:r>
      <w:r w:rsidR="00F1044A" w:rsidRPr="00954D98" w:rsidDel="0026700C">
        <w:t xml:space="preserve"> </w:t>
      </w:r>
      <w:r w:rsidR="00074A9A" w:rsidRPr="00954D98">
        <w:t>over the medium term</w:t>
      </w:r>
      <w:r w:rsidR="0082182B" w:rsidRPr="00954D98">
        <w:t>, returning</w:t>
      </w:r>
      <w:r w:rsidR="00085706" w:rsidRPr="00954D98">
        <w:t xml:space="preserve"> to broad bala</w:t>
      </w:r>
      <w:r w:rsidR="00AD5E56" w:rsidRPr="00954D98">
        <w:t xml:space="preserve">nce </w:t>
      </w:r>
      <w:r w:rsidR="002801A2" w:rsidRPr="00954D98">
        <w:t>by</w:t>
      </w:r>
      <w:r w:rsidR="00005957" w:rsidRPr="00954D98">
        <w:t xml:space="preserve"> 2035</w:t>
      </w:r>
      <w:r w:rsidR="00B36E33" w:rsidRPr="00954D98">
        <w:t>–</w:t>
      </w:r>
      <w:r w:rsidR="00005957" w:rsidRPr="00954D98">
        <w:t>36</w:t>
      </w:r>
      <w:r w:rsidR="00AF6EF8" w:rsidRPr="00954D98">
        <w:t xml:space="preserve"> (Chart 3.4)</w:t>
      </w:r>
      <w:r w:rsidR="00781A3D" w:rsidRPr="00954D98">
        <w:t>. This is</w:t>
      </w:r>
      <w:r w:rsidR="00F64C21" w:rsidRPr="00954D98">
        <w:t xml:space="preserve"> in line with what was expected at the 2025 PEFO</w:t>
      </w:r>
      <w:r w:rsidR="00F1044A" w:rsidRPr="00954D98">
        <w:t xml:space="preserve">. </w:t>
      </w:r>
    </w:p>
    <w:p w14:paraId="6974F049" w14:textId="1AF53FBA" w:rsidR="00F1044A" w:rsidRPr="00954D98" w:rsidRDefault="00F1044A" w:rsidP="00F1044A">
      <w:pPr>
        <w:pStyle w:val="ChartMainHeading"/>
      </w:pPr>
      <w:bookmarkStart w:id="14" w:name="_1795509534"/>
      <w:bookmarkStart w:id="15" w:name="_1795519293"/>
      <w:bookmarkEnd w:id="14"/>
      <w:bookmarkEnd w:id="15"/>
      <w:r w:rsidRPr="00954D98">
        <w:t>Chart 3.</w:t>
      </w:r>
      <w:r w:rsidR="00890CA5" w:rsidRPr="00954D98">
        <w:t>4</w:t>
      </w:r>
      <w:r w:rsidRPr="00954D98">
        <w:t>: Payments and receipts</w:t>
      </w:r>
    </w:p>
    <w:p w14:paraId="463302C0" w14:textId="0FBDA491" w:rsidR="00F1044A" w:rsidRPr="00954D98" w:rsidRDefault="00F10678" w:rsidP="00116FD7">
      <w:pPr>
        <w:pStyle w:val="ChartGraphic"/>
      </w:pPr>
      <w:bookmarkStart w:id="16" w:name="_1795370876"/>
      <w:bookmarkStart w:id="17" w:name="_1795515727"/>
      <w:bookmarkStart w:id="18" w:name="_1795519295"/>
      <w:bookmarkEnd w:id="16"/>
      <w:bookmarkEnd w:id="17"/>
      <w:bookmarkEnd w:id="18"/>
      <w:r w:rsidRPr="00116FD7">
        <w:rPr>
          <w:noProof/>
        </w:rPr>
        <w:drawing>
          <wp:inline distT="0" distB="0" distL="0" distR="0" wp14:anchorId="39C57F5B" wp14:editId="159D3602">
            <wp:extent cx="4667250" cy="2505075"/>
            <wp:effectExtent l="0" t="0" r="0" b="9525"/>
            <wp:docPr id="1165502062" name="Graphic 1" descr="This line chart shows projections for total payments and total receipts as a share of GDP. Historically receipts and payments have typically varied between 22 and 26 per cent of GDP, with spikes in payments-to-GDP and falls in receipts-to-GDP following economic downturns. Total payments are projected to remain elevated above historic levels in the projection period - moving from 26.9 per cent of GDP in 2025-26 to 26.8 per cent of GDP in 2035-36. Total receipts are projected to increase from 25.7 per cent of GDP in 2025-26 to 26.6 per cent of GDP in 2035-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02062" name="Graphic 1" descr="This line chart shows projections for total payments and total receipts as a share of GDP. Historically receipts and payments have typically varied between 22 and 26 per cent of GDP, with spikes in payments-to-GDP and falls in receipts-to-GDP following economic downturns. Total payments are projected to remain elevated above historic levels in the projection period - moving from 26.9 per cent of GDP in 2025-26 to 26.8 per cent of GDP in 2035-36. Total receipts are projected to increase from 25.7 per cent of GDP in 2025-26 to 26.6 per cent of GDP in 2035-36.&#10;"/>
                    <pic:cNvPicPr/>
                  </pic:nvPicPr>
                  <pic:blipFill>
                    <a:blip r:embed="rId13">
                      <a:extLst>
                        <a:ext uri="{96DAC541-7B7A-43D3-8B79-37D633B846F1}">
                          <asvg:svgBlip xmlns:asvg="http://schemas.microsoft.com/office/drawing/2016/SVG/main" r:embed="rId14"/>
                        </a:ext>
                      </a:extLst>
                    </a:blip>
                    <a:stretch>
                      <a:fillRect/>
                    </a:stretch>
                  </pic:blipFill>
                  <pic:spPr>
                    <a:xfrm>
                      <a:off x="0" y="0"/>
                      <a:ext cx="4667250" cy="2505075"/>
                    </a:xfrm>
                    <a:prstGeom prst="rect">
                      <a:avLst/>
                    </a:prstGeom>
                  </pic:spPr>
                </pic:pic>
              </a:graphicData>
            </a:graphic>
          </wp:inline>
        </w:drawing>
      </w:r>
    </w:p>
    <w:p w14:paraId="2DFD5E9C" w14:textId="4E9F6230" w:rsidR="00F1044A" w:rsidRPr="00954D98" w:rsidRDefault="00F1044A" w:rsidP="00F1044A">
      <w:pPr>
        <w:pStyle w:val="ChartandTableFootnote"/>
        <w:rPr>
          <w:color w:val="auto"/>
        </w:rPr>
      </w:pPr>
      <w:r w:rsidRPr="00954D98">
        <w:rPr>
          <w:color w:val="auto"/>
        </w:rPr>
        <w:t xml:space="preserve">Source: </w:t>
      </w:r>
      <w:r w:rsidRPr="00954D98">
        <w:rPr>
          <w:color w:val="auto"/>
        </w:rPr>
        <w:tab/>
        <w:t xml:space="preserve">Treasury. </w:t>
      </w:r>
    </w:p>
    <w:p w14:paraId="6C235EDC" w14:textId="77777777" w:rsidR="00F1044A" w:rsidRPr="00954D98" w:rsidRDefault="00F1044A" w:rsidP="00F1044A">
      <w:pPr>
        <w:pStyle w:val="ChartLine"/>
      </w:pPr>
    </w:p>
    <w:p w14:paraId="42BDC839" w14:textId="660BE8D7" w:rsidR="00FB229C" w:rsidRPr="00954D98" w:rsidRDefault="00FB229C" w:rsidP="00D870AF">
      <w:bookmarkStart w:id="19" w:name="_Hlk134115082"/>
      <w:r w:rsidRPr="00954D98">
        <w:t xml:space="preserve">Total receipts as a share of GDP have been revised modestly </w:t>
      </w:r>
      <w:r w:rsidR="009E329C" w:rsidRPr="00954D98">
        <w:t>down</w:t>
      </w:r>
      <w:r w:rsidRPr="00954D98">
        <w:t>wards over the medium term compared to the 2025 PEFO projections</w:t>
      </w:r>
      <w:r w:rsidR="00E40300" w:rsidRPr="00954D98">
        <w:t xml:space="preserve"> (Chart 3.5)</w:t>
      </w:r>
      <w:r w:rsidRPr="00954D98">
        <w:t xml:space="preserve">. Total receipts are projected to be </w:t>
      </w:r>
      <w:r w:rsidR="00073B62" w:rsidRPr="00954D98">
        <w:t xml:space="preserve">25.4 </w:t>
      </w:r>
      <w:r w:rsidRPr="00954D98">
        <w:t xml:space="preserve">per cent of GDP in 2028–29, rising to </w:t>
      </w:r>
      <w:r w:rsidR="00073B62" w:rsidRPr="00954D98">
        <w:t xml:space="preserve">26.6 </w:t>
      </w:r>
      <w:r w:rsidRPr="00954D98">
        <w:t xml:space="preserve">per cent of GDP by 2035–36. </w:t>
      </w:r>
    </w:p>
    <w:p w14:paraId="71E520C9" w14:textId="666A7C9D" w:rsidR="00A12A35" w:rsidRPr="00954D98" w:rsidRDefault="001501F7" w:rsidP="00A12A35">
      <w:r w:rsidRPr="00954D98">
        <w:t>Total p</w:t>
      </w:r>
      <w:r w:rsidR="00B9630D" w:rsidRPr="00954D98">
        <w:t xml:space="preserve">ayments are projected to grow from </w:t>
      </w:r>
      <w:r w:rsidR="009C5DC2" w:rsidRPr="00954D98">
        <w:t>26.5</w:t>
      </w:r>
      <w:r w:rsidR="00B9630D" w:rsidRPr="00954D98">
        <w:t xml:space="preserve"> per cent of GDP in 2028–29 to </w:t>
      </w:r>
      <w:r w:rsidR="00312809" w:rsidRPr="00954D98">
        <w:t>26.8</w:t>
      </w:r>
      <w:r w:rsidR="00B9630D" w:rsidRPr="00954D98">
        <w:t> per cent of GDP in 2035–36 (Chart 3.</w:t>
      </w:r>
      <w:r w:rsidR="00E40300" w:rsidRPr="00954D98">
        <w:t>6</w:t>
      </w:r>
      <w:r w:rsidR="00B9630D" w:rsidRPr="00954D98">
        <w:t>). This</w:t>
      </w:r>
      <w:r w:rsidR="002D75E5" w:rsidRPr="00954D98">
        <w:t xml:space="preserve"> is</w:t>
      </w:r>
      <w:r w:rsidR="00B9630D" w:rsidRPr="00954D98">
        <w:t xml:space="preserve"> </w:t>
      </w:r>
      <w:r w:rsidR="003C061B" w:rsidRPr="00954D98">
        <w:t>consistent with what was expected at the 2025 PEFO</w:t>
      </w:r>
      <w:r w:rsidR="00B9630D" w:rsidRPr="00954D98">
        <w:t>.</w:t>
      </w:r>
      <w:r w:rsidR="008A2F8A" w:rsidRPr="00954D98">
        <w:t xml:space="preserve"> </w:t>
      </w:r>
    </w:p>
    <w:p w14:paraId="0BF5D09F" w14:textId="6E62FC00" w:rsidR="00A12A35" w:rsidRPr="00954D98" w:rsidRDefault="00A12A35" w:rsidP="00A12A35">
      <w:pPr>
        <w:rPr>
          <w:b/>
        </w:rPr>
      </w:pPr>
      <w:r w:rsidRPr="00954D98">
        <w:t xml:space="preserve">The </w:t>
      </w:r>
      <w:r w:rsidR="00857263" w:rsidRPr="00954D98">
        <w:t>fastest growing</w:t>
      </w:r>
      <w:r w:rsidRPr="00954D98">
        <w:t xml:space="preserve"> major payments are interest on government debt, the </w:t>
      </w:r>
      <w:r w:rsidR="004E7AC6" w:rsidRPr="00954D98">
        <w:t>NDIS</w:t>
      </w:r>
      <w:r w:rsidRPr="00954D98">
        <w:t xml:space="preserve">, defence, hospitals payments, medical benefits payments, </w:t>
      </w:r>
      <w:r w:rsidR="007C4441" w:rsidRPr="00954D98">
        <w:t xml:space="preserve">and </w:t>
      </w:r>
      <w:r w:rsidRPr="00954D98">
        <w:t>the Child Care Subsidy (Chart 3.</w:t>
      </w:r>
      <w:r w:rsidR="001E5FE1" w:rsidRPr="00954D98">
        <w:t>7</w:t>
      </w:r>
      <w:r w:rsidRPr="00954D98">
        <w:t>).</w:t>
      </w:r>
      <w:r w:rsidR="00BC7A3D" w:rsidRPr="00954D98">
        <w:t xml:space="preserve"> </w:t>
      </w:r>
    </w:p>
    <w:tbl>
      <w:tblPr>
        <w:tblW w:w="5000" w:type="pct"/>
        <w:tblLook w:val="04A0" w:firstRow="1" w:lastRow="0" w:firstColumn="1" w:lastColumn="0" w:noHBand="0" w:noVBand="1"/>
      </w:tblPr>
      <w:tblGrid>
        <w:gridCol w:w="3855"/>
        <w:gridCol w:w="3855"/>
      </w:tblGrid>
      <w:tr w:rsidR="005B5371" w:rsidRPr="00954D98" w14:paraId="6053AC64" w14:textId="77777777" w:rsidTr="00C94909">
        <w:tc>
          <w:tcPr>
            <w:tcW w:w="2500" w:type="pct"/>
            <w:tcMar>
              <w:left w:w="0" w:type="dxa"/>
            </w:tcMar>
          </w:tcPr>
          <w:p w14:paraId="1CE041ED" w14:textId="20A19932" w:rsidR="005B5371" w:rsidRPr="00954D98" w:rsidRDefault="005B5371">
            <w:pPr>
              <w:pStyle w:val="ChartMainHeading"/>
            </w:pPr>
            <w:r w:rsidRPr="00954D98">
              <w:lastRenderedPageBreak/>
              <w:t>Chart 3.</w:t>
            </w:r>
            <w:r w:rsidR="00890CA5" w:rsidRPr="00954D98">
              <w:t>5</w:t>
            </w:r>
            <w:r w:rsidRPr="00954D98">
              <w:t>: Total receipts</w:t>
            </w:r>
          </w:p>
        </w:tc>
        <w:tc>
          <w:tcPr>
            <w:tcW w:w="2500" w:type="pct"/>
            <w:tcMar>
              <w:left w:w="0" w:type="dxa"/>
            </w:tcMar>
          </w:tcPr>
          <w:p w14:paraId="624DDE3D" w14:textId="727EDFBD" w:rsidR="005B5371" w:rsidRPr="00954D98" w:rsidRDefault="005B5371">
            <w:pPr>
              <w:pStyle w:val="ChartMainHeading"/>
            </w:pPr>
            <w:r w:rsidRPr="00954D98">
              <w:t>Chart 3.</w:t>
            </w:r>
            <w:r w:rsidR="00890CA5" w:rsidRPr="00954D98">
              <w:t>6</w:t>
            </w:r>
            <w:r w:rsidRPr="00954D98">
              <w:t xml:space="preserve">: Total payments </w:t>
            </w:r>
          </w:p>
        </w:tc>
      </w:tr>
      <w:tr w:rsidR="005B5371" w:rsidRPr="00954D98" w14:paraId="2D528650" w14:textId="77777777" w:rsidTr="00C94909">
        <w:tc>
          <w:tcPr>
            <w:tcW w:w="2500" w:type="pct"/>
          </w:tcPr>
          <w:p w14:paraId="05095731" w14:textId="36A908E4" w:rsidR="005B5371" w:rsidRPr="00954D98" w:rsidRDefault="00E952D4">
            <w:pPr>
              <w:pStyle w:val="ChartGraphic"/>
            </w:pPr>
            <w:bookmarkStart w:id="20" w:name="_1803895574"/>
            <w:bookmarkStart w:id="21" w:name="_1804053200"/>
            <w:bookmarkStart w:id="22" w:name="_1804053174"/>
            <w:bookmarkEnd w:id="20"/>
            <w:bookmarkEnd w:id="21"/>
            <w:bookmarkEnd w:id="22"/>
            <w:r>
              <w:rPr>
                <w:noProof/>
              </w:rPr>
              <w:drawing>
                <wp:inline distT="0" distB="0" distL="0" distR="0" wp14:anchorId="0DC6E986" wp14:editId="60CDE690">
                  <wp:extent cx="2295525" cy="2305050"/>
                  <wp:effectExtent l="0" t="0" r="0" b="0"/>
                  <wp:docPr id="1611379918" name="Graphic 1" descr="This line chart shows total receipts and tax receipts as a share of GDP at the 2025-26 MYEFO and the 2025 PEFO. Total receipts as a share of GDP are to be 25.7 per cent of GDP in 2025–26 and 25.4 per cent of GDP in 2028–29. During this period, tax receipts are expected to decrease from 23.6 per cent of GDP to 23.5 per cent of GDP. Total receipts are expected to increase to 26.6 per cent of GDP in 2035-36, compared to 26.8 per cent of GDP at the 2025 PEFO. Tax receipts are expected to increase to 24.7 per cent of GDP in 2035-36, compared to 24.9 per cent of GDP at the 2025 P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79918" name="Graphic 1" descr="This line chart shows total receipts and tax receipts as a share of GDP at the 2025-26 MYEFO and the 2025 PEFO. Total receipts as a share of GDP are to be 25.7 per cent of GDP in 2025–26 and 25.4 per cent of GDP in 2028–29. During this period, tax receipts are expected to decrease from 23.6 per cent of GDP to 23.5 per cent of GDP. Total receipts are expected to increase to 26.6 per cent of GDP in 2035-36, compared to 26.8 per cent of GDP at the 2025 PEFO. Tax receipts are expected to increase to 24.7 per cent of GDP in 2035-36, compared to 24.9 per cent of GDP at the 2025 PEFO."/>
                          <pic:cNvPicPr/>
                        </pic:nvPicPr>
                        <pic:blipFill>
                          <a:blip r:embed="rId15">
                            <a:extLst>
                              <a:ext uri="{96DAC541-7B7A-43D3-8B79-37D633B846F1}">
                                <asvg:svgBlip xmlns:asvg="http://schemas.microsoft.com/office/drawing/2016/SVG/main" r:embed="rId16"/>
                              </a:ext>
                            </a:extLst>
                          </a:blip>
                          <a:stretch>
                            <a:fillRect/>
                          </a:stretch>
                        </pic:blipFill>
                        <pic:spPr>
                          <a:xfrm>
                            <a:off x="0" y="0"/>
                            <a:ext cx="2295525" cy="2305050"/>
                          </a:xfrm>
                          <a:prstGeom prst="rect">
                            <a:avLst/>
                          </a:prstGeom>
                        </pic:spPr>
                      </pic:pic>
                    </a:graphicData>
                  </a:graphic>
                </wp:inline>
              </w:drawing>
            </w:r>
          </w:p>
        </w:tc>
        <w:tc>
          <w:tcPr>
            <w:tcW w:w="2500" w:type="pct"/>
          </w:tcPr>
          <w:p w14:paraId="5262A4A1" w14:textId="611FB19E" w:rsidR="005B5371" w:rsidRPr="00954D98" w:rsidRDefault="00EB2E1E">
            <w:pPr>
              <w:pStyle w:val="ChartGraphic"/>
            </w:pPr>
            <w:bookmarkStart w:id="23" w:name="_1803895596"/>
            <w:bookmarkStart w:id="24" w:name="_1804053203"/>
            <w:bookmarkStart w:id="25" w:name="_1804053212"/>
            <w:bookmarkEnd w:id="23"/>
            <w:bookmarkEnd w:id="24"/>
            <w:bookmarkEnd w:id="25"/>
            <w:r w:rsidRPr="00954D98">
              <w:rPr>
                <w:noProof/>
              </w:rPr>
              <w:drawing>
                <wp:inline distT="0" distB="0" distL="0" distR="0" wp14:anchorId="17EDF668" wp14:editId="09CD93E4">
                  <wp:extent cx="2305050" cy="2286000"/>
                  <wp:effectExtent l="0" t="0" r="0" b="0"/>
                  <wp:docPr id="1707213296" name="Graphic 1" descr="This line chart shows total payments as a share of GDP at the 2025-26 MYEFO and the 2025 PEFO. Total payments as share of GDP are expected to increase from 26.9 per cent of GDP in 2025-26 to 27.0 per cent of GDP in 2032-33. Payments then gradually decrease to 26.8 per cent of GDP at the end of the medium term. Compared to the 2025 PEFO, payments as a share of GDP are projected to be slightly higher over the medium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13296" name="Graphic 1" descr="This line chart shows total payments as a share of GDP at the 2025-26 MYEFO and the 2025 PEFO. Total payments as share of GDP are expected to increase from 26.9 per cent of GDP in 2025-26 to 27.0 per cent of GDP in 2032-33. Payments then gradually decrease to 26.8 per cent of GDP at the end of the medium term. Compared to the 2025 PEFO, payments as a share of GDP are projected to be slightly higher over the medium term."/>
                          <pic:cNvPicPr/>
                        </pic:nvPicPr>
                        <pic:blipFill>
                          <a:blip r:embed="rId17">
                            <a:extLst>
                              <a:ext uri="{96DAC541-7B7A-43D3-8B79-37D633B846F1}">
                                <asvg:svgBlip xmlns:asvg="http://schemas.microsoft.com/office/drawing/2016/SVG/main" r:embed="rId18"/>
                              </a:ext>
                            </a:extLst>
                          </a:blip>
                          <a:stretch>
                            <a:fillRect/>
                          </a:stretch>
                        </pic:blipFill>
                        <pic:spPr>
                          <a:xfrm>
                            <a:off x="0" y="0"/>
                            <a:ext cx="2305050" cy="2286000"/>
                          </a:xfrm>
                          <a:prstGeom prst="rect">
                            <a:avLst/>
                          </a:prstGeom>
                        </pic:spPr>
                      </pic:pic>
                    </a:graphicData>
                  </a:graphic>
                </wp:inline>
              </w:drawing>
            </w:r>
          </w:p>
        </w:tc>
      </w:tr>
      <w:tr w:rsidR="005B5371" w:rsidRPr="00954D98" w14:paraId="16521D8C" w14:textId="77777777" w:rsidTr="00C94909">
        <w:tc>
          <w:tcPr>
            <w:tcW w:w="2500" w:type="pct"/>
            <w:tcMar>
              <w:left w:w="0" w:type="dxa"/>
            </w:tcMar>
          </w:tcPr>
          <w:p w14:paraId="51F76C06" w14:textId="5A5E304A" w:rsidR="005B5371" w:rsidRPr="00E24D4A" w:rsidRDefault="005B5371" w:rsidP="00E41975">
            <w:pPr>
              <w:pStyle w:val="ChartandTableFootnote"/>
            </w:pPr>
            <w:r w:rsidRPr="00E24D4A">
              <w:t>Source:</w:t>
            </w:r>
            <w:r w:rsidR="00E41975">
              <w:tab/>
            </w:r>
            <w:r w:rsidRPr="00E24D4A">
              <w:t xml:space="preserve">Treasury. </w:t>
            </w:r>
          </w:p>
        </w:tc>
        <w:tc>
          <w:tcPr>
            <w:tcW w:w="2500" w:type="pct"/>
            <w:tcMar>
              <w:left w:w="0" w:type="dxa"/>
            </w:tcMar>
          </w:tcPr>
          <w:p w14:paraId="1BF80E87" w14:textId="4D267328" w:rsidR="005B5371" w:rsidRPr="00954D98" w:rsidRDefault="005B5371" w:rsidP="00E41975">
            <w:pPr>
              <w:pStyle w:val="ChartandTableFootnote"/>
            </w:pPr>
            <w:r w:rsidRPr="00E24D4A">
              <w:t>Source:</w:t>
            </w:r>
            <w:r w:rsidR="00E41975">
              <w:tab/>
            </w:r>
            <w:r w:rsidRPr="00E24D4A">
              <w:t>Treasury.</w:t>
            </w:r>
          </w:p>
        </w:tc>
      </w:tr>
    </w:tbl>
    <w:p w14:paraId="18EF3176" w14:textId="214C9783" w:rsidR="005B5371" w:rsidRPr="00954D98" w:rsidRDefault="005B5371" w:rsidP="00864A0C">
      <w:pPr>
        <w:pStyle w:val="TableLine"/>
        <w:rPr>
          <w:color w:val="FF0000"/>
        </w:rPr>
      </w:pPr>
    </w:p>
    <w:p w14:paraId="5BBEBE9A" w14:textId="5438C78F" w:rsidR="00F1044A" w:rsidRPr="00954D98" w:rsidRDefault="00F1044A" w:rsidP="00F76C6E">
      <w:pPr>
        <w:pStyle w:val="ChartMainHeading"/>
      </w:pPr>
      <w:r w:rsidRPr="00954D98">
        <w:t>Chart 3.</w:t>
      </w:r>
      <w:r w:rsidR="00890CA5" w:rsidRPr="00954D98">
        <w:t>7</w:t>
      </w:r>
      <w:r w:rsidRPr="00954D98">
        <w:t xml:space="preserve">: Average annual growth in major payments </w:t>
      </w:r>
      <w:r w:rsidR="002C280E" w:rsidRPr="00954D98">
        <w:t xml:space="preserve">from </w:t>
      </w:r>
      <w:r w:rsidRPr="00954D98">
        <w:t>202</w:t>
      </w:r>
      <w:r w:rsidR="00E345DF" w:rsidRPr="00954D98">
        <w:t>5</w:t>
      </w:r>
      <w:r w:rsidRPr="00954D98">
        <w:t>–2</w:t>
      </w:r>
      <w:r w:rsidR="00E345DF" w:rsidRPr="00954D98">
        <w:t>6</w:t>
      </w:r>
      <w:r w:rsidRPr="00954D98">
        <w:t xml:space="preserve"> to 203</w:t>
      </w:r>
      <w:r w:rsidR="00E345DF" w:rsidRPr="00954D98">
        <w:t>5</w:t>
      </w:r>
      <w:r w:rsidRPr="00954D98">
        <w:t>–3</w:t>
      </w:r>
      <w:r w:rsidR="00E345DF" w:rsidRPr="00954D98">
        <w:t>6</w:t>
      </w:r>
      <w:bookmarkStart w:id="26" w:name="_1795519297"/>
      <w:bookmarkEnd w:id="26"/>
    </w:p>
    <w:p w14:paraId="26CF0F59" w14:textId="156CC4B2" w:rsidR="00691101" w:rsidRPr="00954D98" w:rsidRDefault="00801ECF" w:rsidP="00F1044A">
      <w:pPr>
        <w:pStyle w:val="ChartGraphic"/>
      </w:pPr>
      <w:r w:rsidRPr="00954D98">
        <w:rPr>
          <w:noProof/>
        </w:rPr>
        <w:drawing>
          <wp:inline distT="0" distB="0" distL="0" distR="0" wp14:anchorId="461701D8" wp14:editId="18C4C46F">
            <wp:extent cx="4667250" cy="2886075"/>
            <wp:effectExtent l="0" t="0" r="0" b="0"/>
            <wp:docPr id="326364528" name="Graphic 1" descr="The chart shows the growth of the fastest growing major payment categories over the projections period (2025–26 to 2035–36) compared to the 2025 PEFO. Growth rates are calculated as annual average growth. Interest is the fastest growing payment at 10.7% compared to 9.5% at the 2025 PEFO. The National Disability Insurance Scheme is the second fastest growing payment at 7.6% compared to 8.1% at the 2025 PEFO. Defence is the third fastest growing payment at 5.9%, compared to 6.3% at the 2025 PEFO. Hospitals is projected to grow at 5.9%,  unchanged from the 2025 PEFO. Medical Benefits is projected to grow at 5.8% compared to 5.6% at the 2025 PEFO and Child Care subsidy is projected to grow at 5.7%, compared to 5.1% at the 2025 P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64528" name="Graphic 1" descr="The chart shows the growth of the fastest growing major payment categories over the projections period (2025–26 to 2035–36) compared to the 2025 PEFO. Growth rates are calculated as annual average growth. Interest is the fastest growing payment at 10.7% compared to 9.5% at the 2025 PEFO. The National Disability Insurance Scheme is the second fastest growing payment at 7.6% compared to 8.1% at the 2025 PEFO. Defence is the third fastest growing payment at 5.9%, compared to 6.3% at the 2025 PEFO. Hospitals is projected to grow at 5.9%,  unchanged from the 2025 PEFO. Medical Benefits is projected to grow at 5.8% compared to 5.6% at the 2025 PEFO and Child Care subsidy is projected to grow at 5.7%, compared to 5.1% at the 2025 PEFO."/>
                    <pic:cNvPicPr/>
                  </pic:nvPicPr>
                  <pic:blipFill>
                    <a:blip r:embed="rId19">
                      <a:extLst>
                        <a:ext uri="{96DAC541-7B7A-43D3-8B79-37D633B846F1}">
                          <asvg:svgBlip xmlns:asvg="http://schemas.microsoft.com/office/drawing/2016/SVG/main" r:embed="rId20"/>
                        </a:ext>
                      </a:extLst>
                    </a:blip>
                    <a:stretch>
                      <a:fillRect/>
                    </a:stretch>
                  </pic:blipFill>
                  <pic:spPr>
                    <a:xfrm>
                      <a:off x="0" y="0"/>
                      <a:ext cx="4667250" cy="2886075"/>
                    </a:xfrm>
                    <a:prstGeom prst="rect">
                      <a:avLst/>
                    </a:prstGeom>
                  </pic:spPr>
                </pic:pic>
              </a:graphicData>
            </a:graphic>
          </wp:inline>
        </w:drawing>
      </w:r>
    </w:p>
    <w:p w14:paraId="2EF0F0F5" w14:textId="7194BBA9" w:rsidR="007E38CE" w:rsidRPr="00954D98" w:rsidRDefault="007E38CE" w:rsidP="007E38CE">
      <w:pPr>
        <w:pStyle w:val="ChartandTableFootnote"/>
        <w:rPr>
          <w:color w:val="auto"/>
        </w:rPr>
      </w:pPr>
      <w:r w:rsidRPr="00954D98">
        <w:rPr>
          <w:color w:val="auto"/>
        </w:rPr>
        <w:t xml:space="preserve">Note: </w:t>
      </w:r>
      <w:r w:rsidRPr="00954D98">
        <w:rPr>
          <w:color w:val="auto"/>
        </w:rPr>
        <w:tab/>
        <w:t>Shows major payments that are growing faster than nominal GDP over the projection period. Interest refers to interest payments on Australian Government Securities. NDIS refers to the Australian Government</w:t>
      </w:r>
      <w:r w:rsidR="00536CFF">
        <w:rPr>
          <w:color w:val="auto"/>
        </w:rPr>
        <w:t>’</w:t>
      </w:r>
      <w:r w:rsidRPr="00954D98">
        <w:rPr>
          <w:color w:val="auto"/>
        </w:rPr>
        <w:t xml:space="preserve">s contribution to payments for NDIS participant supports. </w:t>
      </w:r>
      <w:r w:rsidR="0040702E" w:rsidRPr="00954D98">
        <w:rPr>
          <w:color w:val="auto"/>
        </w:rPr>
        <w:br/>
        <w:t xml:space="preserve">Aged care </w:t>
      </w:r>
      <w:r w:rsidR="00B84E4C" w:rsidRPr="00954D98">
        <w:rPr>
          <w:color w:val="auto"/>
        </w:rPr>
        <w:t>was a fastest growing major payment in the 2025</w:t>
      </w:r>
      <w:r w:rsidR="005E3CAA" w:rsidRPr="00954D98">
        <w:rPr>
          <w:color w:val="auto"/>
        </w:rPr>
        <w:t>–</w:t>
      </w:r>
      <w:r w:rsidR="00B84E4C" w:rsidRPr="00954D98">
        <w:rPr>
          <w:color w:val="auto"/>
        </w:rPr>
        <w:t xml:space="preserve">26 Budget but is no longer projected to grow faster than nominal GDP and </w:t>
      </w:r>
      <w:r w:rsidR="00844F2D" w:rsidRPr="00954D98">
        <w:rPr>
          <w:color w:val="auto"/>
        </w:rPr>
        <w:t>so</w:t>
      </w:r>
      <w:r w:rsidR="00B84E4C" w:rsidRPr="00954D98">
        <w:rPr>
          <w:color w:val="auto"/>
        </w:rPr>
        <w:t xml:space="preserve"> is not included in the chart.</w:t>
      </w:r>
    </w:p>
    <w:p w14:paraId="7DAE91B2" w14:textId="3F28EB56" w:rsidR="00F1044A" w:rsidRPr="00954D98" w:rsidRDefault="00F1044A" w:rsidP="00F1044A">
      <w:pPr>
        <w:pStyle w:val="ChartandTableFootnote"/>
        <w:rPr>
          <w:color w:val="auto"/>
        </w:rPr>
      </w:pPr>
      <w:r w:rsidRPr="00954D98">
        <w:rPr>
          <w:color w:val="auto"/>
        </w:rPr>
        <w:t xml:space="preserve">Source: </w:t>
      </w:r>
      <w:r w:rsidRPr="00954D98">
        <w:rPr>
          <w:color w:val="auto"/>
        </w:rPr>
        <w:tab/>
        <w:t>Treasury.</w:t>
      </w:r>
    </w:p>
    <w:p w14:paraId="18428229" w14:textId="77777777" w:rsidR="00F1044A" w:rsidRPr="00954D98" w:rsidRDefault="00F1044A" w:rsidP="00F1044A">
      <w:pPr>
        <w:pStyle w:val="ChartLine"/>
      </w:pPr>
    </w:p>
    <w:p w14:paraId="5AC6A41D" w14:textId="5A2839A8" w:rsidR="00077431" w:rsidRPr="00954D98" w:rsidRDefault="00077431" w:rsidP="007674A3">
      <w:pPr>
        <w:keepNext/>
      </w:pPr>
      <w:r w:rsidRPr="00954D98">
        <w:lastRenderedPageBreak/>
        <w:t xml:space="preserve">Growth in some major payments over the </w:t>
      </w:r>
      <w:r w:rsidR="00BE02DC" w:rsidRPr="00954D98">
        <w:t>ten</w:t>
      </w:r>
      <w:r w:rsidR="00CF057A" w:rsidRPr="00954D98">
        <w:t>–</w:t>
      </w:r>
      <w:r w:rsidR="00BE02DC" w:rsidRPr="00954D98">
        <w:t>year</w:t>
      </w:r>
      <w:r w:rsidRPr="00954D98">
        <w:t xml:space="preserve"> projection period </w:t>
      </w:r>
      <w:r w:rsidR="00BE02DC" w:rsidRPr="00954D98">
        <w:t xml:space="preserve">to 2035–36 </w:t>
      </w:r>
      <w:r w:rsidRPr="00954D98">
        <w:t xml:space="preserve">has changed compared to the </w:t>
      </w:r>
      <w:r w:rsidR="00EC42ED" w:rsidRPr="00954D98">
        <w:t>2025</w:t>
      </w:r>
      <w:r w:rsidR="00EA06A2" w:rsidRPr="00954D98">
        <w:t xml:space="preserve"> PEFO</w:t>
      </w:r>
      <w:r w:rsidRPr="00954D98">
        <w:t>.</w:t>
      </w:r>
      <w:r w:rsidR="008A2F8A" w:rsidRPr="00954D98">
        <w:t xml:space="preserve"> </w:t>
      </w:r>
    </w:p>
    <w:p w14:paraId="57AECC84" w14:textId="67058766" w:rsidR="00A343C8" w:rsidRPr="00954D98" w:rsidRDefault="00A1033F" w:rsidP="000815C0">
      <w:pPr>
        <w:pStyle w:val="Bullet"/>
      </w:pPr>
      <w:r w:rsidRPr="00954D98">
        <w:t xml:space="preserve">Interest payments growth is expected to average </w:t>
      </w:r>
      <w:r w:rsidR="00527399" w:rsidRPr="00954D98">
        <w:t>10.7</w:t>
      </w:r>
      <w:r w:rsidR="00836F8B" w:rsidRPr="00954D98">
        <w:t> </w:t>
      </w:r>
      <w:r w:rsidRPr="00954D98">
        <w:t xml:space="preserve">per cent over the projection period compared to </w:t>
      </w:r>
      <w:r w:rsidR="00527399" w:rsidRPr="00954D98">
        <w:t>9.5</w:t>
      </w:r>
      <w:r w:rsidRPr="00954D98">
        <w:t xml:space="preserve"> per cent at the 2025 PEFO. This reflects an improved gross debt outcome reducing interest payments at the start of the period, offset by increased borrowing and gross debt towards the end of the projections.</w:t>
      </w:r>
      <w:r w:rsidR="008A2F8A" w:rsidRPr="00954D98">
        <w:t xml:space="preserve"> </w:t>
      </w:r>
    </w:p>
    <w:p w14:paraId="2CD63E33" w14:textId="25FC44C5" w:rsidR="00F1044A" w:rsidRPr="00954D98" w:rsidRDefault="00F1044A" w:rsidP="00F1044A">
      <w:pPr>
        <w:pStyle w:val="Bullet"/>
      </w:pPr>
      <w:r w:rsidRPr="00954D98">
        <w:t xml:space="preserve">NDIS Commonwealth funded participant payments growth is expected to average </w:t>
      </w:r>
      <w:r w:rsidR="009F5296" w:rsidRPr="00954D98">
        <w:t>7</w:t>
      </w:r>
      <w:r w:rsidR="0043200F" w:rsidRPr="00954D98">
        <w:t>.</w:t>
      </w:r>
      <w:r w:rsidR="009F5296" w:rsidRPr="00954D98">
        <w:t>6</w:t>
      </w:r>
      <w:r w:rsidRPr="00954D98">
        <w:t xml:space="preserve"> per cent over the projection period, compared to </w:t>
      </w:r>
      <w:r w:rsidR="009F5296" w:rsidRPr="00954D98">
        <w:t>8</w:t>
      </w:r>
      <w:r w:rsidR="0043200F" w:rsidRPr="00954D98">
        <w:t>.</w:t>
      </w:r>
      <w:r w:rsidR="009F5296" w:rsidRPr="00954D98">
        <w:t>1</w:t>
      </w:r>
      <w:r w:rsidR="0043200F" w:rsidRPr="00954D98">
        <w:t xml:space="preserve"> </w:t>
      </w:r>
      <w:r w:rsidRPr="00954D98">
        <w:t xml:space="preserve">per cent at the </w:t>
      </w:r>
      <w:r w:rsidR="00EC42ED" w:rsidRPr="00954D98">
        <w:t>2025</w:t>
      </w:r>
      <w:r w:rsidR="003F141D" w:rsidRPr="00954D98">
        <w:t xml:space="preserve"> PEFO</w:t>
      </w:r>
      <w:r w:rsidRPr="00954D98">
        <w:t xml:space="preserve">. This reflects </w:t>
      </w:r>
      <w:r w:rsidR="00C323FA" w:rsidRPr="00954D98">
        <w:t>h</w:t>
      </w:r>
      <w:r w:rsidR="00E053B3" w:rsidRPr="00954D98">
        <w:t>igher costs</w:t>
      </w:r>
      <w:r w:rsidR="0073539B" w:rsidRPr="00954D98">
        <w:t xml:space="preserve"> at the start of the </w:t>
      </w:r>
      <w:r w:rsidR="00C323FA" w:rsidRPr="00954D98">
        <w:t>projection period resulting in slower growth over the decade</w:t>
      </w:r>
      <w:r w:rsidR="001420E0" w:rsidRPr="00954D98">
        <w:t xml:space="preserve"> and lower</w:t>
      </w:r>
      <w:r w:rsidR="00861991" w:rsidRPr="00954D98">
        <w:t xml:space="preserve"> spending towards the end of the </w:t>
      </w:r>
      <w:r w:rsidR="00693C79" w:rsidRPr="00954D98">
        <w:t xml:space="preserve">projection </w:t>
      </w:r>
      <w:r w:rsidR="006E180E" w:rsidRPr="00954D98">
        <w:t xml:space="preserve">period </w:t>
      </w:r>
      <w:r w:rsidR="00693C79" w:rsidRPr="00954D98">
        <w:t xml:space="preserve">due to updated NDIS </w:t>
      </w:r>
      <w:r w:rsidR="00F3180F" w:rsidRPr="00954D98">
        <w:t xml:space="preserve">Actuary </w:t>
      </w:r>
      <w:r w:rsidR="00693C79" w:rsidRPr="00954D98">
        <w:t>estimates</w:t>
      </w:r>
      <w:r w:rsidRPr="00954D98">
        <w:t xml:space="preserve">. </w:t>
      </w:r>
    </w:p>
    <w:p w14:paraId="1568BBA2" w14:textId="1BBFEB16" w:rsidR="00101BAB" w:rsidRPr="00954D98" w:rsidRDefault="00495E13" w:rsidP="00F1044A">
      <w:pPr>
        <w:pStyle w:val="Bullet"/>
      </w:pPr>
      <w:r w:rsidRPr="00954D98">
        <w:t>Defence payments growth</w:t>
      </w:r>
      <w:r w:rsidR="000E7415" w:rsidRPr="00954D98">
        <w:t xml:space="preserve"> is expected to average 5.9 per cent compared to 6.3 per cent at </w:t>
      </w:r>
      <w:r w:rsidR="00F26123" w:rsidRPr="00954D98">
        <w:t xml:space="preserve">the </w:t>
      </w:r>
      <w:r w:rsidR="003C5DFB" w:rsidRPr="00954D98">
        <w:t>2025</w:t>
      </w:r>
      <w:r w:rsidR="00F26123" w:rsidRPr="00954D98">
        <w:t xml:space="preserve"> </w:t>
      </w:r>
      <w:r w:rsidR="000E7415" w:rsidRPr="00954D98">
        <w:t>PEFO</w:t>
      </w:r>
      <w:r w:rsidR="00DF3ABC" w:rsidRPr="00954D98">
        <w:t>. This reflects</w:t>
      </w:r>
      <w:r w:rsidR="000E7415" w:rsidRPr="00954D98">
        <w:t xml:space="preserve"> </w:t>
      </w:r>
      <w:r w:rsidR="0020284C" w:rsidRPr="00954D98">
        <w:t>a bring</w:t>
      </w:r>
      <w:r w:rsidR="00536CFF">
        <w:noBreakHyphen/>
      </w:r>
      <w:r w:rsidR="0020284C" w:rsidRPr="00954D98">
        <w:t xml:space="preserve">forward of planned investment causing </w:t>
      </w:r>
      <w:r w:rsidR="000E7415" w:rsidRPr="00954D98">
        <w:t>higher spending at the start of the projection period</w:t>
      </w:r>
      <w:r w:rsidR="002B4D05" w:rsidRPr="00954D98">
        <w:t xml:space="preserve"> </w:t>
      </w:r>
      <w:r w:rsidR="004C5C58" w:rsidRPr="00954D98">
        <w:t xml:space="preserve">as well as </w:t>
      </w:r>
      <w:r w:rsidR="005420F5" w:rsidRPr="00954D98">
        <w:t xml:space="preserve">a </w:t>
      </w:r>
      <w:r w:rsidR="00CE6527" w:rsidRPr="00954D98">
        <w:t xml:space="preserve">revised estimate for the final year, </w:t>
      </w:r>
      <w:r w:rsidR="00325E05" w:rsidRPr="00954D98">
        <w:t>resulting in slower growth over the decade.</w:t>
      </w:r>
    </w:p>
    <w:p w14:paraId="478DA9C0" w14:textId="1F4AE0EC" w:rsidR="001E63E5" w:rsidRPr="00954D98" w:rsidRDefault="00670661" w:rsidP="005D54C9">
      <w:pPr>
        <w:pStyle w:val="Bullet"/>
      </w:pPr>
      <w:bookmarkStart w:id="27" w:name="_1763626548"/>
      <w:bookmarkStart w:id="28" w:name="_1795358721"/>
      <w:bookmarkStart w:id="29" w:name="_1795413755"/>
      <w:bookmarkStart w:id="30" w:name="_Toc134093763"/>
      <w:bookmarkStart w:id="31" w:name="_Toc148428067"/>
      <w:bookmarkEnd w:id="19"/>
      <w:bookmarkEnd w:id="27"/>
      <w:bookmarkEnd w:id="28"/>
      <w:bookmarkEnd w:id="29"/>
      <w:r w:rsidRPr="00954D98">
        <w:t>Child Care Subsidy payments growth is expected to average 5.7 per cent over the projection period compared to 5.1 per cent at the 2025 PEFO,</w:t>
      </w:r>
      <w:r w:rsidR="00201C7C" w:rsidRPr="00954D98">
        <w:t xml:space="preserve"> largely reflecting higher</w:t>
      </w:r>
      <w:r w:rsidR="00536CFF">
        <w:noBreakHyphen/>
      </w:r>
      <w:r w:rsidR="00201C7C" w:rsidRPr="00954D98">
        <w:t>than</w:t>
      </w:r>
      <w:r w:rsidR="00536CFF">
        <w:noBreakHyphen/>
      </w:r>
      <w:r w:rsidR="00201C7C" w:rsidRPr="00954D98">
        <w:t>estimated child care use by families in the forward estimates</w:t>
      </w:r>
      <w:r w:rsidR="00973A0D" w:rsidRPr="00954D98">
        <w:t>.</w:t>
      </w:r>
    </w:p>
    <w:p w14:paraId="2B6E8158" w14:textId="4EFC3054" w:rsidR="009B5EA5" w:rsidRPr="00954D98" w:rsidRDefault="001E63E5" w:rsidP="005D54C9">
      <w:pPr>
        <w:pStyle w:val="Bullet"/>
      </w:pPr>
      <w:r w:rsidRPr="00954D98">
        <w:t>Aged care payments growth is expected to average 4.9 per cent over the projection period</w:t>
      </w:r>
      <w:r w:rsidR="001701CD" w:rsidRPr="00954D98">
        <w:t>, lower than the projected growth rate of nominal GDP,</w:t>
      </w:r>
      <w:r w:rsidRPr="00954D98">
        <w:t xml:space="preserve"> compared to 5.2 per cent at the 2025 PEFO, reflecting weaker</w:t>
      </w:r>
      <w:r w:rsidR="00536CFF">
        <w:noBreakHyphen/>
      </w:r>
      <w:r w:rsidRPr="00954D98">
        <w:t>than</w:t>
      </w:r>
      <w:r w:rsidR="00536CFF">
        <w:noBreakHyphen/>
      </w:r>
      <w:r w:rsidRPr="00954D98">
        <w:t>expected growth in aged care prices in the forward estimates</w:t>
      </w:r>
      <w:r w:rsidR="00834AE3" w:rsidRPr="00954D98">
        <w:t>.</w:t>
      </w:r>
    </w:p>
    <w:p w14:paraId="6DF8EC4D" w14:textId="438FA602" w:rsidR="00F1044A" w:rsidRPr="00954D98" w:rsidRDefault="00F1044A" w:rsidP="00ED6AC0">
      <w:pPr>
        <w:pStyle w:val="Heading3"/>
      </w:pPr>
      <w:r w:rsidRPr="00954D98">
        <w:t xml:space="preserve">Receipts estimates </w:t>
      </w:r>
      <w:bookmarkEnd w:id="30"/>
      <w:bookmarkEnd w:id="31"/>
    </w:p>
    <w:p w14:paraId="018E498D" w14:textId="3D80D3B2" w:rsidR="00F1044A" w:rsidRPr="00954D98" w:rsidRDefault="00F1044A" w:rsidP="00F1044A">
      <w:pPr>
        <w:rPr>
          <w:rFonts w:eastAsia="Calibri"/>
        </w:rPr>
      </w:pPr>
      <w:r w:rsidRPr="00954D98">
        <w:rPr>
          <w:rFonts w:eastAsia="Calibri"/>
        </w:rPr>
        <w:t>Total receipts over the forward estimates have increased by $</w:t>
      </w:r>
      <w:r w:rsidR="00E6400B" w:rsidRPr="00954D98">
        <w:rPr>
          <w:rFonts w:eastAsia="Calibri"/>
        </w:rPr>
        <w:t>39.7</w:t>
      </w:r>
      <w:r w:rsidRPr="00954D98">
        <w:rPr>
          <w:rFonts w:eastAsia="Calibri"/>
        </w:rPr>
        <w:t xml:space="preserve"> billion since the </w:t>
      </w:r>
      <w:r w:rsidR="001B1B1A" w:rsidRPr="00954D98">
        <w:rPr>
          <w:rFonts w:eastAsia="Calibri"/>
        </w:rPr>
        <w:t>2025</w:t>
      </w:r>
      <w:r w:rsidR="003152C3" w:rsidRPr="00954D98">
        <w:rPr>
          <w:rFonts w:eastAsia="Calibri"/>
        </w:rPr>
        <w:t> </w:t>
      </w:r>
      <w:r w:rsidR="001B1B1A" w:rsidRPr="00954D98">
        <w:rPr>
          <w:rFonts w:eastAsia="Calibri"/>
        </w:rPr>
        <w:t>PEFO</w:t>
      </w:r>
      <w:r w:rsidRPr="00954D98">
        <w:rPr>
          <w:rFonts w:eastAsia="Calibri"/>
        </w:rPr>
        <w:t xml:space="preserve">, driven by </w:t>
      </w:r>
      <w:r w:rsidR="00875640" w:rsidRPr="00954D98">
        <w:rPr>
          <w:rFonts w:eastAsia="Calibri"/>
        </w:rPr>
        <w:t xml:space="preserve">both </w:t>
      </w:r>
      <w:r w:rsidRPr="00954D98">
        <w:rPr>
          <w:rFonts w:eastAsia="Calibri"/>
        </w:rPr>
        <w:t xml:space="preserve">higher tax </w:t>
      </w:r>
      <w:r w:rsidRPr="00954D98">
        <w:t>receipts</w:t>
      </w:r>
      <w:r w:rsidR="00C169E6" w:rsidRPr="00954D98">
        <w:t xml:space="preserve"> and higher non</w:t>
      </w:r>
      <w:r w:rsidR="00536CFF">
        <w:noBreakHyphen/>
      </w:r>
      <w:r w:rsidR="00C169E6" w:rsidRPr="00954D98">
        <w:t>tax receipts</w:t>
      </w:r>
      <w:r w:rsidRPr="00954D98">
        <w:rPr>
          <w:rFonts w:eastAsia="Calibri"/>
        </w:rPr>
        <w:t xml:space="preserve">. </w:t>
      </w:r>
    </w:p>
    <w:p w14:paraId="4AA85833" w14:textId="02564383" w:rsidR="00F1044A" w:rsidRPr="00954D98" w:rsidRDefault="00C34A6E" w:rsidP="00BA7FDE">
      <w:r w:rsidRPr="00954D98">
        <w:t>T</w:t>
      </w:r>
      <w:r w:rsidR="00F1044A" w:rsidRPr="00954D98">
        <w:t>ax receipts have been revised up by $</w:t>
      </w:r>
      <w:r w:rsidR="00366B78" w:rsidRPr="00954D98">
        <w:t>3</w:t>
      </w:r>
      <w:r w:rsidR="00285A26" w:rsidRPr="00954D98">
        <w:t>7</w:t>
      </w:r>
      <w:r w:rsidR="00355D9A" w:rsidRPr="00954D98">
        <w:t>.</w:t>
      </w:r>
      <w:r w:rsidR="00C513DC" w:rsidRPr="00954D98">
        <w:t>6</w:t>
      </w:r>
      <w:r w:rsidR="004031DC" w:rsidRPr="00954D98">
        <w:t> </w:t>
      </w:r>
      <w:r w:rsidR="00F1044A" w:rsidRPr="00954D98">
        <w:t>billion</w:t>
      </w:r>
      <w:r w:rsidR="00F1044A" w:rsidRPr="00954D98" w:rsidDel="00405F7F">
        <w:t xml:space="preserve"> </w:t>
      </w:r>
      <w:r w:rsidR="00F1044A" w:rsidRPr="00954D98">
        <w:t xml:space="preserve">over the four years to </w:t>
      </w:r>
      <w:r w:rsidR="004031DC" w:rsidRPr="00954D98">
        <w:t>202</w:t>
      </w:r>
      <w:r w:rsidR="002A6976" w:rsidRPr="00954D98">
        <w:t>8</w:t>
      </w:r>
      <w:r w:rsidR="004031DC" w:rsidRPr="00954D98">
        <w:t>–29</w:t>
      </w:r>
      <w:r w:rsidR="004F7E96" w:rsidRPr="00954D98">
        <w:rPr>
          <w:rFonts w:eastAsia="Calibri"/>
        </w:rPr>
        <w:t xml:space="preserve"> compared to the 2025 PEFO</w:t>
      </w:r>
      <w:r w:rsidR="009D1426" w:rsidRPr="00954D98">
        <w:t>,</w:t>
      </w:r>
      <w:r w:rsidR="00F1044A" w:rsidRPr="00954D98">
        <w:t xml:space="preserve"> </w:t>
      </w:r>
      <w:r w:rsidR="009D1426" w:rsidRPr="00954D98">
        <w:t xml:space="preserve">with </w:t>
      </w:r>
      <w:r w:rsidR="009D1426" w:rsidRPr="00954D98">
        <w:rPr>
          <w:rFonts w:eastAsia="Calibri"/>
        </w:rPr>
        <w:t>t</w:t>
      </w:r>
      <w:r w:rsidR="00F1044A" w:rsidRPr="00954D98">
        <w:rPr>
          <w:rFonts w:eastAsia="Calibri"/>
        </w:rPr>
        <w:t>h</w:t>
      </w:r>
      <w:r w:rsidR="00A053B6" w:rsidRPr="00954D98">
        <w:rPr>
          <w:rFonts w:eastAsia="Calibri"/>
        </w:rPr>
        <w:t>e</w:t>
      </w:r>
      <w:r w:rsidR="00F1044A" w:rsidRPr="00954D98">
        <w:rPr>
          <w:rFonts w:eastAsia="Calibri"/>
        </w:rPr>
        <w:t xml:space="preserve"> upgrade</w:t>
      </w:r>
      <w:r w:rsidR="00DA7C48" w:rsidRPr="00954D98">
        <w:rPr>
          <w:rFonts w:eastAsia="Calibri"/>
        </w:rPr>
        <w:t xml:space="preserve"> </w:t>
      </w:r>
      <w:r w:rsidR="00193E83" w:rsidRPr="00954D98">
        <w:rPr>
          <w:rFonts w:eastAsia="Calibri"/>
        </w:rPr>
        <w:t>concentrated in the near</w:t>
      </w:r>
      <w:r w:rsidR="00536CFF">
        <w:rPr>
          <w:rFonts w:eastAsia="Calibri"/>
        </w:rPr>
        <w:noBreakHyphen/>
      </w:r>
      <w:r w:rsidR="00193E83" w:rsidRPr="00954D98">
        <w:rPr>
          <w:rFonts w:eastAsia="Calibri"/>
        </w:rPr>
        <w:t>term.</w:t>
      </w:r>
      <w:r w:rsidR="00B667E3" w:rsidRPr="00954D98">
        <w:rPr>
          <w:rFonts w:eastAsia="Calibri"/>
        </w:rPr>
        <w:t xml:space="preserve"> </w:t>
      </w:r>
      <w:r w:rsidR="00AA3217" w:rsidRPr="00954D98">
        <w:rPr>
          <w:rFonts w:eastAsia="Calibri"/>
        </w:rPr>
        <w:t>Excluding GS</w:t>
      </w:r>
      <w:r w:rsidR="0004223F" w:rsidRPr="00954D98">
        <w:rPr>
          <w:rFonts w:eastAsia="Calibri"/>
        </w:rPr>
        <w:t>T</w:t>
      </w:r>
      <w:r w:rsidR="00AA3217" w:rsidRPr="00954D98">
        <w:rPr>
          <w:rFonts w:eastAsia="Calibri"/>
        </w:rPr>
        <w:t xml:space="preserve"> and policy decisions, tax receipts have been revised up by $32.6 billion</w:t>
      </w:r>
      <w:r w:rsidR="00D6137A" w:rsidRPr="00954D98">
        <w:rPr>
          <w:rFonts w:eastAsia="Calibri"/>
        </w:rPr>
        <w:t>.</w:t>
      </w:r>
      <w:r w:rsidR="00AA3217" w:rsidRPr="00954D98">
        <w:rPr>
          <w:rFonts w:eastAsia="Calibri"/>
        </w:rPr>
        <w:t xml:space="preserve"> </w:t>
      </w:r>
      <w:r w:rsidR="00276DFA" w:rsidRPr="00954D98">
        <w:rPr>
          <w:rFonts w:eastAsia="Calibri"/>
        </w:rPr>
        <w:t xml:space="preserve">The upgrade in this MYEFO is less than the average of the last six major </w:t>
      </w:r>
      <w:r w:rsidR="008932F5" w:rsidRPr="00954D98">
        <w:rPr>
          <w:rFonts w:eastAsia="Calibri"/>
        </w:rPr>
        <w:t>budget</w:t>
      </w:r>
      <w:r w:rsidR="00276DFA" w:rsidRPr="00954D98">
        <w:rPr>
          <w:rFonts w:eastAsia="Calibri"/>
        </w:rPr>
        <w:t xml:space="preserve"> updates. </w:t>
      </w:r>
      <w:r w:rsidR="000F1588" w:rsidRPr="00954D98">
        <w:rPr>
          <w:rFonts w:eastAsia="Calibri"/>
        </w:rPr>
        <w:t>Forecasts for p</w:t>
      </w:r>
      <w:r w:rsidR="00AC1CCB" w:rsidRPr="00954D98">
        <w:rPr>
          <w:rFonts w:eastAsia="Calibri"/>
        </w:rPr>
        <w:t>ersonal</w:t>
      </w:r>
      <w:r w:rsidR="006E732F" w:rsidRPr="00954D98">
        <w:rPr>
          <w:rFonts w:eastAsia="Calibri"/>
        </w:rPr>
        <w:t xml:space="preserve"> income</w:t>
      </w:r>
      <w:r w:rsidR="00316E4C" w:rsidRPr="00954D98">
        <w:rPr>
          <w:rFonts w:eastAsia="Calibri"/>
        </w:rPr>
        <w:t xml:space="preserve"> tax</w:t>
      </w:r>
      <w:r w:rsidR="00AC1CCB" w:rsidRPr="00954D98">
        <w:rPr>
          <w:rFonts w:eastAsia="Calibri"/>
        </w:rPr>
        <w:t>, company tax</w:t>
      </w:r>
      <w:r w:rsidR="000A1436" w:rsidRPr="00954D98">
        <w:rPr>
          <w:rFonts w:eastAsia="Calibri"/>
        </w:rPr>
        <w:t>,</w:t>
      </w:r>
      <w:r w:rsidR="00B840C2" w:rsidRPr="00954D98">
        <w:rPr>
          <w:rFonts w:eastAsia="Calibri"/>
        </w:rPr>
        <w:t xml:space="preserve"> </w:t>
      </w:r>
      <w:r w:rsidR="00AC1CCB" w:rsidRPr="00954D98">
        <w:rPr>
          <w:rFonts w:eastAsia="Calibri"/>
        </w:rPr>
        <w:t>superannuation fund</w:t>
      </w:r>
      <w:r w:rsidR="00316E4C" w:rsidRPr="00954D98">
        <w:rPr>
          <w:rFonts w:eastAsia="Calibri"/>
        </w:rPr>
        <w:t xml:space="preserve"> taxes</w:t>
      </w:r>
      <w:r w:rsidR="00B840C2" w:rsidRPr="00954D98">
        <w:rPr>
          <w:rFonts w:eastAsia="Calibri"/>
        </w:rPr>
        <w:t xml:space="preserve"> </w:t>
      </w:r>
      <w:r w:rsidR="00201D09" w:rsidRPr="00954D98">
        <w:rPr>
          <w:rFonts w:eastAsia="Calibri"/>
        </w:rPr>
        <w:t xml:space="preserve">and GST </w:t>
      </w:r>
      <w:r w:rsidR="000F1588" w:rsidRPr="00954D98">
        <w:rPr>
          <w:rFonts w:eastAsia="Calibri"/>
        </w:rPr>
        <w:t>receipts</w:t>
      </w:r>
      <w:r w:rsidR="00201D09" w:rsidRPr="00954D98">
        <w:rPr>
          <w:rFonts w:eastAsia="Calibri"/>
        </w:rPr>
        <w:t xml:space="preserve"> </w:t>
      </w:r>
      <w:r w:rsidR="00B840C2" w:rsidRPr="00954D98">
        <w:rPr>
          <w:rFonts w:eastAsia="Calibri"/>
        </w:rPr>
        <w:t xml:space="preserve">are all higher, </w:t>
      </w:r>
      <w:r w:rsidR="00C17242" w:rsidRPr="00954D98">
        <w:rPr>
          <w:rFonts w:eastAsia="Calibri"/>
        </w:rPr>
        <w:t>part</w:t>
      </w:r>
      <w:r w:rsidR="006E732F" w:rsidRPr="00954D98">
        <w:rPr>
          <w:rFonts w:eastAsia="Calibri"/>
        </w:rPr>
        <w:t>ly</w:t>
      </w:r>
      <w:r w:rsidR="00C17242" w:rsidRPr="00954D98">
        <w:rPr>
          <w:rFonts w:eastAsia="Calibri"/>
        </w:rPr>
        <w:t xml:space="preserve"> offset by a downgrade to </w:t>
      </w:r>
      <w:r w:rsidR="006A3934" w:rsidRPr="00954D98">
        <w:rPr>
          <w:rFonts w:eastAsia="Calibri"/>
        </w:rPr>
        <w:t>tobacco excise</w:t>
      </w:r>
      <w:r w:rsidR="000F1588" w:rsidRPr="00954D98">
        <w:rPr>
          <w:rFonts w:eastAsia="Calibri"/>
        </w:rPr>
        <w:t xml:space="preserve"> receipts</w:t>
      </w:r>
      <w:r w:rsidR="008F52D4" w:rsidRPr="00954D98">
        <w:rPr>
          <w:rFonts w:eastAsia="Calibri"/>
        </w:rPr>
        <w:t>.</w:t>
      </w:r>
      <w:r w:rsidR="00AC1CCB" w:rsidRPr="00954D98">
        <w:rPr>
          <w:rFonts w:eastAsia="Calibri"/>
        </w:rPr>
        <w:t xml:space="preserve"> </w:t>
      </w:r>
      <w:r w:rsidR="00B667E3" w:rsidRPr="00954D98">
        <w:rPr>
          <w:rFonts w:eastAsia="Calibri"/>
        </w:rPr>
        <w:t>Th</w:t>
      </w:r>
      <w:r w:rsidR="00B04BA3" w:rsidRPr="00954D98">
        <w:rPr>
          <w:rFonts w:eastAsia="Calibri"/>
        </w:rPr>
        <w:t>e upgrades are</w:t>
      </w:r>
      <w:r w:rsidR="00F1044A" w:rsidRPr="00954D98">
        <w:rPr>
          <w:rFonts w:eastAsia="Calibri"/>
        </w:rPr>
        <w:t xml:space="preserve"> driven by </w:t>
      </w:r>
      <w:r w:rsidR="00302F07" w:rsidRPr="00954D98">
        <w:rPr>
          <w:rFonts w:eastAsia="Calibri"/>
        </w:rPr>
        <w:t xml:space="preserve">strength in </w:t>
      </w:r>
      <w:r w:rsidR="00461F72" w:rsidRPr="00954D98">
        <w:rPr>
          <w:rFonts w:eastAsia="Calibri"/>
        </w:rPr>
        <w:t>a range of factors including</w:t>
      </w:r>
      <w:r w:rsidR="004A31F6" w:rsidRPr="00954D98">
        <w:rPr>
          <w:rFonts w:eastAsia="Calibri"/>
        </w:rPr>
        <w:t xml:space="preserve"> </w:t>
      </w:r>
      <w:r w:rsidR="00F95EA8" w:rsidRPr="00954D98">
        <w:t>wages</w:t>
      </w:r>
      <w:r w:rsidR="005F24E0" w:rsidRPr="00954D98">
        <w:t>, savings income</w:t>
      </w:r>
      <w:r w:rsidR="00BF70A2" w:rsidRPr="00954D98">
        <w:t xml:space="preserve">, </w:t>
      </w:r>
      <w:r w:rsidR="00CB5503" w:rsidRPr="00954D98">
        <w:t xml:space="preserve">corporate </w:t>
      </w:r>
      <w:r w:rsidR="00BA7FDE" w:rsidRPr="00954D98">
        <w:t xml:space="preserve">profits </w:t>
      </w:r>
      <w:r w:rsidR="00E57887" w:rsidRPr="00954D98">
        <w:t xml:space="preserve">and </w:t>
      </w:r>
      <w:r w:rsidR="00BA7FDE" w:rsidRPr="00954D98">
        <w:t>consumption</w:t>
      </w:r>
      <w:r w:rsidR="00E57887" w:rsidRPr="00954D98">
        <w:t xml:space="preserve">. </w:t>
      </w:r>
    </w:p>
    <w:p w14:paraId="374C7C4A" w14:textId="4F75D248" w:rsidR="00F1044A" w:rsidRPr="00954D98" w:rsidRDefault="00F1044A" w:rsidP="00F1044A">
      <w:r w:rsidRPr="00954D98">
        <w:rPr>
          <w:rFonts w:cs="Calibri"/>
        </w:rPr>
        <w:t xml:space="preserve">Since the </w:t>
      </w:r>
      <w:r w:rsidR="001B1B1A" w:rsidRPr="00954D98">
        <w:rPr>
          <w:rFonts w:cs="Calibri"/>
        </w:rPr>
        <w:t>2025 PEFO</w:t>
      </w:r>
      <w:r w:rsidRPr="00954D98">
        <w:rPr>
          <w:rFonts w:cs="Calibri"/>
        </w:rPr>
        <w:t>, non</w:t>
      </w:r>
      <w:r w:rsidR="00536CFF">
        <w:rPr>
          <w:rFonts w:cs="Calibri"/>
        </w:rPr>
        <w:noBreakHyphen/>
      </w:r>
      <w:r w:rsidRPr="00954D98">
        <w:rPr>
          <w:rFonts w:cs="Calibri"/>
        </w:rPr>
        <w:t xml:space="preserve">tax receipts are expected to </w:t>
      </w:r>
      <w:r w:rsidR="00F931DD" w:rsidRPr="00954D98">
        <w:rPr>
          <w:rFonts w:cs="Calibri"/>
        </w:rPr>
        <w:t>decrease</w:t>
      </w:r>
      <w:r w:rsidRPr="00954D98">
        <w:rPr>
          <w:rFonts w:cs="Calibri"/>
        </w:rPr>
        <w:t xml:space="preserve"> by $</w:t>
      </w:r>
      <w:r w:rsidR="00A20392" w:rsidRPr="00954D98">
        <w:rPr>
          <w:rFonts w:cs="Calibri"/>
        </w:rPr>
        <w:t>0.6</w:t>
      </w:r>
      <w:r w:rsidR="00DE4D71" w:rsidRPr="00954D98" w:rsidDel="00DE4D71">
        <w:rPr>
          <w:rFonts w:cs="Calibri"/>
        </w:rPr>
        <w:t xml:space="preserve"> </w:t>
      </w:r>
      <w:r w:rsidRPr="00954D98">
        <w:rPr>
          <w:rFonts w:cs="Calibri"/>
        </w:rPr>
        <w:t>billion in 202</w:t>
      </w:r>
      <w:r w:rsidR="00F931DD" w:rsidRPr="00954D98">
        <w:rPr>
          <w:rFonts w:cs="Calibri"/>
        </w:rPr>
        <w:t>5</w:t>
      </w:r>
      <w:r w:rsidR="001B0E9C" w:rsidRPr="00954D98">
        <w:rPr>
          <w:rFonts w:cs="Calibri"/>
        </w:rPr>
        <w:t>–</w:t>
      </w:r>
      <w:r w:rsidRPr="00954D98">
        <w:rPr>
          <w:rFonts w:cs="Calibri"/>
        </w:rPr>
        <w:t>2</w:t>
      </w:r>
      <w:r w:rsidR="00F931DD" w:rsidRPr="00954D98">
        <w:rPr>
          <w:rFonts w:cs="Calibri"/>
        </w:rPr>
        <w:t>6</w:t>
      </w:r>
      <w:r w:rsidRPr="00954D98">
        <w:rPr>
          <w:rFonts w:cs="Calibri"/>
        </w:rPr>
        <w:t xml:space="preserve"> (Table 3.</w:t>
      </w:r>
      <w:r w:rsidR="00BB0914" w:rsidRPr="00954D98">
        <w:rPr>
          <w:rFonts w:cs="Calibri"/>
        </w:rPr>
        <w:t>3</w:t>
      </w:r>
      <w:r w:rsidRPr="00954D98">
        <w:rPr>
          <w:rFonts w:cs="Calibri"/>
        </w:rPr>
        <w:t xml:space="preserve">) and </w:t>
      </w:r>
      <w:r w:rsidR="00970314" w:rsidRPr="00954D98">
        <w:rPr>
          <w:rFonts w:cs="Calibri"/>
        </w:rPr>
        <w:t xml:space="preserve">increase </w:t>
      </w:r>
      <w:r w:rsidRPr="00954D98">
        <w:rPr>
          <w:rFonts w:cs="Calibri"/>
        </w:rPr>
        <w:t>by $</w:t>
      </w:r>
      <w:r w:rsidR="00C82BE7" w:rsidRPr="00954D98">
        <w:rPr>
          <w:rFonts w:cs="Calibri"/>
        </w:rPr>
        <w:t>2.1</w:t>
      </w:r>
      <w:r w:rsidR="00CC63DF" w:rsidRPr="00954D98">
        <w:rPr>
          <w:rFonts w:cs="Calibri"/>
        </w:rPr>
        <w:t> </w:t>
      </w:r>
      <w:r w:rsidRPr="00954D98">
        <w:rPr>
          <w:rFonts w:cs="Calibri"/>
        </w:rPr>
        <w:t xml:space="preserve">billion over the four years to </w:t>
      </w:r>
      <w:r w:rsidR="00F931DD" w:rsidRPr="00954D98">
        <w:rPr>
          <w:rFonts w:cs="Calibri"/>
        </w:rPr>
        <w:t>2028</w:t>
      </w:r>
      <w:r w:rsidR="001B0E9C" w:rsidRPr="00954D98">
        <w:rPr>
          <w:rFonts w:cs="Calibri"/>
        </w:rPr>
        <w:t>–</w:t>
      </w:r>
      <w:r w:rsidRPr="00954D98">
        <w:rPr>
          <w:rFonts w:cs="Calibri"/>
        </w:rPr>
        <w:t>2</w:t>
      </w:r>
      <w:r w:rsidR="00F931DD" w:rsidRPr="00954D98">
        <w:rPr>
          <w:rFonts w:cs="Calibri"/>
        </w:rPr>
        <w:t>9</w:t>
      </w:r>
      <w:r w:rsidRPr="00954D98">
        <w:t>.</w:t>
      </w:r>
    </w:p>
    <w:p w14:paraId="65FAE483" w14:textId="6D1C0E06" w:rsidR="00AD1A75" w:rsidRDefault="00F1044A" w:rsidP="00D870AF">
      <w:r w:rsidRPr="00954D98">
        <w:t xml:space="preserve">Total receipts as a proportion of GDP are expected to </w:t>
      </w:r>
      <w:r w:rsidR="00143EA2" w:rsidRPr="00954D98">
        <w:t>decrease</w:t>
      </w:r>
      <w:r w:rsidRPr="00954D98">
        <w:t xml:space="preserve"> over the forward estimates, from </w:t>
      </w:r>
      <w:r w:rsidR="00C13BA0" w:rsidRPr="00954D98">
        <w:t>25.7</w:t>
      </w:r>
      <w:r w:rsidRPr="00954D98">
        <w:t> per cent of GDP in 202</w:t>
      </w:r>
      <w:r w:rsidR="0079225F" w:rsidRPr="00954D98">
        <w:t>5</w:t>
      </w:r>
      <w:r w:rsidRPr="00954D98">
        <w:t>–2</w:t>
      </w:r>
      <w:r w:rsidR="0079225F" w:rsidRPr="00954D98">
        <w:t>6</w:t>
      </w:r>
      <w:r w:rsidRPr="00954D98">
        <w:t xml:space="preserve"> to </w:t>
      </w:r>
      <w:r w:rsidR="00EF0434" w:rsidRPr="00954D98">
        <w:t>25.4</w:t>
      </w:r>
      <w:r w:rsidRPr="00954D98">
        <w:t> per cent of GDP in 202</w:t>
      </w:r>
      <w:r w:rsidR="0079225F" w:rsidRPr="00954D98">
        <w:t>8</w:t>
      </w:r>
      <w:r w:rsidRPr="00954D98">
        <w:t>–2</w:t>
      </w:r>
      <w:r w:rsidR="0079225F" w:rsidRPr="00954D98">
        <w:t>9</w:t>
      </w:r>
      <w:r w:rsidRPr="00954D98">
        <w:t xml:space="preserve">. </w:t>
      </w:r>
      <w:r w:rsidR="00C71668" w:rsidRPr="00954D98">
        <w:t>Tax</w:t>
      </w:r>
      <w:r w:rsidRPr="00954D98">
        <w:t xml:space="preserve"> receipts are expected to </w:t>
      </w:r>
      <w:r w:rsidR="005F31CB" w:rsidRPr="00954D98">
        <w:t>fall from</w:t>
      </w:r>
      <w:r w:rsidRPr="00954D98">
        <w:t xml:space="preserve"> </w:t>
      </w:r>
      <w:r w:rsidR="004C214A" w:rsidRPr="00954D98">
        <w:t>23.6</w:t>
      </w:r>
      <w:r w:rsidR="0079225F" w:rsidRPr="00954D98">
        <w:t> </w:t>
      </w:r>
      <w:r w:rsidRPr="00954D98">
        <w:t xml:space="preserve">per cent of GDP in </w:t>
      </w:r>
      <w:r w:rsidR="0079225F" w:rsidRPr="00954D98">
        <w:t>2025</w:t>
      </w:r>
      <w:r w:rsidRPr="00954D98">
        <w:t>–2</w:t>
      </w:r>
      <w:r w:rsidR="0079225F" w:rsidRPr="00954D98">
        <w:t>6</w:t>
      </w:r>
      <w:r w:rsidRPr="00954D98">
        <w:t xml:space="preserve"> </w:t>
      </w:r>
      <w:r w:rsidR="00F1014A" w:rsidRPr="00954D98">
        <w:t>to</w:t>
      </w:r>
      <w:r w:rsidRPr="00954D98">
        <w:t xml:space="preserve"> </w:t>
      </w:r>
      <w:r w:rsidR="00EC5B35" w:rsidRPr="00954D98">
        <w:t>23.</w:t>
      </w:r>
      <w:r w:rsidR="00932BED" w:rsidRPr="00954D98">
        <w:t>5</w:t>
      </w:r>
      <w:r w:rsidRPr="00954D98">
        <w:t xml:space="preserve"> per cent </w:t>
      </w:r>
      <w:r w:rsidR="00245D9F" w:rsidRPr="00954D98">
        <w:t xml:space="preserve">of GDP </w:t>
      </w:r>
      <w:r w:rsidRPr="00954D98">
        <w:t>in 202</w:t>
      </w:r>
      <w:r w:rsidR="0079225F" w:rsidRPr="00954D98">
        <w:t>8</w:t>
      </w:r>
      <w:r w:rsidRPr="00954D98">
        <w:t>–2</w:t>
      </w:r>
      <w:r w:rsidR="0079225F" w:rsidRPr="00954D98">
        <w:t>9</w:t>
      </w:r>
      <w:r w:rsidR="00C71668" w:rsidRPr="00954D98">
        <w:t>.</w:t>
      </w:r>
    </w:p>
    <w:p w14:paraId="63D55C41" w14:textId="158E8D39" w:rsidR="00F1044A" w:rsidRPr="00954D98" w:rsidRDefault="00F1044A" w:rsidP="00F1044A">
      <w:pPr>
        <w:pStyle w:val="TableHeading"/>
        <w:rPr>
          <w:rFonts w:asciiTheme="minorHAnsi" w:eastAsiaTheme="minorHAnsi" w:hAnsiTheme="minorHAnsi" w:cstheme="minorBidi"/>
          <w:b w:val="0"/>
          <w:sz w:val="22"/>
          <w:szCs w:val="22"/>
          <w:lang w:eastAsia="en-US"/>
        </w:rPr>
      </w:pPr>
      <w:r w:rsidRPr="00954D98">
        <w:lastRenderedPageBreak/>
        <w:t>Table 3.</w:t>
      </w:r>
      <w:r w:rsidR="0058313B" w:rsidRPr="00954D98">
        <w:t>3</w:t>
      </w:r>
      <w:r w:rsidRPr="00954D98">
        <w:t>: Reconciliation of 202</w:t>
      </w:r>
      <w:r w:rsidR="000328F9" w:rsidRPr="00954D98">
        <w:t>5</w:t>
      </w:r>
      <w:r w:rsidRPr="00954D98">
        <w:t>–2</w:t>
      </w:r>
      <w:r w:rsidR="000328F9" w:rsidRPr="00954D98">
        <w:t>6</w:t>
      </w:r>
      <w:r w:rsidRPr="00954D98">
        <w:t xml:space="preserve"> general government (cash) receipts</w:t>
      </w:r>
    </w:p>
    <w:tbl>
      <w:tblPr>
        <w:tblW w:w="5000" w:type="pct"/>
        <w:tblCellMar>
          <w:left w:w="0" w:type="dxa"/>
          <w:right w:w="28" w:type="dxa"/>
        </w:tblCellMar>
        <w:tblLook w:val="04A0" w:firstRow="1" w:lastRow="0" w:firstColumn="1" w:lastColumn="0" w:noHBand="0" w:noVBand="1"/>
      </w:tblPr>
      <w:tblGrid>
        <w:gridCol w:w="3312"/>
        <w:gridCol w:w="1093"/>
        <w:gridCol w:w="1265"/>
        <w:gridCol w:w="73"/>
        <w:gridCol w:w="979"/>
        <w:gridCol w:w="988"/>
      </w:tblGrid>
      <w:tr w:rsidR="00B64154" w:rsidRPr="00954D98" w14:paraId="7FC637B7" w14:textId="77777777" w:rsidTr="00B64154">
        <w:trPr>
          <w:trHeight w:hRule="exact" w:val="225"/>
        </w:trPr>
        <w:tc>
          <w:tcPr>
            <w:tcW w:w="2157" w:type="pct"/>
            <w:tcBorders>
              <w:top w:val="single" w:sz="4" w:space="0" w:color="293F5B"/>
              <w:left w:val="nil"/>
              <w:bottom w:val="nil"/>
              <w:right w:val="nil"/>
            </w:tcBorders>
            <w:noWrap/>
            <w:vAlign w:val="center"/>
            <w:hideMark/>
          </w:tcPr>
          <w:p w14:paraId="5B421850"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 </w:t>
            </w:r>
          </w:p>
        </w:tc>
        <w:tc>
          <w:tcPr>
            <w:tcW w:w="1494" w:type="pct"/>
            <w:gridSpan w:val="2"/>
            <w:tcBorders>
              <w:top w:val="single" w:sz="4" w:space="0" w:color="293F5B"/>
              <w:left w:val="nil"/>
              <w:bottom w:val="nil"/>
              <w:right w:val="nil"/>
            </w:tcBorders>
            <w:noWrap/>
            <w:vAlign w:val="center"/>
            <w:hideMark/>
          </w:tcPr>
          <w:p w14:paraId="11ABAA1B" w14:textId="77777777" w:rsidR="00B64154" w:rsidRPr="00954D98" w:rsidRDefault="00B64154" w:rsidP="00B64154">
            <w:pPr>
              <w:spacing w:before="0" w:after="0" w:line="240" w:lineRule="auto"/>
              <w:jc w:val="center"/>
              <w:rPr>
                <w:rFonts w:ascii="Arial" w:hAnsi="Arial" w:cs="Arial"/>
                <w:sz w:val="16"/>
                <w:szCs w:val="16"/>
              </w:rPr>
            </w:pPr>
            <w:r w:rsidRPr="00954D98">
              <w:rPr>
                <w:rFonts w:ascii="Arial" w:hAnsi="Arial" w:cs="Arial"/>
                <w:sz w:val="16"/>
                <w:szCs w:val="16"/>
              </w:rPr>
              <w:t>Estimates</w:t>
            </w:r>
          </w:p>
        </w:tc>
        <w:tc>
          <w:tcPr>
            <w:tcW w:w="51" w:type="pct"/>
            <w:tcBorders>
              <w:top w:val="single" w:sz="4" w:space="0" w:color="293F5B"/>
              <w:left w:val="nil"/>
              <w:bottom w:val="nil"/>
              <w:right w:val="nil"/>
            </w:tcBorders>
            <w:noWrap/>
            <w:vAlign w:val="center"/>
            <w:hideMark/>
          </w:tcPr>
          <w:p w14:paraId="01A976A6"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 </w:t>
            </w:r>
          </w:p>
        </w:tc>
        <w:tc>
          <w:tcPr>
            <w:tcW w:w="1298" w:type="pct"/>
            <w:gridSpan w:val="2"/>
            <w:tcBorders>
              <w:top w:val="single" w:sz="4" w:space="0" w:color="293F5B"/>
              <w:left w:val="nil"/>
              <w:bottom w:val="nil"/>
              <w:right w:val="nil"/>
            </w:tcBorders>
            <w:noWrap/>
            <w:vAlign w:val="center"/>
            <w:hideMark/>
          </w:tcPr>
          <w:p w14:paraId="5D39718E" w14:textId="77777777" w:rsidR="00B64154" w:rsidRPr="00954D98" w:rsidRDefault="00B64154" w:rsidP="00B64154">
            <w:pPr>
              <w:spacing w:before="0" w:after="0" w:line="240" w:lineRule="auto"/>
              <w:jc w:val="center"/>
              <w:rPr>
                <w:rFonts w:ascii="Arial" w:hAnsi="Arial" w:cs="Arial"/>
                <w:sz w:val="16"/>
                <w:szCs w:val="16"/>
              </w:rPr>
            </w:pPr>
            <w:r w:rsidRPr="00954D98">
              <w:rPr>
                <w:rFonts w:ascii="Arial" w:hAnsi="Arial" w:cs="Arial"/>
                <w:sz w:val="16"/>
                <w:szCs w:val="16"/>
              </w:rPr>
              <w:t>Change from 2025 PEFO</w:t>
            </w:r>
          </w:p>
        </w:tc>
      </w:tr>
      <w:tr w:rsidR="00B64154" w:rsidRPr="00954D98" w14:paraId="630B53B8" w14:textId="77777777" w:rsidTr="00B64154">
        <w:trPr>
          <w:trHeight w:hRule="exact" w:val="225"/>
        </w:trPr>
        <w:tc>
          <w:tcPr>
            <w:tcW w:w="2157" w:type="pct"/>
            <w:tcBorders>
              <w:top w:val="nil"/>
              <w:left w:val="nil"/>
              <w:bottom w:val="nil"/>
              <w:right w:val="nil"/>
            </w:tcBorders>
            <w:noWrap/>
            <w:vAlign w:val="center"/>
            <w:hideMark/>
          </w:tcPr>
          <w:p w14:paraId="725458B2" w14:textId="77777777" w:rsidR="00B64154" w:rsidRPr="00954D98" w:rsidRDefault="00B64154" w:rsidP="00B64154">
            <w:pPr>
              <w:spacing w:before="0" w:after="0" w:line="240" w:lineRule="auto"/>
              <w:jc w:val="center"/>
              <w:rPr>
                <w:rFonts w:ascii="Arial" w:hAnsi="Arial" w:cs="Arial"/>
                <w:sz w:val="16"/>
                <w:szCs w:val="16"/>
              </w:rPr>
            </w:pPr>
          </w:p>
        </w:tc>
        <w:tc>
          <w:tcPr>
            <w:tcW w:w="718" w:type="pct"/>
            <w:tcBorders>
              <w:top w:val="single" w:sz="4" w:space="0" w:color="293F5B"/>
              <w:left w:val="nil"/>
              <w:bottom w:val="nil"/>
              <w:right w:val="nil"/>
            </w:tcBorders>
            <w:shd w:val="clear" w:color="000000" w:fill="FFFFFF"/>
            <w:noWrap/>
            <w:vAlign w:val="center"/>
            <w:hideMark/>
          </w:tcPr>
          <w:p w14:paraId="28DB9030"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2025 PEFO</w:t>
            </w:r>
          </w:p>
        </w:tc>
        <w:tc>
          <w:tcPr>
            <w:tcW w:w="776" w:type="pct"/>
            <w:tcBorders>
              <w:top w:val="single" w:sz="4" w:space="0" w:color="293F5B"/>
              <w:left w:val="nil"/>
              <w:bottom w:val="nil"/>
              <w:right w:val="nil"/>
            </w:tcBorders>
            <w:shd w:val="clear" w:color="000000" w:fill="E6F2FF"/>
            <w:noWrap/>
            <w:vAlign w:val="center"/>
            <w:hideMark/>
          </w:tcPr>
          <w:p w14:paraId="0A374E18"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2025–26 MYEFO</w:t>
            </w:r>
          </w:p>
        </w:tc>
        <w:tc>
          <w:tcPr>
            <w:tcW w:w="51" w:type="pct"/>
            <w:tcBorders>
              <w:top w:val="nil"/>
              <w:left w:val="nil"/>
              <w:bottom w:val="nil"/>
              <w:right w:val="nil"/>
            </w:tcBorders>
            <w:noWrap/>
            <w:vAlign w:val="center"/>
            <w:hideMark/>
          </w:tcPr>
          <w:p w14:paraId="06BB9B3B"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single" w:sz="4" w:space="0" w:color="293F5B"/>
              <w:left w:val="nil"/>
              <w:bottom w:val="nil"/>
              <w:right w:val="nil"/>
            </w:tcBorders>
            <w:noWrap/>
            <w:vAlign w:val="center"/>
            <w:hideMark/>
          </w:tcPr>
          <w:p w14:paraId="663ED5DC"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 </w:t>
            </w:r>
          </w:p>
        </w:tc>
        <w:tc>
          <w:tcPr>
            <w:tcW w:w="649" w:type="pct"/>
            <w:tcBorders>
              <w:top w:val="single" w:sz="4" w:space="0" w:color="293F5B"/>
              <w:left w:val="nil"/>
              <w:bottom w:val="nil"/>
              <w:right w:val="nil"/>
            </w:tcBorders>
            <w:noWrap/>
            <w:vAlign w:val="center"/>
            <w:hideMark/>
          </w:tcPr>
          <w:p w14:paraId="139F584E"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 </w:t>
            </w:r>
          </w:p>
        </w:tc>
      </w:tr>
      <w:tr w:rsidR="00B64154" w:rsidRPr="00954D98" w14:paraId="0896F1C7" w14:textId="77777777" w:rsidTr="00B64154">
        <w:trPr>
          <w:trHeight w:hRule="exact" w:val="225"/>
        </w:trPr>
        <w:tc>
          <w:tcPr>
            <w:tcW w:w="2157" w:type="pct"/>
            <w:tcBorders>
              <w:top w:val="nil"/>
              <w:left w:val="nil"/>
              <w:bottom w:val="nil"/>
              <w:right w:val="nil"/>
            </w:tcBorders>
            <w:vAlign w:val="center"/>
            <w:hideMark/>
          </w:tcPr>
          <w:p w14:paraId="44979A34" w14:textId="77777777" w:rsidR="00B64154" w:rsidRPr="00954D98" w:rsidRDefault="00B64154" w:rsidP="00B64154">
            <w:pPr>
              <w:spacing w:before="0" w:after="0" w:line="240" w:lineRule="auto"/>
              <w:jc w:val="right"/>
              <w:rPr>
                <w:rFonts w:ascii="Arial" w:hAnsi="Arial" w:cs="Arial"/>
                <w:sz w:val="16"/>
                <w:szCs w:val="16"/>
              </w:rPr>
            </w:pPr>
          </w:p>
        </w:tc>
        <w:tc>
          <w:tcPr>
            <w:tcW w:w="718" w:type="pct"/>
            <w:tcBorders>
              <w:top w:val="nil"/>
              <w:left w:val="nil"/>
              <w:bottom w:val="nil"/>
              <w:right w:val="nil"/>
            </w:tcBorders>
            <w:vAlign w:val="center"/>
            <w:hideMark/>
          </w:tcPr>
          <w:p w14:paraId="07038700"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$m</w:t>
            </w:r>
          </w:p>
        </w:tc>
        <w:tc>
          <w:tcPr>
            <w:tcW w:w="776" w:type="pct"/>
            <w:tcBorders>
              <w:top w:val="nil"/>
              <w:left w:val="nil"/>
              <w:bottom w:val="nil"/>
              <w:right w:val="nil"/>
            </w:tcBorders>
            <w:shd w:val="clear" w:color="000000" w:fill="E6F2FF"/>
            <w:noWrap/>
            <w:vAlign w:val="center"/>
            <w:hideMark/>
          </w:tcPr>
          <w:p w14:paraId="2D5EB0C4"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$m</w:t>
            </w:r>
          </w:p>
        </w:tc>
        <w:tc>
          <w:tcPr>
            <w:tcW w:w="51" w:type="pct"/>
            <w:tcBorders>
              <w:top w:val="nil"/>
              <w:left w:val="nil"/>
              <w:bottom w:val="nil"/>
              <w:right w:val="nil"/>
            </w:tcBorders>
            <w:vAlign w:val="center"/>
            <w:hideMark/>
          </w:tcPr>
          <w:p w14:paraId="24B017A9"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vAlign w:val="center"/>
            <w:hideMark/>
          </w:tcPr>
          <w:p w14:paraId="12887AAD"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$m</w:t>
            </w:r>
          </w:p>
        </w:tc>
        <w:tc>
          <w:tcPr>
            <w:tcW w:w="649" w:type="pct"/>
            <w:tcBorders>
              <w:top w:val="nil"/>
              <w:left w:val="nil"/>
              <w:bottom w:val="nil"/>
              <w:right w:val="nil"/>
            </w:tcBorders>
            <w:vAlign w:val="center"/>
            <w:hideMark/>
          </w:tcPr>
          <w:p w14:paraId="18D6EEE1"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w:t>
            </w:r>
          </w:p>
        </w:tc>
      </w:tr>
      <w:tr w:rsidR="00B64154" w:rsidRPr="00954D98" w14:paraId="54DBC7CB" w14:textId="77777777" w:rsidTr="00B64154">
        <w:trPr>
          <w:trHeight w:hRule="exact" w:val="225"/>
        </w:trPr>
        <w:tc>
          <w:tcPr>
            <w:tcW w:w="2157" w:type="pct"/>
            <w:tcBorders>
              <w:top w:val="nil"/>
              <w:left w:val="nil"/>
              <w:bottom w:val="nil"/>
              <w:right w:val="nil"/>
            </w:tcBorders>
            <w:noWrap/>
            <w:vAlign w:val="center"/>
            <w:hideMark/>
          </w:tcPr>
          <w:p w14:paraId="21C61013"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Individuals and other withholding taxes</w:t>
            </w:r>
          </w:p>
        </w:tc>
        <w:tc>
          <w:tcPr>
            <w:tcW w:w="718" w:type="pct"/>
            <w:tcBorders>
              <w:top w:val="single" w:sz="4" w:space="0" w:color="293F5B"/>
              <w:left w:val="nil"/>
              <w:bottom w:val="nil"/>
              <w:right w:val="nil"/>
            </w:tcBorders>
            <w:noWrap/>
            <w:vAlign w:val="center"/>
            <w:hideMark/>
          </w:tcPr>
          <w:p w14:paraId="466365E5"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 </w:t>
            </w:r>
          </w:p>
        </w:tc>
        <w:tc>
          <w:tcPr>
            <w:tcW w:w="776" w:type="pct"/>
            <w:tcBorders>
              <w:top w:val="single" w:sz="4" w:space="0" w:color="293F5B"/>
              <w:left w:val="nil"/>
              <w:bottom w:val="nil"/>
              <w:right w:val="nil"/>
            </w:tcBorders>
            <w:shd w:val="clear" w:color="000000" w:fill="E6F2FF"/>
            <w:noWrap/>
            <w:vAlign w:val="center"/>
            <w:hideMark/>
          </w:tcPr>
          <w:p w14:paraId="6E48D67C"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 </w:t>
            </w:r>
          </w:p>
        </w:tc>
        <w:tc>
          <w:tcPr>
            <w:tcW w:w="51" w:type="pct"/>
            <w:tcBorders>
              <w:top w:val="nil"/>
              <w:left w:val="nil"/>
              <w:bottom w:val="nil"/>
              <w:right w:val="nil"/>
            </w:tcBorders>
            <w:noWrap/>
            <w:vAlign w:val="center"/>
            <w:hideMark/>
          </w:tcPr>
          <w:p w14:paraId="7B593A25" w14:textId="77777777" w:rsidR="00B64154" w:rsidRPr="00954D98" w:rsidRDefault="00B64154" w:rsidP="00B64154">
            <w:pPr>
              <w:spacing w:before="0" w:after="0" w:line="240" w:lineRule="auto"/>
              <w:rPr>
                <w:rFonts w:ascii="Arial" w:hAnsi="Arial" w:cs="Arial"/>
                <w:sz w:val="16"/>
                <w:szCs w:val="16"/>
              </w:rPr>
            </w:pPr>
          </w:p>
        </w:tc>
        <w:tc>
          <w:tcPr>
            <w:tcW w:w="649" w:type="pct"/>
            <w:tcBorders>
              <w:top w:val="single" w:sz="4" w:space="0" w:color="293F5B"/>
              <w:left w:val="nil"/>
              <w:bottom w:val="nil"/>
              <w:right w:val="nil"/>
            </w:tcBorders>
            <w:noWrap/>
            <w:vAlign w:val="center"/>
            <w:hideMark/>
          </w:tcPr>
          <w:p w14:paraId="29189B3F" w14:textId="77777777" w:rsidR="00B64154" w:rsidRPr="00954D98" w:rsidRDefault="00B64154" w:rsidP="00B64154">
            <w:pPr>
              <w:spacing w:before="0" w:after="0" w:line="240" w:lineRule="auto"/>
              <w:rPr>
                <w:rFonts w:ascii="Arial" w:hAnsi="Arial" w:cs="Arial"/>
                <w:b/>
                <w:bCs/>
                <w:sz w:val="16"/>
                <w:szCs w:val="16"/>
              </w:rPr>
            </w:pPr>
            <w:r w:rsidRPr="00954D98">
              <w:rPr>
                <w:rFonts w:ascii="Arial" w:hAnsi="Arial" w:cs="Arial"/>
                <w:b/>
                <w:bCs/>
                <w:sz w:val="16"/>
                <w:szCs w:val="16"/>
              </w:rPr>
              <w:t> </w:t>
            </w:r>
          </w:p>
        </w:tc>
        <w:tc>
          <w:tcPr>
            <w:tcW w:w="649" w:type="pct"/>
            <w:tcBorders>
              <w:top w:val="single" w:sz="4" w:space="0" w:color="293F5B"/>
              <w:left w:val="nil"/>
              <w:bottom w:val="nil"/>
              <w:right w:val="nil"/>
            </w:tcBorders>
            <w:noWrap/>
            <w:vAlign w:val="center"/>
            <w:hideMark/>
          </w:tcPr>
          <w:p w14:paraId="300898D4" w14:textId="77777777" w:rsidR="00B64154" w:rsidRPr="00954D98" w:rsidRDefault="00B64154" w:rsidP="00B64154">
            <w:pPr>
              <w:spacing w:before="0" w:after="0" w:line="240" w:lineRule="auto"/>
              <w:rPr>
                <w:rFonts w:ascii="Arial" w:hAnsi="Arial" w:cs="Arial"/>
                <w:b/>
                <w:bCs/>
                <w:sz w:val="16"/>
                <w:szCs w:val="16"/>
              </w:rPr>
            </w:pPr>
            <w:r w:rsidRPr="00954D98">
              <w:rPr>
                <w:rFonts w:ascii="Arial" w:hAnsi="Arial" w:cs="Arial"/>
                <w:b/>
                <w:bCs/>
                <w:sz w:val="16"/>
                <w:szCs w:val="16"/>
              </w:rPr>
              <w:t> </w:t>
            </w:r>
          </w:p>
        </w:tc>
      </w:tr>
      <w:tr w:rsidR="00B64154" w:rsidRPr="00954D98" w14:paraId="3BEA1520" w14:textId="77777777" w:rsidTr="00B64154">
        <w:trPr>
          <w:trHeight w:hRule="exact" w:val="225"/>
        </w:trPr>
        <w:tc>
          <w:tcPr>
            <w:tcW w:w="2157" w:type="pct"/>
            <w:tcBorders>
              <w:top w:val="nil"/>
              <w:left w:val="nil"/>
              <w:bottom w:val="nil"/>
              <w:right w:val="nil"/>
            </w:tcBorders>
            <w:noWrap/>
            <w:vAlign w:val="center"/>
            <w:hideMark/>
          </w:tcPr>
          <w:p w14:paraId="0E8C9B3A" w14:textId="77777777" w:rsidR="00B64154" w:rsidRPr="00954D98" w:rsidRDefault="00B64154" w:rsidP="00B64154">
            <w:pPr>
              <w:spacing w:before="0" w:after="0" w:line="240" w:lineRule="auto"/>
              <w:ind w:firstLineChars="100" w:firstLine="160"/>
              <w:rPr>
                <w:rFonts w:ascii="Arial" w:hAnsi="Arial" w:cs="Arial"/>
                <w:sz w:val="16"/>
                <w:szCs w:val="16"/>
              </w:rPr>
            </w:pPr>
            <w:r w:rsidRPr="00954D98">
              <w:rPr>
                <w:rFonts w:ascii="Arial" w:hAnsi="Arial" w:cs="Arial"/>
                <w:sz w:val="16"/>
                <w:szCs w:val="16"/>
              </w:rPr>
              <w:t>Gross income tax withholding</w:t>
            </w:r>
          </w:p>
        </w:tc>
        <w:tc>
          <w:tcPr>
            <w:tcW w:w="718" w:type="pct"/>
            <w:tcBorders>
              <w:top w:val="nil"/>
              <w:left w:val="nil"/>
              <w:bottom w:val="nil"/>
              <w:right w:val="nil"/>
            </w:tcBorders>
            <w:noWrap/>
            <w:vAlign w:val="center"/>
            <w:hideMark/>
          </w:tcPr>
          <w:p w14:paraId="432BC9CD"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310,600</w:t>
            </w:r>
          </w:p>
        </w:tc>
        <w:tc>
          <w:tcPr>
            <w:tcW w:w="776" w:type="pct"/>
            <w:tcBorders>
              <w:top w:val="nil"/>
              <w:left w:val="nil"/>
              <w:bottom w:val="nil"/>
              <w:right w:val="nil"/>
            </w:tcBorders>
            <w:shd w:val="clear" w:color="000000" w:fill="E6F2FF"/>
            <w:noWrap/>
            <w:vAlign w:val="center"/>
            <w:hideMark/>
          </w:tcPr>
          <w:p w14:paraId="01E98D20"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312,500</w:t>
            </w:r>
          </w:p>
        </w:tc>
        <w:tc>
          <w:tcPr>
            <w:tcW w:w="51" w:type="pct"/>
            <w:tcBorders>
              <w:top w:val="nil"/>
              <w:left w:val="nil"/>
              <w:bottom w:val="nil"/>
              <w:right w:val="nil"/>
            </w:tcBorders>
            <w:noWrap/>
            <w:vAlign w:val="center"/>
            <w:hideMark/>
          </w:tcPr>
          <w:p w14:paraId="77D7BB52"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2A3A298F"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1,900</w:t>
            </w:r>
          </w:p>
        </w:tc>
        <w:tc>
          <w:tcPr>
            <w:tcW w:w="649" w:type="pct"/>
            <w:tcBorders>
              <w:top w:val="nil"/>
              <w:left w:val="nil"/>
              <w:bottom w:val="nil"/>
              <w:right w:val="nil"/>
            </w:tcBorders>
            <w:noWrap/>
            <w:vAlign w:val="center"/>
            <w:hideMark/>
          </w:tcPr>
          <w:p w14:paraId="14592B98"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0.6</w:t>
            </w:r>
          </w:p>
        </w:tc>
      </w:tr>
      <w:tr w:rsidR="00B64154" w:rsidRPr="00954D98" w14:paraId="7A5602B2" w14:textId="77777777" w:rsidTr="00B64154">
        <w:trPr>
          <w:trHeight w:hRule="exact" w:val="225"/>
        </w:trPr>
        <w:tc>
          <w:tcPr>
            <w:tcW w:w="2157" w:type="pct"/>
            <w:tcBorders>
              <w:top w:val="nil"/>
              <w:left w:val="nil"/>
              <w:bottom w:val="nil"/>
              <w:right w:val="nil"/>
            </w:tcBorders>
            <w:noWrap/>
            <w:vAlign w:val="center"/>
            <w:hideMark/>
          </w:tcPr>
          <w:p w14:paraId="1E393B3A" w14:textId="77777777" w:rsidR="00B64154" w:rsidRPr="00954D98" w:rsidRDefault="00B64154" w:rsidP="00B64154">
            <w:pPr>
              <w:spacing w:before="0" w:after="0" w:line="240" w:lineRule="auto"/>
              <w:ind w:firstLineChars="100" w:firstLine="160"/>
              <w:rPr>
                <w:rFonts w:ascii="Arial" w:hAnsi="Arial" w:cs="Arial"/>
                <w:sz w:val="16"/>
                <w:szCs w:val="16"/>
              </w:rPr>
            </w:pPr>
            <w:r w:rsidRPr="00954D98">
              <w:rPr>
                <w:rFonts w:ascii="Arial" w:hAnsi="Arial" w:cs="Arial"/>
                <w:sz w:val="16"/>
                <w:szCs w:val="16"/>
              </w:rPr>
              <w:t>Gross other individuals</w:t>
            </w:r>
          </w:p>
        </w:tc>
        <w:tc>
          <w:tcPr>
            <w:tcW w:w="718" w:type="pct"/>
            <w:tcBorders>
              <w:top w:val="nil"/>
              <w:left w:val="nil"/>
              <w:bottom w:val="nil"/>
              <w:right w:val="nil"/>
            </w:tcBorders>
            <w:noWrap/>
            <w:vAlign w:val="center"/>
            <w:hideMark/>
          </w:tcPr>
          <w:p w14:paraId="14A1E84E"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79,900</w:t>
            </w:r>
          </w:p>
        </w:tc>
        <w:tc>
          <w:tcPr>
            <w:tcW w:w="776" w:type="pct"/>
            <w:tcBorders>
              <w:top w:val="nil"/>
              <w:left w:val="nil"/>
              <w:bottom w:val="nil"/>
              <w:right w:val="nil"/>
            </w:tcBorders>
            <w:shd w:val="clear" w:color="000000" w:fill="E6F2FF"/>
            <w:noWrap/>
            <w:vAlign w:val="center"/>
            <w:hideMark/>
          </w:tcPr>
          <w:p w14:paraId="2259AFB6"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86,000</w:t>
            </w:r>
          </w:p>
        </w:tc>
        <w:tc>
          <w:tcPr>
            <w:tcW w:w="51" w:type="pct"/>
            <w:tcBorders>
              <w:top w:val="nil"/>
              <w:left w:val="nil"/>
              <w:bottom w:val="nil"/>
              <w:right w:val="nil"/>
            </w:tcBorders>
            <w:noWrap/>
            <w:vAlign w:val="center"/>
            <w:hideMark/>
          </w:tcPr>
          <w:p w14:paraId="65B69582"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28928581"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6,100</w:t>
            </w:r>
          </w:p>
        </w:tc>
        <w:tc>
          <w:tcPr>
            <w:tcW w:w="649" w:type="pct"/>
            <w:tcBorders>
              <w:top w:val="nil"/>
              <w:left w:val="nil"/>
              <w:bottom w:val="nil"/>
              <w:right w:val="nil"/>
            </w:tcBorders>
            <w:noWrap/>
            <w:vAlign w:val="center"/>
            <w:hideMark/>
          </w:tcPr>
          <w:p w14:paraId="18186136"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7.6</w:t>
            </w:r>
          </w:p>
        </w:tc>
      </w:tr>
      <w:tr w:rsidR="00B64154" w:rsidRPr="00954D98" w14:paraId="47E222B9" w14:textId="77777777" w:rsidTr="00B64154">
        <w:trPr>
          <w:trHeight w:hRule="exact" w:val="225"/>
        </w:trPr>
        <w:tc>
          <w:tcPr>
            <w:tcW w:w="2157" w:type="pct"/>
            <w:tcBorders>
              <w:top w:val="nil"/>
              <w:left w:val="nil"/>
              <w:bottom w:val="nil"/>
              <w:right w:val="nil"/>
            </w:tcBorders>
            <w:noWrap/>
            <w:vAlign w:val="center"/>
            <w:hideMark/>
          </w:tcPr>
          <w:p w14:paraId="50B25BB4" w14:textId="77777777" w:rsidR="00B64154" w:rsidRPr="00954D98" w:rsidRDefault="00B64154" w:rsidP="00B64154">
            <w:pPr>
              <w:spacing w:before="0" w:after="0" w:line="240" w:lineRule="auto"/>
              <w:ind w:firstLineChars="100" w:firstLine="160"/>
              <w:rPr>
                <w:rFonts w:ascii="Arial" w:hAnsi="Arial" w:cs="Arial"/>
                <w:i/>
                <w:iCs/>
                <w:sz w:val="16"/>
                <w:szCs w:val="16"/>
              </w:rPr>
            </w:pPr>
            <w:r w:rsidRPr="00954D98">
              <w:rPr>
                <w:rFonts w:ascii="Arial" w:hAnsi="Arial" w:cs="Arial"/>
                <w:i/>
                <w:iCs/>
                <w:sz w:val="16"/>
                <w:szCs w:val="16"/>
              </w:rPr>
              <w:t>less:</w:t>
            </w:r>
            <w:r w:rsidRPr="00954D98">
              <w:rPr>
                <w:rFonts w:ascii="Arial" w:hAnsi="Arial" w:cs="Arial"/>
                <w:sz w:val="16"/>
                <w:szCs w:val="16"/>
              </w:rPr>
              <w:t xml:space="preserve"> Refunds</w:t>
            </w:r>
          </w:p>
        </w:tc>
        <w:tc>
          <w:tcPr>
            <w:tcW w:w="718" w:type="pct"/>
            <w:tcBorders>
              <w:top w:val="nil"/>
              <w:left w:val="nil"/>
              <w:bottom w:val="single" w:sz="4" w:space="0" w:color="293F5B"/>
              <w:right w:val="nil"/>
            </w:tcBorders>
            <w:noWrap/>
            <w:vAlign w:val="center"/>
            <w:hideMark/>
          </w:tcPr>
          <w:p w14:paraId="6574D7BD"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40,800</w:t>
            </w:r>
          </w:p>
        </w:tc>
        <w:tc>
          <w:tcPr>
            <w:tcW w:w="776" w:type="pct"/>
            <w:tcBorders>
              <w:top w:val="nil"/>
              <w:left w:val="nil"/>
              <w:bottom w:val="single" w:sz="4" w:space="0" w:color="293F5B"/>
              <w:right w:val="nil"/>
            </w:tcBorders>
            <w:shd w:val="clear" w:color="000000" w:fill="E6F2FF"/>
            <w:noWrap/>
            <w:vAlign w:val="center"/>
            <w:hideMark/>
          </w:tcPr>
          <w:p w14:paraId="4E855536"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40,600</w:t>
            </w:r>
          </w:p>
        </w:tc>
        <w:tc>
          <w:tcPr>
            <w:tcW w:w="51" w:type="pct"/>
            <w:tcBorders>
              <w:top w:val="nil"/>
              <w:left w:val="nil"/>
              <w:bottom w:val="nil"/>
              <w:right w:val="nil"/>
            </w:tcBorders>
            <w:noWrap/>
            <w:vAlign w:val="center"/>
            <w:hideMark/>
          </w:tcPr>
          <w:p w14:paraId="6C22D381"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single" w:sz="4" w:space="0" w:color="293F5B"/>
              <w:right w:val="nil"/>
            </w:tcBorders>
            <w:noWrap/>
            <w:vAlign w:val="center"/>
            <w:hideMark/>
          </w:tcPr>
          <w:p w14:paraId="0F18E25E"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-200</w:t>
            </w:r>
          </w:p>
        </w:tc>
        <w:tc>
          <w:tcPr>
            <w:tcW w:w="649" w:type="pct"/>
            <w:tcBorders>
              <w:top w:val="nil"/>
              <w:left w:val="nil"/>
              <w:bottom w:val="single" w:sz="4" w:space="0" w:color="293F5B"/>
              <w:right w:val="nil"/>
            </w:tcBorders>
            <w:noWrap/>
            <w:vAlign w:val="center"/>
            <w:hideMark/>
          </w:tcPr>
          <w:p w14:paraId="48B0F635"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-0.5</w:t>
            </w:r>
          </w:p>
        </w:tc>
      </w:tr>
      <w:tr w:rsidR="00B64154" w:rsidRPr="00954D98" w14:paraId="01F789EA" w14:textId="77777777" w:rsidTr="00B64154">
        <w:trPr>
          <w:trHeight w:hRule="exact" w:val="225"/>
        </w:trPr>
        <w:tc>
          <w:tcPr>
            <w:tcW w:w="2157" w:type="pct"/>
            <w:tcBorders>
              <w:top w:val="nil"/>
              <w:left w:val="nil"/>
              <w:bottom w:val="nil"/>
              <w:right w:val="nil"/>
            </w:tcBorders>
            <w:noWrap/>
            <w:vAlign w:val="center"/>
            <w:hideMark/>
          </w:tcPr>
          <w:p w14:paraId="495AFA62"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Total individuals and other withholding tax</w:t>
            </w:r>
          </w:p>
        </w:tc>
        <w:tc>
          <w:tcPr>
            <w:tcW w:w="718" w:type="pct"/>
            <w:tcBorders>
              <w:top w:val="nil"/>
              <w:left w:val="nil"/>
              <w:bottom w:val="nil"/>
              <w:right w:val="nil"/>
            </w:tcBorders>
            <w:noWrap/>
            <w:vAlign w:val="center"/>
            <w:hideMark/>
          </w:tcPr>
          <w:p w14:paraId="42446003"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349,700</w:t>
            </w:r>
          </w:p>
        </w:tc>
        <w:tc>
          <w:tcPr>
            <w:tcW w:w="776" w:type="pct"/>
            <w:tcBorders>
              <w:top w:val="nil"/>
              <w:left w:val="nil"/>
              <w:bottom w:val="nil"/>
              <w:right w:val="nil"/>
            </w:tcBorders>
            <w:shd w:val="clear" w:color="000000" w:fill="E6F2FF"/>
            <w:noWrap/>
            <w:vAlign w:val="center"/>
            <w:hideMark/>
          </w:tcPr>
          <w:p w14:paraId="542427D5"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357,900</w:t>
            </w:r>
          </w:p>
        </w:tc>
        <w:tc>
          <w:tcPr>
            <w:tcW w:w="51" w:type="pct"/>
            <w:tcBorders>
              <w:top w:val="nil"/>
              <w:left w:val="nil"/>
              <w:bottom w:val="nil"/>
              <w:right w:val="nil"/>
            </w:tcBorders>
            <w:noWrap/>
            <w:vAlign w:val="center"/>
            <w:hideMark/>
          </w:tcPr>
          <w:p w14:paraId="0A1900EE"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7C45692C"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8,200</w:t>
            </w:r>
          </w:p>
        </w:tc>
        <w:tc>
          <w:tcPr>
            <w:tcW w:w="649" w:type="pct"/>
            <w:tcBorders>
              <w:top w:val="nil"/>
              <w:left w:val="nil"/>
              <w:bottom w:val="nil"/>
              <w:right w:val="nil"/>
            </w:tcBorders>
            <w:noWrap/>
            <w:vAlign w:val="center"/>
            <w:hideMark/>
          </w:tcPr>
          <w:p w14:paraId="0DE0BE77"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2.3</w:t>
            </w:r>
          </w:p>
        </w:tc>
      </w:tr>
      <w:tr w:rsidR="00B64154" w:rsidRPr="00954D98" w14:paraId="6EBFC874" w14:textId="77777777" w:rsidTr="00B64154">
        <w:trPr>
          <w:trHeight w:hRule="exact" w:val="225"/>
        </w:trPr>
        <w:tc>
          <w:tcPr>
            <w:tcW w:w="2157" w:type="pct"/>
            <w:tcBorders>
              <w:top w:val="nil"/>
              <w:left w:val="nil"/>
              <w:bottom w:val="nil"/>
              <w:right w:val="nil"/>
            </w:tcBorders>
            <w:noWrap/>
            <w:vAlign w:val="center"/>
            <w:hideMark/>
          </w:tcPr>
          <w:p w14:paraId="10728FB5"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Fringe benefits tax</w:t>
            </w:r>
          </w:p>
        </w:tc>
        <w:tc>
          <w:tcPr>
            <w:tcW w:w="718" w:type="pct"/>
            <w:tcBorders>
              <w:top w:val="nil"/>
              <w:left w:val="nil"/>
              <w:bottom w:val="nil"/>
              <w:right w:val="nil"/>
            </w:tcBorders>
            <w:noWrap/>
            <w:vAlign w:val="center"/>
            <w:hideMark/>
          </w:tcPr>
          <w:p w14:paraId="15FFC0FD"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5,080</w:t>
            </w:r>
          </w:p>
        </w:tc>
        <w:tc>
          <w:tcPr>
            <w:tcW w:w="776" w:type="pct"/>
            <w:tcBorders>
              <w:top w:val="nil"/>
              <w:left w:val="nil"/>
              <w:bottom w:val="nil"/>
              <w:right w:val="nil"/>
            </w:tcBorders>
            <w:shd w:val="clear" w:color="000000" w:fill="E6F2FF"/>
            <w:noWrap/>
            <w:vAlign w:val="center"/>
            <w:hideMark/>
          </w:tcPr>
          <w:p w14:paraId="0F9B772A"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5,310</w:t>
            </w:r>
          </w:p>
        </w:tc>
        <w:tc>
          <w:tcPr>
            <w:tcW w:w="51" w:type="pct"/>
            <w:tcBorders>
              <w:top w:val="nil"/>
              <w:left w:val="nil"/>
              <w:bottom w:val="nil"/>
              <w:right w:val="nil"/>
            </w:tcBorders>
            <w:noWrap/>
            <w:vAlign w:val="center"/>
            <w:hideMark/>
          </w:tcPr>
          <w:p w14:paraId="5A374426"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153E40FF"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230</w:t>
            </w:r>
          </w:p>
        </w:tc>
        <w:tc>
          <w:tcPr>
            <w:tcW w:w="649" w:type="pct"/>
            <w:tcBorders>
              <w:top w:val="nil"/>
              <w:left w:val="nil"/>
              <w:bottom w:val="nil"/>
              <w:right w:val="nil"/>
            </w:tcBorders>
            <w:noWrap/>
            <w:vAlign w:val="center"/>
            <w:hideMark/>
          </w:tcPr>
          <w:p w14:paraId="10502C4A"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4.5</w:t>
            </w:r>
          </w:p>
        </w:tc>
      </w:tr>
      <w:tr w:rsidR="00B64154" w:rsidRPr="00954D98" w14:paraId="3CABB081" w14:textId="77777777" w:rsidTr="00B64154">
        <w:trPr>
          <w:trHeight w:hRule="exact" w:val="225"/>
        </w:trPr>
        <w:tc>
          <w:tcPr>
            <w:tcW w:w="2157" w:type="pct"/>
            <w:tcBorders>
              <w:top w:val="nil"/>
              <w:left w:val="nil"/>
              <w:bottom w:val="nil"/>
              <w:right w:val="nil"/>
            </w:tcBorders>
            <w:noWrap/>
            <w:vAlign w:val="center"/>
            <w:hideMark/>
          </w:tcPr>
          <w:p w14:paraId="4E7A0579"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Company tax</w:t>
            </w:r>
          </w:p>
        </w:tc>
        <w:tc>
          <w:tcPr>
            <w:tcW w:w="718" w:type="pct"/>
            <w:tcBorders>
              <w:top w:val="nil"/>
              <w:left w:val="nil"/>
              <w:bottom w:val="nil"/>
              <w:right w:val="nil"/>
            </w:tcBorders>
            <w:noWrap/>
            <w:vAlign w:val="center"/>
            <w:hideMark/>
          </w:tcPr>
          <w:p w14:paraId="3A30CC33"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140,400</w:t>
            </w:r>
          </w:p>
        </w:tc>
        <w:tc>
          <w:tcPr>
            <w:tcW w:w="776" w:type="pct"/>
            <w:tcBorders>
              <w:top w:val="nil"/>
              <w:left w:val="nil"/>
              <w:bottom w:val="nil"/>
              <w:right w:val="nil"/>
            </w:tcBorders>
            <w:shd w:val="clear" w:color="000000" w:fill="E6F2FF"/>
            <w:noWrap/>
            <w:vAlign w:val="center"/>
            <w:hideMark/>
          </w:tcPr>
          <w:p w14:paraId="7D1680D0"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144,700</w:t>
            </w:r>
          </w:p>
        </w:tc>
        <w:tc>
          <w:tcPr>
            <w:tcW w:w="51" w:type="pct"/>
            <w:tcBorders>
              <w:top w:val="nil"/>
              <w:left w:val="nil"/>
              <w:bottom w:val="nil"/>
              <w:right w:val="nil"/>
            </w:tcBorders>
            <w:noWrap/>
            <w:vAlign w:val="center"/>
            <w:hideMark/>
          </w:tcPr>
          <w:p w14:paraId="6358A5EB"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5AE21A09"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4,300</w:t>
            </w:r>
          </w:p>
        </w:tc>
        <w:tc>
          <w:tcPr>
            <w:tcW w:w="649" w:type="pct"/>
            <w:tcBorders>
              <w:top w:val="nil"/>
              <w:left w:val="nil"/>
              <w:bottom w:val="nil"/>
              <w:right w:val="nil"/>
            </w:tcBorders>
            <w:noWrap/>
            <w:vAlign w:val="center"/>
            <w:hideMark/>
          </w:tcPr>
          <w:p w14:paraId="2F0DBA2A"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3.1</w:t>
            </w:r>
          </w:p>
        </w:tc>
      </w:tr>
      <w:tr w:rsidR="00B64154" w:rsidRPr="00954D98" w14:paraId="11A3783A" w14:textId="77777777" w:rsidTr="00B64154">
        <w:trPr>
          <w:trHeight w:hRule="exact" w:val="225"/>
        </w:trPr>
        <w:tc>
          <w:tcPr>
            <w:tcW w:w="2157" w:type="pct"/>
            <w:tcBorders>
              <w:top w:val="nil"/>
              <w:left w:val="nil"/>
              <w:bottom w:val="nil"/>
              <w:right w:val="nil"/>
            </w:tcBorders>
            <w:noWrap/>
            <w:vAlign w:val="center"/>
            <w:hideMark/>
          </w:tcPr>
          <w:p w14:paraId="219F1723"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Superannuation fund taxes</w:t>
            </w:r>
          </w:p>
        </w:tc>
        <w:tc>
          <w:tcPr>
            <w:tcW w:w="718" w:type="pct"/>
            <w:tcBorders>
              <w:top w:val="nil"/>
              <w:left w:val="nil"/>
              <w:bottom w:val="nil"/>
              <w:right w:val="nil"/>
            </w:tcBorders>
            <w:noWrap/>
            <w:vAlign w:val="center"/>
            <w:hideMark/>
          </w:tcPr>
          <w:p w14:paraId="6F475E1F"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25,560</w:t>
            </w:r>
          </w:p>
        </w:tc>
        <w:tc>
          <w:tcPr>
            <w:tcW w:w="776" w:type="pct"/>
            <w:tcBorders>
              <w:top w:val="nil"/>
              <w:left w:val="nil"/>
              <w:bottom w:val="nil"/>
              <w:right w:val="nil"/>
            </w:tcBorders>
            <w:shd w:val="clear" w:color="000000" w:fill="E6F2FF"/>
            <w:noWrap/>
            <w:vAlign w:val="center"/>
            <w:hideMark/>
          </w:tcPr>
          <w:p w14:paraId="1FF2C53F"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30,010</w:t>
            </w:r>
          </w:p>
        </w:tc>
        <w:tc>
          <w:tcPr>
            <w:tcW w:w="51" w:type="pct"/>
            <w:tcBorders>
              <w:top w:val="nil"/>
              <w:left w:val="nil"/>
              <w:bottom w:val="nil"/>
              <w:right w:val="nil"/>
            </w:tcBorders>
            <w:noWrap/>
            <w:vAlign w:val="center"/>
            <w:hideMark/>
          </w:tcPr>
          <w:p w14:paraId="3F85D0A3"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0BA1D363"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4,450</w:t>
            </w:r>
          </w:p>
        </w:tc>
        <w:tc>
          <w:tcPr>
            <w:tcW w:w="649" w:type="pct"/>
            <w:tcBorders>
              <w:top w:val="nil"/>
              <w:left w:val="nil"/>
              <w:bottom w:val="nil"/>
              <w:right w:val="nil"/>
            </w:tcBorders>
            <w:noWrap/>
            <w:vAlign w:val="center"/>
            <w:hideMark/>
          </w:tcPr>
          <w:p w14:paraId="5A372C18"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17.4</w:t>
            </w:r>
          </w:p>
        </w:tc>
      </w:tr>
      <w:tr w:rsidR="00B64154" w:rsidRPr="00954D98" w14:paraId="3CDC8338" w14:textId="77777777" w:rsidTr="00B64154">
        <w:trPr>
          <w:trHeight w:hRule="exact" w:val="225"/>
        </w:trPr>
        <w:tc>
          <w:tcPr>
            <w:tcW w:w="2157" w:type="pct"/>
            <w:tcBorders>
              <w:top w:val="nil"/>
              <w:left w:val="nil"/>
              <w:bottom w:val="nil"/>
              <w:right w:val="nil"/>
            </w:tcBorders>
            <w:noWrap/>
            <w:vAlign w:val="center"/>
            <w:hideMark/>
          </w:tcPr>
          <w:p w14:paraId="474804F0"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Petroleum resource rent tax</w:t>
            </w:r>
          </w:p>
        </w:tc>
        <w:tc>
          <w:tcPr>
            <w:tcW w:w="718" w:type="pct"/>
            <w:tcBorders>
              <w:top w:val="nil"/>
              <w:left w:val="nil"/>
              <w:bottom w:val="nil"/>
              <w:right w:val="nil"/>
            </w:tcBorders>
            <w:noWrap/>
            <w:vAlign w:val="center"/>
            <w:hideMark/>
          </w:tcPr>
          <w:p w14:paraId="30F24A0C"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1,950</w:t>
            </w:r>
          </w:p>
        </w:tc>
        <w:tc>
          <w:tcPr>
            <w:tcW w:w="776" w:type="pct"/>
            <w:tcBorders>
              <w:top w:val="nil"/>
              <w:left w:val="nil"/>
              <w:bottom w:val="nil"/>
              <w:right w:val="nil"/>
            </w:tcBorders>
            <w:shd w:val="clear" w:color="000000" w:fill="E6F2FF"/>
            <w:noWrap/>
            <w:vAlign w:val="center"/>
            <w:hideMark/>
          </w:tcPr>
          <w:p w14:paraId="5A0F868C"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1,500</w:t>
            </w:r>
          </w:p>
        </w:tc>
        <w:tc>
          <w:tcPr>
            <w:tcW w:w="51" w:type="pct"/>
            <w:tcBorders>
              <w:top w:val="nil"/>
              <w:left w:val="nil"/>
              <w:bottom w:val="nil"/>
              <w:right w:val="nil"/>
            </w:tcBorders>
            <w:noWrap/>
            <w:vAlign w:val="center"/>
            <w:hideMark/>
          </w:tcPr>
          <w:p w14:paraId="20A9A10C"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26940A53"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-450</w:t>
            </w:r>
          </w:p>
        </w:tc>
        <w:tc>
          <w:tcPr>
            <w:tcW w:w="649" w:type="pct"/>
            <w:tcBorders>
              <w:top w:val="nil"/>
              <w:left w:val="nil"/>
              <w:bottom w:val="nil"/>
              <w:right w:val="nil"/>
            </w:tcBorders>
            <w:noWrap/>
            <w:vAlign w:val="center"/>
            <w:hideMark/>
          </w:tcPr>
          <w:p w14:paraId="185CD823"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-23.1</w:t>
            </w:r>
          </w:p>
        </w:tc>
      </w:tr>
      <w:tr w:rsidR="00B64154" w:rsidRPr="00954D98" w14:paraId="435E761C" w14:textId="77777777" w:rsidTr="00B64154">
        <w:trPr>
          <w:trHeight w:hRule="exact" w:val="225"/>
        </w:trPr>
        <w:tc>
          <w:tcPr>
            <w:tcW w:w="2157" w:type="pct"/>
            <w:tcBorders>
              <w:top w:val="nil"/>
              <w:left w:val="nil"/>
              <w:bottom w:val="nil"/>
              <w:right w:val="nil"/>
            </w:tcBorders>
            <w:noWrap/>
            <w:vAlign w:val="center"/>
            <w:hideMark/>
          </w:tcPr>
          <w:p w14:paraId="72A2C046" w14:textId="77777777" w:rsidR="00B64154" w:rsidRPr="00954D98" w:rsidRDefault="00B64154" w:rsidP="00B64154">
            <w:pPr>
              <w:spacing w:before="0" w:after="0" w:line="240" w:lineRule="auto"/>
              <w:rPr>
                <w:rFonts w:ascii="Arial" w:hAnsi="Arial" w:cs="Arial"/>
                <w:b/>
                <w:bCs/>
                <w:sz w:val="16"/>
                <w:szCs w:val="16"/>
              </w:rPr>
            </w:pPr>
            <w:r w:rsidRPr="00954D98">
              <w:rPr>
                <w:rFonts w:ascii="Arial" w:hAnsi="Arial" w:cs="Arial"/>
                <w:b/>
                <w:bCs/>
                <w:sz w:val="16"/>
                <w:szCs w:val="16"/>
              </w:rPr>
              <w:t>Income taxation receipts</w:t>
            </w:r>
          </w:p>
        </w:tc>
        <w:tc>
          <w:tcPr>
            <w:tcW w:w="718" w:type="pct"/>
            <w:tcBorders>
              <w:top w:val="single" w:sz="4" w:space="0" w:color="293F5B"/>
              <w:left w:val="nil"/>
              <w:bottom w:val="single" w:sz="4" w:space="0" w:color="293F5B"/>
              <w:right w:val="nil"/>
            </w:tcBorders>
            <w:noWrap/>
            <w:vAlign w:val="center"/>
            <w:hideMark/>
          </w:tcPr>
          <w:p w14:paraId="68B741D3"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522,690</w:t>
            </w:r>
          </w:p>
        </w:tc>
        <w:tc>
          <w:tcPr>
            <w:tcW w:w="776" w:type="pct"/>
            <w:tcBorders>
              <w:top w:val="single" w:sz="4" w:space="0" w:color="293F5B"/>
              <w:left w:val="nil"/>
              <w:bottom w:val="single" w:sz="4" w:space="0" w:color="293F5B"/>
              <w:right w:val="nil"/>
            </w:tcBorders>
            <w:shd w:val="clear" w:color="000000" w:fill="E6F2FF"/>
            <w:noWrap/>
            <w:vAlign w:val="center"/>
            <w:hideMark/>
          </w:tcPr>
          <w:p w14:paraId="59653A5B"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539,420</w:t>
            </w:r>
          </w:p>
        </w:tc>
        <w:tc>
          <w:tcPr>
            <w:tcW w:w="51" w:type="pct"/>
            <w:tcBorders>
              <w:top w:val="nil"/>
              <w:left w:val="nil"/>
              <w:bottom w:val="nil"/>
              <w:right w:val="nil"/>
            </w:tcBorders>
            <w:noWrap/>
            <w:vAlign w:val="center"/>
            <w:hideMark/>
          </w:tcPr>
          <w:p w14:paraId="1B7C94D2" w14:textId="77777777" w:rsidR="00B64154" w:rsidRPr="00954D98" w:rsidRDefault="00B64154" w:rsidP="00B64154">
            <w:pPr>
              <w:spacing w:before="0" w:after="0" w:line="240" w:lineRule="auto"/>
              <w:jc w:val="right"/>
              <w:rPr>
                <w:rFonts w:ascii="Arial" w:hAnsi="Arial" w:cs="Arial"/>
                <w:b/>
                <w:bCs/>
                <w:sz w:val="16"/>
                <w:szCs w:val="16"/>
              </w:rPr>
            </w:pPr>
          </w:p>
        </w:tc>
        <w:tc>
          <w:tcPr>
            <w:tcW w:w="649" w:type="pct"/>
            <w:tcBorders>
              <w:top w:val="single" w:sz="4" w:space="0" w:color="293F5B"/>
              <w:left w:val="nil"/>
              <w:bottom w:val="single" w:sz="4" w:space="0" w:color="293F5B"/>
              <w:right w:val="nil"/>
            </w:tcBorders>
            <w:noWrap/>
            <w:vAlign w:val="center"/>
            <w:hideMark/>
          </w:tcPr>
          <w:p w14:paraId="1565F503"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16,730</w:t>
            </w:r>
          </w:p>
        </w:tc>
        <w:tc>
          <w:tcPr>
            <w:tcW w:w="649" w:type="pct"/>
            <w:tcBorders>
              <w:top w:val="single" w:sz="4" w:space="0" w:color="293F5B"/>
              <w:left w:val="nil"/>
              <w:bottom w:val="single" w:sz="4" w:space="0" w:color="293F5B"/>
              <w:right w:val="nil"/>
            </w:tcBorders>
            <w:noWrap/>
            <w:vAlign w:val="center"/>
            <w:hideMark/>
          </w:tcPr>
          <w:p w14:paraId="03753AD4"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3.2</w:t>
            </w:r>
          </w:p>
        </w:tc>
      </w:tr>
      <w:tr w:rsidR="00B64154" w:rsidRPr="00954D98" w14:paraId="39CC7066" w14:textId="77777777" w:rsidTr="00B64154">
        <w:trPr>
          <w:trHeight w:hRule="exact" w:val="60"/>
        </w:trPr>
        <w:tc>
          <w:tcPr>
            <w:tcW w:w="2157" w:type="pct"/>
            <w:tcBorders>
              <w:top w:val="nil"/>
              <w:left w:val="nil"/>
              <w:bottom w:val="nil"/>
              <w:right w:val="nil"/>
            </w:tcBorders>
            <w:noWrap/>
            <w:vAlign w:val="center"/>
            <w:hideMark/>
          </w:tcPr>
          <w:p w14:paraId="19E5F8A0" w14:textId="77777777" w:rsidR="00B64154" w:rsidRPr="00954D98" w:rsidRDefault="00B64154" w:rsidP="00B64154">
            <w:pPr>
              <w:spacing w:before="0" w:after="0" w:line="240" w:lineRule="auto"/>
              <w:jc w:val="right"/>
              <w:rPr>
                <w:rFonts w:ascii="Arial" w:hAnsi="Arial" w:cs="Arial"/>
                <w:b/>
                <w:bCs/>
                <w:sz w:val="16"/>
                <w:szCs w:val="16"/>
              </w:rPr>
            </w:pPr>
          </w:p>
        </w:tc>
        <w:tc>
          <w:tcPr>
            <w:tcW w:w="718" w:type="pct"/>
            <w:tcBorders>
              <w:top w:val="nil"/>
              <w:left w:val="nil"/>
              <w:bottom w:val="nil"/>
              <w:right w:val="nil"/>
            </w:tcBorders>
            <w:noWrap/>
            <w:vAlign w:val="center"/>
            <w:hideMark/>
          </w:tcPr>
          <w:p w14:paraId="267FCD8C" w14:textId="77777777" w:rsidR="00B64154" w:rsidRPr="00954D98" w:rsidRDefault="00B64154" w:rsidP="00B64154">
            <w:pPr>
              <w:spacing w:before="0" w:after="0" w:line="240" w:lineRule="auto"/>
              <w:rPr>
                <w:sz w:val="20"/>
              </w:rPr>
            </w:pPr>
          </w:p>
        </w:tc>
        <w:tc>
          <w:tcPr>
            <w:tcW w:w="776" w:type="pct"/>
            <w:tcBorders>
              <w:top w:val="nil"/>
              <w:left w:val="nil"/>
              <w:bottom w:val="nil"/>
              <w:right w:val="nil"/>
            </w:tcBorders>
            <w:shd w:val="clear" w:color="000000" w:fill="E6F2FF"/>
            <w:noWrap/>
            <w:vAlign w:val="center"/>
            <w:hideMark/>
          </w:tcPr>
          <w:p w14:paraId="0FFD28E9"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51" w:type="pct"/>
            <w:tcBorders>
              <w:top w:val="nil"/>
              <w:left w:val="nil"/>
              <w:bottom w:val="nil"/>
              <w:right w:val="nil"/>
            </w:tcBorders>
            <w:noWrap/>
            <w:vAlign w:val="center"/>
            <w:hideMark/>
          </w:tcPr>
          <w:p w14:paraId="7E173D32" w14:textId="77777777" w:rsidR="00B64154" w:rsidRPr="00954D98" w:rsidRDefault="00B64154" w:rsidP="00B64154">
            <w:pPr>
              <w:spacing w:before="0" w:after="0" w:line="240" w:lineRule="auto"/>
              <w:jc w:val="right"/>
              <w:rPr>
                <w:rFonts w:ascii="Arial" w:hAnsi="Arial" w:cs="Arial"/>
                <w:b/>
                <w:bCs/>
                <w:sz w:val="16"/>
                <w:szCs w:val="16"/>
              </w:rPr>
            </w:pPr>
          </w:p>
        </w:tc>
        <w:tc>
          <w:tcPr>
            <w:tcW w:w="649" w:type="pct"/>
            <w:tcBorders>
              <w:top w:val="nil"/>
              <w:left w:val="nil"/>
              <w:bottom w:val="nil"/>
              <w:right w:val="nil"/>
            </w:tcBorders>
            <w:noWrap/>
            <w:vAlign w:val="center"/>
            <w:hideMark/>
          </w:tcPr>
          <w:p w14:paraId="5C939D1A" w14:textId="77777777" w:rsidR="00B64154" w:rsidRPr="00954D98" w:rsidRDefault="00B64154" w:rsidP="00B64154">
            <w:pPr>
              <w:spacing w:before="0" w:after="0" w:line="240" w:lineRule="auto"/>
              <w:jc w:val="right"/>
              <w:rPr>
                <w:sz w:val="20"/>
              </w:rPr>
            </w:pPr>
          </w:p>
        </w:tc>
        <w:tc>
          <w:tcPr>
            <w:tcW w:w="649" w:type="pct"/>
            <w:tcBorders>
              <w:top w:val="nil"/>
              <w:left w:val="nil"/>
              <w:bottom w:val="nil"/>
              <w:right w:val="nil"/>
            </w:tcBorders>
            <w:noWrap/>
            <w:vAlign w:val="center"/>
            <w:hideMark/>
          </w:tcPr>
          <w:p w14:paraId="25FEC4B1" w14:textId="77777777" w:rsidR="00B64154" w:rsidRPr="00954D98" w:rsidRDefault="00B64154" w:rsidP="00B64154">
            <w:pPr>
              <w:spacing w:before="0" w:after="0" w:line="240" w:lineRule="auto"/>
              <w:jc w:val="right"/>
              <w:rPr>
                <w:sz w:val="20"/>
              </w:rPr>
            </w:pPr>
          </w:p>
        </w:tc>
      </w:tr>
      <w:tr w:rsidR="00B64154" w:rsidRPr="00954D98" w14:paraId="5FF1A25C" w14:textId="77777777" w:rsidTr="00B64154">
        <w:trPr>
          <w:trHeight w:hRule="exact" w:val="225"/>
        </w:trPr>
        <w:tc>
          <w:tcPr>
            <w:tcW w:w="2157" w:type="pct"/>
            <w:tcBorders>
              <w:top w:val="nil"/>
              <w:left w:val="nil"/>
              <w:bottom w:val="nil"/>
              <w:right w:val="nil"/>
            </w:tcBorders>
            <w:noWrap/>
            <w:vAlign w:val="center"/>
            <w:hideMark/>
          </w:tcPr>
          <w:p w14:paraId="7300D870"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Goods and services tax</w:t>
            </w:r>
          </w:p>
        </w:tc>
        <w:tc>
          <w:tcPr>
            <w:tcW w:w="718" w:type="pct"/>
            <w:tcBorders>
              <w:top w:val="nil"/>
              <w:left w:val="nil"/>
              <w:bottom w:val="nil"/>
              <w:right w:val="nil"/>
            </w:tcBorders>
            <w:noWrap/>
            <w:vAlign w:val="center"/>
            <w:hideMark/>
          </w:tcPr>
          <w:p w14:paraId="027C234C"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94,234</w:t>
            </w:r>
          </w:p>
        </w:tc>
        <w:tc>
          <w:tcPr>
            <w:tcW w:w="776" w:type="pct"/>
            <w:tcBorders>
              <w:top w:val="nil"/>
              <w:left w:val="nil"/>
              <w:bottom w:val="nil"/>
              <w:right w:val="nil"/>
            </w:tcBorders>
            <w:shd w:val="clear" w:color="000000" w:fill="E6F2FF"/>
            <w:noWrap/>
            <w:vAlign w:val="center"/>
            <w:hideMark/>
          </w:tcPr>
          <w:p w14:paraId="6F62CF95"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95,654</w:t>
            </w:r>
          </w:p>
        </w:tc>
        <w:tc>
          <w:tcPr>
            <w:tcW w:w="51" w:type="pct"/>
            <w:tcBorders>
              <w:top w:val="nil"/>
              <w:left w:val="nil"/>
              <w:bottom w:val="nil"/>
              <w:right w:val="nil"/>
            </w:tcBorders>
            <w:noWrap/>
            <w:vAlign w:val="center"/>
            <w:hideMark/>
          </w:tcPr>
          <w:p w14:paraId="3CC27115"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0A78F70B"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1,420</w:t>
            </w:r>
          </w:p>
        </w:tc>
        <w:tc>
          <w:tcPr>
            <w:tcW w:w="649" w:type="pct"/>
            <w:tcBorders>
              <w:top w:val="nil"/>
              <w:left w:val="nil"/>
              <w:bottom w:val="nil"/>
              <w:right w:val="nil"/>
            </w:tcBorders>
            <w:noWrap/>
            <w:vAlign w:val="center"/>
            <w:hideMark/>
          </w:tcPr>
          <w:p w14:paraId="5DAA0E40"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1.5</w:t>
            </w:r>
          </w:p>
        </w:tc>
      </w:tr>
      <w:tr w:rsidR="00B64154" w:rsidRPr="00954D98" w14:paraId="363A3B4E" w14:textId="77777777" w:rsidTr="00B64154">
        <w:trPr>
          <w:trHeight w:hRule="exact" w:val="225"/>
        </w:trPr>
        <w:tc>
          <w:tcPr>
            <w:tcW w:w="2157" w:type="pct"/>
            <w:tcBorders>
              <w:top w:val="nil"/>
              <w:left w:val="nil"/>
              <w:bottom w:val="nil"/>
              <w:right w:val="nil"/>
            </w:tcBorders>
            <w:noWrap/>
            <w:vAlign w:val="center"/>
            <w:hideMark/>
          </w:tcPr>
          <w:p w14:paraId="53EE9FF4"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Wine equalisation tax</w:t>
            </w:r>
          </w:p>
        </w:tc>
        <w:tc>
          <w:tcPr>
            <w:tcW w:w="718" w:type="pct"/>
            <w:tcBorders>
              <w:top w:val="nil"/>
              <w:left w:val="nil"/>
              <w:bottom w:val="nil"/>
              <w:right w:val="nil"/>
            </w:tcBorders>
            <w:noWrap/>
            <w:vAlign w:val="center"/>
            <w:hideMark/>
          </w:tcPr>
          <w:p w14:paraId="047B2923"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1,200</w:t>
            </w:r>
          </w:p>
        </w:tc>
        <w:tc>
          <w:tcPr>
            <w:tcW w:w="776" w:type="pct"/>
            <w:tcBorders>
              <w:top w:val="nil"/>
              <w:left w:val="nil"/>
              <w:bottom w:val="nil"/>
              <w:right w:val="nil"/>
            </w:tcBorders>
            <w:shd w:val="clear" w:color="000000" w:fill="E6F2FF"/>
            <w:noWrap/>
            <w:vAlign w:val="center"/>
            <w:hideMark/>
          </w:tcPr>
          <w:p w14:paraId="03E5E0DC"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1,160</w:t>
            </w:r>
          </w:p>
        </w:tc>
        <w:tc>
          <w:tcPr>
            <w:tcW w:w="51" w:type="pct"/>
            <w:tcBorders>
              <w:top w:val="nil"/>
              <w:left w:val="nil"/>
              <w:bottom w:val="nil"/>
              <w:right w:val="nil"/>
            </w:tcBorders>
            <w:noWrap/>
            <w:vAlign w:val="center"/>
            <w:hideMark/>
          </w:tcPr>
          <w:p w14:paraId="24F013CB"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29340B3E"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-40</w:t>
            </w:r>
          </w:p>
        </w:tc>
        <w:tc>
          <w:tcPr>
            <w:tcW w:w="649" w:type="pct"/>
            <w:tcBorders>
              <w:top w:val="nil"/>
              <w:left w:val="nil"/>
              <w:bottom w:val="nil"/>
              <w:right w:val="nil"/>
            </w:tcBorders>
            <w:noWrap/>
            <w:vAlign w:val="center"/>
            <w:hideMark/>
          </w:tcPr>
          <w:p w14:paraId="4CA021B7"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-3.3</w:t>
            </w:r>
          </w:p>
        </w:tc>
      </w:tr>
      <w:tr w:rsidR="00B64154" w:rsidRPr="00954D98" w14:paraId="40326919" w14:textId="77777777" w:rsidTr="00B64154">
        <w:trPr>
          <w:trHeight w:hRule="exact" w:val="225"/>
        </w:trPr>
        <w:tc>
          <w:tcPr>
            <w:tcW w:w="2157" w:type="pct"/>
            <w:tcBorders>
              <w:top w:val="nil"/>
              <w:left w:val="nil"/>
              <w:bottom w:val="nil"/>
              <w:right w:val="nil"/>
            </w:tcBorders>
            <w:noWrap/>
            <w:vAlign w:val="center"/>
            <w:hideMark/>
          </w:tcPr>
          <w:p w14:paraId="7301E04C"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Luxury car tax</w:t>
            </w:r>
          </w:p>
        </w:tc>
        <w:tc>
          <w:tcPr>
            <w:tcW w:w="718" w:type="pct"/>
            <w:tcBorders>
              <w:top w:val="nil"/>
              <w:left w:val="nil"/>
              <w:bottom w:val="nil"/>
              <w:right w:val="nil"/>
            </w:tcBorders>
            <w:noWrap/>
            <w:vAlign w:val="center"/>
            <w:hideMark/>
          </w:tcPr>
          <w:p w14:paraId="2A06AFF5"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1,200</w:t>
            </w:r>
          </w:p>
        </w:tc>
        <w:tc>
          <w:tcPr>
            <w:tcW w:w="776" w:type="pct"/>
            <w:tcBorders>
              <w:top w:val="nil"/>
              <w:left w:val="nil"/>
              <w:bottom w:val="nil"/>
              <w:right w:val="nil"/>
            </w:tcBorders>
            <w:shd w:val="clear" w:color="000000" w:fill="E6F2FF"/>
            <w:noWrap/>
            <w:vAlign w:val="center"/>
            <w:hideMark/>
          </w:tcPr>
          <w:p w14:paraId="5D9916A7"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1,120</w:t>
            </w:r>
          </w:p>
        </w:tc>
        <w:tc>
          <w:tcPr>
            <w:tcW w:w="51" w:type="pct"/>
            <w:tcBorders>
              <w:top w:val="nil"/>
              <w:left w:val="nil"/>
              <w:bottom w:val="nil"/>
              <w:right w:val="nil"/>
            </w:tcBorders>
            <w:noWrap/>
            <w:vAlign w:val="center"/>
            <w:hideMark/>
          </w:tcPr>
          <w:p w14:paraId="5506FDE7"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08475CB7"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-80</w:t>
            </w:r>
          </w:p>
        </w:tc>
        <w:tc>
          <w:tcPr>
            <w:tcW w:w="649" w:type="pct"/>
            <w:tcBorders>
              <w:top w:val="nil"/>
              <w:left w:val="nil"/>
              <w:bottom w:val="nil"/>
              <w:right w:val="nil"/>
            </w:tcBorders>
            <w:noWrap/>
            <w:vAlign w:val="center"/>
            <w:hideMark/>
          </w:tcPr>
          <w:p w14:paraId="34BC8B22"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-6.7</w:t>
            </w:r>
          </w:p>
        </w:tc>
      </w:tr>
      <w:tr w:rsidR="00B64154" w:rsidRPr="00954D98" w14:paraId="75E4A1BA" w14:textId="77777777" w:rsidTr="00B64154">
        <w:trPr>
          <w:trHeight w:hRule="exact" w:val="225"/>
        </w:trPr>
        <w:tc>
          <w:tcPr>
            <w:tcW w:w="2157" w:type="pct"/>
            <w:tcBorders>
              <w:top w:val="nil"/>
              <w:left w:val="nil"/>
              <w:bottom w:val="nil"/>
              <w:right w:val="nil"/>
            </w:tcBorders>
            <w:noWrap/>
            <w:vAlign w:val="center"/>
            <w:hideMark/>
          </w:tcPr>
          <w:p w14:paraId="68F6C470"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Excise and customs duty</w:t>
            </w:r>
          </w:p>
        </w:tc>
        <w:tc>
          <w:tcPr>
            <w:tcW w:w="718" w:type="pct"/>
            <w:tcBorders>
              <w:top w:val="nil"/>
              <w:left w:val="nil"/>
              <w:bottom w:val="nil"/>
              <w:right w:val="nil"/>
            </w:tcBorders>
            <w:noWrap/>
            <w:vAlign w:val="center"/>
            <w:hideMark/>
          </w:tcPr>
          <w:p w14:paraId="5DDAED27" w14:textId="77777777" w:rsidR="00B64154" w:rsidRPr="00954D98" w:rsidRDefault="00B64154" w:rsidP="00B64154">
            <w:pPr>
              <w:spacing w:before="0" w:after="0" w:line="240" w:lineRule="auto"/>
              <w:rPr>
                <w:rFonts w:ascii="Arial" w:hAnsi="Arial" w:cs="Arial"/>
                <w:sz w:val="16"/>
                <w:szCs w:val="16"/>
              </w:rPr>
            </w:pPr>
          </w:p>
        </w:tc>
        <w:tc>
          <w:tcPr>
            <w:tcW w:w="776" w:type="pct"/>
            <w:tcBorders>
              <w:top w:val="nil"/>
              <w:left w:val="nil"/>
              <w:bottom w:val="nil"/>
              <w:right w:val="nil"/>
            </w:tcBorders>
            <w:shd w:val="clear" w:color="000000" w:fill="E6F2FF"/>
            <w:noWrap/>
            <w:vAlign w:val="center"/>
            <w:hideMark/>
          </w:tcPr>
          <w:p w14:paraId="32C8E3A9"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 </w:t>
            </w:r>
          </w:p>
        </w:tc>
        <w:tc>
          <w:tcPr>
            <w:tcW w:w="51" w:type="pct"/>
            <w:tcBorders>
              <w:top w:val="nil"/>
              <w:left w:val="nil"/>
              <w:bottom w:val="nil"/>
              <w:right w:val="nil"/>
            </w:tcBorders>
            <w:noWrap/>
            <w:vAlign w:val="center"/>
            <w:hideMark/>
          </w:tcPr>
          <w:p w14:paraId="5FD292D9"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2C588179" w14:textId="77777777" w:rsidR="00B64154" w:rsidRPr="00954D98" w:rsidRDefault="00B64154" w:rsidP="00B64154">
            <w:pPr>
              <w:spacing w:before="0" w:after="0" w:line="240" w:lineRule="auto"/>
              <w:jc w:val="right"/>
              <w:rPr>
                <w:sz w:val="20"/>
              </w:rPr>
            </w:pPr>
          </w:p>
        </w:tc>
        <w:tc>
          <w:tcPr>
            <w:tcW w:w="649" w:type="pct"/>
            <w:tcBorders>
              <w:top w:val="nil"/>
              <w:left w:val="nil"/>
              <w:bottom w:val="nil"/>
              <w:right w:val="nil"/>
            </w:tcBorders>
            <w:noWrap/>
            <w:vAlign w:val="center"/>
            <w:hideMark/>
          </w:tcPr>
          <w:p w14:paraId="5A6BD559" w14:textId="77777777" w:rsidR="00B64154" w:rsidRPr="00954D98" w:rsidRDefault="00B64154" w:rsidP="00B64154">
            <w:pPr>
              <w:spacing w:before="0" w:after="0" w:line="240" w:lineRule="auto"/>
              <w:jc w:val="right"/>
              <w:rPr>
                <w:sz w:val="20"/>
              </w:rPr>
            </w:pPr>
          </w:p>
        </w:tc>
      </w:tr>
      <w:tr w:rsidR="00B64154" w:rsidRPr="00954D98" w14:paraId="456B34ED" w14:textId="77777777" w:rsidTr="00B64154">
        <w:trPr>
          <w:trHeight w:hRule="exact" w:val="225"/>
        </w:trPr>
        <w:tc>
          <w:tcPr>
            <w:tcW w:w="2157" w:type="pct"/>
            <w:tcBorders>
              <w:top w:val="nil"/>
              <w:left w:val="nil"/>
              <w:bottom w:val="nil"/>
              <w:right w:val="nil"/>
            </w:tcBorders>
            <w:noWrap/>
            <w:vAlign w:val="center"/>
            <w:hideMark/>
          </w:tcPr>
          <w:p w14:paraId="5F1D5A13" w14:textId="77777777" w:rsidR="00B64154" w:rsidRPr="00954D98" w:rsidRDefault="00B64154" w:rsidP="00B64154">
            <w:pPr>
              <w:spacing w:before="0" w:after="0" w:line="240" w:lineRule="auto"/>
              <w:ind w:firstLineChars="100" w:firstLine="160"/>
              <w:rPr>
                <w:rFonts w:ascii="Arial" w:hAnsi="Arial" w:cs="Arial"/>
                <w:sz w:val="16"/>
                <w:szCs w:val="16"/>
              </w:rPr>
            </w:pPr>
            <w:r w:rsidRPr="00954D98">
              <w:rPr>
                <w:rFonts w:ascii="Arial" w:hAnsi="Arial" w:cs="Arial"/>
                <w:sz w:val="16"/>
                <w:szCs w:val="16"/>
              </w:rPr>
              <w:t>Petrol</w:t>
            </w:r>
          </w:p>
        </w:tc>
        <w:tc>
          <w:tcPr>
            <w:tcW w:w="718" w:type="pct"/>
            <w:tcBorders>
              <w:top w:val="nil"/>
              <w:left w:val="nil"/>
              <w:bottom w:val="nil"/>
              <w:right w:val="nil"/>
            </w:tcBorders>
            <w:noWrap/>
            <w:vAlign w:val="center"/>
            <w:hideMark/>
          </w:tcPr>
          <w:p w14:paraId="04156E56"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7,450</w:t>
            </w:r>
          </w:p>
        </w:tc>
        <w:tc>
          <w:tcPr>
            <w:tcW w:w="776" w:type="pct"/>
            <w:tcBorders>
              <w:top w:val="nil"/>
              <w:left w:val="nil"/>
              <w:bottom w:val="nil"/>
              <w:right w:val="nil"/>
            </w:tcBorders>
            <w:shd w:val="clear" w:color="000000" w:fill="E6F2FF"/>
            <w:noWrap/>
            <w:vAlign w:val="center"/>
            <w:hideMark/>
          </w:tcPr>
          <w:p w14:paraId="45368E24"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7,300</w:t>
            </w:r>
          </w:p>
        </w:tc>
        <w:tc>
          <w:tcPr>
            <w:tcW w:w="51" w:type="pct"/>
            <w:tcBorders>
              <w:top w:val="nil"/>
              <w:left w:val="nil"/>
              <w:bottom w:val="nil"/>
              <w:right w:val="nil"/>
            </w:tcBorders>
            <w:noWrap/>
            <w:vAlign w:val="center"/>
            <w:hideMark/>
          </w:tcPr>
          <w:p w14:paraId="58F7DE0F"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380EBD44"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-150</w:t>
            </w:r>
          </w:p>
        </w:tc>
        <w:tc>
          <w:tcPr>
            <w:tcW w:w="649" w:type="pct"/>
            <w:tcBorders>
              <w:top w:val="nil"/>
              <w:left w:val="nil"/>
              <w:bottom w:val="nil"/>
              <w:right w:val="nil"/>
            </w:tcBorders>
            <w:noWrap/>
            <w:vAlign w:val="center"/>
            <w:hideMark/>
          </w:tcPr>
          <w:p w14:paraId="287FAF0C"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-2.0</w:t>
            </w:r>
          </w:p>
        </w:tc>
      </w:tr>
      <w:tr w:rsidR="00B64154" w:rsidRPr="00954D98" w14:paraId="3067FAD8" w14:textId="77777777" w:rsidTr="00B64154">
        <w:trPr>
          <w:trHeight w:hRule="exact" w:val="225"/>
        </w:trPr>
        <w:tc>
          <w:tcPr>
            <w:tcW w:w="2157" w:type="pct"/>
            <w:tcBorders>
              <w:top w:val="nil"/>
              <w:left w:val="nil"/>
              <w:bottom w:val="nil"/>
              <w:right w:val="nil"/>
            </w:tcBorders>
            <w:noWrap/>
            <w:vAlign w:val="center"/>
            <w:hideMark/>
          </w:tcPr>
          <w:p w14:paraId="3CDA5292" w14:textId="77777777" w:rsidR="00B64154" w:rsidRPr="00954D98" w:rsidRDefault="00B64154" w:rsidP="00B64154">
            <w:pPr>
              <w:spacing w:before="0" w:after="0" w:line="240" w:lineRule="auto"/>
              <w:ind w:firstLineChars="100" w:firstLine="160"/>
              <w:rPr>
                <w:rFonts w:ascii="Arial" w:hAnsi="Arial" w:cs="Arial"/>
                <w:sz w:val="16"/>
                <w:szCs w:val="16"/>
              </w:rPr>
            </w:pPr>
            <w:r w:rsidRPr="00954D98">
              <w:rPr>
                <w:rFonts w:ascii="Arial" w:hAnsi="Arial" w:cs="Arial"/>
                <w:sz w:val="16"/>
                <w:szCs w:val="16"/>
              </w:rPr>
              <w:t>Diesel</w:t>
            </w:r>
          </w:p>
        </w:tc>
        <w:tc>
          <w:tcPr>
            <w:tcW w:w="718" w:type="pct"/>
            <w:tcBorders>
              <w:top w:val="nil"/>
              <w:left w:val="nil"/>
              <w:bottom w:val="nil"/>
              <w:right w:val="nil"/>
            </w:tcBorders>
            <w:noWrap/>
            <w:vAlign w:val="center"/>
            <w:hideMark/>
          </w:tcPr>
          <w:p w14:paraId="1E9E8927"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17,850</w:t>
            </w:r>
          </w:p>
        </w:tc>
        <w:tc>
          <w:tcPr>
            <w:tcW w:w="776" w:type="pct"/>
            <w:tcBorders>
              <w:top w:val="nil"/>
              <w:left w:val="nil"/>
              <w:bottom w:val="nil"/>
              <w:right w:val="nil"/>
            </w:tcBorders>
            <w:shd w:val="clear" w:color="000000" w:fill="E6F2FF"/>
            <w:noWrap/>
            <w:vAlign w:val="center"/>
            <w:hideMark/>
          </w:tcPr>
          <w:p w14:paraId="4300560A"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17,610</w:t>
            </w:r>
          </w:p>
        </w:tc>
        <w:tc>
          <w:tcPr>
            <w:tcW w:w="51" w:type="pct"/>
            <w:tcBorders>
              <w:top w:val="nil"/>
              <w:left w:val="nil"/>
              <w:bottom w:val="nil"/>
              <w:right w:val="nil"/>
            </w:tcBorders>
            <w:noWrap/>
            <w:vAlign w:val="center"/>
            <w:hideMark/>
          </w:tcPr>
          <w:p w14:paraId="7EF1924C"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1486778E"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-240</w:t>
            </w:r>
          </w:p>
        </w:tc>
        <w:tc>
          <w:tcPr>
            <w:tcW w:w="649" w:type="pct"/>
            <w:tcBorders>
              <w:top w:val="nil"/>
              <w:left w:val="nil"/>
              <w:bottom w:val="nil"/>
              <w:right w:val="nil"/>
            </w:tcBorders>
            <w:noWrap/>
            <w:vAlign w:val="center"/>
            <w:hideMark/>
          </w:tcPr>
          <w:p w14:paraId="05A54580"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-1.3</w:t>
            </w:r>
          </w:p>
        </w:tc>
      </w:tr>
      <w:tr w:rsidR="00B64154" w:rsidRPr="00954D98" w14:paraId="3A2C7F0B" w14:textId="77777777" w:rsidTr="00B64154">
        <w:trPr>
          <w:trHeight w:hRule="exact" w:val="225"/>
        </w:trPr>
        <w:tc>
          <w:tcPr>
            <w:tcW w:w="2157" w:type="pct"/>
            <w:tcBorders>
              <w:top w:val="nil"/>
              <w:left w:val="nil"/>
              <w:bottom w:val="nil"/>
              <w:right w:val="nil"/>
            </w:tcBorders>
            <w:noWrap/>
            <w:vAlign w:val="center"/>
            <w:hideMark/>
          </w:tcPr>
          <w:p w14:paraId="200F04EA" w14:textId="77777777" w:rsidR="00B64154" w:rsidRPr="00954D98" w:rsidRDefault="00B64154" w:rsidP="00B64154">
            <w:pPr>
              <w:spacing w:before="0" w:after="0" w:line="240" w:lineRule="auto"/>
              <w:ind w:firstLineChars="100" w:firstLine="160"/>
              <w:rPr>
                <w:rFonts w:ascii="Arial" w:hAnsi="Arial" w:cs="Arial"/>
                <w:sz w:val="16"/>
                <w:szCs w:val="16"/>
              </w:rPr>
            </w:pPr>
            <w:r w:rsidRPr="00954D98">
              <w:rPr>
                <w:rFonts w:ascii="Arial" w:hAnsi="Arial" w:cs="Arial"/>
                <w:sz w:val="16"/>
                <w:szCs w:val="16"/>
              </w:rPr>
              <w:t>Other fuel products</w:t>
            </w:r>
          </w:p>
        </w:tc>
        <w:tc>
          <w:tcPr>
            <w:tcW w:w="718" w:type="pct"/>
            <w:tcBorders>
              <w:top w:val="nil"/>
              <w:left w:val="nil"/>
              <w:bottom w:val="nil"/>
              <w:right w:val="nil"/>
            </w:tcBorders>
            <w:noWrap/>
            <w:vAlign w:val="center"/>
            <w:hideMark/>
          </w:tcPr>
          <w:p w14:paraId="7B3C53AE"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2,020</w:t>
            </w:r>
          </w:p>
        </w:tc>
        <w:tc>
          <w:tcPr>
            <w:tcW w:w="776" w:type="pct"/>
            <w:tcBorders>
              <w:top w:val="nil"/>
              <w:left w:val="nil"/>
              <w:bottom w:val="nil"/>
              <w:right w:val="nil"/>
            </w:tcBorders>
            <w:shd w:val="clear" w:color="000000" w:fill="E6F2FF"/>
            <w:noWrap/>
            <w:vAlign w:val="center"/>
            <w:hideMark/>
          </w:tcPr>
          <w:p w14:paraId="54632FC6"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1,680</w:t>
            </w:r>
          </w:p>
        </w:tc>
        <w:tc>
          <w:tcPr>
            <w:tcW w:w="51" w:type="pct"/>
            <w:tcBorders>
              <w:top w:val="nil"/>
              <w:left w:val="nil"/>
              <w:bottom w:val="nil"/>
              <w:right w:val="nil"/>
            </w:tcBorders>
            <w:noWrap/>
            <w:vAlign w:val="center"/>
            <w:hideMark/>
          </w:tcPr>
          <w:p w14:paraId="7C2C989E"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55E7CF7F"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-340</w:t>
            </w:r>
          </w:p>
        </w:tc>
        <w:tc>
          <w:tcPr>
            <w:tcW w:w="649" w:type="pct"/>
            <w:tcBorders>
              <w:top w:val="nil"/>
              <w:left w:val="nil"/>
              <w:bottom w:val="nil"/>
              <w:right w:val="nil"/>
            </w:tcBorders>
            <w:noWrap/>
            <w:vAlign w:val="center"/>
            <w:hideMark/>
          </w:tcPr>
          <w:p w14:paraId="39101CC5"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-16.8</w:t>
            </w:r>
          </w:p>
        </w:tc>
      </w:tr>
      <w:tr w:rsidR="00B64154" w:rsidRPr="00954D98" w14:paraId="360F148F" w14:textId="77777777" w:rsidTr="00B64154">
        <w:trPr>
          <w:trHeight w:hRule="exact" w:val="225"/>
        </w:trPr>
        <w:tc>
          <w:tcPr>
            <w:tcW w:w="2157" w:type="pct"/>
            <w:tcBorders>
              <w:top w:val="nil"/>
              <w:left w:val="nil"/>
              <w:bottom w:val="nil"/>
              <w:right w:val="nil"/>
            </w:tcBorders>
            <w:noWrap/>
            <w:vAlign w:val="center"/>
            <w:hideMark/>
          </w:tcPr>
          <w:p w14:paraId="58129BCA" w14:textId="77777777" w:rsidR="00B64154" w:rsidRPr="00954D98" w:rsidRDefault="00B64154" w:rsidP="00B64154">
            <w:pPr>
              <w:spacing w:before="0" w:after="0" w:line="240" w:lineRule="auto"/>
              <w:ind w:firstLineChars="100" w:firstLine="160"/>
              <w:rPr>
                <w:rFonts w:ascii="Arial" w:hAnsi="Arial" w:cs="Arial"/>
                <w:sz w:val="16"/>
                <w:szCs w:val="16"/>
              </w:rPr>
            </w:pPr>
            <w:r w:rsidRPr="00954D98">
              <w:rPr>
                <w:rFonts w:ascii="Arial" w:hAnsi="Arial" w:cs="Arial"/>
                <w:sz w:val="16"/>
                <w:szCs w:val="16"/>
              </w:rPr>
              <w:t>Tobacco</w:t>
            </w:r>
          </w:p>
        </w:tc>
        <w:tc>
          <w:tcPr>
            <w:tcW w:w="718" w:type="pct"/>
            <w:tcBorders>
              <w:top w:val="nil"/>
              <w:left w:val="nil"/>
              <w:bottom w:val="nil"/>
              <w:right w:val="nil"/>
            </w:tcBorders>
            <w:noWrap/>
            <w:vAlign w:val="center"/>
            <w:hideMark/>
          </w:tcPr>
          <w:p w14:paraId="5CEF8992"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7,050</w:t>
            </w:r>
          </w:p>
        </w:tc>
        <w:tc>
          <w:tcPr>
            <w:tcW w:w="776" w:type="pct"/>
            <w:tcBorders>
              <w:top w:val="nil"/>
              <w:left w:val="nil"/>
              <w:bottom w:val="nil"/>
              <w:right w:val="nil"/>
            </w:tcBorders>
            <w:shd w:val="clear" w:color="000000" w:fill="E6F2FF"/>
            <w:noWrap/>
            <w:vAlign w:val="center"/>
            <w:hideMark/>
          </w:tcPr>
          <w:p w14:paraId="6C7D832C"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5,450</w:t>
            </w:r>
          </w:p>
        </w:tc>
        <w:tc>
          <w:tcPr>
            <w:tcW w:w="51" w:type="pct"/>
            <w:tcBorders>
              <w:top w:val="nil"/>
              <w:left w:val="nil"/>
              <w:bottom w:val="nil"/>
              <w:right w:val="nil"/>
            </w:tcBorders>
            <w:noWrap/>
            <w:vAlign w:val="center"/>
            <w:hideMark/>
          </w:tcPr>
          <w:p w14:paraId="261E26B9"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6DC044DF"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-1,600</w:t>
            </w:r>
          </w:p>
        </w:tc>
        <w:tc>
          <w:tcPr>
            <w:tcW w:w="649" w:type="pct"/>
            <w:tcBorders>
              <w:top w:val="nil"/>
              <w:left w:val="nil"/>
              <w:bottom w:val="nil"/>
              <w:right w:val="nil"/>
            </w:tcBorders>
            <w:noWrap/>
            <w:vAlign w:val="center"/>
            <w:hideMark/>
          </w:tcPr>
          <w:p w14:paraId="041F0BA9"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-22.7</w:t>
            </w:r>
          </w:p>
        </w:tc>
      </w:tr>
      <w:tr w:rsidR="00B64154" w:rsidRPr="00954D98" w14:paraId="111F95DF" w14:textId="77777777" w:rsidTr="00B64154">
        <w:trPr>
          <w:trHeight w:hRule="exact" w:val="225"/>
        </w:trPr>
        <w:tc>
          <w:tcPr>
            <w:tcW w:w="2157" w:type="pct"/>
            <w:tcBorders>
              <w:top w:val="nil"/>
              <w:left w:val="nil"/>
              <w:bottom w:val="nil"/>
              <w:right w:val="nil"/>
            </w:tcBorders>
            <w:noWrap/>
            <w:vAlign w:val="center"/>
            <w:hideMark/>
          </w:tcPr>
          <w:p w14:paraId="7B947455" w14:textId="77777777" w:rsidR="00B64154" w:rsidRPr="00954D98" w:rsidRDefault="00B64154" w:rsidP="00B64154">
            <w:pPr>
              <w:spacing w:before="0" w:after="0" w:line="240" w:lineRule="auto"/>
              <w:ind w:firstLineChars="100" w:firstLine="160"/>
              <w:rPr>
                <w:rFonts w:ascii="Arial" w:hAnsi="Arial" w:cs="Arial"/>
                <w:sz w:val="16"/>
                <w:szCs w:val="16"/>
              </w:rPr>
            </w:pPr>
            <w:r w:rsidRPr="00954D98">
              <w:rPr>
                <w:rFonts w:ascii="Arial" w:hAnsi="Arial" w:cs="Arial"/>
                <w:sz w:val="16"/>
                <w:szCs w:val="16"/>
              </w:rPr>
              <w:t>Beer</w:t>
            </w:r>
          </w:p>
        </w:tc>
        <w:tc>
          <w:tcPr>
            <w:tcW w:w="718" w:type="pct"/>
            <w:tcBorders>
              <w:top w:val="nil"/>
              <w:left w:val="nil"/>
              <w:bottom w:val="nil"/>
              <w:right w:val="nil"/>
            </w:tcBorders>
            <w:noWrap/>
            <w:vAlign w:val="center"/>
            <w:hideMark/>
          </w:tcPr>
          <w:p w14:paraId="093FDE8A"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2,780</w:t>
            </w:r>
          </w:p>
        </w:tc>
        <w:tc>
          <w:tcPr>
            <w:tcW w:w="776" w:type="pct"/>
            <w:tcBorders>
              <w:top w:val="nil"/>
              <w:left w:val="nil"/>
              <w:bottom w:val="nil"/>
              <w:right w:val="nil"/>
            </w:tcBorders>
            <w:shd w:val="clear" w:color="000000" w:fill="E6F2FF"/>
            <w:noWrap/>
            <w:vAlign w:val="center"/>
            <w:hideMark/>
          </w:tcPr>
          <w:p w14:paraId="7248F8C5"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2,710</w:t>
            </w:r>
          </w:p>
        </w:tc>
        <w:tc>
          <w:tcPr>
            <w:tcW w:w="51" w:type="pct"/>
            <w:tcBorders>
              <w:top w:val="nil"/>
              <w:left w:val="nil"/>
              <w:bottom w:val="nil"/>
              <w:right w:val="nil"/>
            </w:tcBorders>
            <w:noWrap/>
            <w:vAlign w:val="center"/>
            <w:hideMark/>
          </w:tcPr>
          <w:p w14:paraId="747C96F3"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6AB7CC01"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-70</w:t>
            </w:r>
          </w:p>
        </w:tc>
        <w:tc>
          <w:tcPr>
            <w:tcW w:w="649" w:type="pct"/>
            <w:tcBorders>
              <w:top w:val="nil"/>
              <w:left w:val="nil"/>
              <w:bottom w:val="nil"/>
              <w:right w:val="nil"/>
            </w:tcBorders>
            <w:noWrap/>
            <w:vAlign w:val="center"/>
            <w:hideMark/>
          </w:tcPr>
          <w:p w14:paraId="281A3993"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-2.5</w:t>
            </w:r>
          </w:p>
        </w:tc>
      </w:tr>
      <w:tr w:rsidR="00B64154" w:rsidRPr="00954D98" w14:paraId="169641E1" w14:textId="77777777" w:rsidTr="00B64154">
        <w:trPr>
          <w:trHeight w:hRule="exact" w:val="225"/>
        </w:trPr>
        <w:tc>
          <w:tcPr>
            <w:tcW w:w="2157" w:type="pct"/>
            <w:tcBorders>
              <w:top w:val="nil"/>
              <w:left w:val="nil"/>
              <w:bottom w:val="nil"/>
              <w:right w:val="nil"/>
            </w:tcBorders>
            <w:noWrap/>
            <w:vAlign w:val="center"/>
            <w:hideMark/>
          </w:tcPr>
          <w:p w14:paraId="03C53AD9" w14:textId="77777777" w:rsidR="00B64154" w:rsidRPr="00954D98" w:rsidRDefault="00B64154" w:rsidP="00B64154">
            <w:pPr>
              <w:spacing w:before="0" w:after="0" w:line="240" w:lineRule="auto"/>
              <w:ind w:firstLineChars="100" w:firstLine="160"/>
              <w:rPr>
                <w:rFonts w:ascii="Arial" w:hAnsi="Arial" w:cs="Arial"/>
                <w:sz w:val="16"/>
                <w:szCs w:val="16"/>
              </w:rPr>
            </w:pPr>
            <w:r w:rsidRPr="00954D98">
              <w:rPr>
                <w:rFonts w:ascii="Arial" w:hAnsi="Arial" w:cs="Arial"/>
                <w:sz w:val="16"/>
                <w:szCs w:val="16"/>
              </w:rPr>
              <w:t>Spirits</w:t>
            </w:r>
          </w:p>
        </w:tc>
        <w:tc>
          <w:tcPr>
            <w:tcW w:w="718" w:type="pct"/>
            <w:tcBorders>
              <w:top w:val="nil"/>
              <w:left w:val="nil"/>
              <w:bottom w:val="nil"/>
              <w:right w:val="nil"/>
            </w:tcBorders>
            <w:noWrap/>
            <w:vAlign w:val="center"/>
            <w:hideMark/>
          </w:tcPr>
          <w:p w14:paraId="406F381A"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3,380</w:t>
            </w:r>
          </w:p>
        </w:tc>
        <w:tc>
          <w:tcPr>
            <w:tcW w:w="776" w:type="pct"/>
            <w:tcBorders>
              <w:top w:val="nil"/>
              <w:left w:val="nil"/>
              <w:bottom w:val="nil"/>
              <w:right w:val="nil"/>
            </w:tcBorders>
            <w:shd w:val="clear" w:color="000000" w:fill="E6F2FF"/>
            <w:noWrap/>
            <w:vAlign w:val="center"/>
            <w:hideMark/>
          </w:tcPr>
          <w:p w14:paraId="05C809CD"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3,270</w:t>
            </w:r>
          </w:p>
        </w:tc>
        <w:tc>
          <w:tcPr>
            <w:tcW w:w="51" w:type="pct"/>
            <w:tcBorders>
              <w:top w:val="nil"/>
              <w:left w:val="nil"/>
              <w:bottom w:val="nil"/>
              <w:right w:val="nil"/>
            </w:tcBorders>
            <w:noWrap/>
            <w:vAlign w:val="center"/>
            <w:hideMark/>
          </w:tcPr>
          <w:p w14:paraId="662CB478"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5C1445DF"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-110</w:t>
            </w:r>
          </w:p>
        </w:tc>
        <w:tc>
          <w:tcPr>
            <w:tcW w:w="649" w:type="pct"/>
            <w:tcBorders>
              <w:top w:val="nil"/>
              <w:left w:val="nil"/>
              <w:bottom w:val="nil"/>
              <w:right w:val="nil"/>
            </w:tcBorders>
            <w:noWrap/>
            <w:vAlign w:val="center"/>
            <w:hideMark/>
          </w:tcPr>
          <w:p w14:paraId="10C95388"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-3.3</w:t>
            </w:r>
          </w:p>
        </w:tc>
      </w:tr>
      <w:tr w:rsidR="00B64154" w:rsidRPr="00954D98" w14:paraId="28A3DECB" w14:textId="77777777" w:rsidTr="00B64154">
        <w:trPr>
          <w:trHeight w:hRule="exact" w:val="225"/>
        </w:trPr>
        <w:tc>
          <w:tcPr>
            <w:tcW w:w="2157" w:type="pct"/>
            <w:tcBorders>
              <w:top w:val="nil"/>
              <w:left w:val="nil"/>
              <w:bottom w:val="nil"/>
              <w:right w:val="nil"/>
            </w:tcBorders>
            <w:noWrap/>
            <w:vAlign w:val="center"/>
            <w:hideMark/>
          </w:tcPr>
          <w:p w14:paraId="1D6A146E" w14:textId="77777777" w:rsidR="00B64154" w:rsidRPr="00954D98" w:rsidRDefault="00B64154" w:rsidP="00B64154">
            <w:pPr>
              <w:spacing w:before="0" w:after="0" w:line="240" w:lineRule="auto"/>
              <w:ind w:firstLineChars="100" w:firstLine="160"/>
              <w:rPr>
                <w:rFonts w:ascii="Arial" w:hAnsi="Arial" w:cs="Arial"/>
                <w:sz w:val="16"/>
                <w:szCs w:val="16"/>
              </w:rPr>
            </w:pPr>
            <w:r w:rsidRPr="00954D98">
              <w:rPr>
                <w:rFonts w:ascii="Arial" w:hAnsi="Arial" w:cs="Arial"/>
                <w:sz w:val="16"/>
                <w:szCs w:val="16"/>
              </w:rPr>
              <w:t>Other alcoholic beverages(a)</w:t>
            </w:r>
          </w:p>
        </w:tc>
        <w:tc>
          <w:tcPr>
            <w:tcW w:w="718" w:type="pct"/>
            <w:tcBorders>
              <w:top w:val="nil"/>
              <w:left w:val="nil"/>
              <w:bottom w:val="nil"/>
              <w:right w:val="nil"/>
            </w:tcBorders>
            <w:noWrap/>
            <w:vAlign w:val="center"/>
            <w:hideMark/>
          </w:tcPr>
          <w:p w14:paraId="099E8293"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1,830</w:t>
            </w:r>
          </w:p>
        </w:tc>
        <w:tc>
          <w:tcPr>
            <w:tcW w:w="776" w:type="pct"/>
            <w:tcBorders>
              <w:top w:val="nil"/>
              <w:left w:val="nil"/>
              <w:bottom w:val="nil"/>
              <w:right w:val="nil"/>
            </w:tcBorders>
            <w:shd w:val="clear" w:color="000000" w:fill="E6F2FF"/>
            <w:noWrap/>
            <w:vAlign w:val="center"/>
            <w:hideMark/>
          </w:tcPr>
          <w:p w14:paraId="2104073D"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1,810</w:t>
            </w:r>
          </w:p>
        </w:tc>
        <w:tc>
          <w:tcPr>
            <w:tcW w:w="51" w:type="pct"/>
            <w:tcBorders>
              <w:top w:val="nil"/>
              <w:left w:val="nil"/>
              <w:bottom w:val="nil"/>
              <w:right w:val="nil"/>
            </w:tcBorders>
            <w:noWrap/>
            <w:vAlign w:val="center"/>
            <w:hideMark/>
          </w:tcPr>
          <w:p w14:paraId="32966DBA"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4FFC45BF"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-20</w:t>
            </w:r>
          </w:p>
        </w:tc>
        <w:tc>
          <w:tcPr>
            <w:tcW w:w="649" w:type="pct"/>
            <w:tcBorders>
              <w:top w:val="nil"/>
              <w:left w:val="nil"/>
              <w:bottom w:val="nil"/>
              <w:right w:val="nil"/>
            </w:tcBorders>
            <w:noWrap/>
            <w:vAlign w:val="center"/>
            <w:hideMark/>
          </w:tcPr>
          <w:p w14:paraId="1C0C8DAD"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-1.1</w:t>
            </w:r>
          </w:p>
        </w:tc>
      </w:tr>
      <w:tr w:rsidR="00B64154" w:rsidRPr="00954D98" w14:paraId="1EB63DCE" w14:textId="77777777" w:rsidTr="00B64154">
        <w:trPr>
          <w:trHeight w:hRule="exact" w:val="225"/>
        </w:trPr>
        <w:tc>
          <w:tcPr>
            <w:tcW w:w="2157" w:type="pct"/>
            <w:tcBorders>
              <w:top w:val="nil"/>
              <w:left w:val="nil"/>
              <w:bottom w:val="nil"/>
              <w:right w:val="nil"/>
            </w:tcBorders>
            <w:noWrap/>
            <w:vAlign w:val="center"/>
            <w:hideMark/>
          </w:tcPr>
          <w:p w14:paraId="31A6ED62" w14:textId="77777777" w:rsidR="00B64154" w:rsidRPr="00954D98" w:rsidRDefault="00B64154" w:rsidP="00B64154">
            <w:pPr>
              <w:spacing w:before="0" w:after="0" w:line="240" w:lineRule="auto"/>
              <w:ind w:firstLineChars="100" w:firstLine="160"/>
              <w:rPr>
                <w:rFonts w:ascii="Arial" w:hAnsi="Arial" w:cs="Arial"/>
                <w:sz w:val="16"/>
                <w:szCs w:val="16"/>
              </w:rPr>
            </w:pPr>
            <w:r w:rsidRPr="00954D98">
              <w:rPr>
                <w:rFonts w:ascii="Arial" w:hAnsi="Arial" w:cs="Arial"/>
                <w:sz w:val="16"/>
                <w:szCs w:val="16"/>
              </w:rPr>
              <w:t>Other customs duty</w:t>
            </w:r>
          </w:p>
        </w:tc>
        <w:tc>
          <w:tcPr>
            <w:tcW w:w="718" w:type="pct"/>
            <w:tcBorders>
              <w:top w:val="nil"/>
              <w:left w:val="nil"/>
              <w:bottom w:val="nil"/>
              <w:right w:val="nil"/>
            </w:tcBorders>
            <w:noWrap/>
            <w:vAlign w:val="center"/>
            <w:hideMark/>
          </w:tcPr>
          <w:p w14:paraId="6BEDA80F" w14:textId="77777777" w:rsidR="00B64154" w:rsidRPr="00954D98" w:rsidRDefault="00B64154" w:rsidP="00B64154">
            <w:pPr>
              <w:spacing w:before="0" w:after="0" w:line="240" w:lineRule="auto"/>
              <w:ind w:firstLineChars="100" w:firstLine="160"/>
              <w:rPr>
                <w:rFonts w:ascii="Arial" w:hAnsi="Arial" w:cs="Arial"/>
                <w:sz w:val="16"/>
                <w:szCs w:val="16"/>
              </w:rPr>
            </w:pPr>
          </w:p>
        </w:tc>
        <w:tc>
          <w:tcPr>
            <w:tcW w:w="776" w:type="pct"/>
            <w:tcBorders>
              <w:top w:val="nil"/>
              <w:left w:val="nil"/>
              <w:bottom w:val="nil"/>
              <w:right w:val="nil"/>
            </w:tcBorders>
            <w:shd w:val="clear" w:color="000000" w:fill="E6F2FF"/>
            <w:noWrap/>
            <w:vAlign w:val="center"/>
            <w:hideMark/>
          </w:tcPr>
          <w:p w14:paraId="17553107"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 </w:t>
            </w:r>
          </w:p>
        </w:tc>
        <w:tc>
          <w:tcPr>
            <w:tcW w:w="51" w:type="pct"/>
            <w:tcBorders>
              <w:top w:val="nil"/>
              <w:left w:val="nil"/>
              <w:bottom w:val="nil"/>
              <w:right w:val="nil"/>
            </w:tcBorders>
            <w:noWrap/>
            <w:vAlign w:val="center"/>
            <w:hideMark/>
          </w:tcPr>
          <w:p w14:paraId="3A468A79" w14:textId="77777777" w:rsidR="00B64154" w:rsidRPr="00954D98" w:rsidRDefault="00B64154" w:rsidP="00B64154">
            <w:pPr>
              <w:spacing w:before="0" w:after="0" w:line="240" w:lineRule="auto"/>
              <w:rPr>
                <w:rFonts w:ascii="Arial" w:hAnsi="Arial" w:cs="Arial"/>
                <w:sz w:val="16"/>
                <w:szCs w:val="16"/>
              </w:rPr>
            </w:pPr>
          </w:p>
        </w:tc>
        <w:tc>
          <w:tcPr>
            <w:tcW w:w="649" w:type="pct"/>
            <w:tcBorders>
              <w:top w:val="nil"/>
              <w:left w:val="nil"/>
              <w:bottom w:val="nil"/>
              <w:right w:val="nil"/>
            </w:tcBorders>
            <w:noWrap/>
            <w:vAlign w:val="center"/>
            <w:hideMark/>
          </w:tcPr>
          <w:p w14:paraId="3F3B0EE3" w14:textId="77777777" w:rsidR="00B64154" w:rsidRPr="00954D98" w:rsidRDefault="00B64154" w:rsidP="00B64154">
            <w:pPr>
              <w:spacing w:before="0" w:after="0" w:line="240" w:lineRule="auto"/>
              <w:jc w:val="right"/>
              <w:rPr>
                <w:sz w:val="20"/>
              </w:rPr>
            </w:pPr>
          </w:p>
        </w:tc>
        <w:tc>
          <w:tcPr>
            <w:tcW w:w="649" w:type="pct"/>
            <w:tcBorders>
              <w:top w:val="nil"/>
              <w:left w:val="nil"/>
              <w:bottom w:val="nil"/>
              <w:right w:val="nil"/>
            </w:tcBorders>
            <w:noWrap/>
            <w:vAlign w:val="center"/>
            <w:hideMark/>
          </w:tcPr>
          <w:p w14:paraId="57B6E684" w14:textId="77777777" w:rsidR="00B64154" w:rsidRPr="00954D98" w:rsidRDefault="00B64154" w:rsidP="00B64154">
            <w:pPr>
              <w:spacing w:before="0" w:after="0" w:line="240" w:lineRule="auto"/>
              <w:jc w:val="right"/>
              <w:rPr>
                <w:sz w:val="20"/>
              </w:rPr>
            </w:pPr>
          </w:p>
        </w:tc>
      </w:tr>
      <w:tr w:rsidR="00B64154" w:rsidRPr="00954D98" w14:paraId="54950EAE" w14:textId="77777777" w:rsidTr="00B64154">
        <w:trPr>
          <w:trHeight w:hRule="exact" w:val="225"/>
        </w:trPr>
        <w:tc>
          <w:tcPr>
            <w:tcW w:w="2157" w:type="pct"/>
            <w:tcBorders>
              <w:top w:val="nil"/>
              <w:left w:val="nil"/>
              <w:bottom w:val="nil"/>
              <w:right w:val="nil"/>
            </w:tcBorders>
            <w:noWrap/>
            <w:vAlign w:val="bottom"/>
            <w:hideMark/>
          </w:tcPr>
          <w:p w14:paraId="506DD83C" w14:textId="77777777" w:rsidR="00B64154" w:rsidRPr="00954D98" w:rsidRDefault="00B64154" w:rsidP="00B64154">
            <w:pPr>
              <w:spacing w:before="0" w:after="0" w:line="240" w:lineRule="auto"/>
              <w:ind w:left="170"/>
              <w:rPr>
                <w:rFonts w:ascii="Arial" w:hAnsi="Arial" w:cs="Arial"/>
                <w:sz w:val="16"/>
                <w:szCs w:val="16"/>
              </w:rPr>
            </w:pPr>
            <w:r w:rsidRPr="00954D98">
              <w:rPr>
                <w:rFonts w:ascii="Arial" w:hAnsi="Arial" w:cs="Arial"/>
                <w:sz w:val="16"/>
                <w:szCs w:val="16"/>
              </w:rPr>
              <w:t xml:space="preserve">    Textiles, clothing and footwear</w:t>
            </w:r>
          </w:p>
        </w:tc>
        <w:tc>
          <w:tcPr>
            <w:tcW w:w="718" w:type="pct"/>
            <w:tcBorders>
              <w:top w:val="nil"/>
              <w:left w:val="nil"/>
              <w:bottom w:val="nil"/>
              <w:right w:val="nil"/>
            </w:tcBorders>
            <w:noWrap/>
            <w:vAlign w:val="center"/>
            <w:hideMark/>
          </w:tcPr>
          <w:p w14:paraId="210D4BD1"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170</w:t>
            </w:r>
          </w:p>
        </w:tc>
        <w:tc>
          <w:tcPr>
            <w:tcW w:w="776" w:type="pct"/>
            <w:tcBorders>
              <w:top w:val="nil"/>
              <w:left w:val="nil"/>
              <w:bottom w:val="nil"/>
              <w:right w:val="nil"/>
            </w:tcBorders>
            <w:shd w:val="clear" w:color="000000" w:fill="E6F2FF"/>
            <w:noWrap/>
            <w:vAlign w:val="center"/>
            <w:hideMark/>
          </w:tcPr>
          <w:p w14:paraId="1622587C"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160</w:t>
            </w:r>
          </w:p>
        </w:tc>
        <w:tc>
          <w:tcPr>
            <w:tcW w:w="51" w:type="pct"/>
            <w:tcBorders>
              <w:top w:val="nil"/>
              <w:left w:val="nil"/>
              <w:bottom w:val="nil"/>
              <w:right w:val="nil"/>
            </w:tcBorders>
            <w:noWrap/>
            <w:vAlign w:val="center"/>
            <w:hideMark/>
          </w:tcPr>
          <w:p w14:paraId="3EA9526E"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00CC2772"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-10</w:t>
            </w:r>
          </w:p>
        </w:tc>
        <w:tc>
          <w:tcPr>
            <w:tcW w:w="649" w:type="pct"/>
            <w:tcBorders>
              <w:top w:val="nil"/>
              <w:left w:val="nil"/>
              <w:bottom w:val="nil"/>
              <w:right w:val="nil"/>
            </w:tcBorders>
            <w:noWrap/>
            <w:vAlign w:val="center"/>
            <w:hideMark/>
          </w:tcPr>
          <w:p w14:paraId="3311FFF4"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-5.9</w:t>
            </w:r>
          </w:p>
        </w:tc>
      </w:tr>
      <w:tr w:rsidR="00B64154" w:rsidRPr="00954D98" w14:paraId="138C2286" w14:textId="77777777" w:rsidTr="00B64154">
        <w:trPr>
          <w:trHeight w:hRule="exact" w:val="225"/>
        </w:trPr>
        <w:tc>
          <w:tcPr>
            <w:tcW w:w="2157" w:type="pct"/>
            <w:tcBorders>
              <w:top w:val="nil"/>
              <w:left w:val="nil"/>
              <w:bottom w:val="nil"/>
              <w:right w:val="nil"/>
            </w:tcBorders>
            <w:noWrap/>
            <w:vAlign w:val="bottom"/>
            <w:hideMark/>
          </w:tcPr>
          <w:p w14:paraId="756102C9" w14:textId="77777777" w:rsidR="00B64154" w:rsidRPr="00954D98" w:rsidRDefault="00B64154" w:rsidP="00B64154">
            <w:pPr>
              <w:spacing w:before="0" w:after="0" w:line="240" w:lineRule="auto"/>
              <w:ind w:left="170"/>
              <w:rPr>
                <w:rFonts w:ascii="Arial" w:hAnsi="Arial" w:cs="Arial"/>
                <w:sz w:val="16"/>
                <w:szCs w:val="16"/>
              </w:rPr>
            </w:pPr>
            <w:r w:rsidRPr="00954D98">
              <w:rPr>
                <w:rFonts w:ascii="Arial" w:hAnsi="Arial" w:cs="Arial"/>
                <w:sz w:val="16"/>
                <w:szCs w:val="16"/>
              </w:rPr>
              <w:t xml:space="preserve">    Passenger motor vehicles</w:t>
            </w:r>
          </w:p>
        </w:tc>
        <w:tc>
          <w:tcPr>
            <w:tcW w:w="718" w:type="pct"/>
            <w:tcBorders>
              <w:top w:val="nil"/>
              <w:left w:val="nil"/>
              <w:bottom w:val="nil"/>
              <w:right w:val="nil"/>
            </w:tcBorders>
            <w:noWrap/>
            <w:vAlign w:val="center"/>
            <w:hideMark/>
          </w:tcPr>
          <w:p w14:paraId="25B4CBD0"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380</w:t>
            </w:r>
          </w:p>
        </w:tc>
        <w:tc>
          <w:tcPr>
            <w:tcW w:w="776" w:type="pct"/>
            <w:tcBorders>
              <w:top w:val="nil"/>
              <w:left w:val="nil"/>
              <w:bottom w:val="nil"/>
              <w:right w:val="nil"/>
            </w:tcBorders>
            <w:shd w:val="clear" w:color="000000" w:fill="E6F2FF"/>
            <w:noWrap/>
            <w:vAlign w:val="center"/>
            <w:hideMark/>
          </w:tcPr>
          <w:p w14:paraId="23FBA888"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300</w:t>
            </w:r>
          </w:p>
        </w:tc>
        <w:tc>
          <w:tcPr>
            <w:tcW w:w="51" w:type="pct"/>
            <w:tcBorders>
              <w:top w:val="nil"/>
              <w:left w:val="nil"/>
              <w:bottom w:val="nil"/>
              <w:right w:val="nil"/>
            </w:tcBorders>
            <w:noWrap/>
            <w:vAlign w:val="center"/>
            <w:hideMark/>
          </w:tcPr>
          <w:p w14:paraId="087D2534"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4408ED6B"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-80</w:t>
            </w:r>
          </w:p>
        </w:tc>
        <w:tc>
          <w:tcPr>
            <w:tcW w:w="649" w:type="pct"/>
            <w:tcBorders>
              <w:top w:val="nil"/>
              <w:left w:val="nil"/>
              <w:bottom w:val="nil"/>
              <w:right w:val="nil"/>
            </w:tcBorders>
            <w:noWrap/>
            <w:vAlign w:val="center"/>
            <w:hideMark/>
          </w:tcPr>
          <w:p w14:paraId="2588FE2F"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-21.1</w:t>
            </w:r>
          </w:p>
        </w:tc>
      </w:tr>
      <w:tr w:rsidR="00B64154" w:rsidRPr="00954D98" w14:paraId="45747698" w14:textId="77777777" w:rsidTr="00B64154">
        <w:trPr>
          <w:trHeight w:hRule="exact" w:val="225"/>
        </w:trPr>
        <w:tc>
          <w:tcPr>
            <w:tcW w:w="2157" w:type="pct"/>
            <w:tcBorders>
              <w:top w:val="nil"/>
              <w:left w:val="nil"/>
              <w:bottom w:val="nil"/>
              <w:right w:val="nil"/>
            </w:tcBorders>
            <w:noWrap/>
            <w:vAlign w:val="center"/>
            <w:hideMark/>
          </w:tcPr>
          <w:p w14:paraId="0215332B" w14:textId="77777777" w:rsidR="00B64154" w:rsidRPr="00954D98" w:rsidRDefault="00B64154" w:rsidP="00B64154">
            <w:pPr>
              <w:spacing w:before="0" w:after="0" w:line="240" w:lineRule="auto"/>
              <w:ind w:left="170"/>
              <w:rPr>
                <w:rFonts w:ascii="Arial" w:hAnsi="Arial" w:cs="Arial"/>
                <w:sz w:val="16"/>
                <w:szCs w:val="16"/>
              </w:rPr>
            </w:pPr>
            <w:r w:rsidRPr="00954D98">
              <w:rPr>
                <w:rFonts w:ascii="Arial" w:hAnsi="Arial" w:cs="Arial"/>
                <w:sz w:val="16"/>
                <w:szCs w:val="16"/>
              </w:rPr>
              <w:t xml:space="preserve">    Other imports</w:t>
            </w:r>
          </w:p>
        </w:tc>
        <w:tc>
          <w:tcPr>
            <w:tcW w:w="718" w:type="pct"/>
            <w:tcBorders>
              <w:top w:val="nil"/>
              <w:left w:val="nil"/>
              <w:bottom w:val="nil"/>
              <w:right w:val="nil"/>
            </w:tcBorders>
            <w:noWrap/>
            <w:vAlign w:val="center"/>
            <w:hideMark/>
          </w:tcPr>
          <w:p w14:paraId="0258ACDA"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1,620</w:t>
            </w:r>
          </w:p>
        </w:tc>
        <w:tc>
          <w:tcPr>
            <w:tcW w:w="776" w:type="pct"/>
            <w:tcBorders>
              <w:top w:val="nil"/>
              <w:left w:val="nil"/>
              <w:bottom w:val="nil"/>
              <w:right w:val="nil"/>
            </w:tcBorders>
            <w:shd w:val="clear" w:color="000000" w:fill="E6F2FF"/>
            <w:noWrap/>
            <w:vAlign w:val="center"/>
            <w:hideMark/>
          </w:tcPr>
          <w:p w14:paraId="1EEBCB77"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1,550</w:t>
            </w:r>
          </w:p>
        </w:tc>
        <w:tc>
          <w:tcPr>
            <w:tcW w:w="51" w:type="pct"/>
            <w:tcBorders>
              <w:top w:val="nil"/>
              <w:left w:val="nil"/>
              <w:bottom w:val="nil"/>
              <w:right w:val="nil"/>
            </w:tcBorders>
            <w:noWrap/>
            <w:vAlign w:val="center"/>
            <w:hideMark/>
          </w:tcPr>
          <w:p w14:paraId="56E95B68"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51648C68"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-70</w:t>
            </w:r>
          </w:p>
        </w:tc>
        <w:tc>
          <w:tcPr>
            <w:tcW w:w="649" w:type="pct"/>
            <w:tcBorders>
              <w:top w:val="nil"/>
              <w:left w:val="nil"/>
              <w:bottom w:val="nil"/>
              <w:right w:val="nil"/>
            </w:tcBorders>
            <w:noWrap/>
            <w:vAlign w:val="center"/>
            <w:hideMark/>
          </w:tcPr>
          <w:p w14:paraId="196B53A4"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-4.3</w:t>
            </w:r>
          </w:p>
        </w:tc>
      </w:tr>
      <w:tr w:rsidR="00B64154" w:rsidRPr="00954D98" w14:paraId="1AB4F1AE" w14:textId="77777777" w:rsidTr="00B64154">
        <w:trPr>
          <w:trHeight w:hRule="exact" w:val="225"/>
        </w:trPr>
        <w:tc>
          <w:tcPr>
            <w:tcW w:w="2157" w:type="pct"/>
            <w:tcBorders>
              <w:top w:val="nil"/>
              <w:left w:val="nil"/>
              <w:bottom w:val="nil"/>
              <w:right w:val="nil"/>
            </w:tcBorders>
            <w:noWrap/>
            <w:vAlign w:val="bottom"/>
            <w:hideMark/>
          </w:tcPr>
          <w:p w14:paraId="1FF69204" w14:textId="77777777" w:rsidR="00B64154" w:rsidRPr="00954D98" w:rsidRDefault="00B64154" w:rsidP="00B64154">
            <w:pPr>
              <w:spacing w:before="0" w:after="0" w:line="240" w:lineRule="auto"/>
              <w:ind w:firstLineChars="100" w:firstLine="160"/>
              <w:rPr>
                <w:rFonts w:ascii="Arial" w:hAnsi="Arial" w:cs="Arial"/>
                <w:i/>
                <w:iCs/>
                <w:sz w:val="16"/>
                <w:szCs w:val="16"/>
              </w:rPr>
            </w:pPr>
            <w:r w:rsidRPr="00954D98">
              <w:rPr>
                <w:rFonts w:ascii="Arial" w:hAnsi="Arial" w:cs="Arial"/>
                <w:i/>
                <w:iCs/>
                <w:sz w:val="16"/>
                <w:szCs w:val="16"/>
              </w:rPr>
              <w:t xml:space="preserve">less: </w:t>
            </w:r>
            <w:r w:rsidRPr="00954D98">
              <w:rPr>
                <w:rFonts w:ascii="Arial" w:hAnsi="Arial" w:cs="Arial"/>
                <w:sz w:val="16"/>
                <w:szCs w:val="16"/>
              </w:rPr>
              <w:t>Refunds and drawbacks</w:t>
            </w:r>
          </w:p>
        </w:tc>
        <w:tc>
          <w:tcPr>
            <w:tcW w:w="718" w:type="pct"/>
            <w:tcBorders>
              <w:top w:val="nil"/>
              <w:left w:val="nil"/>
              <w:bottom w:val="nil"/>
              <w:right w:val="nil"/>
            </w:tcBorders>
            <w:noWrap/>
            <w:vAlign w:val="center"/>
            <w:hideMark/>
          </w:tcPr>
          <w:p w14:paraId="514C7367"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730</w:t>
            </w:r>
          </w:p>
        </w:tc>
        <w:tc>
          <w:tcPr>
            <w:tcW w:w="776" w:type="pct"/>
            <w:tcBorders>
              <w:top w:val="nil"/>
              <w:left w:val="nil"/>
              <w:bottom w:val="nil"/>
              <w:right w:val="nil"/>
            </w:tcBorders>
            <w:shd w:val="clear" w:color="000000" w:fill="E6F2FF"/>
            <w:noWrap/>
            <w:vAlign w:val="center"/>
            <w:hideMark/>
          </w:tcPr>
          <w:p w14:paraId="7CF408FC"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1,380</w:t>
            </w:r>
          </w:p>
        </w:tc>
        <w:tc>
          <w:tcPr>
            <w:tcW w:w="51" w:type="pct"/>
            <w:tcBorders>
              <w:top w:val="nil"/>
              <w:left w:val="nil"/>
              <w:bottom w:val="nil"/>
              <w:right w:val="nil"/>
            </w:tcBorders>
            <w:noWrap/>
            <w:vAlign w:val="center"/>
            <w:hideMark/>
          </w:tcPr>
          <w:p w14:paraId="3909B232"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4405EB60"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650</w:t>
            </w:r>
          </w:p>
        </w:tc>
        <w:tc>
          <w:tcPr>
            <w:tcW w:w="649" w:type="pct"/>
            <w:tcBorders>
              <w:top w:val="nil"/>
              <w:left w:val="nil"/>
              <w:bottom w:val="nil"/>
              <w:right w:val="nil"/>
            </w:tcBorders>
            <w:noWrap/>
            <w:vAlign w:val="center"/>
            <w:hideMark/>
          </w:tcPr>
          <w:p w14:paraId="32239918"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89.0</w:t>
            </w:r>
          </w:p>
        </w:tc>
      </w:tr>
      <w:tr w:rsidR="00B64154" w:rsidRPr="00954D98" w14:paraId="6704197B" w14:textId="77777777" w:rsidTr="00B64154">
        <w:trPr>
          <w:trHeight w:hRule="exact" w:val="225"/>
        </w:trPr>
        <w:tc>
          <w:tcPr>
            <w:tcW w:w="2157" w:type="pct"/>
            <w:tcBorders>
              <w:top w:val="nil"/>
              <w:left w:val="nil"/>
              <w:bottom w:val="nil"/>
              <w:right w:val="nil"/>
            </w:tcBorders>
            <w:noWrap/>
            <w:vAlign w:val="bottom"/>
            <w:hideMark/>
          </w:tcPr>
          <w:p w14:paraId="2AA87063"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 xml:space="preserve">Total excise and customs duty </w:t>
            </w:r>
          </w:p>
        </w:tc>
        <w:tc>
          <w:tcPr>
            <w:tcW w:w="718" w:type="pct"/>
            <w:tcBorders>
              <w:top w:val="single" w:sz="4" w:space="0" w:color="293F5B"/>
              <w:left w:val="nil"/>
              <w:bottom w:val="nil"/>
              <w:right w:val="nil"/>
            </w:tcBorders>
            <w:noWrap/>
            <w:vAlign w:val="center"/>
            <w:hideMark/>
          </w:tcPr>
          <w:p w14:paraId="1AEC4715"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43,800</w:t>
            </w:r>
          </w:p>
        </w:tc>
        <w:tc>
          <w:tcPr>
            <w:tcW w:w="776" w:type="pct"/>
            <w:tcBorders>
              <w:top w:val="single" w:sz="4" w:space="0" w:color="293F5B"/>
              <w:left w:val="nil"/>
              <w:bottom w:val="nil"/>
              <w:right w:val="nil"/>
            </w:tcBorders>
            <w:shd w:val="clear" w:color="000000" w:fill="E6F2FF"/>
            <w:noWrap/>
            <w:vAlign w:val="center"/>
            <w:hideMark/>
          </w:tcPr>
          <w:p w14:paraId="756F9E2F"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40,460</w:t>
            </w:r>
          </w:p>
        </w:tc>
        <w:tc>
          <w:tcPr>
            <w:tcW w:w="51" w:type="pct"/>
            <w:tcBorders>
              <w:top w:val="nil"/>
              <w:left w:val="nil"/>
              <w:bottom w:val="nil"/>
              <w:right w:val="nil"/>
            </w:tcBorders>
            <w:noWrap/>
            <w:vAlign w:val="center"/>
            <w:hideMark/>
          </w:tcPr>
          <w:p w14:paraId="56145BB2"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single" w:sz="4" w:space="0" w:color="293F5B"/>
              <w:left w:val="nil"/>
              <w:bottom w:val="nil"/>
              <w:right w:val="nil"/>
            </w:tcBorders>
            <w:noWrap/>
            <w:vAlign w:val="center"/>
            <w:hideMark/>
          </w:tcPr>
          <w:p w14:paraId="660EA7C9"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-3,340</w:t>
            </w:r>
          </w:p>
        </w:tc>
        <w:tc>
          <w:tcPr>
            <w:tcW w:w="649" w:type="pct"/>
            <w:tcBorders>
              <w:top w:val="single" w:sz="4" w:space="0" w:color="293F5B"/>
              <w:left w:val="nil"/>
              <w:bottom w:val="nil"/>
              <w:right w:val="nil"/>
            </w:tcBorders>
            <w:noWrap/>
            <w:vAlign w:val="center"/>
            <w:hideMark/>
          </w:tcPr>
          <w:p w14:paraId="5B47A7FA"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-7.6</w:t>
            </w:r>
          </w:p>
        </w:tc>
      </w:tr>
      <w:tr w:rsidR="00B64154" w:rsidRPr="00954D98" w14:paraId="0E123A8F" w14:textId="77777777" w:rsidTr="00B64154">
        <w:trPr>
          <w:trHeight w:hRule="exact" w:val="225"/>
        </w:trPr>
        <w:tc>
          <w:tcPr>
            <w:tcW w:w="2157" w:type="pct"/>
            <w:tcBorders>
              <w:top w:val="nil"/>
              <w:left w:val="nil"/>
              <w:bottom w:val="nil"/>
              <w:right w:val="nil"/>
            </w:tcBorders>
            <w:noWrap/>
            <w:vAlign w:val="center"/>
            <w:hideMark/>
          </w:tcPr>
          <w:p w14:paraId="23526099"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Major Bank Levy</w:t>
            </w:r>
          </w:p>
        </w:tc>
        <w:tc>
          <w:tcPr>
            <w:tcW w:w="718" w:type="pct"/>
            <w:tcBorders>
              <w:top w:val="nil"/>
              <w:left w:val="nil"/>
              <w:bottom w:val="nil"/>
              <w:right w:val="nil"/>
            </w:tcBorders>
            <w:noWrap/>
            <w:vAlign w:val="center"/>
            <w:hideMark/>
          </w:tcPr>
          <w:p w14:paraId="2A508A0D"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1,850</w:t>
            </w:r>
          </w:p>
        </w:tc>
        <w:tc>
          <w:tcPr>
            <w:tcW w:w="776" w:type="pct"/>
            <w:tcBorders>
              <w:top w:val="nil"/>
              <w:left w:val="nil"/>
              <w:bottom w:val="nil"/>
              <w:right w:val="nil"/>
            </w:tcBorders>
            <w:shd w:val="clear" w:color="000000" w:fill="E6F2FF"/>
            <w:noWrap/>
            <w:vAlign w:val="center"/>
            <w:hideMark/>
          </w:tcPr>
          <w:p w14:paraId="6ECCDE99"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1,880</w:t>
            </w:r>
          </w:p>
        </w:tc>
        <w:tc>
          <w:tcPr>
            <w:tcW w:w="51" w:type="pct"/>
            <w:tcBorders>
              <w:top w:val="nil"/>
              <w:left w:val="nil"/>
              <w:bottom w:val="nil"/>
              <w:right w:val="nil"/>
            </w:tcBorders>
            <w:noWrap/>
            <w:vAlign w:val="center"/>
            <w:hideMark/>
          </w:tcPr>
          <w:p w14:paraId="44849788"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2DB6114D"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30</w:t>
            </w:r>
          </w:p>
        </w:tc>
        <w:tc>
          <w:tcPr>
            <w:tcW w:w="649" w:type="pct"/>
            <w:tcBorders>
              <w:top w:val="nil"/>
              <w:left w:val="nil"/>
              <w:bottom w:val="nil"/>
              <w:right w:val="nil"/>
            </w:tcBorders>
            <w:noWrap/>
            <w:vAlign w:val="center"/>
            <w:hideMark/>
          </w:tcPr>
          <w:p w14:paraId="3CC28918"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1.6</w:t>
            </w:r>
          </w:p>
        </w:tc>
      </w:tr>
      <w:tr w:rsidR="00B64154" w:rsidRPr="00954D98" w14:paraId="1027B96F" w14:textId="77777777" w:rsidTr="00B64154">
        <w:trPr>
          <w:trHeight w:hRule="exact" w:val="225"/>
        </w:trPr>
        <w:tc>
          <w:tcPr>
            <w:tcW w:w="2157" w:type="pct"/>
            <w:tcBorders>
              <w:top w:val="nil"/>
              <w:left w:val="nil"/>
              <w:bottom w:val="nil"/>
              <w:right w:val="nil"/>
            </w:tcBorders>
            <w:noWrap/>
            <w:vAlign w:val="center"/>
            <w:hideMark/>
          </w:tcPr>
          <w:p w14:paraId="6C5D3572"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Agricultural levies</w:t>
            </w:r>
          </w:p>
        </w:tc>
        <w:tc>
          <w:tcPr>
            <w:tcW w:w="718" w:type="pct"/>
            <w:tcBorders>
              <w:top w:val="nil"/>
              <w:left w:val="nil"/>
              <w:bottom w:val="nil"/>
              <w:right w:val="nil"/>
            </w:tcBorders>
            <w:noWrap/>
            <w:vAlign w:val="center"/>
            <w:hideMark/>
          </w:tcPr>
          <w:p w14:paraId="4ED84AC7"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669</w:t>
            </w:r>
          </w:p>
        </w:tc>
        <w:tc>
          <w:tcPr>
            <w:tcW w:w="776" w:type="pct"/>
            <w:tcBorders>
              <w:top w:val="nil"/>
              <w:left w:val="nil"/>
              <w:bottom w:val="nil"/>
              <w:right w:val="nil"/>
            </w:tcBorders>
            <w:shd w:val="clear" w:color="000000" w:fill="E6F2FF"/>
            <w:noWrap/>
            <w:vAlign w:val="center"/>
            <w:hideMark/>
          </w:tcPr>
          <w:p w14:paraId="5AB99194"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707</w:t>
            </w:r>
          </w:p>
        </w:tc>
        <w:tc>
          <w:tcPr>
            <w:tcW w:w="51" w:type="pct"/>
            <w:tcBorders>
              <w:top w:val="nil"/>
              <w:left w:val="nil"/>
              <w:bottom w:val="nil"/>
              <w:right w:val="nil"/>
            </w:tcBorders>
            <w:noWrap/>
            <w:vAlign w:val="center"/>
            <w:hideMark/>
          </w:tcPr>
          <w:p w14:paraId="1C12BA14"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1579468B"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38</w:t>
            </w:r>
          </w:p>
        </w:tc>
        <w:tc>
          <w:tcPr>
            <w:tcW w:w="649" w:type="pct"/>
            <w:tcBorders>
              <w:top w:val="nil"/>
              <w:left w:val="nil"/>
              <w:bottom w:val="nil"/>
              <w:right w:val="nil"/>
            </w:tcBorders>
            <w:noWrap/>
            <w:vAlign w:val="center"/>
            <w:hideMark/>
          </w:tcPr>
          <w:p w14:paraId="6893FB97"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5.6</w:t>
            </w:r>
          </w:p>
        </w:tc>
      </w:tr>
      <w:tr w:rsidR="00B64154" w:rsidRPr="00954D98" w14:paraId="586AE0DC" w14:textId="77777777" w:rsidTr="00B64154">
        <w:trPr>
          <w:trHeight w:hRule="exact" w:val="225"/>
        </w:trPr>
        <w:tc>
          <w:tcPr>
            <w:tcW w:w="2157" w:type="pct"/>
            <w:tcBorders>
              <w:top w:val="nil"/>
              <w:left w:val="nil"/>
              <w:bottom w:val="nil"/>
              <w:right w:val="nil"/>
            </w:tcBorders>
            <w:noWrap/>
            <w:vAlign w:val="center"/>
            <w:hideMark/>
          </w:tcPr>
          <w:p w14:paraId="5F01882D"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Visa application charges</w:t>
            </w:r>
          </w:p>
        </w:tc>
        <w:tc>
          <w:tcPr>
            <w:tcW w:w="718" w:type="pct"/>
            <w:tcBorders>
              <w:top w:val="nil"/>
              <w:left w:val="nil"/>
              <w:bottom w:val="nil"/>
              <w:right w:val="nil"/>
            </w:tcBorders>
            <w:noWrap/>
            <w:vAlign w:val="center"/>
            <w:hideMark/>
          </w:tcPr>
          <w:p w14:paraId="58D210AB"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4,199</w:t>
            </w:r>
          </w:p>
        </w:tc>
        <w:tc>
          <w:tcPr>
            <w:tcW w:w="776" w:type="pct"/>
            <w:tcBorders>
              <w:top w:val="nil"/>
              <w:left w:val="nil"/>
              <w:bottom w:val="nil"/>
              <w:right w:val="nil"/>
            </w:tcBorders>
            <w:shd w:val="clear" w:color="000000" w:fill="E6F2FF"/>
            <w:noWrap/>
            <w:vAlign w:val="center"/>
            <w:hideMark/>
          </w:tcPr>
          <w:p w14:paraId="0DD666A9"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4,576</w:t>
            </w:r>
          </w:p>
        </w:tc>
        <w:tc>
          <w:tcPr>
            <w:tcW w:w="51" w:type="pct"/>
            <w:tcBorders>
              <w:top w:val="nil"/>
              <w:left w:val="nil"/>
              <w:bottom w:val="nil"/>
              <w:right w:val="nil"/>
            </w:tcBorders>
            <w:noWrap/>
            <w:vAlign w:val="center"/>
            <w:hideMark/>
          </w:tcPr>
          <w:p w14:paraId="752D2281"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5F91A925"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377</w:t>
            </w:r>
          </w:p>
        </w:tc>
        <w:tc>
          <w:tcPr>
            <w:tcW w:w="649" w:type="pct"/>
            <w:tcBorders>
              <w:top w:val="nil"/>
              <w:left w:val="nil"/>
              <w:bottom w:val="nil"/>
              <w:right w:val="nil"/>
            </w:tcBorders>
            <w:noWrap/>
            <w:vAlign w:val="center"/>
            <w:hideMark/>
          </w:tcPr>
          <w:p w14:paraId="7212DB10"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9.0</w:t>
            </w:r>
          </w:p>
        </w:tc>
      </w:tr>
      <w:tr w:rsidR="00B64154" w:rsidRPr="00954D98" w14:paraId="59034EBA" w14:textId="77777777" w:rsidTr="00B64154">
        <w:trPr>
          <w:trHeight w:hRule="exact" w:val="225"/>
        </w:trPr>
        <w:tc>
          <w:tcPr>
            <w:tcW w:w="2157" w:type="pct"/>
            <w:tcBorders>
              <w:top w:val="nil"/>
              <w:left w:val="nil"/>
              <w:bottom w:val="nil"/>
              <w:right w:val="nil"/>
            </w:tcBorders>
            <w:noWrap/>
            <w:vAlign w:val="center"/>
            <w:hideMark/>
          </w:tcPr>
          <w:p w14:paraId="17412F11"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Other taxes</w:t>
            </w:r>
          </w:p>
        </w:tc>
        <w:tc>
          <w:tcPr>
            <w:tcW w:w="718" w:type="pct"/>
            <w:tcBorders>
              <w:top w:val="nil"/>
              <w:left w:val="nil"/>
              <w:bottom w:val="nil"/>
              <w:right w:val="nil"/>
            </w:tcBorders>
            <w:shd w:val="clear" w:color="000000" w:fill="FFFFFF"/>
            <w:noWrap/>
            <w:vAlign w:val="center"/>
            <w:hideMark/>
          </w:tcPr>
          <w:p w14:paraId="3AB75C2B"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6,244</w:t>
            </w:r>
          </w:p>
        </w:tc>
        <w:tc>
          <w:tcPr>
            <w:tcW w:w="776" w:type="pct"/>
            <w:tcBorders>
              <w:top w:val="nil"/>
              <w:left w:val="nil"/>
              <w:bottom w:val="nil"/>
              <w:right w:val="nil"/>
            </w:tcBorders>
            <w:shd w:val="clear" w:color="000000" w:fill="E6F2FF"/>
            <w:noWrap/>
            <w:vAlign w:val="center"/>
            <w:hideMark/>
          </w:tcPr>
          <w:p w14:paraId="2757B1EB"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6,166</w:t>
            </w:r>
          </w:p>
        </w:tc>
        <w:tc>
          <w:tcPr>
            <w:tcW w:w="51" w:type="pct"/>
            <w:tcBorders>
              <w:top w:val="nil"/>
              <w:left w:val="nil"/>
              <w:bottom w:val="nil"/>
              <w:right w:val="nil"/>
            </w:tcBorders>
            <w:noWrap/>
            <w:vAlign w:val="center"/>
            <w:hideMark/>
          </w:tcPr>
          <w:p w14:paraId="6A51451B"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4AD51A9D"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-78</w:t>
            </w:r>
          </w:p>
        </w:tc>
        <w:tc>
          <w:tcPr>
            <w:tcW w:w="649" w:type="pct"/>
            <w:tcBorders>
              <w:top w:val="nil"/>
              <w:left w:val="nil"/>
              <w:bottom w:val="nil"/>
              <w:right w:val="nil"/>
            </w:tcBorders>
            <w:noWrap/>
            <w:vAlign w:val="center"/>
            <w:hideMark/>
          </w:tcPr>
          <w:p w14:paraId="6C6AD1E6"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-1.2</w:t>
            </w:r>
          </w:p>
        </w:tc>
      </w:tr>
      <w:tr w:rsidR="00B64154" w:rsidRPr="00954D98" w14:paraId="70D5F060" w14:textId="77777777" w:rsidTr="00B64154">
        <w:trPr>
          <w:trHeight w:hRule="exact" w:val="225"/>
        </w:trPr>
        <w:tc>
          <w:tcPr>
            <w:tcW w:w="2157" w:type="pct"/>
            <w:tcBorders>
              <w:top w:val="nil"/>
              <w:left w:val="nil"/>
              <w:bottom w:val="nil"/>
              <w:right w:val="nil"/>
            </w:tcBorders>
            <w:noWrap/>
            <w:vAlign w:val="center"/>
            <w:hideMark/>
          </w:tcPr>
          <w:p w14:paraId="6EF01E3E" w14:textId="77777777" w:rsidR="00B64154" w:rsidRPr="00954D98" w:rsidRDefault="00B64154" w:rsidP="00B64154">
            <w:pPr>
              <w:spacing w:before="0" w:after="0" w:line="240" w:lineRule="auto"/>
              <w:rPr>
                <w:rFonts w:ascii="Arial" w:hAnsi="Arial" w:cs="Arial"/>
                <w:b/>
                <w:bCs/>
                <w:sz w:val="16"/>
                <w:szCs w:val="16"/>
              </w:rPr>
            </w:pPr>
            <w:r w:rsidRPr="00954D98">
              <w:rPr>
                <w:rFonts w:ascii="Arial" w:hAnsi="Arial" w:cs="Arial"/>
                <w:b/>
                <w:bCs/>
                <w:sz w:val="16"/>
                <w:szCs w:val="16"/>
              </w:rPr>
              <w:t>Indirect taxation receipts</w:t>
            </w:r>
          </w:p>
        </w:tc>
        <w:tc>
          <w:tcPr>
            <w:tcW w:w="718" w:type="pct"/>
            <w:tcBorders>
              <w:top w:val="single" w:sz="4" w:space="0" w:color="293F5B"/>
              <w:left w:val="nil"/>
              <w:bottom w:val="nil"/>
              <w:right w:val="nil"/>
            </w:tcBorders>
            <w:shd w:val="clear" w:color="000000" w:fill="FFFFFF"/>
            <w:noWrap/>
            <w:vAlign w:val="center"/>
            <w:hideMark/>
          </w:tcPr>
          <w:p w14:paraId="0CC52737"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153,396</w:t>
            </w:r>
          </w:p>
        </w:tc>
        <w:tc>
          <w:tcPr>
            <w:tcW w:w="776" w:type="pct"/>
            <w:tcBorders>
              <w:top w:val="single" w:sz="4" w:space="0" w:color="293F5B"/>
              <w:left w:val="nil"/>
              <w:bottom w:val="nil"/>
              <w:right w:val="nil"/>
            </w:tcBorders>
            <w:shd w:val="clear" w:color="000000" w:fill="E6F2FF"/>
            <w:noWrap/>
            <w:vAlign w:val="center"/>
            <w:hideMark/>
          </w:tcPr>
          <w:p w14:paraId="027E11AC"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151,722</w:t>
            </w:r>
          </w:p>
        </w:tc>
        <w:tc>
          <w:tcPr>
            <w:tcW w:w="51" w:type="pct"/>
            <w:tcBorders>
              <w:top w:val="nil"/>
              <w:left w:val="nil"/>
              <w:bottom w:val="nil"/>
              <w:right w:val="nil"/>
            </w:tcBorders>
            <w:noWrap/>
            <w:vAlign w:val="center"/>
            <w:hideMark/>
          </w:tcPr>
          <w:p w14:paraId="397898CD" w14:textId="77777777" w:rsidR="00B64154" w:rsidRPr="00954D98" w:rsidRDefault="00B64154" w:rsidP="00B64154">
            <w:pPr>
              <w:spacing w:before="0" w:after="0" w:line="240" w:lineRule="auto"/>
              <w:jc w:val="right"/>
              <w:rPr>
                <w:rFonts w:ascii="Arial" w:hAnsi="Arial" w:cs="Arial"/>
                <w:b/>
                <w:bCs/>
                <w:sz w:val="16"/>
                <w:szCs w:val="16"/>
              </w:rPr>
            </w:pPr>
          </w:p>
        </w:tc>
        <w:tc>
          <w:tcPr>
            <w:tcW w:w="649" w:type="pct"/>
            <w:tcBorders>
              <w:top w:val="single" w:sz="4" w:space="0" w:color="293F5B"/>
              <w:left w:val="nil"/>
              <w:bottom w:val="nil"/>
              <w:right w:val="nil"/>
            </w:tcBorders>
            <w:noWrap/>
            <w:vAlign w:val="center"/>
            <w:hideMark/>
          </w:tcPr>
          <w:p w14:paraId="628AB57B"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-1,674</w:t>
            </w:r>
          </w:p>
        </w:tc>
        <w:tc>
          <w:tcPr>
            <w:tcW w:w="649" w:type="pct"/>
            <w:tcBorders>
              <w:top w:val="single" w:sz="4" w:space="0" w:color="293F5B"/>
              <w:left w:val="nil"/>
              <w:bottom w:val="nil"/>
              <w:right w:val="nil"/>
            </w:tcBorders>
            <w:noWrap/>
            <w:vAlign w:val="center"/>
            <w:hideMark/>
          </w:tcPr>
          <w:p w14:paraId="7E612BB0"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-1.1</w:t>
            </w:r>
          </w:p>
        </w:tc>
      </w:tr>
      <w:tr w:rsidR="00B64154" w:rsidRPr="00954D98" w14:paraId="76B9E8B8" w14:textId="77777777" w:rsidTr="00B64154">
        <w:trPr>
          <w:trHeight w:hRule="exact" w:val="60"/>
        </w:trPr>
        <w:tc>
          <w:tcPr>
            <w:tcW w:w="2157" w:type="pct"/>
            <w:tcBorders>
              <w:top w:val="nil"/>
              <w:left w:val="nil"/>
              <w:bottom w:val="nil"/>
              <w:right w:val="nil"/>
            </w:tcBorders>
            <w:noWrap/>
            <w:vAlign w:val="center"/>
            <w:hideMark/>
          </w:tcPr>
          <w:p w14:paraId="5A739360" w14:textId="77777777" w:rsidR="00B64154" w:rsidRPr="00954D98" w:rsidRDefault="00B64154" w:rsidP="00B64154">
            <w:pPr>
              <w:spacing w:before="0" w:after="0" w:line="240" w:lineRule="auto"/>
              <w:jc w:val="right"/>
              <w:rPr>
                <w:rFonts w:ascii="Arial" w:hAnsi="Arial" w:cs="Arial"/>
                <w:b/>
                <w:bCs/>
                <w:sz w:val="16"/>
                <w:szCs w:val="16"/>
              </w:rPr>
            </w:pPr>
          </w:p>
        </w:tc>
        <w:tc>
          <w:tcPr>
            <w:tcW w:w="718" w:type="pct"/>
            <w:tcBorders>
              <w:top w:val="single" w:sz="4" w:space="0" w:color="293F5B"/>
              <w:left w:val="nil"/>
              <w:bottom w:val="nil"/>
              <w:right w:val="nil"/>
            </w:tcBorders>
            <w:shd w:val="clear" w:color="000000" w:fill="FFFFFF"/>
            <w:noWrap/>
            <w:vAlign w:val="center"/>
            <w:hideMark/>
          </w:tcPr>
          <w:p w14:paraId="1EE9B77F"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 </w:t>
            </w:r>
          </w:p>
        </w:tc>
        <w:tc>
          <w:tcPr>
            <w:tcW w:w="776" w:type="pct"/>
            <w:tcBorders>
              <w:top w:val="single" w:sz="4" w:space="0" w:color="293F5B"/>
              <w:left w:val="nil"/>
              <w:bottom w:val="nil"/>
              <w:right w:val="nil"/>
            </w:tcBorders>
            <w:shd w:val="clear" w:color="000000" w:fill="E6F2FF"/>
            <w:noWrap/>
            <w:vAlign w:val="center"/>
            <w:hideMark/>
          </w:tcPr>
          <w:p w14:paraId="07315304"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 </w:t>
            </w:r>
          </w:p>
        </w:tc>
        <w:tc>
          <w:tcPr>
            <w:tcW w:w="51" w:type="pct"/>
            <w:tcBorders>
              <w:top w:val="nil"/>
              <w:left w:val="nil"/>
              <w:bottom w:val="nil"/>
              <w:right w:val="nil"/>
            </w:tcBorders>
            <w:noWrap/>
            <w:vAlign w:val="center"/>
            <w:hideMark/>
          </w:tcPr>
          <w:p w14:paraId="0A4A65B2" w14:textId="77777777" w:rsidR="00B64154" w:rsidRPr="00954D98" w:rsidRDefault="00B64154" w:rsidP="00B64154">
            <w:pPr>
              <w:spacing w:before="0" w:after="0" w:line="240" w:lineRule="auto"/>
              <w:rPr>
                <w:rFonts w:ascii="Arial" w:hAnsi="Arial" w:cs="Arial"/>
                <w:sz w:val="16"/>
                <w:szCs w:val="16"/>
              </w:rPr>
            </w:pPr>
          </w:p>
        </w:tc>
        <w:tc>
          <w:tcPr>
            <w:tcW w:w="649" w:type="pct"/>
            <w:tcBorders>
              <w:top w:val="single" w:sz="4" w:space="0" w:color="293F5B"/>
              <w:left w:val="nil"/>
              <w:bottom w:val="nil"/>
              <w:right w:val="nil"/>
            </w:tcBorders>
            <w:noWrap/>
            <w:vAlign w:val="center"/>
            <w:hideMark/>
          </w:tcPr>
          <w:p w14:paraId="632C1BB4"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649" w:type="pct"/>
            <w:tcBorders>
              <w:top w:val="single" w:sz="4" w:space="0" w:color="293F5B"/>
              <w:left w:val="nil"/>
              <w:bottom w:val="nil"/>
              <w:right w:val="nil"/>
            </w:tcBorders>
            <w:noWrap/>
            <w:vAlign w:val="center"/>
            <w:hideMark/>
          </w:tcPr>
          <w:p w14:paraId="2E2FB184"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 </w:t>
            </w:r>
          </w:p>
        </w:tc>
      </w:tr>
      <w:tr w:rsidR="00B64154" w:rsidRPr="00954D98" w14:paraId="68D7B4EF" w14:textId="77777777" w:rsidTr="00B64154">
        <w:trPr>
          <w:trHeight w:hRule="exact" w:val="225"/>
        </w:trPr>
        <w:tc>
          <w:tcPr>
            <w:tcW w:w="2157" w:type="pct"/>
            <w:tcBorders>
              <w:top w:val="nil"/>
              <w:left w:val="nil"/>
              <w:bottom w:val="nil"/>
              <w:right w:val="nil"/>
            </w:tcBorders>
            <w:noWrap/>
            <w:vAlign w:val="center"/>
            <w:hideMark/>
          </w:tcPr>
          <w:p w14:paraId="5521DDE4" w14:textId="77777777" w:rsidR="00B64154" w:rsidRPr="00954D98" w:rsidRDefault="00B64154" w:rsidP="00B64154">
            <w:pPr>
              <w:spacing w:before="0" w:after="0" w:line="240" w:lineRule="auto"/>
              <w:rPr>
                <w:rFonts w:ascii="Arial" w:hAnsi="Arial" w:cs="Arial"/>
                <w:b/>
                <w:bCs/>
                <w:sz w:val="16"/>
                <w:szCs w:val="16"/>
              </w:rPr>
            </w:pPr>
            <w:r w:rsidRPr="00954D98">
              <w:rPr>
                <w:rFonts w:ascii="Arial" w:hAnsi="Arial" w:cs="Arial"/>
                <w:b/>
                <w:bCs/>
                <w:sz w:val="16"/>
                <w:szCs w:val="16"/>
              </w:rPr>
              <w:t>Taxation receipts</w:t>
            </w:r>
          </w:p>
        </w:tc>
        <w:tc>
          <w:tcPr>
            <w:tcW w:w="718" w:type="pct"/>
            <w:tcBorders>
              <w:top w:val="nil"/>
              <w:left w:val="nil"/>
              <w:bottom w:val="single" w:sz="4" w:space="0" w:color="293F5B"/>
              <w:right w:val="nil"/>
            </w:tcBorders>
            <w:shd w:val="clear" w:color="000000" w:fill="FFFFFF"/>
            <w:noWrap/>
            <w:vAlign w:val="center"/>
            <w:hideMark/>
          </w:tcPr>
          <w:p w14:paraId="0F4A6832"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676,086</w:t>
            </w:r>
          </w:p>
        </w:tc>
        <w:tc>
          <w:tcPr>
            <w:tcW w:w="776" w:type="pct"/>
            <w:tcBorders>
              <w:top w:val="nil"/>
              <w:left w:val="nil"/>
              <w:bottom w:val="single" w:sz="4" w:space="0" w:color="293F5B"/>
              <w:right w:val="nil"/>
            </w:tcBorders>
            <w:shd w:val="clear" w:color="000000" w:fill="E6F2FF"/>
            <w:noWrap/>
            <w:vAlign w:val="center"/>
            <w:hideMark/>
          </w:tcPr>
          <w:p w14:paraId="348BFD03"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691,142</w:t>
            </w:r>
          </w:p>
        </w:tc>
        <w:tc>
          <w:tcPr>
            <w:tcW w:w="51" w:type="pct"/>
            <w:tcBorders>
              <w:top w:val="nil"/>
              <w:left w:val="nil"/>
              <w:bottom w:val="nil"/>
              <w:right w:val="nil"/>
            </w:tcBorders>
            <w:noWrap/>
            <w:vAlign w:val="center"/>
            <w:hideMark/>
          </w:tcPr>
          <w:p w14:paraId="7976346D" w14:textId="77777777" w:rsidR="00B64154" w:rsidRPr="00954D98" w:rsidRDefault="00B64154" w:rsidP="00B64154">
            <w:pPr>
              <w:spacing w:before="0" w:after="0" w:line="240" w:lineRule="auto"/>
              <w:jc w:val="right"/>
              <w:rPr>
                <w:rFonts w:ascii="Arial" w:hAnsi="Arial" w:cs="Arial"/>
                <w:b/>
                <w:bCs/>
                <w:sz w:val="16"/>
                <w:szCs w:val="16"/>
              </w:rPr>
            </w:pPr>
          </w:p>
        </w:tc>
        <w:tc>
          <w:tcPr>
            <w:tcW w:w="649" w:type="pct"/>
            <w:tcBorders>
              <w:top w:val="nil"/>
              <w:left w:val="nil"/>
              <w:bottom w:val="single" w:sz="4" w:space="0" w:color="293F5B"/>
              <w:right w:val="nil"/>
            </w:tcBorders>
            <w:noWrap/>
            <w:vAlign w:val="center"/>
            <w:hideMark/>
          </w:tcPr>
          <w:p w14:paraId="46C63FB8"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15,056</w:t>
            </w:r>
          </w:p>
        </w:tc>
        <w:tc>
          <w:tcPr>
            <w:tcW w:w="649" w:type="pct"/>
            <w:tcBorders>
              <w:top w:val="nil"/>
              <w:left w:val="nil"/>
              <w:bottom w:val="single" w:sz="4" w:space="0" w:color="293F5B"/>
              <w:right w:val="nil"/>
            </w:tcBorders>
            <w:noWrap/>
            <w:vAlign w:val="center"/>
            <w:hideMark/>
          </w:tcPr>
          <w:p w14:paraId="3E875514"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2.2</w:t>
            </w:r>
          </w:p>
        </w:tc>
      </w:tr>
      <w:tr w:rsidR="00B64154" w:rsidRPr="00954D98" w14:paraId="2B572AEE" w14:textId="77777777" w:rsidTr="00B64154">
        <w:trPr>
          <w:trHeight w:hRule="exact" w:val="60"/>
        </w:trPr>
        <w:tc>
          <w:tcPr>
            <w:tcW w:w="2157" w:type="pct"/>
            <w:tcBorders>
              <w:top w:val="nil"/>
              <w:left w:val="nil"/>
              <w:bottom w:val="nil"/>
              <w:right w:val="nil"/>
            </w:tcBorders>
            <w:noWrap/>
            <w:vAlign w:val="center"/>
            <w:hideMark/>
          </w:tcPr>
          <w:p w14:paraId="36451868" w14:textId="77777777" w:rsidR="00B64154" w:rsidRPr="00954D98" w:rsidRDefault="00B64154" w:rsidP="00B64154">
            <w:pPr>
              <w:spacing w:before="0" w:after="0" w:line="240" w:lineRule="auto"/>
              <w:jc w:val="right"/>
              <w:rPr>
                <w:rFonts w:ascii="Arial" w:hAnsi="Arial" w:cs="Arial"/>
                <w:b/>
                <w:bCs/>
                <w:sz w:val="16"/>
                <w:szCs w:val="16"/>
              </w:rPr>
            </w:pPr>
          </w:p>
        </w:tc>
        <w:tc>
          <w:tcPr>
            <w:tcW w:w="718" w:type="pct"/>
            <w:tcBorders>
              <w:top w:val="nil"/>
              <w:left w:val="nil"/>
              <w:bottom w:val="nil"/>
              <w:right w:val="nil"/>
            </w:tcBorders>
            <w:shd w:val="clear" w:color="000000" w:fill="FFFFFF"/>
            <w:noWrap/>
            <w:vAlign w:val="center"/>
            <w:hideMark/>
          </w:tcPr>
          <w:p w14:paraId="13C6109F" w14:textId="77777777" w:rsidR="00B64154" w:rsidRPr="00954D98" w:rsidRDefault="00B64154" w:rsidP="00B64154">
            <w:pPr>
              <w:spacing w:before="0" w:after="0" w:line="240" w:lineRule="auto"/>
              <w:rPr>
                <w:rFonts w:ascii="Arial" w:hAnsi="Arial" w:cs="Arial"/>
                <w:b/>
                <w:bCs/>
                <w:sz w:val="16"/>
                <w:szCs w:val="16"/>
              </w:rPr>
            </w:pPr>
            <w:r w:rsidRPr="00954D98">
              <w:rPr>
                <w:rFonts w:ascii="Arial" w:hAnsi="Arial" w:cs="Arial"/>
                <w:b/>
                <w:bCs/>
                <w:sz w:val="16"/>
                <w:szCs w:val="16"/>
              </w:rPr>
              <w:t> </w:t>
            </w:r>
          </w:p>
        </w:tc>
        <w:tc>
          <w:tcPr>
            <w:tcW w:w="776" w:type="pct"/>
            <w:tcBorders>
              <w:top w:val="nil"/>
              <w:left w:val="nil"/>
              <w:bottom w:val="nil"/>
              <w:right w:val="nil"/>
            </w:tcBorders>
            <w:shd w:val="clear" w:color="000000" w:fill="E6F2FF"/>
            <w:noWrap/>
            <w:vAlign w:val="center"/>
            <w:hideMark/>
          </w:tcPr>
          <w:p w14:paraId="30785823" w14:textId="77777777" w:rsidR="00B64154" w:rsidRPr="00954D98" w:rsidRDefault="00B64154" w:rsidP="00B64154">
            <w:pPr>
              <w:spacing w:before="0" w:after="0" w:line="240" w:lineRule="auto"/>
              <w:rPr>
                <w:rFonts w:ascii="Arial" w:hAnsi="Arial" w:cs="Arial"/>
                <w:b/>
                <w:bCs/>
                <w:sz w:val="16"/>
                <w:szCs w:val="16"/>
              </w:rPr>
            </w:pPr>
            <w:r w:rsidRPr="00954D98">
              <w:rPr>
                <w:rFonts w:ascii="Arial" w:hAnsi="Arial" w:cs="Arial"/>
                <w:b/>
                <w:bCs/>
                <w:sz w:val="16"/>
                <w:szCs w:val="16"/>
              </w:rPr>
              <w:t> </w:t>
            </w:r>
          </w:p>
        </w:tc>
        <w:tc>
          <w:tcPr>
            <w:tcW w:w="51" w:type="pct"/>
            <w:tcBorders>
              <w:top w:val="nil"/>
              <w:left w:val="nil"/>
              <w:bottom w:val="nil"/>
              <w:right w:val="nil"/>
            </w:tcBorders>
            <w:noWrap/>
            <w:vAlign w:val="center"/>
            <w:hideMark/>
          </w:tcPr>
          <w:p w14:paraId="13DA0F48" w14:textId="77777777" w:rsidR="00B64154" w:rsidRPr="00954D98" w:rsidRDefault="00B64154" w:rsidP="00B64154">
            <w:pPr>
              <w:spacing w:before="0" w:after="0" w:line="240" w:lineRule="auto"/>
              <w:rPr>
                <w:rFonts w:ascii="Arial" w:hAnsi="Arial" w:cs="Arial"/>
                <w:b/>
                <w:bCs/>
                <w:sz w:val="16"/>
                <w:szCs w:val="16"/>
              </w:rPr>
            </w:pPr>
          </w:p>
        </w:tc>
        <w:tc>
          <w:tcPr>
            <w:tcW w:w="649" w:type="pct"/>
            <w:tcBorders>
              <w:top w:val="nil"/>
              <w:left w:val="nil"/>
              <w:bottom w:val="nil"/>
              <w:right w:val="nil"/>
            </w:tcBorders>
            <w:noWrap/>
            <w:vAlign w:val="center"/>
            <w:hideMark/>
          </w:tcPr>
          <w:p w14:paraId="2F890B75" w14:textId="77777777" w:rsidR="00B64154" w:rsidRPr="00954D98" w:rsidRDefault="00B64154" w:rsidP="00B64154">
            <w:pPr>
              <w:spacing w:before="0" w:after="0" w:line="240" w:lineRule="auto"/>
              <w:jc w:val="right"/>
              <w:rPr>
                <w:sz w:val="20"/>
              </w:rPr>
            </w:pPr>
          </w:p>
        </w:tc>
        <w:tc>
          <w:tcPr>
            <w:tcW w:w="649" w:type="pct"/>
            <w:tcBorders>
              <w:top w:val="nil"/>
              <w:left w:val="nil"/>
              <w:bottom w:val="nil"/>
              <w:right w:val="nil"/>
            </w:tcBorders>
            <w:noWrap/>
            <w:vAlign w:val="center"/>
            <w:hideMark/>
          </w:tcPr>
          <w:p w14:paraId="37895A3A" w14:textId="77777777" w:rsidR="00B64154" w:rsidRPr="00954D98" w:rsidRDefault="00B64154" w:rsidP="00B64154">
            <w:pPr>
              <w:spacing w:before="0" w:after="0" w:line="240" w:lineRule="auto"/>
              <w:jc w:val="right"/>
              <w:rPr>
                <w:sz w:val="20"/>
              </w:rPr>
            </w:pPr>
          </w:p>
        </w:tc>
      </w:tr>
      <w:tr w:rsidR="00B64154" w:rsidRPr="00954D98" w14:paraId="3AB1F5FA" w14:textId="77777777" w:rsidTr="00B64154">
        <w:trPr>
          <w:trHeight w:hRule="exact" w:val="225"/>
        </w:trPr>
        <w:tc>
          <w:tcPr>
            <w:tcW w:w="2157" w:type="pct"/>
            <w:tcBorders>
              <w:top w:val="nil"/>
              <w:left w:val="nil"/>
              <w:bottom w:val="nil"/>
              <w:right w:val="nil"/>
            </w:tcBorders>
            <w:noWrap/>
            <w:vAlign w:val="center"/>
            <w:hideMark/>
          </w:tcPr>
          <w:p w14:paraId="4A16A75B"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Sales of goods and services</w:t>
            </w:r>
          </w:p>
        </w:tc>
        <w:tc>
          <w:tcPr>
            <w:tcW w:w="718" w:type="pct"/>
            <w:tcBorders>
              <w:top w:val="nil"/>
              <w:left w:val="nil"/>
              <w:bottom w:val="nil"/>
              <w:right w:val="nil"/>
            </w:tcBorders>
            <w:shd w:val="clear" w:color="000000" w:fill="FFFFFF"/>
            <w:noWrap/>
            <w:vAlign w:val="center"/>
            <w:hideMark/>
          </w:tcPr>
          <w:p w14:paraId="621F1F0E"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21,921</w:t>
            </w:r>
          </w:p>
        </w:tc>
        <w:tc>
          <w:tcPr>
            <w:tcW w:w="776" w:type="pct"/>
            <w:tcBorders>
              <w:top w:val="nil"/>
              <w:left w:val="nil"/>
              <w:bottom w:val="nil"/>
              <w:right w:val="nil"/>
            </w:tcBorders>
            <w:shd w:val="clear" w:color="000000" w:fill="E6F2FF"/>
            <w:noWrap/>
            <w:vAlign w:val="center"/>
            <w:hideMark/>
          </w:tcPr>
          <w:p w14:paraId="5EF7437C"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21,528</w:t>
            </w:r>
          </w:p>
        </w:tc>
        <w:tc>
          <w:tcPr>
            <w:tcW w:w="51" w:type="pct"/>
            <w:tcBorders>
              <w:top w:val="nil"/>
              <w:left w:val="nil"/>
              <w:bottom w:val="nil"/>
              <w:right w:val="nil"/>
            </w:tcBorders>
            <w:noWrap/>
            <w:vAlign w:val="center"/>
            <w:hideMark/>
          </w:tcPr>
          <w:p w14:paraId="4EE4DF5C"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3D59BB2B"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-393</w:t>
            </w:r>
          </w:p>
        </w:tc>
        <w:tc>
          <w:tcPr>
            <w:tcW w:w="649" w:type="pct"/>
            <w:tcBorders>
              <w:top w:val="nil"/>
              <w:left w:val="nil"/>
              <w:bottom w:val="nil"/>
              <w:right w:val="nil"/>
            </w:tcBorders>
            <w:noWrap/>
            <w:vAlign w:val="center"/>
            <w:hideMark/>
          </w:tcPr>
          <w:p w14:paraId="366E25EE"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-1.8</w:t>
            </w:r>
          </w:p>
        </w:tc>
      </w:tr>
      <w:tr w:rsidR="00B64154" w:rsidRPr="00954D98" w14:paraId="34492408" w14:textId="77777777" w:rsidTr="00B64154">
        <w:trPr>
          <w:trHeight w:hRule="exact" w:val="225"/>
        </w:trPr>
        <w:tc>
          <w:tcPr>
            <w:tcW w:w="2157" w:type="pct"/>
            <w:tcBorders>
              <w:top w:val="nil"/>
              <w:left w:val="nil"/>
              <w:bottom w:val="nil"/>
              <w:right w:val="nil"/>
            </w:tcBorders>
            <w:noWrap/>
            <w:vAlign w:val="center"/>
            <w:hideMark/>
          </w:tcPr>
          <w:p w14:paraId="58363B7B"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Interest received</w:t>
            </w:r>
          </w:p>
        </w:tc>
        <w:tc>
          <w:tcPr>
            <w:tcW w:w="718" w:type="pct"/>
            <w:tcBorders>
              <w:top w:val="nil"/>
              <w:left w:val="nil"/>
              <w:bottom w:val="nil"/>
              <w:right w:val="nil"/>
            </w:tcBorders>
            <w:shd w:val="clear" w:color="000000" w:fill="FFFFFF"/>
            <w:noWrap/>
            <w:vAlign w:val="center"/>
            <w:hideMark/>
          </w:tcPr>
          <w:p w14:paraId="3394B859"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9,389</w:t>
            </w:r>
          </w:p>
        </w:tc>
        <w:tc>
          <w:tcPr>
            <w:tcW w:w="776" w:type="pct"/>
            <w:tcBorders>
              <w:top w:val="nil"/>
              <w:left w:val="nil"/>
              <w:bottom w:val="nil"/>
              <w:right w:val="nil"/>
            </w:tcBorders>
            <w:shd w:val="clear" w:color="000000" w:fill="E6F2FF"/>
            <w:noWrap/>
            <w:vAlign w:val="center"/>
            <w:hideMark/>
          </w:tcPr>
          <w:p w14:paraId="6B70FFED"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9,103</w:t>
            </w:r>
          </w:p>
        </w:tc>
        <w:tc>
          <w:tcPr>
            <w:tcW w:w="51" w:type="pct"/>
            <w:tcBorders>
              <w:top w:val="nil"/>
              <w:left w:val="nil"/>
              <w:bottom w:val="nil"/>
              <w:right w:val="nil"/>
            </w:tcBorders>
            <w:noWrap/>
            <w:vAlign w:val="center"/>
            <w:hideMark/>
          </w:tcPr>
          <w:p w14:paraId="69171FE1"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372EF373"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-286</w:t>
            </w:r>
          </w:p>
        </w:tc>
        <w:tc>
          <w:tcPr>
            <w:tcW w:w="649" w:type="pct"/>
            <w:tcBorders>
              <w:top w:val="nil"/>
              <w:left w:val="nil"/>
              <w:bottom w:val="nil"/>
              <w:right w:val="nil"/>
            </w:tcBorders>
            <w:noWrap/>
            <w:vAlign w:val="center"/>
            <w:hideMark/>
          </w:tcPr>
          <w:p w14:paraId="1F3E4E28"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-3.0</w:t>
            </w:r>
          </w:p>
        </w:tc>
      </w:tr>
      <w:tr w:rsidR="00B64154" w:rsidRPr="00954D98" w14:paraId="2180A646" w14:textId="77777777" w:rsidTr="00B64154">
        <w:trPr>
          <w:trHeight w:hRule="exact" w:val="225"/>
        </w:trPr>
        <w:tc>
          <w:tcPr>
            <w:tcW w:w="2157" w:type="pct"/>
            <w:tcBorders>
              <w:top w:val="nil"/>
              <w:left w:val="nil"/>
              <w:bottom w:val="nil"/>
              <w:right w:val="nil"/>
            </w:tcBorders>
            <w:noWrap/>
            <w:vAlign w:val="center"/>
            <w:hideMark/>
          </w:tcPr>
          <w:p w14:paraId="74F81607"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Dividends and distributions</w:t>
            </w:r>
          </w:p>
        </w:tc>
        <w:tc>
          <w:tcPr>
            <w:tcW w:w="718" w:type="pct"/>
            <w:tcBorders>
              <w:top w:val="nil"/>
              <w:left w:val="nil"/>
              <w:bottom w:val="nil"/>
              <w:right w:val="nil"/>
            </w:tcBorders>
            <w:shd w:val="clear" w:color="000000" w:fill="FFFFFF"/>
            <w:noWrap/>
            <w:vAlign w:val="center"/>
            <w:hideMark/>
          </w:tcPr>
          <w:p w14:paraId="6C72038D"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7,416</w:t>
            </w:r>
          </w:p>
        </w:tc>
        <w:tc>
          <w:tcPr>
            <w:tcW w:w="776" w:type="pct"/>
            <w:tcBorders>
              <w:top w:val="nil"/>
              <w:left w:val="nil"/>
              <w:bottom w:val="nil"/>
              <w:right w:val="nil"/>
            </w:tcBorders>
            <w:shd w:val="clear" w:color="000000" w:fill="E6F2FF"/>
            <w:noWrap/>
            <w:vAlign w:val="center"/>
            <w:hideMark/>
          </w:tcPr>
          <w:p w14:paraId="6CFF1F8C"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7,558</w:t>
            </w:r>
          </w:p>
        </w:tc>
        <w:tc>
          <w:tcPr>
            <w:tcW w:w="51" w:type="pct"/>
            <w:tcBorders>
              <w:top w:val="nil"/>
              <w:left w:val="nil"/>
              <w:bottom w:val="nil"/>
              <w:right w:val="nil"/>
            </w:tcBorders>
            <w:noWrap/>
            <w:vAlign w:val="center"/>
            <w:hideMark/>
          </w:tcPr>
          <w:p w14:paraId="126A2A49"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0DE4DFB4"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142</w:t>
            </w:r>
          </w:p>
        </w:tc>
        <w:tc>
          <w:tcPr>
            <w:tcW w:w="649" w:type="pct"/>
            <w:tcBorders>
              <w:top w:val="nil"/>
              <w:left w:val="nil"/>
              <w:bottom w:val="nil"/>
              <w:right w:val="nil"/>
            </w:tcBorders>
            <w:noWrap/>
            <w:vAlign w:val="center"/>
            <w:hideMark/>
          </w:tcPr>
          <w:p w14:paraId="2066C42D"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1.9</w:t>
            </w:r>
          </w:p>
        </w:tc>
      </w:tr>
      <w:tr w:rsidR="00B64154" w:rsidRPr="00954D98" w14:paraId="4387F241" w14:textId="77777777" w:rsidTr="00B64154">
        <w:trPr>
          <w:trHeight w:hRule="exact" w:val="225"/>
        </w:trPr>
        <w:tc>
          <w:tcPr>
            <w:tcW w:w="2157" w:type="pct"/>
            <w:tcBorders>
              <w:top w:val="nil"/>
              <w:left w:val="nil"/>
              <w:bottom w:val="nil"/>
              <w:right w:val="nil"/>
            </w:tcBorders>
            <w:noWrap/>
            <w:vAlign w:val="center"/>
            <w:hideMark/>
          </w:tcPr>
          <w:p w14:paraId="5F77A08C" w14:textId="77777777" w:rsidR="00B64154" w:rsidRPr="00954D98" w:rsidRDefault="00B64154" w:rsidP="00B64154">
            <w:pPr>
              <w:spacing w:before="0" w:after="0" w:line="240" w:lineRule="auto"/>
              <w:rPr>
                <w:rFonts w:ascii="Arial" w:hAnsi="Arial" w:cs="Arial"/>
                <w:sz w:val="16"/>
                <w:szCs w:val="16"/>
              </w:rPr>
            </w:pPr>
            <w:r w:rsidRPr="00954D98">
              <w:rPr>
                <w:rFonts w:ascii="Arial" w:hAnsi="Arial" w:cs="Arial"/>
                <w:sz w:val="16"/>
                <w:szCs w:val="16"/>
              </w:rPr>
              <w:t>Other non-taxation receipts</w:t>
            </w:r>
          </w:p>
        </w:tc>
        <w:tc>
          <w:tcPr>
            <w:tcW w:w="718" w:type="pct"/>
            <w:tcBorders>
              <w:top w:val="nil"/>
              <w:left w:val="nil"/>
              <w:bottom w:val="nil"/>
              <w:right w:val="nil"/>
            </w:tcBorders>
            <w:shd w:val="clear" w:color="000000" w:fill="FFFFFF"/>
            <w:noWrap/>
            <w:vAlign w:val="center"/>
            <w:hideMark/>
          </w:tcPr>
          <w:p w14:paraId="0B5701E4"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20,540</w:t>
            </w:r>
          </w:p>
        </w:tc>
        <w:tc>
          <w:tcPr>
            <w:tcW w:w="776" w:type="pct"/>
            <w:tcBorders>
              <w:top w:val="nil"/>
              <w:left w:val="nil"/>
              <w:bottom w:val="nil"/>
              <w:right w:val="nil"/>
            </w:tcBorders>
            <w:shd w:val="clear" w:color="000000" w:fill="E6F2FF"/>
            <w:noWrap/>
            <w:vAlign w:val="center"/>
            <w:hideMark/>
          </w:tcPr>
          <w:p w14:paraId="23F031F1"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20,460</w:t>
            </w:r>
          </w:p>
        </w:tc>
        <w:tc>
          <w:tcPr>
            <w:tcW w:w="51" w:type="pct"/>
            <w:tcBorders>
              <w:top w:val="nil"/>
              <w:left w:val="nil"/>
              <w:bottom w:val="nil"/>
              <w:right w:val="nil"/>
            </w:tcBorders>
            <w:noWrap/>
            <w:vAlign w:val="center"/>
            <w:hideMark/>
          </w:tcPr>
          <w:p w14:paraId="50B8A12C" w14:textId="77777777" w:rsidR="00B64154" w:rsidRPr="00954D98" w:rsidRDefault="00B64154" w:rsidP="00B64154">
            <w:pPr>
              <w:spacing w:before="0" w:after="0" w:line="240" w:lineRule="auto"/>
              <w:jc w:val="right"/>
              <w:rPr>
                <w:rFonts w:ascii="Arial" w:hAnsi="Arial" w:cs="Arial"/>
                <w:sz w:val="16"/>
                <w:szCs w:val="16"/>
              </w:rPr>
            </w:pPr>
          </w:p>
        </w:tc>
        <w:tc>
          <w:tcPr>
            <w:tcW w:w="649" w:type="pct"/>
            <w:tcBorders>
              <w:top w:val="nil"/>
              <w:left w:val="nil"/>
              <w:bottom w:val="nil"/>
              <w:right w:val="nil"/>
            </w:tcBorders>
            <w:noWrap/>
            <w:vAlign w:val="center"/>
            <w:hideMark/>
          </w:tcPr>
          <w:p w14:paraId="560BFEC8"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-80</w:t>
            </w:r>
          </w:p>
        </w:tc>
        <w:tc>
          <w:tcPr>
            <w:tcW w:w="649" w:type="pct"/>
            <w:tcBorders>
              <w:top w:val="nil"/>
              <w:left w:val="nil"/>
              <w:bottom w:val="nil"/>
              <w:right w:val="nil"/>
            </w:tcBorders>
            <w:noWrap/>
            <w:vAlign w:val="center"/>
            <w:hideMark/>
          </w:tcPr>
          <w:p w14:paraId="253A2AC8" w14:textId="77777777" w:rsidR="00B64154" w:rsidRPr="00954D98" w:rsidRDefault="00B64154" w:rsidP="00B64154">
            <w:pPr>
              <w:spacing w:before="0" w:after="0" w:line="240" w:lineRule="auto"/>
              <w:jc w:val="right"/>
              <w:rPr>
                <w:rFonts w:ascii="Arial" w:hAnsi="Arial" w:cs="Arial"/>
                <w:sz w:val="16"/>
                <w:szCs w:val="16"/>
              </w:rPr>
            </w:pPr>
            <w:r w:rsidRPr="00954D98">
              <w:rPr>
                <w:rFonts w:ascii="Arial" w:hAnsi="Arial" w:cs="Arial"/>
                <w:sz w:val="16"/>
                <w:szCs w:val="16"/>
              </w:rPr>
              <w:t>-0.4</w:t>
            </w:r>
          </w:p>
        </w:tc>
      </w:tr>
      <w:tr w:rsidR="00B64154" w:rsidRPr="00954D98" w14:paraId="567E2EBF" w14:textId="77777777" w:rsidTr="00B64154">
        <w:trPr>
          <w:trHeight w:hRule="exact" w:val="225"/>
        </w:trPr>
        <w:tc>
          <w:tcPr>
            <w:tcW w:w="2157" w:type="pct"/>
            <w:tcBorders>
              <w:top w:val="nil"/>
              <w:left w:val="nil"/>
              <w:bottom w:val="nil"/>
              <w:right w:val="nil"/>
            </w:tcBorders>
            <w:noWrap/>
            <w:vAlign w:val="center"/>
            <w:hideMark/>
          </w:tcPr>
          <w:p w14:paraId="516578E9" w14:textId="77777777" w:rsidR="00B64154" w:rsidRPr="00954D98" w:rsidRDefault="00B64154" w:rsidP="00B64154">
            <w:pPr>
              <w:spacing w:before="0" w:after="0" w:line="240" w:lineRule="auto"/>
              <w:rPr>
                <w:rFonts w:ascii="Arial" w:hAnsi="Arial" w:cs="Arial"/>
                <w:b/>
                <w:bCs/>
                <w:sz w:val="16"/>
                <w:szCs w:val="16"/>
              </w:rPr>
            </w:pPr>
            <w:r w:rsidRPr="00954D98">
              <w:rPr>
                <w:rFonts w:ascii="Arial" w:hAnsi="Arial" w:cs="Arial"/>
                <w:b/>
                <w:bCs/>
                <w:sz w:val="16"/>
                <w:szCs w:val="16"/>
              </w:rPr>
              <w:t>Non-taxation receipts</w:t>
            </w:r>
          </w:p>
        </w:tc>
        <w:tc>
          <w:tcPr>
            <w:tcW w:w="718" w:type="pct"/>
            <w:tcBorders>
              <w:top w:val="single" w:sz="4" w:space="0" w:color="293F5B"/>
              <w:left w:val="nil"/>
              <w:bottom w:val="nil"/>
              <w:right w:val="nil"/>
            </w:tcBorders>
            <w:shd w:val="clear" w:color="000000" w:fill="FFFFFF"/>
            <w:noWrap/>
            <w:vAlign w:val="center"/>
            <w:hideMark/>
          </w:tcPr>
          <w:p w14:paraId="3CDC5F8E"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59,266</w:t>
            </w:r>
          </w:p>
        </w:tc>
        <w:tc>
          <w:tcPr>
            <w:tcW w:w="776" w:type="pct"/>
            <w:tcBorders>
              <w:top w:val="single" w:sz="4" w:space="0" w:color="293F5B"/>
              <w:left w:val="nil"/>
              <w:bottom w:val="nil"/>
              <w:right w:val="nil"/>
            </w:tcBorders>
            <w:shd w:val="clear" w:color="000000" w:fill="E6F2FF"/>
            <w:noWrap/>
            <w:vAlign w:val="center"/>
            <w:hideMark/>
          </w:tcPr>
          <w:p w14:paraId="6D4AAD6A"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58,649</w:t>
            </w:r>
          </w:p>
        </w:tc>
        <w:tc>
          <w:tcPr>
            <w:tcW w:w="51" w:type="pct"/>
            <w:tcBorders>
              <w:top w:val="nil"/>
              <w:left w:val="nil"/>
              <w:bottom w:val="nil"/>
              <w:right w:val="nil"/>
            </w:tcBorders>
            <w:noWrap/>
            <w:vAlign w:val="center"/>
            <w:hideMark/>
          </w:tcPr>
          <w:p w14:paraId="64EBABC0" w14:textId="77777777" w:rsidR="00B64154" w:rsidRPr="00954D98" w:rsidRDefault="00B64154" w:rsidP="00B64154">
            <w:pPr>
              <w:spacing w:before="0" w:after="0" w:line="240" w:lineRule="auto"/>
              <w:jc w:val="right"/>
              <w:rPr>
                <w:rFonts w:ascii="Arial" w:hAnsi="Arial" w:cs="Arial"/>
                <w:b/>
                <w:bCs/>
                <w:sz w:val="16"/>
                <w:szCs w:val="16"/>
              </w:rPr>
            </w:pPr>
          </w:p>
        </w:tc>
        <w:tc>
          <w:tcPr>
            <w:tcW w:w="649" w:type="pct"/>
            <w:tcBorders>
              <w:top w:val="single" w:sz="4" w:space="0" w:color="293F5B"/>
              <w:left w:val="nil"/>
              <w:bottom w:val="nil"/>
              <w:right w:val="nil"/>
            </w:tcBorders>
            <w:noWrap/>
            <w:vAlign w:val="center"/>
            <w:hideMark/>
          </w:tcPr>
          <w:p w14:paraId="4028C27C"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-617</w:t>
            </w:r>
          </w:p>
        </w:tc>
        <w:tc>
          <w:tcPr>
            <w:tcW w:w="649" w:type="pct"/>
            <w:tcBorders>
              <w:top w:val="single" w:sz="4" w:space="0" w:color="293F5B"/>
              <w:left w:val="nil"/>
              <w:bottom w:val="nil"/>
              <w:right w:val="nil"/>
            </w:tcBorders>
            <w:noWrap/>
            <w:vAlign w:val="center"/>
            <w:hideMark/>
          </w:tcPr>
          <w:p w14:paraId="76B9F1CD"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-1.0</w:t>
            </w:r>
          </w:p>
        </w:tc>
      </w:tr>
      <w:tr w:rsidR="00B64154" w:rsidRPr="00954D98" w14:paraId="37A45548" w14:textId="77777777" w:rsidTr="00B64154">
        <w:trPr>
          <w:trHeight w:hRule="exact" w:val="60"/>
        </w:trPr>
        <w:tc>
          <w:tcPr>
            <w:tcW w:w="2157" w:type="pct"/>
            <w:tcBorders>
              <w:top w:val="nil"/>
              <w:left w:val="nil"/>
              <w:bottom w:val="nil"/>
              <w:right w:val="nil"/>
            </w:tcBorders>
            <w:noWrap/>
            <w:vAlign w:val="center"/>
            <w:hideMark/>
          </w:tcPr>
          <w:p w14:paraId="41D4372B" w14:textId="77777777" w:rsidR="00B64154" w:rsidRPr="00954D98" w:rsidRDefault="00B64154" w:rsidP="00B64154">
            <w:pPr>
              <w:spacing w:before="0" w:after="0" w:line="240" w:lineRule="auto"/>
              <w:jc w:val="right"/>
              <w:rPr>
                <w:rFonts w:ascii="Arial" w:hAnsi="Arial" w:cs="Arial"/>
                <w:b/>
                <w:bCs/>
                <w:sz w:val="16"/>
                <w:szCs w:val="16"/>
              </w:rPr>
            </w:pPr>
          </w:p>
        </w:tc>
        <w:tc>
          <w:tcPr>
            <w:tcW w:w="718" w:type="pct"/>
            <w:tcBorders>
              <w:top w:val="single" w:sz="4" w:space="0" w:color="293F5B"/>
              <w:left w:val="nil"/>
              <w:bottom w:val="nil"/>
              <w:right w:val="nil"/>
            </w:tcBorders>
            <w:shd w:val="clear" w:color="000000" w:fill="FFFFFF"/>
            <w:noWrap/>
            <w:vAlign w:val="center"/>
            <w:hideMark/>
          </w:tcPr>
          <w:p w14:paraId="0555480A"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776" w:type="pct"/>
            <w:tcBorders>
              <w:top w:val="single" w:sz="4" w:space="0" w:color="293F5B"/>
              <w:left w:val="nil"/>
              <w:bottom w:val="nil"/>
              <w:right w:val="nil"/>
            </w:tcBorders>
            <w:shd w:val="clear" w:color="000000" w:fill="E6F2FF"/>
            <w:noWrap/>
            <w:vAlign w:val="center"/>
            <w:hideMark/>
          </w:tcPr>
          <w:p w14:paraId="33B94BD3"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51" w:type="pct"/>
            <w:tcBorders>
              <w:top w:val="nil"/>
              <w:left w:val="nil"/>
              <w:bottom w:val="nil"/>
              <w:right w:val="nil"/>
            </w:tcBorders>
            <w:noWrap/>
            <w:vAlign w:val="center"/>
            <w:hideMark/>
          </w:tcPr>
          <w:p w14:paraId="669EAD39" w14:textId="77777777" w:rsidR="00B64154" w:rsidRPr="00954D98" w:rsidRDefault="00B64154" w:rsidP="00B64154">
            <w:pPr>
              <w:spacing w:before="0" w:after="0" w:line="240" w:lineRule="auto"/>
              <w:jc w:val="right"/>
              <w:rPr>
                <w:rFonts w:ascii="Arial" w:hAnsi="Arial" w:cs="Arial"/>
                <w:b/>
                <w:bCs/>
                <w:sz w:val="16"/>
                <w:szCs w:val="16"/>
              </w:rPr>
            </w:pPr>
          </w:p>
        </w:tc>
        <w:tc>
          <w:tcPr>
            <w:tcW w:w="649" w:type="pct"/>
            <w:tcBorders>
              <w:top w:val="single" w:sz="4" w:space="0" w:color="293F5B"/>
              <w:left w:val="nil"/>
              <w:bottom w:val="nil"/>
              <w:right w:val="nil"/>
            </w:tcBorders>
            <w:noWrap/>
            <w:vAlign w:val="center"/>
            <w:hideMark/>
          </w:tcPr>
          <w:p w14:paraId="70686029"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649" w:type="pct"/>
            <w:tcBorders>
              <w:top w:val="single" w:sz="4" w:space="0" w:color="293F5B"/>
              <w:left w:val="nil"/>
              <w:bottom w:val="nil"/>
              <w:right w:val="nil"/>
            </w:tcBorders>
            <w:noWrap/>
            <w:vAlign w:val="center"/>
            <w:hideMark/>
          </w:tcPr>
          <w:p w14:paraId="6F3DF9C8"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 </w:t>
            </w:r>
          </w:p>
        </w:tc>
      </w:tr>
      <w:tr w:rsidR="00B64154" w:rsidRPr="00954D98" w14:paraId="215345FB" w14:textId="77777777" w:rsidTr="00B64154">
        <w:trPr>
          <w:trHeight w:hRule="exact" w:val="225"/>
        </w:trPr>
        <w:tc>
          <w:tcPr>
            <w:tcW w:w="2157" w:type="pct"/>
            <w:tcBorders>
              <w:top w:val="nil"/>
              <w:left w:val="nil"/>
              <w:bottom w:val="single" w:sz="4" w:space="0" w:color="293F5B"/>
              <w:right w:val="nil"/>
            </w:tcBorders>
            <w:noWrap/>
            <w:vAlign w:val="center"/>
            <w:hideMark/>
          </w:tcPr>
          <w:p w14:paraId="36688D17" w14:textId="77777777" w:rsidR="00B64154" w:rsidRPr="00954D98" w:rsidRDefault="00B64154" w:rsidP="00B64154">
            <w:pPr>
              <w:spacing w:before="0" w:after="0" w:line="240" w:lineRule="auto"/>
              <w:rPr>
                <w:rFonts w:ascii="Arial" w:hAnsi="Arial" w:cs="Arial"/>
                <w:b/>
                <w:bCs/>
                <w:sz w:val="16"/>
                <w:szCs w:val="16"/>
              </w:rPr>
            </w:pPr>
            <w:r w:rsidRPr="00954D98">
              <w:rPr>
                <w:rFonts w:ascii="Arial" w:hAnsi="Arial" w:cs="Arial"/>
                <w:b/>
                <w:bCs/>
                <w:sz w:val="16"/>
                <w:szCs w:val="16"/>
              </w:rPr>
              <w:t>Total receipts</w:t>
            </w:r>
          </w:p>
        </w:tc>
        <w:tc>
          <w:tcPr>
            <w:tcW w:w="718" w:type="pct"/>
            <w:tcBorders>
              <w:top w:val="nil"/>
              <w:left w:val="nil"/>
              <w:bottom w:val="single" w:sz="4" w:space="0" w:color="293F5B"/>
              <w:right w:val="nil"/>
            </w:tcBorders>
            <w:shd w:val="clear" w:color="000000" w:fill="FFFFFF"/>
            <w:noWrap/>
            <w:vAlign w:val="center"/>
            <w:hideMark/>
          </w:tcPr>
          <w:p w14:paraId="63F96E57"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735,353</w:t>
            </w:r>
          </w:p>
        </w:tc>
        <w:tc>
          <w:tcPr>
            <w:tcW w:w="776" w:type="pct"/>
            <w:tcBorders>
              <w:top w:val="nil"/>
              <w:left w:val="nil"/>
              <w:bottom w:val="single" w:sz="4" w:space="0" w:color="293F5B"/>
              <w:right w:val="nil"/>
            </w:tcBorders>
            <w:shd w:val="clear" w:color="000000" w:fill="E6F2FF"/>
            <w:noWrap/>
            <w:vAlign w:val="center"/>
            <w:hideMark/>
          </w:tcPr>
          <w:p w14:paraId="730AE847"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749,792</w:t>
            </w:r>
          </w:p>
        </w:tc>
        <w:tc>
          <w:tcPr>
            <w:tcW w:w="51" w:type="pct"/>
            <w:tcBorders>
              <w:top w:val="nil"/>
              <w:left w:val="nil"/>
              <w:bottom w:val="single" w:sz="4" w:space="0" w:color="293F5B"/>
              <w:right w:val="nil"/>
            </w:tcBorders>
            <w:noWrap/>
            <w:vAlign w:val="center"/>
            <w:hideMark/>
          </w:tcPr>
          <w:p w14:paraId="047DE27C"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649" w:type="pct"/>
            <w:tcBorders>
              <w:top w:val="nil"/>
              <w:left w:val="nil"/>
              <w:bottom w:val="single" w:sz="4" w:space="0" w:color="293F5B"/>
              <w:right w:val="nil"/>
            </w:tcBorders>
            <w:noWrap/>
            <w:vAlign w:val="center"/>
            <w:hideMark/>
          </w:tcPr>
          <w:p w14:paraId="6C6657BB"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14,439</w:t>
            </w:r>
          </w:p>
        </w:tc>
        <w:tc>
          <w:tcPr>
            <w:tcW w:w="649" w:type="pct"/>
            <w:tcBorders>
              <w:top w:val="nil"/>
              <w:left w:val="nil"/>
              <w:bottom w:val="single" w:sz="4" w:space="0" w:color="293F5B"/>
              <w:right w:val="nil"/>
            </w:tcBorders>
            <w:noWrap/>
            <w:vAlign w:val="center"/>
            <w:hideMark/>
          </w:tcPr>
          <w:p w14:paraId="2D4092FA"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2.0</w:t>
            </w:r>
          </w:p>
        </w:tc>
      </w:tr>
      <w:tr w:rsidR="00B64154" w:rsidRPr="00954D98" w14:paraId="475A557E" w14:textId="77777777" w:rsidTr="00B64154">
        <w:trPr>
          <w:trHeight w:hRule="exact" w:val="225"/>
        </w:trPr>
        <w:tc>
          <w:tcPr>
            <w:tcW w:w="2157" w:type="pct"/>
            <w:tcBorders>
              <w:top w:val="nil"/>
              <w:left w:val="nil"/>
              <w:bottom w:val="nil"/>
              <w:right w:val="nil"/>
            </w:tcBorders>
            <w:noWrap/>
            <w:vAlign w:val="center"/>
            <w:hideMark/>
          </w:tcPr>
          <w:p w14:paraId="12B07AC3" w14:textId="77777777" w:rsidR="00B64154" w:rsidRPr="00954D98" w:rsidRDefault="00B64154" w:rsidP="00B64154">
            <w:pPr>
              <w:spacing w:before="0" w:after="0" w:line="240" w:lineRule="auto"/>
              <w:rPr>
                <w:rFonts w:ascii="Arial" w:hAnsi="Arial" w:cs="Arial"/>
                <w:i/>
                <w:iCs/>
                <w:sz w:val="16"/>
                <w:szCs w:val="16"/>
              </w:rPr>
            </w:pPr>
            <w:r w:rsidRPr="00954D98">
              <w:rPr>
                <w:rFonts w:ascii="Arial" w:hAnsi="Arial" w:cs="Arial"/>
                <w:i/>
                <w:iCs/>
                <w:sz w:val="16"/>
                <w:szCs w:val="16"/>
              </w:rPr>
              <w:t>Memorandum:</w:t>
            </w:r>
          </w:p>
        </w:tc>
        <w:tc>
          <w:tcPr>
            <w:tcW w:w="718" w:type="pct"/>
            <w:tcBorders>
              <w:top w:val="nil"/>
              <w:left w:val="nil"/>
              <w:bottom w:val="nil"/>
              <w:right w:val="nil"/>
            </w:tcBorders>
            <w:shd w:val="clear" w:color="000000" w:fill="FFFFFF"/>
            <w:noWrap/>
            <w:vAlign w:val="center"/>
            <w:hideMark/>
          </w:tcPr>
          <w:p w14:paraId="176256BF" w14:textId="77777777" w:rsidR="00B64154" w:rsidRPr="00954D98" w:rsidRDefault="00B64154" w:rsidP="00B64154">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776" w:type="pct"/>
            <w:tcBorders>
              <w:top w:val="nil"/>
              <w:left w:val="nil"/>
              <w:bottom w:val="nil"/>
              <w:right w:val="nil"/>
            </w:tcBorders>
            <w:shd w:val="clear" w:color="000000" w:fill="E6F2FF"/>
            <w:noWrap/>
            <w:vAlign w:val="center"/>
            <w:hideMark/>
          </w:tcPr>
          <w:p w14:paraId="32A690F0" w14:textId="77777777" w:rsidR="00B64154" w:rsidRPr="00954D98" w:rsidRDefault="00B64154" w:rsidP="00B64154">
            <w:pPr>
              <w:spacing w:before="0" w:after="0" w:line="240" w:lineRule="auto"/>
              <w:rPr>
                <w:rFonts w:ascii="Arial" w:hAnsi="Arial" w:cs="Arial"/>
                <w:b/>
                <w:bCs/>
                <w:sz w:val="16"/>
                <w:szCs w:val="16"/>
              </w:rPr>
            </w:pPr>
            <w:r w:rsidRPr="00954D98">
              <w:rPr>
                <w:rFonts w:ascii="Arial" w:hAnsi="Arial" w:cs="Arial"/>
                <w:b/>
                <w:bCs/>
                <w:sz w:val="16"/>
                <w:szCs w:val="16"/>
              </w:rPr>
              <w:t> </w:t>
            </w:r>
          </w:p>
        </w:tc>
        <w:tc>
          <w:tcPr>
            <w:tcW w:w="51" w:type="pct"/>
            <w:tcBorders>
              <w:top w:val="nil"/>
              <w:left w:val="nil"/>
              <w:bottom w:val="nil"/>
              <w:right w:val="nil"/>
            </w:tcBorders>
            <w:noWrap/>
            <w:vAlign w:val="center"/>
            <w:hideMark/>
          </w:tcPr>
          <w:p w14:paraId="3B131FD4" w14:textId="77777777" w:rsidR="00B64154" w:rsidRPr="00954D98" w:rsidRDefault="00B64154" w:rsidP="00B64154">
            <w:pPr>
              <w:spacing w:before="0" w:after="0" w:line="240" w:lineRule="auto"/>
              <w:rPr>
                <w:rFonts w:ascii="Arial" w:hAnsi="Arial" w:cs="Arial"/>
                <w:b/>
                <w:bCs/>
                <w:sz w:val="16"/>
                <w:szCs w:val="16"/>
              </w:rPr>
            </w:pPr>
          </w:p>
        </w:tc>
        <w:tc>
          <w:tcPr>
            <w:tcW w:w="649" w:type="pct"/>
            <w:tcBorders>
              <w:top w:val="nil"/>
              <w:left w:val="nil"/>
              <w:bottom w:val="nil"/>
              <w:right w:val="nil"/>
            </w:tcBorders>
            <w:noWrap/>
            <w:vAlign w:val="center"/>
            <w:hideMark/>
          </w:tcPr>
          <w:p w14:paraId="67B8DD48" w14:textId="77777777" w:rsidR="00B64154" w:rsidRPr="00954D98" w:rsidRDefault="00B64154" w:rsidP="00B64154">
            <w:pPr>
              <w:spacing w:before="0" w:after="0" w:line="240" w:lineRule="auto"/>
              <w:jc w:val="right"/>
              <w:rPr>
                <w:sz w:val="20"/>
              </w:rPr>
            </w:pPr>
          </w:p>
        </w:tc>
        <w:tc>
          <w:tcPr>
            <w:tcW w:w="649" w:type="pct"/>
            <w:tcBorders>
              <w:top w:val="nil"/>
              <w:left w:val="nil"/>
              <w:bottom w:val="nil"/>
              <w:right w:val="nil"/>
            </w:tcBorders>
            <w:noWrap/>
            <w:vAlign w:val="center"/>
            <w:hideMark/>
          </w:tcPr>
          <w:p w14:paraId="3A0E081F" w14:textId="77777777" w:rsidR="00B64154" w:rsidRPr="00954D98" w:rsidRDefault="00B64154" w:rsidP="00B64154">
            <w:pPr>
              <w:spacing w:before="0" w:after="0" w:line="240" w:lineRule="auto"/>
              <w:jc w:val="right"/>
              <w:rPr>
                <w:sz w:val="20"/>
              </w:rPr>
            </w:pPr>
          </w:p>
        </w:tc>
      </w:tr>
      <w:tr w:rsidR="00B64154" w:rsidRPr="00954D98" w14:paraId="77099A58" w14:textId="77777777" w:rsidTr="00B64154">
        <w:trPr>
          <w:trHeight w:hRule="exact" w:val="225"/>
        </w:trPr>
        <w:tc>
          <w:tcPr>
            <w:tcW w:w="2157" w:type="pct"/>
            <w:tcBorders>
              <w:top w:val="nil"/>
              <w:left w:val="nil"/>
              <w:bottom w:val="nil"/>
              <w:right w:val="nil"/>
            </w:tcBorders>
            <w:noWrap/>
            <w:vAlign w:val="center"/>
            <w:hideMark/>
          </w:tcPr>
          <w:p w14:paraId="6F8EA082" w14:textId="77777777" w:rsidR="00B64154" w:rsidRPr="00954D98" w:rsidRDefault="00B64154" w:rsidP="00B64154">
            <w:pPr>
              <w:spacing w:before="0" w:after="0" w:line="240" w:lineRule="auto"/>
              <w:ind w:firstLineChars="100" w:firstLine="160"/>
              <w:rPr>
                <w:rFonts w:ascii="Arial" w:hAnsi="Arial" w:cs="Arial"/>
                <w:i/>
                <w:iCs/>
                <w:sz w:val="16"/>
                <w:szCs w:val="16"/>
              </w:rPr>
            </w:pPr>
            <w:r w:rsidRPr="00954D98">
              <w:rPr>
                <w:rFonts w:ascii="Arial" w:hAnsi="Arial" w:cs="Arial"/>
                <w:i/>
                <w:iCs/>
                <w:sz w:val="16"/>
                <w:szCs w:val="16"/>
              </w:rPr>
              <w:t xml:space="preserve">Total excise </w:t>
            </w:r>
          </w:p>
        </w:tc>
        <w:tc>
          <w:tcPr>
            <w:tcW w:w="718" w:type="pct"/>
            <w:tcBorders>
              <w:top w:val="nil"/>
              <w:left w:val="nil"/>
              <w:bottom w:val="nil"/>
              <w:right w:val="nil"/>
            </w:tcBorders>
            <w:noWrap/>
            <w:vAlign w:val="center"/>
            <w:hideMark/>
          </w:tcPr>
          <w:p w14:paraId="4DB07DFB" w14:textId="77777777" w:rsidR="00B64154" w:rsidRPr="00954D98" w:rsidRDefault="00B64154" w:rsidP="00B64154">
            <w:pPr>
              <w:spacing w:before="0" w:after="0" w:line="240" w:lineRule="auto"/>
              <w:jc w:val="right"/>
              <w:rPr>
                <w:rFonts w:ascii="Arial" w:hAnsi="Arial" w:cs="Arial"/>
                <w:i/>
                <w:iCs/>
                <w:sz w:val="16"/>
                <w:szCs w:val="16"/>
              </w:rPr>
            </w:pPr>
            <w:r w:rsidRPr="00954D98">
              <w:rPr>
                <w:rFonts w:ascii="Arial" w:hAnsi="Arial" w:cs="Arial"/>
                <w:i/>
                <w:iCs/>
                <w:sz w:val="16"/>
                <w:szCs w:val="16"/>
              </w:rPr>
              <w:t>32,450</w:t>
            </w:r>
          </w:p>
        </w:tc>
        <w:tc>
          <w:tcPr>
            <w:tcW w:w="776" w:type="pct"/>
            <w:tcBorders>
              <w:top w:val="nil"/>
              <w:left w:val="nil"/>
              <w:bottom w:val="nil"/>
              <w:right w:val="nil"/>
            </w:tcBorders>
            <w:shd w:val="clear" w:color="000000" w:fill="E6F2FF"/>
            <w:noWrap/>
            <w:vAlign w:val="center"/>
            <w:hideMark/>
          </w:tcPr>
          <w:p w14:paraId="06DDEF9D" w14:textId="77777777" w:rsidR="00B64154" w:rsidRPr="00954D98" w:rsidRDefault="00B64154" w:rsidP="00B64154">
            <w:pPr>
              <w:spacing w:before="0" w:after="0" w:line="240" w:lineRule="auto"/>
              <w:jc w:val="right"/>
              <w:rPr>
                <w:rFonts w:ascii="Arial" w:hAnsi="Arial" w:cs="Arial"/>
                <w:i/>
                <w:iCs/>
                <w:sz w:val="16"/>
                <w:szCs w:val="16"/>
              </w:rPr>
            </w:pPr>
            <w:r w:rsidRPr="00954D98">
              <w:rPr>
                <w:rFonts w:ascii="Arial" w:hAnsi="Arial" w:cs="Arial"/>
                <w:i/>
                <w:iCs/>
                <w:sz w:val="16"/>
                <w:szCs w:val="16"/>
              </w:rPr>
              <w:t>31,680</w:t>
            </w:r>
          </w:p>
        </w:tc>
        <w:tc>
          <w:tcPr>
            <w:tcW w:w="51" w:type="pct"/>
            <w:tcBorders>
              <w:top w:val="nil"/>
              <w:left w:val="nil"/>
              <w:bottom w:val="nil"/>
              <w:right w:val="nil"/>
            </w:tcBorders>
            <w:noWrap/>
            <w:vAlign w:val="center"/>
            <w:hideMark/>
          </w:tcPr>
          <w:p w14:paraId="0B3DFCF5" w14:textId="77777777" w:rsidR="00B64154" w:rsidRPr="00954D98" w:rsidRDefault="00B64154" w:rsidP="00B64154">
            <w:pPr>
              <w:spacing w:before="0" w:after="0" w:line="240" w:lineRule="auto"/>
              <w:jc w:val="right"/>
              <w:rPr>
                <w:rFonts w:ascii="Arial" w:hAnsi="Arial" w:cs="Arial"/>
                <w:i/>
                <w:iCs/>
                <w:sz w:val="16"/>
                <w:szCs w:val="16"/>
              </w:rPr>
            </w:pPr>
          </w:p>
        </w:tc>
        <w:tc>
          <w:tcPr>
            <w:tcW w:w="649" w:type="pct"/>
            <w:tcBorders>
              <w:top w:val="nil"/>
              <w:left w:val="nil"/>
              <w:bottom w:val="nil"/>
              <w:right w:val="nil"/>
            </w:tcBorders>
            <w:noWrap/>
            <w:vAlign w:val="center"/>
            <w:hideMark/>
          </w:tcPr>
          <w:p w14:paraId="641DE8D7" w14:textId="77777777" w:rsidR="00B64154" w:rsidRPr="00954D98" w:rsidRDefault="00B64154" w:rsidP="00B64154">
            <w:pPr>
              <w:spacing w:before="0" w:after="0" w:line="240" w:lineRule="auto"/>
              <w:jc w:val="right"/>
              <w:rPr>
                <w:rFonts w:ascii="Arial" w:hAnsi="Arial" w:cs="Arial"/>
                <w:i/>
                <w:iCs/>
                <w:sz w:val="16"/>
                <w:szCs w:val="16"/>
              </w:rPr>
            </w:pPr>
            <w:r w:rsidRPr="00954D98">
              <w:rPr>
                <w:rFonts w:ascii="Arial" w:hAnsi="Arial" w:cs="Arial"/>
                <w:i/>
                <w:iCs/>
                <w:sz w:val="16"/>
                <w:szCs w:val="16"/>
              </w:rPr>
              <w:t>-770</w:t>
            </w:r>
          </w:p>
        </w:tc>
        <w:tc>
          <w:tcPr>
            <w:tcW w:w="649" w:type="pct"/>
            <w:tcBorders>
              <w:top w:val="nil"/>
              <w:left w:val="nil"/>
              <w:bottom w:val="nil"/>
              <w:right w:val="nil"/>
            </w:tcBorders>
            <w:noWrap/>
            <w:vAlign w:val="center"/>
            <w:hideMark/>
          </w:tcPr>
          <w:p w14:paraId="6A7A75E4" w14:textId="77777777" w:rsidR="00B64154" w:rsidRPr="00954D98" w:rsidRDefault="00B64154" w:rsidP="00B64154">
            <w:pPr>
              <w:spacing w:before="0" w:after="0" w:line="240" w:lineRule="auto"/>
              <w:jc w:val="right"/>
              <w:rPr>
                <w:rFonts w:ascii="Arial" w:hAnsi="Arial" w:cs="Arial"/>
                <w:i/>
                <w:iCs/>
                <w:sz w:val="16"/>
                <w:szCs w:val="16"/>
              </w:rPr>
            </w:pPr>
            <w:r w:rsidRPr="00954D98">
              <w:rPr>
                <w:rFonts w:ascii="Arial" w:hAnsi="Arial" w:cs="Arial"/>
                <w:i/>
                <w:iCs/>
                <w:sz w:val="16"/>
                <w:szCs w:val="16"/>
              </w:rPr>
              <w:t>-2.4</w:t>
            </w:r>
          </w:p>
        </w:tc>
      </w:tr>
      <w:tr w:rsidR="00B64154" w:rsidRPr="00954D98" w14:paraId="442ADE06" w14:textId="77777777" w:rsidTr="00B64154">
        <w:trPr>
          <w:trHeight w:hRule="exact" w:val="225"/>
        </w:trPr>
        <w:tc>
          <w:tcPr>
            <w:tcW w:w="2157" w:type="pct"/>
            <w:tcBorders>
              <w:top w:val="nil"/>
              <w:left w:val="nil"/>
              <w:bottom w:val="nil"/>
              <w:right w:val="nil"/>
            </w:tcBorders>
            <w:noWrap/>
            <w:vAlign w:val="center"/>
            <w:hideMark/>
          </w:tcPr>
          <w:p w14:paraId="46731F19" w14:textId="77777777" w:rsidR="00B64154" w:rsidRPr="00954D98" w:rsidRDefault="00B64154" w:rsidP="00B64154">
            <w:pPr>
              <w:spacing w:before="0" w:after="0" w:line="240" w:lineRule="auto"/>
              <w:ind w:firstLineChars="100" w:firstLine="160"/>
              <w:rPr>
                <w:rFonts w:ascii="Arial" w:hAnsi="Arial" w:cs="Arial"/>
                <w:i/>
                <w:iCs/>
                <w:sz w:val="16"/>
                <w:szCs w:val="16"/>
              </w:rPr>
            </w:pPr>
            <w:r w:rsidRPr="00954D98">
              <w:rPr>
                <w:rFonts w:ascii="Arial" w:hAnsi="Arial" w:cs="Arial"/>
                <w:i/>
                <w:iCs/>
                <w:sz w:val="16"/>
                <w:szCs w:val="16"/>
              </w:rPr>
              <w:t xml:space="preserve">Total customs duty </w:t>
            </w:r>
          </w:p>
        </w:tc>
        <w:tc>
          <w:tcPr>
            <w:tcW w:w="718" w:type="pct"/>
            <w:tcBorders>
              <w:top w:val="nil"/>
              <w:left w:val="nil"/>
              <w:bottom w:val="nil"/>
              <w:right w:val="nil"/>
            </w:tcBorders>
            <w:noWrap/>
            <w:vAlign w:val="center"/>
            <w:hideMark/>
          </w:tcPr>
          <w:p w14:paraId="497CE91C" w14:textId="77777777" w:rsidR="00B64154" w:rsidRPr="00954D98" w:rsidRDefault="00B64154" w:rsidP="00B64154">
            <w:pPr>
              <w:spacing w:before="0" w:after="0" w:line="240" w:lineRule="auto"/>
              <w:jc w:val="right"/>
              <w:rPr>
                <w:rFonts w:ascii="Arial" w:hAnsi="Arial" w:cs="Arial"/>
                <w:i/>
                <w:iCs/>
                <w:sz w:val="16"/>
                <w:szCs w:val="16"/>
              </w:rPr>
            </w:pPr>
            <w:r w:rsidRPr="00954D98">
              <w:rPr>
                <w:rFonts w:ascii="Arial" w:hAnsi="Arial" w:cs="Arial"/>
                <w:i/>
                <w:iCs/>
                <w:sz w:val="16"/>
                <w:szCs w:val="16"/>
              </w:rPr>
              <w:t>11,350</w:t>
            </w:r>
          </w:p>
        </w:tc>
        <w:tc>
          <w:tcPr>
            <w:tcW w:w="776" w:type="pct"/>
            <w:tcBorders>
              <w:top w:val="nil"/>
              <w:left w:val="nil"/>
              <w:bottom w:val="nil"/>
              <w:right w:val="nil"/>
            </w:tcBorders>
            <w:shd w:val="clear" w:color="000000" w:fill="E6F2FF"/>
            <w:noWrap/>
            <w:vAlign w:val="center"/>
            <w:hideMark/>
          </w:tcPr>
          <w:p w14:paraId="5807A7A5" w14:textId="77777777" w:rsidR="00B64154" w:rsidRPr="00954D98" w:rsidRDefault="00B64154" w:rsidP="00B64154">
            <w:pPr>
              <w:spacing w:before="0" w:after="0" w:line="240" w:lineRule="auto"/>
              <w:jc w:val="right"/>
              <w:rPr>
                <w:rFonts w:ascii="Arial" w:hAnsi="Arial" w:cs="Arial"/>
                <w:i/>
                <w:iCs/>
                <w:sz w:val="16"/>
                <w:szCs w:val="16"/>
              </w:rPr>
            </w:pPr>
            <w:r w:rsidRPr="00954D98">
              <w:rPr>
                <w:rFonts w:ascii="Arial" w:hAnsi="Arial" w:cs="Arial"/>
                <w:i/>
                <w:iCs/>
                <w:sz w:val="16"/>
                <w:szCs w:val="16"/>
              </w:rPr>
              <w:t>8,780</w:t>
            </w:r>
          </w:p>
        </w:tc>
        <w:tc>
          <w:tcPr>
            <w:tcW w:w="51" w:type="pct"/>
            <w:tcBorders>
              <w:top w:val="nil"/>
              <w:left w:val="nil"/>
              <w:bottom w:val="nil"/>
              <w:right w:val="nil"/>
            </w:tcBorders>
            <w:noWrap/>
            <w:vAlign w:val="center"/>
            <w:hideMark/>
          </w:tcPr>
          <w:p w14:paraId="38B741EE" w14:textId="77777777" w:rsidR="00B64154" w:rsidRPr="00954D98" w:rsidRDefault="00B64154" w:rsidP="00B64154">
            <w:pPr>
              <w:spacing w:before="0" w:after="0" w:line="240" w:lineRule="auto"/>
              <w:jc w:val="right"/>
              <w:rPr>
                <w:rFonts w:ascii="Arial" w:hAnsi="Arial" w:cs="Arial"/>
                <w:i/>
                <w:iCs/>
                <w:sz w:val="16"/>
                <w:szCs w:val="16"/>
              </w:rPr>
            </w:pPr>
          </w:p>
        </w:tc>
        <w:tc>
          <w:tcPr>
            <w:tcW w:w="649" w:type="pct"/>
            <w:tcBorders>
              <w:top w:val="nil"/>
              <w:left w:val="nil"/>
              <w:bottom w:val="nil"/>
              <w:right w:val="nil"/>
            </w:tcBorders>
            <w:noWrap/>
            <w:vAlign w:val="center"/>
            <w:hideMark/>
          </w:tcPr>
          <w:p w14:paraId="69690AE5" w14:textId="77777777" w:rsidR="00B64154" w:rsidRPr="00954D98" w:rsidRDefault="00B64154" w:rsidP="00B64154">
            <w:pPr>
              <w:spacing w:before="0" w:after="0" w:line="240" w:lineRule="auto"/>
              <w:jc w:val="right"/>
              <w:rPr>
                <w:rFonts w:ascii="Arial" w:hAnsi="Arial" w:cs="Arial"/>
                <w:i/>
                <w:iCs/>
                <w:sz w:val="16"/>
                <w:szCs w:val="16"/>
              </w:rPr>
            </w:pPr>
            <w:r w:rsidRPr="00954D98">
              <w:rPr>
                <w:rFonts w:ascii="Arial" w:hAnsi="Arial" w:cs="Arial"/>
                <w:i/>
                <w:iCs/>
                <w:sz w:val="16"/>
                <w:szCs w:val="16"/>
              </w:rPr>
              <w:t>-2,570</w:t>
            </w:r>
          </w:p>
        </w:tc>
        <w:tc>
          <w:tcPr>
            <w:tcW w:w="649" w:type="pct"/>
            <w:tcBorders>
              <w:top w:val="nil"/>
              <w:left w:val="nil"/>
              <w:bottom w:val="nil"/>
              <w:right w:val="nil"/>
            </w:tcBorders>
            <w:noWrap/>
            <w:vAlign w:val="center"/>
            <w:hideMark/>
          </w:tcPr>
          <w:p w14:paraId="7DD3DF4F" w14:textId="77777777" w:rsidR="00B64154" w:rsidRPr="00954D98" w:rsidRDefault="00B64154" w:rsidP="00B64154">
            <w:pPr>
              <w:spacing w:before="0" w:after="0" w:line="240" w:lineRule="auto"/>
              <w:jc w:val="right"/>
              <w:rPr>
                <w:rFonts w:ascii="Arial" w:hAnsi="Arial" w:cs="Arial"/>
                <w:i/>
                <w:iCs/>
                <w:sz w:val="16"/>
                <w:szCs w:val="16"/>
              </w:rPr>
            </w:pPr>
            <w:r w:rsidRPr="00954D98">
              <w:rPr>
                <w:rFonts w:ascii="Arial" w:hAnsi="Arial" w:cs="Arial"/>
                <w:i/>
                <w:iCs/>
                <w:sz w:val="16"/>
                <w:szCs w:val="16"/>
              </w:rPr>
              <w:t>-22.6</w:t>
            </w:r>
          </w:p>
        </w:tc>
      </w:tr>
      <w:tr w:rsidR="00B64154" w:rsidRPr="00954D98" w14:paraId="33B9FD70" w14:textId="77777777" w:rsidTr="00B64154">
        <w:trPr>
          <w:trHeight w:hRule="exact" w:val="225"/>
        </w:trPr>
        <w:tc>
          <w:tcPr>
            <w:tcW w:w="2157" w:type="pct"/>
            <w:tcBorders>
              <w:top w:val="nil"/>
              <w:left w:val="nil"/>
              <w:bottom w:val="single" w:sz="4" w:space="0" w:color="293F5B"/>
              <w:right w:val="nil"/>
            </w:tcBorders>
            <w:noWrap/>
            <w:vAlign w:val="center"/>
            <w:hideMark/>
          </w:tcPr>
          <w:p w14:paraId="3B945DA1" w14:textId="77777777" w:rsidR="00B64154" w:rsidRPr="00954D98" w:rsidRDefault="00B64154" w:rsidP="00B64154">
            <w:pPr>
              <w:spacing w:before="0" w:after="0" w:line="240" w:lineRule="auto"/>
              <w:ind w:firstLineChars="100" w:firstLine="160"/>
              <w:rPr>
                <w:rFonts w:ascii="Arial" w:hAnsi="Arial" w:cs="Arial"/>
                <w:i/>
                <w:iCs/>
                <w:sz w:val="16"/>
                <w:szCs w:val="16"/>
              </w:rPr>
            </w:pPr>
            <w:r w:rsidRPr="00954D98">
              <w:rPr>
                <w:rFonts w:ascii="Arial" w:hAnsi="Arial" w:cs="Arial"/>
                <w:i/>
                <w:iCs/>
                <w:sz w:val="16"/>
                <w:szCs w:val="16"/>
              </w:rPr>
              <w:t>Capital gains tax(b)</w:t>
            </w:r>
          </w:p>
        </w:tc>
        <w:tc>
          <w:tcPr>
            <w:tcW w:w="718" w:type="pct"/>
            <w:tcBorders>
              <w:top w:val="nil"/>
              <w:left w:val="nil"/>
              <w:bottom w:val="single" w:sz="4" w:space="0" w:color="293F5B"/>
              <w:right w:val="nil"/>
            </w:tcBorders>
            <w:shd w:val="clear" w:color="000000" w:fill="FFFFFF"/>
            <w:noWrap/>
            <w:vAlign w:val="center"/>
            <w:hideMark/>
          </w:tcPr>
          <w:p w14:paraId="45D8ADF9" w14:textId="77777777" w:rsidR="00B64154" w:rsidRPr="00954D98" w:rsidRDefault="00B64154" w:rsidP="00B64154">
            <w:pPr>
              <w:spacing w:before="0" w:after="0" w:line="240" w:lineRule="auto"/>
              <w:jc w:val="right"/>
              <w:rPr>
                <w:rFonts w:ascii="Arial" w:hAnsi="Arial" w:cs="Arial"/>
                <w:i/>
                <w:iCs/>
                <w:sz w:val="16"/>
                <w:szCs w:val="16"/>
              </w:rPr>
            </w:pPr>
            <w:r w:rsidRPr="00954D98">
              <w:rPr>
                <w:rFonts w:ascii="Arial" w:hAnsi="Arial" w:cs="Arial"/>
                <w:i/>
                <w:iCs/>
                <w:sz w:val="16"/>
                <w:szCs w:val="16"/>
              </w:rPr>
              <w:t>27,600</w:t>
            </w:r>
          </w:p>
        </w:tc>
        <w:tc>
          <w:tcPr>
            <w:tcW w:w="776" w:type="pct"/>
            <w:tcBorders>
              <w:top w:val="nil"/>
              <w:left w:val="nil"/>
              <w:bottom w:val="single" w:sz="4" w:space="0" w:color="293F5B"/>
              <w:right w:val="nil"/>
            </w:tcBorders>
            <w:shd w:val="clear" w:color="000000" w:fill="E6F2FF"/>
            <w:noWrap/>
            <w:vAlign w:val="center"/>
            <w:hideMark/>
          </w:tcPr>
          <w:p w14:paraId="2497040C" w14:textId="77777777" w:rsidR="00B64154" w:rsidRPr="00954D98" w:rsidRDefault="00B64154" w:rsidP="00B64154">
            <w:pPr>
              <w:spacing w:before="0" w:after="0" w:line="240" w:lineRule="auto"/>
              <w:jc w:val="right"/>
              <w:rPr>
                <w:rFonts w:ascii="Arial" w:hAnsi="Arial" w:cs="Arial"/>
                <w:i/>
                <w:iCs/>
                <w:sz w:val="16"/>
                <w:szCs w:val="16"/>
              </w:rPr>
            </w:pPr>
            <w:r w:rsidRPr="00954D98">
              <w:rPr>
                <w:rFonts w:ascii="Arial" w:hAnsi="Arial" w:cs="Arial"/>
                <w:i/>
                <w:iCs/>
                <w:sz w:val="16"/>
                <w:szCs w:val="16"/>
              </w:rPr>
              <w:t>31,500</w:t>
            </w:r>
          </w:p>
        </w:tc>
        <w:tc>
          <w:tcPr>
            <w:tcW w:w="51" w:type="pct"/>
            <w:tcBorders>
              <w:top w:val="nil"/>
              <w:left w:val="nil"/>
              <w:bottom w:val="single" w:sz="4" w:space="0" w:color="293F5B"/>
              <w:right w:val="nil"/>
            </w:tcBorders>
            <w:noWrap/>
            <w:vAlign w:val="center"/>
            <w:hideMark/>
          </w:tcPr>
          <w:p w14:paraId="50830AFD" w14:textId="77777777" w:rsidR="00B64154" w:rsidRPr="00954D98" w:rsidRDefault="00B64154" w:rsidP="00B64154">
            <w:pPr>
              <w:spacing w:before="0" w:after="0" w:line="240" w:lineRule="auto"/>
              <w:jc w:val="right"/>
              <w:rPr>
                <w:rFonts w:ascii="Arial" w:hAnsi="Arial" w:cs="Arial"/>
                <w:i/>
                <w:iCs/>
                <w:sz w:val="16"/>
                <w:szCs w:val="16"/>
              </w:rPr>
            </w:pPr>
            <w:r w:rsidRPr="00954D98">
              <w:rPr>
                <w:rFonts w:ascii="Arial" w:hAnsi="Arial" w:cs="Arial"/>
                <w:i/>
                <w:iCs/>
                <w:sz w:val="16"/>
                <w:szCs w:val="16"/>
              </w:rPr>
              <w:t> </w:t>
            </w:r>
          </w:p>
        </w:tc>
        <w:tc>
          <w:tcPr>
            <w:tcW w:w="649" w:type="pct"/>
            <w:tcBorders>
              <w:top w:val="nil"/>
              <w:left w:val="nil"/>
              <w:bottom w:val="single" w:sz="4" w:space="0" w:color="293F5B"/>
              <w:right w:val="nil"/>
            </w:tcBorders>
            <w:noWrap/>
            <w:vAlign w:val="center"/>
            <w:hideMark/>
          </w:tcPr>
          <w:p w14:paraId="4E496274" w14:textId="77777777" w:rsidR="00B64154" w:rsidRPr="00954D98" w:rsidRDefault="00B64154" w:rsidP="00B64154">
            <w:pPr>
              <w:spacing w:before="0" w:after="0" w:line="240" w:lineRule="auto"/>
              <w:jc w:val="right"/>
              <w:rPr>
                <w:rFonts w:ascii="Arial" w:hAnsi="Arial" w:cs="Arial"/>
                <w:i/>
                <w:iCs/>
                <w:sz w:val="16"/>
                <w:szCs w:val="16"/>
              </w:rPr>
            </w:pPr>
            <w:r w:rsidRPr="00954D98">
              <w:rPr>
                <w:rFonts w:ascii="Arial" w:hAnsi="Arial" w:cs="Arial"/>
                <w:i/>
                <w:iCs/>
                <w:sz w:val="16"/>
                <w:szCs w:val="16"/>
              </w:rPr>
              <w:t>3,900</w:t>
            </w:r>
          </w:p>
        </w:tc>
        <w:tc>
          <w:tcPr>
            <w:tcW w:w="649" w:type="pct"/>
            <w:tcBorders>
              <w:top w:val="nil"/>
              <w:left w:val="nil"/>
              <w:bottom w:val="single" w:sz="4" w:space="0" w:color="293F5B"/>
              <w:right w:val="nil"/>
            </w:tcBorders>
            <w:noWrap/>
            <w:vAlign w:val="center"/>
            <w:hideMark/>
          </w:tcPr>
          <w:p w14:paraId="7052CE1C" w14:textId="77777777" w:rsidR="00B64154" w:rsidRPr="00954D98" w:rsidRDefault="00B64154" w:rsidP="00B64154">
            <w:pPr>
              <w:spacing w:before="0" w:after="0" w:line="240" w:lineRule="auto"/>
              <w:jc w:val="right"/>
              <w:rPr>
                <w:rFonts w:ascii="Arial" w:hAnsi="Arial" w:cs="Arial"/>
                <w:i/>
                <w:iCs/>
                <w:sz w:val="16"/>
                <w:szCs w:val="16"/>
              </w:rPr>
            </w:pPr>
            <w:r w:rsidRPr="00954D98">
              <w:rPr>
                <w:rFonts w:ascii="Arial" w:hAnsi="Arial" w:cs="Arial"/>
                <w:i/>
                <w:iCs/>
                <w:sz w:val="16"/>
                <w:szCs w:val="16"/>
              </w:rPr>
              <w:t>14.1</w:t>
            </w:r>
          </w:p>
        </w:tc>
      </w:tr>
    </w:tbl>
    <w:p w14:paraId="780CA4F3" w14:textId="5A00C3AD" w:rsidR="00F1044A" w:rsidRPr="002A0AAE" w:rsidRDefault="00536CFF" w:rsidP="006D3CE2">
      <w:pPr>
        <w:pStyle w:val="ChartandTableFootnoteAlpha"/>
        <w:numPr>
          <w:ilvl w:val="0"/>
          <w:numId w:val="37"/>
        </w:numPr>
        <w:spacing w:before="0"/>
        <w:rPr>
          <w:rFonts w:eastAsiaTheme="minorEastAsia"/>
        </w:rPr>
      </w:pPr>
      <w:r>
        <w:rPr>
          <w:rFonts w:eastAsiaTheme="minorEastAsia"/>
        </w:rPr>
        <w:t>‘</w:t>
      </w:r>
      <w:r w:rsidR="00F1044A" w:rsidRPr="002A0AAE">
        <w:rPr>
          <w:rFonts w:eastAsiaTheme="minorEastAsia"/>
        </w:rPr>
        <w:t>Other alcoholic beverages</w:t>
      </w:r>
      <w:r>
        <w:rPr>
          <w:rFonts w:eastAsiaTheme="minorEastAsia"/>
        </w:rPr>
        <w:t>’</w:t>
      </w:r>
      <w:r w:rsidR="00F1044A" w:rsidRPr="002A0AAE">
        <w:rPr>
          <w:rFonts w:eastAsiaTheme="minorEastAsia"/>
        </w:rPr>
        <w:t xml:space="preserve"> are those not exceeding 10 per cent by volume of alcohol (excluding beer, brandy and wine).</w:t>
      </w:r>
    </w:p>
    <w:p w14:paraId="429C0E5F" w14:textId="64FEF08E" w:rsidR="00F1044A" w:rsidRDefault="00536CFF" w:rsidP="006D3CE2">
      <w:pPr>
        <w:pStyle w:val="ChartandTableFootnoteAlpha"/>
        <w:spacing w:before="0"/>
        <w:rPr>
          <w:color w:val="auto"/>
        </w:rPr>
      </w:pPr>
      <w:r>
        <w:rPr>
          <w:rFonts w:eastAsiaTheme="minorEastAsia"/>
          <w:color w:val="auto"/>
        </w:rPr>
        <w:t>‘</w:t>
      </w:r>
      <w:r w:rsidR="00F1044A" w:rsidRPr="00954D98">
        <w:rPr>
          <w:rFonts w:eastAsiaTheme="minorEastAsia"/>
          <w:color w:val="auto"/>
        </w:rPr>
        <w:t>Capital gains tax</w:t>
      </w:r>
      <w:r>
        <w:rPr>
          <w:rFonts w:eastAsiaTheme="minorEastAsia"/>
          <w:color w:val="auto"/>
        </w:rPr>
        <w:t>’</w:t>
      </w:r>
      <w:r w:rsidR="00F1044A" w:rsidRPr="00954D98">
        <w:rPr>
          <w:rFonts w:eastAsiaTheme="minorEastAsia"/>
          <w:color w:val="auto"/>
        </w:rPr>
        <w:t xml:space="preserve"> is part of gross other individuals, company tax and superannuation fund taxes.</w:t>
      </w:r>
      <w:r w:rsidR="00F1044A" w:rsidRPr="00954D98">
        <w:rPr>
          <w:color w:val="auto"/>
        </w:rPr>
        <w:t xml:space="preserve"> </w:t>
      </w:r>
    </w:p>
    <w:p w14:paraId="3A099403" w14:textId="77777777" w:rsidR="006D3CE2" w:rsidRPr="006D3CE2" w:rsidRDefault="006D3CE2" w:rsidP="006D3CE2">
      <w:pPr>
        <w:pStyle w:val="TableLine"/>
        <w:rPr>
          <w:rFonts w:eastAsiaTheme="minorEastAsia"/>
        </w:rPr>
      </w:pPr>
    </w:p>
    <w:p w14:paraId="42A1DF85" w14:textId="09477635" w:rsidR="00F1044A" w:rsidRPr="00954D98" w:rsidRDefault="00F1044A" w:rsidP="00F1044A">
      <w:pPr>
        <w:pStyle w:val="TableHeading"/>
      </w:pPr>
      <w:r w:rsidRPr="00954D98">
        <w:lastRenderedPageBreak/>
        <w:t>Table 3.</w:t>
      </w:r>
      <w:r w:rsidR="0058313B" w:rsidRPr="00954D98">
        <w:t>4</w:t>
      </w:r>
      <w:r w:rsidRPr="00954D98">
        <w:t>: Reconciliation of 202</w:t>
      </w:r>
      <w:r w:rsidR="00321661" w:rsidRPr="00954D98">
        <w:t>6</w:t>
      </w:r>
      <w:r w:rsidRPr="00954D98">
        <w:t>–2</w:t>
      </w:r>
      <w:r w:rsidR="00321661" w:rsidRPr="00954D98">
        <w:t>7</w:t>
      </w:r>
      <w:r w:rsidRPr="00954D98">
        <w:t xml:space="preserve"> general government (cash) receipts</w:t>
      </w:r>
    </w:p>
    <w:tbl>
      <w:tblPr>
        <w:tblW w:w="5000" w:type="pct"/>
        <w:tblCellMar>
          <w:left w:w="0" w:type="dxa"/>
          <w:right w:w="28" w:type="dxa"/>
        </w:tblCellMar>
        <w:tblLook w:val="04A0" w:firstRow="1" w:lastRow="0" w:firstColumn="1" w:lastColumn="0" w:noHBand="0" w:noVBand="1"/>
      </w:tblPr>
      <w:tblGrid>
        <w:gridCol w:w="3343"/>
        <w:gridCol w:w="1099"/>
        <w:gridCol w:w="1229"/>
        <w:gridCol w:w="73"/>
        <w:gridCol w:w="975"/>
        <w:gridCol w:w="991"/>
      </w:tblGrid>
      <w:tr w:rsidR="001364B1" w:rsidRPr="00954D98" w14:paraId="0E42C6D1" w14:textId="77777777" w:rsidTr="001364B1">
        <w:trPr>
          <w:trHeight w:hRule="exact" w:val="225"/>
        </w:trPr>
        <w:tc>
          <w:tcPr>
            <w:tcW w:w="2182" w:type="pct"/>
            <w:tcBorders>
              <w:top w:val="single" w:sz="4" w:space="0" w:color="293F5B"/>
              <w:left w:val="nil"/>
              <w:bottom w:val="nil"/>
              <w:right w:val="nil"/>
            </w:tcBorders>
            <w:noWrap/>
            <w:vAlign w:val="center"/>
            <w:hideMark/>
          </w:tcPr>
          <w:p w14:paraId="715BF65C"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 </w:t>
            </w:r>
          </w:p>
        </w:tc>
        <w:tc>
          <w:tcPr>
            <w:tcW w:w="1453" w:type="pct"/>
            <w:gridSpan w:val="2"/>
            <w:tcBorders>
              <w:top w:val="single" w:sz="4" w:space="0" w:color="293F5B"/>
              <w:left w:val="nil"/>
              <w:bottom w:val="nil"/>
              <w:right w:val="nil"/>
            </w:tcBorders>
            <w:noWrap/>
            <w:vAlign w:val="center"/>
            <w:hideMark/>
          </w:tcPr>
          <w:p w14:paraId="700717D0" w14:textId="77777777" w:rsidR="001364B1" w:rsidRPr="00954D98" w:rsidRDefault="001364B1" w:rsidP="001364B1">
            <w:pPr>
              <w:spacing w:before="0" w:after="0" w:line="240" w:lineRule="auto"/>
              <w:jc w:val="center"/>
              <w:rPr>
                <w:rFonts w:ascii="Arial" w:hAnsi="Arial" w:cs="Arial"/>
                <w:sz w:val="16"/>
                <w:szCs w:val="16"/>
              </w:rPr>
            </w:pPr>
            <w:r w:rsidRPr="00954D98">
              <w:rPr>
                <w:rFonts w:ascii="Arial" w:hAnsi="Arial" w:cs="Arial"/>
                <w:sz w:val="16"/>
                <w:szCs w:val="16"/>
              </w:rPr>
              <w:t>Estimates</w:t>
            </w:r>
          </w:p>
        </w:tc>
        <w:tc>
          <w:tcPr>
            <w:tcW w:w="51" w:type="pct"/>
            <w:tcBorders>
              <w:top w:val="single" w:sz="4" w:space="0" w:color="293F5B"/>
              <w:left w:val="nil"/>
              <w:bottom w:val="nil"/>
              <w:right w:val="nil"/>
            </w:tcBorders>
            <w:noWrap/>
            <w:vAlign w:val="center"/>
            <w:hideMark/>
          </w:tcPr>
          <w:p w14:paraId="5B297215"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 </w:t>
            </w:r>
          </w:p>
        </w:tc>
        <w:tc>
          <w:tcPr>
            <w:tcW w:w="1313" w:type="pct"/>
            <w:gridSpan w:val="2"/>
            <w:tcBorders>
              <w:top w:val="single" w:sz="4" w:space="0" w:color="293F5B"/>
              <w:left w:val="nil"/>
              <w:bottom w:val="nil"/>
              <w:right w:val="nil"/>
            </w:tcBorders>
            <w:noWrap/>
            <w:vAlign w:val="center"/>
            <w:hideMark/>
          </w:tcPr>
          <w:p w14:paraId="600A82A4" w14:textId="77777777" w:rsidR="001364B1" w:rsidRPr="00954D98" w:rsidRDefault="001364B1" w:rsidP="001364B1">
            <w:pPr>
              <w:spacing w:before="0" w:after="0" w:line="240" w:lineRule="auto"/>
              <w:jc w:val="center"/>
              <w:rPr>
                <w:rFonts w:ascii="Arial" w:hAnsi="Arial" w:cs="Arial"/>
                <w:sz w:val="16"/>
                <w:szCs w:val="16"/>
              </w:rPr>
            </w:pPr>
            <w:r w:rsidRPr="00954D98">
              <w:rPr>
                <w:rFonts w:ascii="Arial" w:hAnsi="Arial" w:cs="Arial"/>
                <w:sz w:val="16"/>
                <w:szCs w:val="16"/>
              </w:rPr>
              <w:t>Change from 2025 PEFO</w:t>
            </w:r>
          </w:p>
        </w:tc>
      </w:tr>
      <w:tr w:rsidR="001364B1" w:rsidRPr="00954D98" w14:paraId="4A39F4F7" w14:textId="77777777" w:rsidTr="001364B1">
        <w:trPr>
          <w:trHeight w:hRule="exact" w:val="225"/>
        </w:trPr>
        <w:tc>
          <w:tcPr>
            <w:tcW w:w="2182" w:type="pct"/>
            <w:tcBorders>
              <w:top w:val="nil"/>
              <w:left w:val="nil"/>
              <w:bottom w:val="nil"/>
              <w:right w:val="nil"/>
            </w:tcBorders>
            <w:noWrap/>
            <w:vAlign w:val="center"/>
            <w:hideMark/>
          </w:tcPr>
          <w:p w14:paraId="32D1EF5B" w14:textId="77777777" w:rsidR="001364B1" w:rsidRPr="00954D98" w:rsidRDefault="001364B1" w:rsidP="001364B1">
            <w:pPr>
              <w:spacing w:before="0" w:after="0" w:line="240" w:lineRule="auto"/>
              <w:jc w:val="center"/>
              <w:rPr>
                <w:rFonts w:ascii="Arial" w:hAnsi="Arial" w:cs="Arial"/>
                <w:sz w:val="16"/>
                <w:szCs w:val="16"/>
              </w:rPr>
            </w:pPr>
          </w:p>
        </w:tc>
        <w:tc>
          <w:tcPr>
            <w:tcW w:w="727" w:type="pct"/>
            <w:tcBorders>
              <w:top w:val="single" w:sz="4" w:space="0" w:color="293F5B"/>
              <w:left w:val="nil"/>
              <w:bottom w:val="nil"/>
              <w:right w:val="nil"/>
            </w:tcBorders>
            <w:shd w:val="clear" w:color="000000" w:fill="FFFFFF"/>
            <w:noWrap/>
            <w:vAlign w:val="center"/>
            <w:hideMark/>
          </w:tcPr>
          <w:p w14:paraId="3AD84F13"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2025 PEFO</w:t>
            </w:r>
          </w:p>
        </w:tc>
        <w:tc>
          <w:tcPr>
            <w:tcW w:w="727" w:type="pct"/>
            <w:tcBorders>
              <w:top w:val="single" w:sz="4" w:space="0" w:color="293F5B"/>
              <w:left w:val="nil"/>
              <w:bottom w:val="nil"/>
              <w:right w:val="nil"/>
            </w:tcBorders>
            <w:shd w:val="clear" w:color="000000" w:fill="E6F2FF"/>
            <w:noWrap/>
            <w:vAlign w:val="center"/>
            <w:hideMark/>
          </w:tcPr>
          <w:p w14:paraId="175E5DA7"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2025-26 MYEFO</w:t>
            </w:r>
          </w:p>
        </w:tc>
        <w:tc>
          <w:tcPr>
            <w:tcW w:w="51" w:type="pct"/>
            <w:tcBorders>
              <w:top w:val="nil"/>
              <w:left w:val="nil"/>
              <w:bottom w:val="nil"/>
              <w:right w:val="nil"/>
            </w:tcBorders>
            <w:noWrap/>
            <w:vAlign w:val="center"/>
            <w:hideMark/>
          </w:tcPr>
          <w:p w14:paraId="1A3B89AA"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single" w:sz="4" w:space="0" w:color="293F5B"/>
              <w:left w:val="nil"/>
              <w:bottom w:val="nil"/>
              <w:right w:val="nil"/>
            </w:tcBorders>
            <w:noWrap/>
            <w:vAlign w:val="center"/>
            <w:hideMark/>
          </w:tcPr>
          <w:p w14:paraId="791D08DC"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 </w:t>
            </w:r>
          </w:p>
        </w:tc>
        <w:tc>
          <w:tcPr>
            <w:tcW w:w="657" w:type="pct"/>
            <w:tcBorders>
              <w:top w:val="single" w:sz="4" w:space="0" w:color="293F5B"/>
              <w:left w:val="nil"/>
              <w:bottom w:val="nil"/>
              <w:right w:val="nil"/>
            </w:tcBorders>
            <w:noWrap/>
            <w:vAlign w:val="center"/>
            <w:hideMark/>
          </w:tcPr>
          <w:p w14:paraId="69E9D269"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 </w:t>
            </w:r>
          </w:p>
        </w:tc>
      </w:tr>
      <w:tr w:rsidR="001364B1" w:rsidRPr="00954D98" w14:paraId="3FF3739F" w14:textId="77777777" w:rsidTr="001364B1">
        <w:trPr>
          <w:trHeight w:hRule="exact" w:val="225"/>
        </w:trPr>
        <w:tc>
          <w:tcPr>
            <w:tcW w:w="2182" w:type="pct"/>
            <w:tcBorders>
              <w:top w:val="nil"/>
              <w:left w:val="nil"/>
              <w:bottom w:val="nil"/>
              <w:right w:val="nil"/>
            </w:tcBorders>
            <w:vAlign w:val="center"/>
            <w:hideMark/>
          </w:tcPr>
          <w:p w14:paraId="2C777402" w14:textId="77777777" w:rsidR="001364B1" w:rsidRPr="00954D98" w:rsidRDefault="001364B1" w:rsidP="001364B1">
            <w:pPr>
              <w:spacing w:before="0" w:after="0" w:line="240" w:lineRule="auto"/>
              <w:jc w:val="right"/>
              <w:rPr>
                <w:rFonts w:ascii="Arial" w:hAnsi="Arial" w:cs="Arial"/>
                <w:sz w:val="16"/>
                <w:szCs w:val="16"/>
              </w:rPr>
            </w:pPr>
          </w:p>
        </w:tc>
        <w:tc>
          <w:tcPr>
            <w:tcW w:w="727" w:type="pct"/>
            <w:tcBorders>
              <w:top w:val="nil"/>
              <w:left w:val="nil"/>
              <w:bottom w:val="nil"/>
              <w:right w:val="nil"/>
            </w:tcBorders>
            <w:vAlign w:val="center"/>
            <w:hideMark/>
          </w:tcPr>
          <w:p w14:paraId="7DAA471E"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$m</w:t>
            </w:r>
          </w:p>
        </w:tc>
        <w:tc>
          <w:tcPr>
            <w:tcW w:w="727" w:type="pct"/>
            <w:tcBorders>
              <w:top w:val="nil"/>
              <w:left w:val="nil"/>
              <w:bottom w:val="nil"/>
              <w:right w:val="nil"/>
            </w:tcBorders>
            <w:shd w:val="clear" w:color="000000" w:fill="E6F2FF"/>
            <w:noWrap/>
            <w:vAlign w:val="center"/>
            <w:hideMark/>
          </w:tcPr>
          <w:p w14:paraId="0877344D"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$m</w:t>
            </w:r>
          </w:p>
        </w:tc>
        <w:tc>
          <w:tcPr>
            <w:tcW w:w="51" w:type="pct"/>
            <w:tcBorders>
              <w:top w:val="nil"/>
              <w:left w:val="nil"/>
              <w:bottom w:val="nil"/>
              <w:right w:val="nil"/>
            </w:tcBorders>
            <w:vAlign w:val="center"/>
            <w:hideMark/>
          </w:tcPr>
          <w:p w14:paraId="601E1EC0"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vAlign w:val="center"/>
            <w:hideMark/>
          </w:tcPr>
          <w:p w14:paraId="7E8E8F1A"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$m</w:t>
            </w:r>
          </w:p>
        </w:tc>
        <w:tc>
          <w:tcPr>
            <w:tcW w:w="657" w:type="pct"/>
            <w:tcBorders>
              <w:top w:val="nil"/>
              <w:left w:val="nil"/>
              <w:bottom w:val="nil"/>
              <w:right w:val="nil"/>
            </w:tcBorders>
            <w:vAlign w:val="center"/>
            <w:hideMark/>
          </w:tcPr>
          <w:p w14:paraId="3E14D31A"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w:t>
            </w:r>
          </w:p>
        </w:tc>
      </w:tr>
      <w:tr w:rsidR="001364B1" w:rsidRPr="00954D98" w14:paraId="427F2C13" w14:textId="77777777" w:rsidTr="001364B1">
        <w:trPr>
          <w:trHeight w:hRule="exact" w:val="225"/>
        </w:trPr>
        <w:tc>
          <w:tcPr>
            <w:tcW w:w="2182" w:type="pct"/>
            <w:tcBorders>
              <w:top w:val="nil"/>
              <w:left w:val="nil"/>
              <w:bottom w:val="nil"/>
              <w:right w:val="nil"/>
            </w:tcBorders>
            <w:noWrap/>
            <w:vAlign w:val="center"/>
            <w:hideMark/>
          </w:tcPr>
          <w:p w14:paraId="79A7792B"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Individuals and other withholding taxes</w:t>
            </w:r>
          </w:p>
        </w:tc>
        <w:tc>
          <w:tcPr>
            <w:tcW w:w="727" w:type="pct"/>
            <w:tcBorders>
              <w:top w:val="single" w:sz="4" w:space="0" w:color="293F5B"/>
              <w:left w:val="nil"/>
              <w:bottom w:val="nil"/>
              <w:right w:val="nil"/>
            </w:tcBorders>
            <w:noWrap/>
            <w:vAlign w:val="center"/>
            <w:hideMark/>
          </w:tcPr>
          <w:p w14:paraId="28E061BB"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 </w:t>
            </w:r>
          </w:p>
        </w:tc>
        <w:tc>
          <w:tcPr>
            <w:tcW w:w="727" w:type="pct"/>
            <w:tcBorders>
              <w:top w:val="single" w:sz="4" w:space="0" w:color="293F5B"/>
              <w:left w:val="nil"/>
              <w:bottom w:val="nil"/>
              <w:right w:val="nil"/>
            </w:tcBorders>
            <w:shd w:val="clear" w:color="000000" w:fill="E6F2FF"/>
            <w:noWrap/>
            <w:vAlign w:val="center"/>
            <w:hideMark/>
          </w:tcPr>
          <w:p w14:paraId="43120732"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 </w:t>
            </w:r>
          </w:p>
        </w:tc>
        <w:tc>
          <w:tcPr>
            <w:tcW w:w="51" w:type="pct"/>
            <w:tcBorders>
              <w:top w:val="nil"/>
              <w:left w:val="nil"/>
              <w:bottom w:val="nil"/>
              <w:right w:val="nil"/>
            </w:tcBorders>
            <w:noWrap/>
            <w:vAlign w:val="center"/>
            <w:hideMark/>
          </w:tcPr>
          <w:p w14:paraId="25AACED9" w14:textId="77777777" w:rsidR="001364B1" w:rsidRPr="00954D98" w:rsidRDefault="001364B1" w:rsidP="001364B1">
            <w:pPr>
              <w:spacing w:before="0" w:after="0" w:line="240" w:lineRule="auto"/>
              <w:rPr>
                <w:rFonts w:ascii="Arial" w:hAnsi="Arial" w:cs="Arial"/>
                <w:sz w:val="16"/>
                <w:szCs w:val="16"/>
              </w:rPr>
            </w:pPr>
          </w:p>
        </w:tc>
        <w:tc>
          <w:tcPr>
            <w:tcW w:w="657" w:type="pct"/>
            <w:tcBorders>
              <w:top w:val="single" w:sz="4" w:space="0" w:color="293F5B"/>
              <w:left w:val="nil"/>
              <w:bottom w:val="nil"/>
              <w:right w:val="nil"/>
            </w:tcBorders>
            <w:noWrap/>
            <w:vAlign w:val="center"/>
            <w:hideMark/>
          </w:tcPr>
          <w:p w14:paraId="24CE31D3" w14:textId="77777777" w:rsidR="001364B1" w:rsidRPr="00954D98" w:rsidRDefault="001364B1" w:rsidP="001364B1">
            <w:pPr>
              <w:spacing w:before="0" w:after="0" w:line="240" w:lineRule="auto"/>
              <w:rPr>
                <w:rFonts w:ascii="Arial" w:hAnsi="Arial" w:cs="Arial"/>
                <w:b/>
                <w:bCs/>
                <w:sz w:val="16"/>
                <w:szCs w:val="16"/>
              </w:rPr>
            </w:pPr>
            <w:r w:rsidRPr="00954D98">
              <w:rPr>
                <w:rFonts w:ascii="Arial" w:hAnsi="Arial" w:cs="Arial"/>
                <w:b/>
                <w:bCs/>
                <w:sz w:val="16"/>
                <w:szCs w:val="16"/>
              </w:rPr>
              <w:t> </w:t>
            </w:r>
          </w:p>
        </w:tc>
        <w:tc>
          <w:tcPr>
            <w:tcW w:w="657" w:type="pct"/>
            <w:tcBorders>
              <w:top w:val="single" w:sz="4" w:space="0" w:color="293F5B"/>
              <w:left w:val="nil"/>
              <w:bottom w:val="nil"/>
              <w:right w:val="nil"/>
            </w:tcBorders>
            <w:noWrap/>
            <w:vAlign w:val="center"/>
            <w:hideMark/>
          </w:tcPr>
          <w:p w14:paraId="155A4113" w14:textId="77777777" w:rsidR="001364B1" w:rsidRPr="00954D98" w:rsidRDefault="001364B1" w:rsidP="001364B1">
            <w:pPr>
              <w:spacing w:before="0" w:after="0" w:line="240" w:lineRule="auto"/>
              <w:rPr>
                <w:rFonts w:ascii="Arial" w:hAnsi="Arial" w:cs="Arial"/>
                <w:b/>
                <w:bCs/>
                <w:sz w:val="16"/>
                <w:szCs w:val="16"/>
              </w:rPr>
            </w:pPr>
            <w:r w:rsidRPr="00954D98">
              <w:rPr>
                <w:rFonts w:ascii="Arial" w:hAnsi="Arial" w:cs="Arial"/>
                <w:b/>
                <w:bCs/>
                <w:sz w:val="16"/>
                <w:szCs w:val="16"/>
              </w:rPr>
              <w:t> </w:t>
            </w:r>
          </w:p>
        </w:tc>
      </w:tr>
      <w:tr w:rsidR="001364B1" w:rsidRPr="00954D98" w14:paraId="53DD9256" w14:textId="77777777" w:rsidTr="001364B1">
        <w:trPr>
          <w:trHeight w:hRule="exact" w:val="225"/>
        </w:trPr>
        <w:tc>
          <w:tcPr>
            <w:tcW w:w="2182" w:type="pct"/>
            <w:tcBorders>
              <w:top w:val="nil"/>
              <w:left w:val="nil"/>
              <w:bottom w:val="nil"/>
              <w:right w:val="nil"/>
            </w:tcBorders>
            <w:noWrap/>
            <w:vAlign w:val="center"/>
            <w:hideMark/>
          </w:tcPr>
          <w:p w14:paraId="23CABB42" w14:textId="77777777" w:rsidR="001364B1" w:rsidRPr="00954D98" w:rsidRDefault="001364B1" w:rsidP="001364B1">
            <w:pPr>
              <w:spacing w:before="0" w:after="0" w:line="240" w:lineRule="auto"/>
              <w:ind w:firstLineChars="100" w:firstLine="160"/>
              <w:rPr>
                <w:rFonts w:ascii="Arial" w:hAnsi="Arial" w:cs="Arial"/>
                <w:sz w:val="16"/>
                <w:szCs w:val="16"/>
              </w:rPr>
            </w:pPr>
            <w:r w:rsidRPr="00954D98">
              <w:rPr>
                <w:rFonts w:ascii="Arial" w:hAnsi="Arial" w:cs="Arial"/>
                <w:sz w:val="16"/>
                <w:szCs w:val="16"/>
              </w:rPr>
              <w:t>Gross income tax withholding</w:t>
            </w:r>
          </w:p>
        </w:tc>
        <w:tc>
          <w:tcPr>
            <w:tcW w:w="727" w:type="pct"/>
            <w:tcBorders>
              <w:top w:val="nil"/>
              <w:left w:val="nil"/>
              <w:bottom w:val="nil"/>
              <w:right w:val="nil"/>
            </w:tcBorders>
            <w:noWrap/>
            <w:vAlign w:val="center"/>
            <w:hideMark/>
          </w:tcPr>
          <w:p w14:paraId="337E8B19"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327,000</w:t>
            </w:r>
          </w:p>
        </w:tc>
        <w:tc>
          <w:tcPr>
            <w:tcW w:w="727" w:type="pct"/>
            <w:tcBorders>
              <w:top w:val="nil"/>
              <w:left w:val="nil"/>
              <w:bottom w:val="nil"/>
              <w:right w:val="nil"/>
            </w:tcBorders>
            <w:shd w:val="clear" w:color="000000" w:fill="E6F2FF"/>
            <w:noWrap/>
            <w:vAlign w:val="center"/>
            <w:hideMark/>
          </w:tcPr>
          <w:p w14:paraId="18AB19CC"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328,700</w:t>
            </w:r>
          </w:p>
        </w:tc>
        <w:tc>
          <w:tcPr>
            <w:tcW w:w="51" w:type="pct"/>
            <w:tcBorders>
              <w:top w:val="nil"/>
              <w:left w:val="nil"/>
              <w:bottom w:val="nil"/>
              <w:right w:val="nil"/>
            </w:tcBorders>
            <w:noWrap/>
            <w:vAlign w:val="center"/>
            <w:hideMark/>
          </w:tcPr>
          <w:p w14:paraId="7709672C"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3EC7E870"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1,700</w:t>
            </w:r>
          </w:p>
        </w:tc>
        <w:tc>
          <w:tcPr>
            <w:tcW w:w="657" w:type="pct"/>
            <w:tcBorders>
              <w:top w:val="nil"/>
              <w:left w:val="nil"/>
              <w:bottom w:val="nil"/>
              <w:right w:val="nil"/>
            </w:tcBorders>
            <w:noWrap/>
            <w:vAlign w:val="center"/>
            <w:hideMark/>
          </w:tcPr>
          <w:p w14:paraId="162CE86E"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0.5</w:t>
            </w:r>
          </w:p>
        </w:tc>
      </w:tr>
      <w:tr w:rsidR="001364B1" w:rsidRPr="00954D98" w14:paraId="7DF208FC" w14:textId="77777777" w:rsidTr="001364B1">
        <w:trPr>
          <w:trHeight w:hRule="exact" w:val="225"/>
        </w:trPr>
        <w:tc>
          <w:tcPr>
            <w:tcW w:w="2182" w:type="pct"/>
            <w:tcBorders>
              <w:top w:val="nil"/>
              <w:left w:val="nil"/>
              <w:bottom w:val="nil"/>
              <w:right w:val="nil"/>
            </w:tcBorders>
            <w:noWrap/>
            <w:vAlign w:val="center"/>
            <w:hideMark/>
          </w:tcPr>
          <w:p w14:paraId="7643C6EE" w14:textId="77777777" w:rsidR="001364B1" w:rsidRPr="00954D98" w:rsidRDefault="001364B1" w:rsidP="001364B1">
            <w:pPr>
              <w:spacing w:before="0" w:after="0" w:line="240" w:lineRule="auto"/>
              <w:ind w:firstLineChars="100" w:firstLine="160"/>
              <w:rPr>
                <w:rFonts w:ascii="Arial" w:hAnsi="Arial" w:cs="Arial"/>
                <w:sz w:val="16"/>
                <w:szCs w:val="16"/>
              </w:rPr>
            </w:pPr>
            <w:r w:rsidRPr="00954D98">
              <w:rPr>
                <w:rFonts w:ascii="Arial" w:hAnsi="Arial" w:cs="Arial"/>
                <w:sz w:val="16"/>
                <w:szCs w:val="16"/>
              </w:rPr>
              <w:t>Gross other individuals</w:t>
            </w:r>
          </w:p>
        </w:tc>
        <w:tc>
          <w:tcPr>
            <w:tcW w:w="727" w:type="pct"/>
            <w:tcBorders>
              <w:top w:val="nil"/>
              <w:left w:val="nil"/>
              <w:bottom w:val="nil"/>
              <w:right w:val="nil"/>
            </w:tcBorders>
            <w:noWrap/>
            <w:vAlign w:val="center"/>
            <w:hideMark/>
          </w:tcPr>
          <w:p w14:paraId="21338290"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84,900</w:t>
            </w:r>
          </w:p>
        </w:tc>
        <w:tc>
          <w:tcPr>
            <w:tcW w:w="727" w:type="pct"/>
            <w:tcBorders>
              <w:top w:val="nil"/>
              <w:left w:val="nil"/>
              <w:bottom w:val="nil"/>
              <w:right w:val="nil"/>
            </w:tcBorders>
            <w:shd w:val="clear" w:color="000000" w:fill="E6F2FF"/>
            <w:noWrap/>
            <w:vAlign w:val="center"/>
            <w:hideMark/>
          </w:tcPr>
          <w:p w14:paraId="50248995"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89,500</w:t>
            </w:r>
          </w:p>
        </w:tc>
        <w:tc>
          <w:tcPr>
            <w:tcW w:w="51" w:type="pct"/>
            <w:tcBorders>
              <w:top w:val="nil"/>
              <w:left w:val="nil"/>
              <w:bottom w:val="nil"/>
              <w:right w:val="nil"/>
            </w:tcBorders>
            <w:noWrap/>
            <w:vAlign w:val="center"/>
            <w:hideMark/>
          </w:tcPr>
          <w:p w14:paraId="24BEE69B"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4AA19B1B"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4,600</w:t>
            </w:r>
          </w:p>
        </w:tc>
        <w:tc>
          <w:tcPr>
            <w:tcW w:w="657" w:type="pct"/>
            <w:tcBorders>
              <w:top w:val="nil"/>
              <w:left w:val="nil"/>
              <w:bottom w:val="nil"/>
              <w:right w:val="nil"/>
            </w:tcBorders>
            <w:noWrap/>
            <w:vAlign w:val="center"/>
            <w:hideMark/>
          </w:tcPr>
          <w:p w14:paraId="34C829A2"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5.4</w:t>
            </w:r>
          </w:p>
        </w:tc>
      </w:tr>
      <w:tr w:rsidR="001364B1" w:rsidRPr="00954D98" w14:paraId="75D3CC30" w14:textId="77777777" w:rsidTr="001364B1">
        <w:trPr>
          <w:trHeight w:hRule="exact" w:val="225"/>
        </w:trPr>
        <w:tc>
          <w:tcPr>
            <w:tcW w:w="2182" w:type="pct"/>
            <w:tcBorders>
              <w:top w:val="nil"/>
              <w:left w:val="nil"/>
              <w:bottom w:val="nil"/>
              <w:right w:val="nil"/>
            </w:tcBorders>
            <w:noWrap/>
            <w:vAlign w:val="center"/>
            <w:hideMark/>
          </w:tcPr>
          <w:p w14:paraId="494FA348" w14:textId="77777777" w:rsidR="001364B1" w:rsidRPr="00954D98" w:rsidRDefault="001364B1" w:rsidP="001364B1">
            <w:pPr>
              <w:spacing w:before="0" w:after="0" w:line="240" w:lineRule="auto"/>
              <w:ind w:firstLineChars="100" w:firstLine="160"/>
              <w:rPr>
                <w:rFonts w:ascii="Arial" w:hAnsi="Arial" w:cs="Arial"/>
                <w:i/>
                <w:iCs/>
                <w:sz w:val="16"/>
                <w:szCs w:val="16"/>
              </w:rPr>
            </w:pPr>
            <w:r w:rsidRPr="00954D98">
              <w:rPr>
                <w:rFonts w:ascii="Arial" w:hAnsi="Arial" w:cs="Arial"/>
                <w:i/>
                <w:iCs/>
                <w:sz w:val="16"/>
                <w:szCs w:val="16"/>
              </w:rPr>
              <w:t>less:</w:t>
            </w:r>
            <w:r w:rsidRPr="00954D98">
              <w:rPr>
                <w:rFonts w:ascii="Arial" w:hAnsi="Arial" w:cs="Arial"/>
                <w:sz w:val="16"/>
                <w:szCs w:val="16"/>
              </w:rPr>
              <w:t xml:space="preserve"> Refunds</w:t>
            </w:r>
          </w:p>
        </w:tc>
        <w:tc>
          <w:tcPr>
            <w:tcW w:w="727" w:type="pct"/>
            <w:tcBorders>
              <w:top w:val="nil"/>
              <w:left w:val="nil"/>
              <w:bottom w:val="single" w:sz="4" w:space="0" w:color="293F5B"/>
              <w:right w:val="nil"/>
            </w:tcBorders>
            <w:noWrap/>
            <w:vAlign w:val="center"/>
            <w:hideMark/>
          </w:tcPr>
          <w:p w14:paraId="0F37E530"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41,900</w:t>
            </w:r>
          </w:p>
        </w:tc>
        <w:tc>
          <w:tcPr>
            <w:tcW w:w="727" w:type="pct"/>
            <w:tcBorders>
              <w:top w:val="nil"/>
              <w:left w:val="nil"/>
              <w:bottom w:val="single" w:sz="4" w:space="0" w:color="293F5B"/>
              <w:right w:val="nil"/>
            </w:tcBorders>
            <w:shd w:val="clear" w:color="000000" w:fill="E6F2FF"/>
            <w:noWrap/>
            <w:vAlign w:val="center"/>
            <w:hideMark/>
          </w:tcPr>
          <w:p w14:paraId="6E6028B8"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42,400</w:t>
            </w:r>
          </w:p>
        </w:tc>
        <w:tc>
          <w:tcPr>
            <w:tcW w:w="51" w:type="pct"/>
            <w:tcBorders>
              <w:top w:val="nil"/>
              <w:left w:val="nil"/>
              <w:bottom w:val="nil"/>
              <w:right w:val="nil"/>
            </w:tcBorders>
            <w:noWrap/>
            <w:vAlign w:val="center"/>
            <w:hideMark/>
          </w:tcPr>
          <w:p w14:paraId="7A070337"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single" w:sz="4" w:space="0" w:color="293F5B"/>
              <w:right w:val="nil"/>
            </w:tcBorders>
            <w:noWrap/>
            <w:vAlign w:val="center"/>
            <w:hideMark/>
          </w:tcPr>
          <w:p w14:paraId="7A13563B"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500</w:t>
            </w:r>
          </w:p>
        </w:tc>
        <w:tc>
          <w:tcPr>
            <w:tcW w:w="657" w:type="pct"/>
            <w:tcBorders>
              <w:top w:val="nil"/>
              <w:left w:val="nil"/>
              <w:bottom w:val="single" w:sz="4" w:space="0" w:color="293F5B"/>
              <w:right w:val="nil"/>
            </w:tcBorders>
            <w:noWrap/>
            <w:vAlign w:val="center"/>
            <w:hideMark/>
          </w:tcPr>
          <w:p w14:paraId="52DFFC02"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1.2</w:t>
            </w:r>
          </w:p>
        </w:tc>
      </w:tr>
      <w:tr w:rsidR="001364B1" w:rsidRPr="00954D98" w14:paraId="20D99601" w14:textId="77777777" w:rsidTr="001364B1">
        <w:trPr>
          <w:trHeight w:hRule="exact" w:val="225"/>
        </w:trPr>
        <w:tc>
          <w:tcPr>
            <w:tcW w:w="2182" w:type="pct"/>
            <w:tcBorders>
              <w:top w:val="nil"/>
              <w:left w:val="nil"/>
              <w:bottom w:val="nil"/>
              <w:right w:val="nil"/>
            </w:tcBorders>
            <w:noWrap/>
            <w:vAlign w:val="center"/>
            <w:hideMark/>
          </w:tcPr>
          <w:p w14:paraId="594D4A1E"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Total individuals and other withholding tax</w:t>
            </w:r>
          </w:p>
        </w:tc>
        <w:tc>
          <w:tcPr>
            <w:tcW w:w="727" w:type="pct"/>
            <w:tcBorders>
              <w:top w:val="nil"/>
              <w:left w:val="nil"/>
              <w:bottom w:val="nil"/>
              <w:right w:val="nil"/>
            </w:tcBorders>
            <w:noWrap/>
            <w:vAlign w:val="center"/>
            <w:hideMark/>
          </w:tcPr>
          <w:p w14:paraId="05214455"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370,000</w:t>
            </w:r>
          </w:p>
        </w:tc>
        <w:tc>
          <w:tcPr>
            <w:tcW w:w="727" w:type="pct"/>
            <w:tcBorders>
              <w:top w:val="nil"/>
              <w:left w:val="nil"/>
              <w:bottom w:val="nil"/>
              <w:right w:val="nil"/>
            </w:tcBorders>
            <w:shd w:val="clear" w:color="000000" w:fill="E6F2FF"/>
            <w:noWrap/>
            <w:vAlign w:val="center"/>
            <w:hideMark/>
          </w:tcPr>
          <w:p w14:paraId="684725C7"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375,800</w:t>
            </w:r>
          </w:p>
        </w:tc>
        <w:tc>
          <w:tcPr>
            <w:tcW w:w="51" w:type="pct"/>
            <w:tcBorders>
              <w:top w:val="nil"/>
              <w:left w:val="nil"/>
              <w:bottom w:val="nil"/>
              <w:right w:val="nil"/>
            </w:tcBorders>
            <w:noWrap/>
            <w:vAlign w:val="center"/>
            <w:hideMark/>
          </w:tcPr>
          <w:p w14:paraId="0C812647"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51A6233F"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5,800</w:t>
            </w:r>
          </w:p>
        </w:tc>
        <w:tc>
          <w:tcPr>
            <w:tcW w:w="657" w:type="pct"/>
            <w:tcBorders>
              <w:top w:val="nil"/>
              <w:left w:val="nil"/>
              <w:bottom w:val="nil"/>
              <w:right w:val="nil"/>
            </w:tcBorders>
            <w:noWrap/>
            <w:vAlign w:val="center"/>
            <w:hideMark/>
          </w:tcPr>
          <w:p w14:paraId="6DA2FD3A"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1.6</w:t>
            </w:r>
          </w:p>
        </w:tc>
      </w:tr>
      <w:tr w:rsidR="001364B1" w:rsidRPr="00954D98" w14:paraId="4B116ED7" w14:textId="77777777" w:rsidTr="001364B1">
        <w:trPr>
          <w:trHeight w:hRule="exact" w:val="225"/>
        </w:trPr>
        <w:tc>
          <w:tcPr>
            <w:tcW w:w="2182" w:type="pct"/>
            <w:tcBorders>
              <w:top w:val="nil"/>
              <w:left w:val="nil"/>
              <w:bottom w:val="nil"/>
              <w:right w:val="nil"/>
            </w:tcBorders>
            <w:noWrap/>
            <w:vAlign w:val="center"/>
            <w:hideMark/>
          </w:tcPr>
          <w:p w14:paraId="565C689F"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Fringe benefits tax</w:t>
            </w:r>
          </w:p>
        </w:tc>
        <w:tc>
          <w:tcPr>
            <w:tcW w:w="727" w:type="pct"/>
            <w:tcBorders>
              <w:top w:val="nil"/>
              <w:left w:val="nil"/>
              <w:bottom w:val="nil"/>
              <w:right w:val="nil"/>
            </w:tcBorders>
            <w:noWrap/>
            <w:vAlign w:val="center"/>
            <w:hideMark/>
          </w:tcPr>
          <w:p w14:paraId="322687CF"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5,110</w:t>
            </w:r>
          </w:p>
        </w:tc>
        <w:tc>
          <w:tcPr>
            <w:tcW w:w="727" w:type="pct"/>
            <w:tcBorders>
              <w:top w:val="nil"/>
              <w:left w:val="nil"/>
              <w:bottom w:val="nil"/>
              <w:right w:val="nil"/>
            </w:tcBorders>
            <w:shd w:val="clear" w:color="000000" w:fill="E6F2FF"/>
            <w:noWrap/>
            <w:vAlign w:val="center"/>
            <w:hideMark/>
          </w:tcPr>
          <w:p w14:paraId="0B34E732"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5,370</w:t>
            </w:r>
          </w:p>
        </w:tc>
        <w:tc>
          <w:tcPr>
            <w:tcW w:w="51" w:type="pct"/>
            <w:tcBorders>
              <w:top w:val="nil"/>
              <w:left w:val="nil"/>
              <w:bottom w:val="nil"/>
              <w:right w:val="nil"/>
            </w:tcBorders>
            <w:noWrap/>
            <w:vAlign w:val="center"/>
            <w:hideMark/>
          </w:tcPr>
          <w:p w14:paraId="07961839"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242BF8E2"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260</w:t>
            </w:r>
          </w:p>
        </w:tc>
        <w:tc>
          <w:tcPr>
            <w:tcW w:w="657" w:type="pct"/>
            <w:tcBorders>
              <w:top w:val="nil"/>
              <w:left w:val="nil"/>
              <w:bottom w:val="nil"/>
              <w:right w:val="nil"/>
            </w:tcBorders>
            <w:noWrap/>
            <w:vAlign w:val="center"/>
            <w:hideMark/>
          </w:tcPr>
          <w:p w14:paraId="45F7B617"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5.1</w:t>
            </w:r>
          </w:p>
        </w:tc>
      </w:tr>
      <w:tr w:rsidR="001364B1" w:rsidRPr="00954D98" w14:paraId="31900A1C" w14:textId="77777777" w:rsidTr="001364B1">
        <w:trPr>
          <w:trHeight w:hRule="exact" w:val="225"/>
        </w:trPr>
        <w:tc>
          <w:tcPr>
            <w:tcW w:w="2182" w:type="pct"/>
            <w:tcBorders>
              <w:top w:val="nil"/>
              <w:left w:val="nil"/>
              <w:bottom w:val="nil"/>
              <w:right w:val="nil"/>
            </w:tcBorders>
            <w:noWrap/>
            <w:vAlign w:val="center"/>
            <w:hideMark/>
          </w:tcPr>
          <w:p w14:paraId="76D609D1"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Company tax</w:t>
            </w:r>
          </w:p>
        </w:tc>
        <w:tc>
          <w:tcPr>
            <w:tcW w:w="727" w:type="pct"/>
            <w:tcBorders>
              <w:top w:val="nil"/>
              <w:left w:val="nil"/>
              <w:bottom w:val="nil"/>
              <w:right w:val="nil"/>
            </w:tcBorders>
            <w:noWrap/>
            <w:vAlign w:val="center"/>
            <w:hideMark/>
          </w:tcPr>
          <w:p w14:paraId="0C437D5B"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144,500</w:t>
            </w:r>
          </w:p>
        </w:tc>
        <w:tc>
          <w:tcPr>
            <w:tcW w:w="727" w:type="pct"/>
            <w:tcBorders>
              <w:top w:val="nil"/>
              <w:left w:val="nil"/>
              <w:bottom w:val="nil"/>
              <w:right w:val="nil"/>
            </w:tcBorders>
            <w:shd w:val="clear" w:color="000000" w:fill="E6F2FF"/>
            <w:noWrap/>
            <w:vAlign w:val="center"/>
            <w:hideMark/>
          </w:tcPr>
          <w:p w14:paraId="142CCB3A"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147,300</w:t>
            </w:r>
          </w:p>
        </w:tc>
        <w:tc>
          <w:tcPr>
            <w:tcW w:w="51" w:type="pct"/>
            <w:tcBorders>
              <w:top w:val="nil"/>
              <w:left w:val="nil"/>
              <w:bottom w:val="nil"/>
              <w:right w:val="nil"/>
            </w:tcBorders>
            <w:noWrap/>
            <w:vAlign w:val="center"/>
            <w:hideMark/>
          </w:tcPr>
          <w:p w14:paraId="157D2845"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7D7E9B61"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2,800</w:t>
            </w:r>
          </w:p>
        </w:tc>
        <w:tc>
          <w:tcPr>
            <w:tcW w:w="657" w:type="pct"/>
            <w:tcBorders>
              <w:top w:val="nil"/>
              <w:left w:val="nil"/>
              <w:bottom w:val="nil"/>
              <w:right w:val="nil"/>
            </w:tcBorders>
            <w:noWrap/>
            <w:vAlign w:val="center"/>
            <w:hideMark/>
          </w:tcPr>
          <w:p w14:paraId="7D1BE0E7"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1.9</w:t>
            </w:r>
          </w:p>
        </w:tc>
      </w:tr>
      <w:tr w:rsidR="001364B1" w:rsidRPr="00954D98" w14:paraId="52CE1989" w14:textId="77777777" w:rsidTr="001364B1">
        <w:trPr>
          <w:trHeight w:hRule="exact" w:val="225"/>
        </w:trPr>
        <w:tc>
          <w:tcPr>
            <w:tcW w:w="2182" w:type="pct"/>
            <w:tcBorders>
              <w:top w:val="nil"/>
              <w:left w:val="nil"/>
              <w:bottom w:val="nil"/>
              <w:right w:val="nil"/>
            </w:tcBorders>
            <w:noWrap/>
            <w:vAlign w:val="center"/>
            <w:hideMark/>
          </w:tcPr>
          <w:p w14:paraId="7DE0A850"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Superannuation fund taxes</w:t>
            </w:r>
          </w:p>
        </w:tc>
        <w:tc>
          <w:tcPr>
            <w:tcW w:w="727" w:type="pct"/>
            <w:tcBorders>
              <w:top w:val="nil"/>
              <w:left w:val="nil"/>
              <w:bottom w:val="nil"/>
              <w:right w:val="nil"/>
            </w:tcBorders>
            <w:noWrap/>
            <w:vAlign w:val="center"/>
            <w:hideMark/>
          </w:tcPr>
          <w:p w14:paraId="2EA60498"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26,110</w:t>
            </w:r>
          </w:p>
        </w:tc>
        <w:tc>
          <w:tcPr>
            <w:tcW w:w="727" w:type="pct"/>
            <w:tcBorders>
              <w:top w:val="nil"/>
              <w:left w:val="nil"/>
              <w:bottom w:val="nil"/>
              <w:right w:val="nil"/>
            </w:tcBorders>
            <w:shd w:val="clear" w:color="000000" w:fill="E6F2FF"/>
            <w:noWrap/>
            <w:vAlign w:val="center"/>
            <w:hideMark/>
          </w:tcPr>
          <w:p w14:paraId="320AF4B1"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29,110</w:t>
            </w:r>
          </w:p>
        </w:tc>
        <w:tc>
          <w:tcPr>
            <w:tcW w:w="51" w:type="pct"/>
            <w:tcBorders>
              <w:top w:val="nil"/>
              <w:left w:val="nil"/>
              <w:bottom w:val="nil"/>
              <w:right w:val="nil"/>
            </w:tcBorders>
            <w:noWrap/>
            <w:vAlign w:val="center"/>
            <w:hideMark/>
          </w:tcPr>
          <w:p w14:paraId="6959E9FD"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397277E3"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3,000</w:t>
            </w:r>
          </w:p>
        </w:tc>
        <w:tc>
          <w:tcPr>
            <w:tcW w:w="657" w:type="pct"/>
            <w:tcBorders>
              <w:top w:val="nil"/>
              <w:left w:val="nil"/>
              <w:bottom w:val="nil"/>
              <w:right w:val="nil"/>
            </w:tcBorders>
            <w:noWrap/>
            <w:vAlign w:val="center"/>
            <w:hideMark/>
          </w:tcPr>
          <w:p w14:paraId="776E054C"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11.5</w:t>
            </w:r>
          </w:p>
        </w:tc>
      </w:tr>
      <w:tr w:rsidR="001364B1" w:rsidRPr="00954D98" w14:paraId="3FF1929D" w14:textId="77777777" w:rsidTr="001364B1">
        <w:trPr>
          <w:trHeight w:hRule="exact" w:val="225"/>
        </w:trPr>
        <w:tc>
          <w:tcPr>
            <w:tcW w:w="2182" w:type="pct"/>
            <w:tcBorders>
              <w:top w:val="nil"/>
              <w:left w:val="nil"/>
              <w:bottom w:val="nil"/>
              <w:right w:val="nil"/>
            </w:tcBorders>
            <w:noWrap/>
            <w:vAlign w:val="center"/>
            <w:hideMark/>
          </w:tcPr>
          <w:p w14:paraId="47B69062"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Petroleum resource rent tax</w:t>
            </w:r>
          </w:p>
        </w:tc>
        <w:tc>
          <w:tcPr>
            <w:tcW w:w="727" w:type="pct"/>
            <w:tcBorders>
              <w:top w:val="nil"/>
              <w:left w:val="nil"/>
              <w:bottom w:val="nil"/>
              <w:right w:val="nil"/>
            </w:tcBorders>
            <w:noWrap/>
            <w:vAlign w:val="center"/>
            <w:hideMark/>
          </w:tcPr>
          <w:p w14:paraId="41CDE3DB"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1,800</w:t>
            </w:r>
          </w:p>
        </w:tc>
        <w:tc>
          <w:tcPr>
            <w:tcW w:w="727" w:type="pct"/>
            <w:tcBorders>
              <w:top w:val="nil"/>
              <w:left w:val="nil"/>
              <w:bottom w:val="nil"/>
              <w:right w:val="nil"/>
            </w:tcBorders>
            <w:shd w:val="clear" w:color="000000" w:fill="E6F2FF"/>
            <w:noWrap/>
            <w:vAlign w:val="center"/>
            <w:hideMark/>
          </w:tcPr>
          <w:p w14:paraId="12AB23C0"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1,500</w:t>
            </w:r>
          </w:p>
        </w:tc>
        <w:tc>
          <w:tcPr>
            <w:tcW w:w="51" w:type="pct"/>
            <w:tcBorders>
              <w:top w:val="nil"/>
              <w:left w:val="nil"/>
              <w:bottom w:val="nil"/>
              <w:right w:val="nil"/>
            </w:tcBorders>
            <w:noWrap/>
            <w:vAlign w:val="center"/>
            <w:hideMark/>
          </w:tcPr>
          <w:p w14:paraId="4A873266"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3FA54EFE"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-300</w:t>
            </w:r>
          </w:p>
        </w:tc>
        <w:tc>
          <w:tcPr>
            <w:tcW w:w="657" w:type="pct"/>
            <w:tcBorders>
              <w:top w:val="nil"/>
              <w:left w:val="nil"/>
              <w:bottom w:val="nil"/>
              <w:right w:val="nil"/>
            </w:tcBorders>
            <w:noWrap/>
            <w:vAlign w:val="center"/>
            <w:hideMark/>
          </w:tcPr>
          <w:p w14:paraId="43D43B3E"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-16.7</w:t>
            </w:r>
          </w:p>
        </w:tc>
      </w:tr>
      <w:tr w:rsidR="001364B1" w:rsidRPr="00954D98" w14:paraId="4D90AE1A" w14:textId="77777777" w:rsidTr="001364B1">
        <w:trPr>
          <w:trHeight w:hRule="exact" w:val="225"/>
        </w:trPr>
        <w:tc>
          <w:tcPr>
            <w:tcW w:w="2182" w:type="pct"/>
            <w:tcBorders>
              <w:top w:val="nil"/>
              <w:left w:val="nil"/>
              <w:bottom w:val="nil"/>
              <w:right w:val="nil"/>
            </w:tcBorders>
            <w:noWrap/>
            <w:vAlign w:val="center"/>
            <w:hideMark/>
          </w:tcPr>
          <w:p w14:paraId="319269C0" w14:textId="77777777" w:rsidR="001364B1" w:rsidRPr="00954D98" w:rsidRDefault="001364B1" w:rsidP="001364B1">
            <w:pPr>
              <w:spacing w:before="0" w:after="0" w:line="240" w:lineRule="auto"/>
              <w:rPr>
                <w:rFonts w:ascii="Arial" w:hAnsi="Arial" w:cs="Arial"/>
                <w:b/>
                <w:bCs/>
                <w:sz w:val="16"/>
                <w:szCs w:val="16"/>
              </w:rPr>
            </w:pPr>
            <w:r w:rsidRPr="00954D98">
              <w:rPr>
                <w:rFonts w:ascii="Arial" w:hAnsi="Arial" w:cs="Arial"/>
                <w:b/>
                <w:bCs/>
                <w:sz w:val="16"/>
                <w:szCs w:val="16"/>
              </w:rPr>
              <w:t>Income taxation receipts</w:t>
            </w:r>
          </w:p>
        </w:tc>
        <w:tc>
          <w:tcPr>
            <w:tcW w:w="727" w:type="pct"/>
            <w:tcBorders>
              <w:top w:val="single" w:sz="4" w:space="0" w:color="293F5B"/>
              <w:left w:val="nil"/>
              <w:bottom w:val="single" w:sz="4" w:space="0" w:color="293F5B"/>
              <w:right w:val="nil"/>
            </w:tcBorders>
            <w:noWrap/>
            <w:vAlign w:val="center"/>
            <w:hideMark/>
          </w:tcPr>
          <w:p w14:paraId="58EFC6FC"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547,520</w:t>
            </w:r>
          </w:p>
        </w:tc>
        <w:tc>
          <w:tcPr>
            <w:tcW w:w="727" w:type="pct"/>
            <w:tcBorders>
              <w:top w:val="single" w:sz="4" w:space="0" w:color="293F5B"/>
              <w:left w:val="nil"/>
              <w:bottom w:val="single" w:sz="4" w:space="0" w:color="293F5B"/>
              <w:right w:val="nil"/>
            </w:tcBorders>
            <w:shd w:val="clear" w:color="000000" w:fill="E6F2FF"/>
            <w:noWrap/>
            <w:vAlign w:val="center"/>
            <w:hideMark/>
          </w:tcPr>
          <w:p w14:paraId="01B1A265"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559,080</w:t>
            </w:r>
          </w:p>
        </w:tc>
        <w:tc>
          <w:tcPr>
            <w:tcW w:w="51" w:type="pct"/>
            <w:tcBorders>
              <w:top w:val="nil"/>
              <w:left w:val="nil"/>
              <w:bottom w:val="nil"/>
              <w:right w:val="nil"/>
            </w:tcBorders>
            <w:noWrap/>
            <w:vAlign w:val="center"/>
            <w:hideMark/>
          </w:tcPr>
          <w:p w14:paraId="16AF9EF0" w14:textId="77777777" w:rsidR="001364B1" w:rsidRPr="00954D98" w:rsidRDefault="001364B1" w:rsidP="001364B1">
            <w:pPr>
              <w:spacing w:before="0" w:after="0" w:line="240" w:lineRule="auto"/>
              <w:jc w:val="right"/>
              <w:rPr>
                <w:rFonts w:ascii="Arial" w:hAnsi="Arial" w:cs="Arial"/>
                <w:b/>
                <w:bCs/>
                <w:sz w:val="16"/>
                <w:szCs w:val="16"/>
              </w:rPr>
            </w:pPr>
          </w:p>
        </w:tc>
        <w:tc>
          <w:tcPr>
            <w:tcW w:w="657" w:type="pct"/>
            <w:tcBorders>
              <w:top w:val="single" w:sz="4" w:space="0" w:color="293F5B"/>
              <w:left w:val="nil"/>
              <w:bottom w:val="single" w:sz="4" w:space="0" w:color="293F5B"/>
              <w:right w:val="nil"/>
            </w:tcBorders>
            <w:noWrap/>
            <w:vAlign w:val="center"/>
            <w:hideMark/>
          </w:tcPr>
          <w:p w14:paraId="6A71110A"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11,560</w:t>
            </w:r>
          </w:p>
        </w:tc>
        <w:tc>
          <w:tcPr>
            <w:tcW w:w="657" w:type="pct"/>
            <w:tcBorders>
              <w:top w:val="single" w:sz="4" w:space="0" w:color="293F5B"/>
              <w:left w:val="nil"/>
              <w:bottom w:val="single" w:sz="4" w:space="0" w:color="293F5B"/>
              <w:right w:val="nil"/>
            </w:tcBorders>
            <w:noWrap/>
            <w:vAlign w:val="center"/>
            <w:hideMark/>
          </w:tcPr>
          <w:p w14:paraId="0EA791CA"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2.1</w:t>
            </w:r>
          </w:p>
        </w:tc>
      </w:tr>
      <w:tr w:rsidR="001364B1" w:rsidRPr="00954D98" w14:paraId="4B519A66" w14:textId="77777777" w:rsidTr="001364B1">
        <w:trPr>
          <w:trHeight w:hRule="exact" w:val="60"/>
        </w:trPr>
        <w:tc>
          <w:tcPr>
            <w:tcW w:w="2182" w:type="pct"/>
            <w:tcBorders>
              <w:top w:val="nil"/>
              <w:left w:val="nil"/>
              <w:bottom w:val="nil"/>
              <w:right w:val="nil"/>
            </w:tcBorders>
            <w:noWrap/>
            <w:vAlign w:val="center"/>
            <w:hideMark/>
          </w:tcPr>
          <w:p w14:paraId="4273EC5E" w14:textId="77777777" w:rsidR="001364B1" w:rsidRPr="00954D98" w:rsidRDefault="001364B1" w:rsidP="001364B1">
            <w:pPr>
              <w:spacing w:before="0" w:after="0" w:line="240" w:lineRule="auto"/>
              <w:jc w:val="right"/>
              <w:rPr>
                <w:rFonts w:ascii="Arial" w:hAnsi="Arial" w:cs="Arial"/>
                <w:b/>
                <w:bCs/>
                <w:sz w:val="16"/>
                <w:szCs w:val="16"/>
              </w:rPr>
            </w:pPr>
          </w:p>
        </w:tc>
        <w:tc>
          <w:tcPr>
            <w:tcW w:w="727" w:type="pct"/>
            <w:tcBorders>
              <w:top w:val="nil"/>
              <w:left w:val="nil"/>
              <w:bottom w:val="nil"/>
              <w:right w:val="nil"/>
            </w:tcBorders>
            <w:noWrap/>
            <w:vAlign w:val="center"/>
            <w:hideMark/>
          </w:tcPr>
          <w:p w14:paraId="743FB294" w14:textId="77777777" w:rsidR="001364B1" w:rsidRPr="00954D98" w:rsidRDefault="001364B1" w:rsidP="001364B1">
            <w:pPr>
              <w:spacing w:before="0" w:after="0" w:line="240" w:lineRule="auto"/>
              <w:rPr>
                <w:sz w:val="20"/>
              </w:rPr>
            </w:pPr>
          </w:p>
        </w:tc>
        <w:tc>
          <w:tcPr>
            <w:tcW w:w="727" w:type="pct"/>
            <w:tcBorders>
              <w:top w:val="nil"/>
              <w:left w:val="nil"/>
              <w:bottom w:val="nil"/>
              <w:right w:val="nil"/>
            </w:tcBorders>
            <w:shd w:val="clear" w:color="000000" w:fill="E6F2FF"/>
            <w:noWrap/>
            <w:vAlign w:val="center"/>
            <w:hideMark/>
          </w:tcPr>
          <w:p w14:paraId="4AB2CF33"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51" w:type="pct"/>
            <w:tcBorders>
              <w:top w:val="nil"/>
              <w:left w:val="nil"/>
              <w:bottom w:val="nil"/>
              <w:right w:val="nil"/>
            </w:tcBorders>
            <w:noWrap/>
            <w:vAlign w:val="center"/>
            <w:hideMark/>
          </w:tcPr>
          <w:p w14:paraId="48C3C60C" w14:textId="77777777" w:rsidR="001364B1" w:rsidRPr="00954D98" w:rsidRDefault="001364B1" w:rsidP="001364B1">
            <w:pPr>
              <w:spacing w:before="0" w:after="0" w:line="240" w:lineRule="auto"/>
              <w:jc w:val="right"/>
              <w:rPr>
                <w:rFonts w:ascii="Arial" w:hAnsi="Arial" w:cs="Arial"/>
                <w:b/>
                <w:bCs/>
                <w:sz w:val="16"/>
                <w:szCs w:val="16"/>
              </w:rPr>
            </w:pPr>
          </w:p>
        </w:tc>
        <w:tc>
          <w:tcPr>
            <w:tcW w:w="657" w:type="pct"/>
            <w:tcBorders>
              <w:top w:val="nil"/>
              <w:left w:val="nil"/>
              <w:bottom w:val="nil"/>
              <w:right w:val="nil"/>
            </w:tcBorders>
            <w:noWrap/>
            <w:vAlign w:val="center"/>
            <w:hideMark/>
          </w:tcPr>
          <w:p w14:paraId="19919121" w14:textId="77777777" w:rsidR="001364B1" w:rsidRPr="00954D98" w:rsidRDefault="001364B1" w:rsidP="001364B1">
            <w:pPr>
              <w:spacing w:before="0" w:after="0" w:line="240" w:lineRule="auto"/>
              <w:jc w:val="right"/>
              <w:rPr>
                <w:sz w:val="20"/>
              </w:rPr>
            </w:pPr>
          </w:p>
        </w:tc>
        <w:tc>
          <w:tcPr>
            <w:tcW w:w="657" w:type="pct"/>
            <w:tcBorders>
              <w:top w:val="nil"/>
              <w:left w:val="nil"/>
              <w:bottom w:val="nil"/>
              <w:right w:val="nil"/>
            </w:tcBorders>
            <w:noWrap/>
            <w:vAlign w:val="center"/>
            <w:hideMark/>
          </w:tcPr>
          <w:p w14:paraId="00795F81" w14:textId="77777777" w:rsidR="001364B1" w:rsidRPr="00954D98" w:rsidRDefault="001364B1" w:rsidP="001364B1">
            <w:pPr>
              <w:spacing w:before="0" w:after="0" w:line="240" w:lineRule="auto"/>
              <w:jc w:val="right"/>
              <w:rPr>
                <w:sz w:val="20"/>
              </w:rPr>
            </w:pPr>
          </w:p>
        </w:tc>
      </w:tr>
      <w:tr w:rsidR="001364B1" w:rsidRPr="00954D98" w14:paraId="0725D72E" w14:textId="77777777" w:rsidTr="001364B1">
        <w:trPr>
          <w:trHeight w:hRule="exact" w:val="225"/>
        </w:trPr>
        <w:tc>
          <w:tcPr>
            <w:tcW w:w="2182" w:type="pct"/>
            <w:tcBorders>
              <w:top w:val="nil"/>
              <w:left w:val="nil"/>
              <w:bottom w:val="nil"/>
              <w:right w:val="nil"/>
            </w:tcBorders>
            <w:noWrap/>
            <w:vAlign w:val="center"/>
            <w:hideMark/>
          </w:tcPr>
          <w:p w14:paraId="149D2049"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Goods and services tax</w:t>
            </w:r>
          </w:p>
        </w:tc>
        <w:tc>
          <w:tcPr>
            <w:tcW w:w="727" w:type="pct"/>
            <w:tcBorders>
              <w:top w:val="nil"/>
              <w:left w:val="nil"/>
              <w:bottom w:val="nil"/>
              <w:right w:val="nil"/>
            </w:tcBorders>
            <w:noWrap/>
            <w:vAlign w:val="center"/>
            <w:hideMark/>
          </w:tcPr>
          <w:p w14:paraId="6AEC5EAB"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99,309</w:t>
            </w:r>
          </w:p>
        </w:tc>
        <w:tc>
          <w:tcPr>
            <w:tcW w:w="727" w:type="pct"/>
            <w:tcBorders>
              <w:top w:val="nil"/>
              <w:left w:val="nil"/>
              <w:bottom w:val="nil"/>
              <w:right w:val="nil"/>
            </w:tcBorders>
            <w:shd w:val="clear" w:color="000000" w:fill="E6F2FF"/>
            <w:noWrap/>
            <w:vAlign w:val="center"/>
            <w:hideMark/>
          </w:tcPr>
          <w:p w14:paraId="08F8B146"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101,560</w:t>
            </w:r>
          </w:p>
        </w:tc>
        <w:tc>
          <w:tcPr>
            <w:tcW w:w="51" w:type="pct"/>
            <w:tcBorders>
              <w:top w:val="nil"/>
              <w:left w:val="nil"/>
              <w:bottom w:val="nil"/>
              <w:right w:val="nil"/>
            </w:tcBorders>
            <w:noWrap/>
            <w:vAlign w:val="center"/>
            <w:hideMark/>
          </w:tcPr>
          <w:p w14:paraId="47B57451"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173C0F82"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2,251</w:t>
            </w:r>
          </w:p>
        </w:tc>
        <w:tc>
          <w:tcPr>
            <w:tcW w:w="657" w:type="pct"/>
            <w:tcBorders>
              <w:top w:val="nil"/>
              <w:left w:val="nil"/>
              <w:bottom w:val="nil"/>
              <w:right w:val="nil"/>
            </w:tcBorders>
            <w:noWrap/>
            <w:vAlign w:val="center"/>
            <w:hideMark/>
          </w:tcPr>
          <w:p w14:paraId="762BBE06"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2.3</w:t>
            </w:r>
          </w:p>
        </w:tc>
      </w:tr>
      <w:tr w:rsidR="001364B1" w:rsidRPr="00954D98" w14:paraId="0CAAA636" w14:textId="77777777" w:rsidTr="001364B1">
        <w:trPr>
          <w:trHeight w:hRule="exact" w:val="225"/>
        </w:trPr>
        <w:tc>
          <w:tcPr>
            <w:tcW w:w="2182" w:type="pct"/>
            <w:tcBorders>
              <w:top w:val="nil"/>
              <w:left w:val="nil"/>
              <w:bottom w:val="nil"/>
              <w:right w:val="nil"/>
            </w:tcBorders>
            <w:noWrap/>
            <w:vAlign w:val="center"/>
            <w:hideMark/>
          </w:tcPr>
          <w:p w14:paraId="51BCC1DF"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Wine equalisation tax</w:t>
            </w:r>
          </w:p>
        </w:tc>
        <w:tc>
          <w:tcPr>
            <w:tcW w:w="727" w:type="pct"/>
            <w:tcBorders>
              <w:top w:val="nil"/>
              <w:left w:val="nil"/>
              <w:bottom w:val="nil"/>
              <w:right w:val="nil"/>
            </w:tcBorders>
            <w:noWrap/>
            <w:vAlign w:val="center"/>
            <w:hideMark/>
          </w:tcPr>
          <w:p w14:paraId="516670C3"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1,240</w:t>
            </w:r>
          </w:p>
        </w:tc>
        <w:tc>
          <w:tcPr>
            <w:tcW w:w="727" w:type="pct"/>
            <w:tcBorders>
              <w:top w:val="nil"/>
              <w:left w:val="nil"/>
              <w:bottom w:val="nil"/>
              <w:right w:val="nil"/>
            </w:tcBorders>
            <w:shd w:val="clear" w:color="000000" w:fill="E6F2FF"/>
            <w:noWrap/>
            <w:vAlign w:val="center"/>
            <w:hideMark/>
          </w:tcPr>
          <w:p w14:paraId="6200C021"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1,210</w:t>
            </w:r>
          </w:p>
        </w:tc>
        <w:tc>
          <w:tcPr>
            <w:tcW w:w="51" w:type="pct"/>
            <w:tcBorders>
              <w:top w:val="nil"/>
              <w:left w:val="nil"/>
              <w:bottom w:val="nil"/>
              <w:right w:val="nil"/>
            </w:tcBorders>
            <w:noWrap/>
            <w:vAlign w:val="center"/>
            <w:hideMark/>
          </w:tcPr>
          <w:p w14:paraId="51D7A347"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589FCD35"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-30</w:t>
            </w:r>
          </w:p>
        </w:tc>
        <w:tc>
          <w:tcPr>
            <w:tcW w:w="657" w:type="pct"/>
            <w:tcBorders>
              <w:top w:val="nil"/>
              <w:left w:val="nil"/>
              <w:bottom w:val="nil"/>
              <w:right w:val="nil"/>
            </w:tcBorders>
            <w:noWrap/>
            <w:vAlign w:val="center"/>
            <w:hideMark/>
          </w:tcPr>
          <w:p w14:paraId="0590521C"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-2.4</w:t>
            </w:r>
          </w:p>
        </w:tc>
      </w:tr>
      <w:tr w:rsidR="001364B1" w:rsidRPr="00954D98" w14:paraId="076DB3B7" w14:textId="77777777" w:rsidTr="001364B1">
        <w:trPr>
          <w:trHeight w:hRule="exact" w:val="225"/>
        </w:trPr>
        <w:tc>
          <w:tcPr>
            <w:tcW w:w="2182" w:type="pct"/>
            <w:tcBorders>
              <w:top w:val="nil"/>
              <w:left w:val="nil"/>
              <w:bottom w:val="nil"/>
              <w:right w:val="nil"/>
            </w:tcBorders>
            <w:noWrap/>
            <w:vAlign w:val="center"/>
            <w:hideMark/>
          </w:tcPr>
          <w:p w14:paraId="09B71546"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Luxury car tax</w:t>
            </w:r>
          </w:p>
        </w:tc>
        <w:tc>
          <w:tcPr>
            <w:tcW w:w="727" w:type="pct"/>
            <w:tcBorders>
              <w:top w:val="nil"/>
              <w:left w:val="nil"/>
              <w:bottom w:val="nil"/>
              <w:right w:val="nil"/>
            </w:tcBorders>
            <w:noWrap/>
            <w:vAlign w:val="center"/>
            <w:hideMark/>
          </w:tcPr>
          <w:p w14:paraId="4FB7E5FC"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1,270</w:t>
            </w:r>
          </w:p>
        </w:tc>
        <w:tc>
          <w:tcPr>
            <w:tcW w:w="727" w:type="pct"/>
            <w:tcBorders>
              <w:top w:val="nil"/>
              <w:left w:val="nil"/>
              <w:bottom w:val="nil"/>
              <w:right w:val="nil"/>
            </w:tcBorders>
            <w:shd w:val="clear" w:color="000000" w:fill="E6F2FF"/>
            <w:noWrap/>
            <w:vAlign w:val="center"/>
            <w:hideMark/>
          </w:tcPr>
          <w:p w14:paraId="5CFEE04B"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1,180</w:t>
            </w:r>
          </w:p>
        </w:tc>
        <w:tc>
          <w:tcPr>
            <w:tcW w:w="51" w:type="pct"/>
            <w:tcBorders>
              <w:top w:val="nil"/>
              <w:left w:val="nil"/>
              <w:bottom w:val="nil"/>
              <w:right w:val="nil"/>
            </w:tcBorders>
            <w:noWrap/>
            <w:vAlign w:val="center"/>
            <w:hideMark/>
          </w:tcPr>
          <w:p w14:paraId="38EF7EBB"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56DD8B79"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-90</w:t>
            </w:r>
          </w:p>
        </w:tc>
        <w:tc>
          <w:tcPr>
            <w:tcW w:w="657" w:type="pct"/>
            <w:tcBorders>
              <w:top w:val="nil"/>
              <w:left w:val="nil"/>
              <w:bottom w:val="nil"/>
              <w:right w:val="nil"/>
            </w:tcBorders>
            <w:noWrap/>
            <w:vAlign w:val="center"/>
            <w:hideMark/>
          </w:tcPr>
          <w:p w14:paraId="0C3C7C00"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-7.1</w:t>
            </w:r>
          </w:p>
        </w:tc>
      </w:tr>
      <w:tr w:rsidR="001364B1" w:rsidRPr="00954D98" w14:paraId="126A7B7D" w14:textId="77777777" w:rsidTr="001364B1">
        <w:trPr>
          <w:trHeight w:hRule="exact" w:val="225"/>
        </w:trPr>
        <w:tc>
          <w:tcPr>
            <w:tcW w:w="2182" w:type="pct"/>
            <w:tcBorders>
              <w:top w:val="nil"/>
              <w:left w:val="nil"/>
              <w:bottom w:val="nil"/>
              <w:right w:val="nil"/>
            </w:tcBorders>
            <w:noWrap/>
            <w:vAlign w:val="center"/>
            <w:hideMark/>
          </w:tcPr>
          <w:p w14:paraId="1694314D"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Excise and customs duty</w:t>
            </w:r>
          </w:p>
        </w:tc>
        <w:tc>
          <w:tcPr>
            <w:tcW w:w="727" w:type="pct"/>
            <w:tcBorders>
              <w:top w:val="nil"/>
              <w:left w:val="nil"/>
              <w:bottom w:val="nil"/>
              <w:right w:val="nil"/>
            </w:tcBorders>
            <w:noWrap/>
            <w:vAlign w:val="center"/>
            <w:hideMark/>
          </w:tcPr>
          <w:p w14:paraId="4E3404D4" w14:textId="77777777" w:rsidR="001364B1" w:rsidRPr="00954D98" w:rsidRDefault="001364B1" w:rsidP="001364B1">
            <w:pPr>
              <w:spacing w:before="0" w:after="0" w:line="240" w:lineRule="auto"/>
              <w:rPr>
                <w:rFonts w:ascii="Arial" w:hAnsi="Arial" w:cs="Arial"/>
                <w:sz w:val="16"/>
                <w:szCs w:val="16"/>
              </w:rPr>
            </w:pPr>
          </w:p>
        </w:tc>
        <w:tc>
          <w:tcPr>
            <w:tcW w:w="727" w:type="pct"/>
            <w:tcBorders>
              <w:top w:val="nil"/>
              <w:left w:val="nil"/>
              <w:bottom w:val="nil"/>
              <w:right w:val="nil"/>
            </w:tcBorders>
            <w:shd w:val="clear" w:color="000000" w:fill="E6F2FF"/>
            <w:noWrap/>
            <w:vAlign w:val="center"/>
            <w:hideMark/>
          </w:tcPr>
          <w:p w14:paraId="3CAA1926"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 </w:t>
            </w:r>
          </w:p>
        </w:tc>
        <w:tc>
          <w:tcPr>
            <w:tcW w:w="51" w:type="pct"/>
            <w:tcBorders>
              <w:top w:val="nil"/>
              <w:left w:val="nil"/>
              <w:bottom w:val="nil"/>
              <w:right w:val="nil"/>
            </w:tcBorders>
            <w:noWrap/>
            <w:vAlign w:val="center"/>
            <w:hideMark/>
          </w:tcPr>
          <w:p w14:paraId="6493A25D"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0EC8C8A4" w14:textId="77777777" w:rsidR="001364B1" w:rsidRPr="00954D98" w:rsidRDefault="001364B1" w:rsidP="001364B1">
            <w:pPr>
              <w:spacing w:before="0" w:after="0" w:line="240" w:lineRule="auto"/>
              <w:jc w:val="right"/>
              <w:rPr>
                <w:sz w:val="20"/>
              </w:rPr>
            </w:pPr>
          </w:p>
        </w:tc>
        <w:tc>
          <w:tcPr>
            <w:tcW w:w="657" w:type="pct"/>
            <w:tcBorders>
              <w:top w:val="nil"/>
              <w:left w:val="nil"/>
              <w:bottom w:val="nil"/>
              <w:right w:val="nil"/>
            </w:tcBorders>
            <w:noWrap/>
            <w:vAlign w:val="center"/>
            <w:hideMark/>
          </w:tcPr>
          <w:p w14:paraId="47C602E9" w14:textId="77777777" w:rsidR="001364B1" w:rsidRPr="00954D98" w:rsidRDefault="001364B1" w:rsidP="001364B1">
            <w:pPr>
              <w:spacing w:before="0" w:after="0" w:line="240" w:lineRule="auto"/>
              <w:jc w:val="right"/>
              <w:rPr>
                <w:sz w:val="20"/>
              </w:rPr>
            </w:pPr>
          </w:p>
        </w:tc>
      </w:tr>
      <w:tr w:rsidR="001364B1" w:rsidRPr="00954D98" w14:paraId="0788368C" w14:textId="77777777" w:rsidTr="001364B1">
        <w:trPr>
          <w:trHeight w:hRule="exact" w:val="225"/>
        </w:trPr>
        <w:tc>
          <w:tcPr>
            <w:tcW w:w="2182" w:type="pct"/>
            <w:tcBorders>
              <w:top w:val="nil"/>
              <w:left w:val="nil"/>
              <w:bottom w:val="nil"/>
              <w:right w:val="nil"/>
            </w:tcBorders>
            <w:noWrap/>
            <w:vAlign w:val="center"/>
            <w:hideMark/>
          </w:tcPr>
          <w:p w14:paraId="1A1031E5" w14:textId="77777777" w:rsidR="001364B1" w:rsidRPr="00954D98" w:rsidRDefault="001364B1" w:rsidP="001364B1">
            <w:pPr>
              <w:spacing w:before="0" w:after="0" w:line="240" w:lineRule="auto"/>
              <w:ind w:firstLineChars="100" w:firstLine="160"/>
              <w:rPr>
                <w:rFonts w:ascii="Arial" w:hAnsi="Arial" w:cs="Arial"/>
                <w:sz w:val="16"/>
                <w:szCs w:val="16"/>
              </w:rPr>
            </w:pPr>
            <w:r w:rsidRPr="00954D98">
              <w:rPr>
                <w:rFonts w:ascii="Arial" w:hAnsi="Arial" w:cs="Arial"/>
                <w:sz w:val="16"/>
                <w:szCs w:val="16"/>
              </w:rPr>
              <w:t>Petrol</w:t>
            </w:r>
          </w:p>
        </w:tc>
        <w:tc>
          <w:tcPr>
            <w:tcW w:w="727" w:type="pct"/>
            <w:tcBorders>
              <w:top w:val="nil"/>
              <w:left w:val="nil"/>
              <w:bottom w:val="nil"/>
              <w:right w:val="nil"/>
            </w:tcBorders>
            <w:noWrap/>
            <w:vAlign w:val="center"/>
            <w:hideMark/>
          </w:tcPr>
          <w:p w14:paraId="7A56DC9A"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7,600</w:t>
            </w:r>
          </w:p>
        </w:tc>
        <w:tc>
          <w:tcPr>
            <w:tcW w:w="727" w:type="pct"/>
            <w:tcBorders>
              <w:top w:val="nil"/>
              <w:left w:val="nil"/>
              <w:bottom w:val="nil"/>
              <w:right w:val="nil"/>
            </w:tcBorders>
            <w:shd w:val="clear" w:color="000000" w:fill="E6F2FF"/>
            <w:noWrap/>
            <w:vAlign w:val="center"/>
            <w:hideMark/>
          </w:tcPr>
          <w:p w14:paraId="715A0BE9"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7,550</w:t>
            </w:r>
          </w:p>
        </w:tc>
        <w:tc>
          <w:tcPr>
            <w:tcW w:w="51" w:type="pct"/>
            <w:tcBorders>
              <w:top w:val="nil"/>
              <w:left w:val="nil"/>
              <w:bottom w:val="nil"/>
              <w:right w:val="nil"/>
            </w:tcBorders>
            <w:noWrap/>
            <w:vAlign w:val="center"/>
            <w:hideMark/>
          </w:tcPr>
          <w:p w14:paraId="2687CF2D"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4323A99E"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-50</w:t>
            </w:r>
          </w:p>
        </w:tc>
        <w:tc>
          <w:tcPr>
            <w:tcW w:w="657" w:type="pct"/>
            <w:tcBorders>
              <w:top w:val="nil"/>
              <w:left w:val="nil"/>
              <w:bottom w:val="nil"/>
              <w:right w:val="nil"/>
            </w:tcBorders>
            <w:noWrap/>
            <w:vAlign w:val="center"/>
            <w:hideMark/>
          </w:tcPr>
          <w:p w14:paraId="4A2EFC0C"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-0.7</w:t>
            </w:r>
          </w:p>
        </w:tc>
      </w:tr>
      <w:tr w:rsidR="001364B1" w:rsidRPr="00954D98" w14:paraId="45A73621" w14:textId="77777777" w:rsidTr="001364B1">
        <w:trPr>
          <w:trHeight w:hRule="exact" w:val="225"/>
        </w:trPr>
        <w:tc>
          <w:tcPr>
            <w:tcW w:w="2182" w:type="pct"/>
            <w:tcBorders>
              <w:top w:val="nil"/>
              <w:left w:val="nil"/>
              <w:bottom w:val="nil"/>
              <w:right w:val="nil"/>
            </w:tcBorders>
            <w:noWrap/>
            <w:vAlign w:val="center"/>
            <w:hideMark/>
          </w:tcPr>
          <w:p w14:paraId="0FA158B4" w14:textId="77777777" w:rsidR="001364B1" w:rsidRPr="00954D98" w:rsidRDefault="001364B1" w:rsidP="001364B1">
            <w:pPr>
              <w:spacing w:before="0" w:after="0" w:line="240" w:lineRule="auto"/>
              <w:ind w:firstLineChars="100" w:firstLine="160"/>
              <w:rPr>
                <w:rFonts w:ascii="Arial" w:hAnsi="Arial" w:cs="Arial"/>
                <w:sz w:val="16"/>
                <w:szCs w:val="16"/>
              </w:rPr>
            </w:pPr>
            <w:r w:rsidRPr="00954D98">
              <w:rPr>
                <w:rFonts w:ascii="Arial" w:hAnsi="Arial" w:cs="Arial"/>
                <w:sz w:val="16"/>
                <w:szCs w:val="16"/>
              </w:rPr>
              <w:t>Diesel</w:t>
            </w:r>
          </w:p>
        </w:tc>
        <w:tc>
          <w:tcPr>
            <w:tcW w:w="727" w:type="pct"/>
            <w:tcBorders>
              <w:top w:val="nil"/>
              <w:left w:val="nil"/>
              <w:bottom w:val="nil"/>
              <w:right w:val="nil"/>
            </w:tcBorders>
            <w:noWrap/>
            <w:vAlign w:val="center"/>
            <w:hideMark/>
          </w:tcPr>
          <w:p w14:paraId="3BD49B93"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18,770</w:t>
            </w:r>
          </w:p>
        </w:tc>
        <w:tc>
          <w:tcPr>
            <w:tcW w:w="727" w:type="pct"/>
            <w:tcBorders>
              <w:top w:val="nil"/>
              <w:left w:val="nil"/>
              <w:bottom w:val="nil"/>
              <w:right w:val="nil"/>
            </w:tcBorders>
            <w:shd w:val="clear" w:color="000000" w:fill="E6F2FF"/>
            <w:noWrap/>
            <w:vAlign w:val="center"/>
            <w:hideMark/>
          </w:tcPr>
          <w:p w14:paraId="66613A5B"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18,430</w:t>
            </w:r>
          </w:p>
        </w:tc>
        <w:tc>
          <w:tcPr>
            <w:tcW w:w="51" w:type="pct"/>
            <w:tcBorders>
              <w:top w:val="nil"/>
              <w:left w:val="nil"/>
              <w:bottom w:val="nil"/>
              <w:right w:val="nil"/>
            </w:tcBorders>
            <w:noWrap/>
            <w:vAlign w:val="center"/>
            <w:hideMark/>
          </w:tcPr>
          <w:p w14:paraId="3B089ABD"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54250ACB"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-340</w:t>
            </w:r>
          </w:p>
        </w:tc>
        <w:tc>
          <w:tcPr>
            <w:tcW w:w="657" w:type="pct"/>
            <w:tcBorders>
              <w:top w:val="nil"/>
              <w:left w:val="nil"/>
              <w:bottom w:val="nil"/>
              <w:right w:val="nil"/>
            </w:tcBorders>
            <w:noWrap/>
            <w:vAlign w:val="center"/>
            <w:hideMark/>
          </w:tcPr>
          <w:p w14:paraId="2C1BE830"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-1.8</w:t>
            </w:r>
          </w:p>
        </w:tc>
      </w:tr>
      <w:tr w:rsidR="001364B1" w:rsidRPr="00954D98" w14:paraId="657C2493" w14:textId="77777777" w:rsidTr="001364B1">
        <w:trPr>
          <w:trHeight w:hRule="exact" w:val="225"/>
        </w:trPr>
        <w:tc>
          <w:tcPr>
            <w:tcW w:w="2182" w:type="pct"/>
            <w:tcBorders>
              <w:top w:val="nil"/>
              <w:left w:val="nil"/>
              <w:bottom w:val="nil"/>
              <w:right w:val="nil"/>
            </w:tcBorders>
            <w:noWrap/>
            <w:vAlign w:val="center"/>
            <w:hideMark/>
          </w:tcPr>
          <w:p w14:paraId="3AD46EC6" w14:textId="77777777" w:rsidR="001364B1" w:rsidRPr="00954D98" w:rsidRDefault="001364B1" w:rsidP="001364B1">
            <w:pPr>
              <w:spacing w:before="0" w:after="0" w:line="240" w:lineRule="auto"/>
              <w:ind w:firstLineChars="100" w:firstLine="160"/>
              <w:rPr>
                <w:rFonts w:ascii="Arial" w:hAnsi="Arial" w:cs="Arial"/>
                <w:sz w:val="16"/>
                <w:szCs w:val="16"/>
              </w:rPr>
            </w:pPr>
            <w:r w:rsidRPr="00954D98">
              <w:rPr>
                <w:rFonts w:ascii="Arial" w:hAnsi="Arial" w:cs="Arial"/>
                <w:sz w:val="16"/>
                <w:szCs w:val="16"/>
              </w:rPr>
              <w:t>Other fuel products</w:t>
            </w:r>
          </w:p>
        </w:tc>
        <w:tc>
          <w:tcPr>
            <w:tcW w:w="727" w:type="pct"/>
            <w:tcBorders>
              <w:top w:val="nil"/>
              <w:left w:val="nil"/>
              <w:bottom w:val="nil"/>
              <w:right w:val="nil"/>
            </w:tcBorders>
            <w:noWrap/>
            <w:vAlign w:val="center"/>
            <w:hideMark/>
          </w:tcPr>
          <w:p w14:paraId="02AA7328"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2,070</w:t>
            </w:r>
          </w:p>
        </w:tc>
        <w:tc>
          <w:tcPr>
            <w:tcW w:w="727" w:type="pct"/>
            <w:tcBorders>
              <w:top w:val="nil"/>
              <w:left w:val="nil"/>
              <w:bottom w:val="nil"/>
              <w:right w:val="nil"/>
            </w:tcBorders>
            <w:shd w:val="clear" w:color="000000" w:fill="E6F2FF"/>
            <w:noWrap/>
            <w:vAlign w:val="center"/>
            <w:hideMark/>
          </w:tcPr>
          <w:p w14:paraId="6010751C"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1,710</w:t>
            </w:r>
          </w:p>
        </w:tc>
        <w:tc>
          <w:tcPr>
            <w:tcW w:w="51" w:type="pct"/>
            <w:tcBorders>
              <w:top w:val="nil"/>
              <w:left w:val="nil"/>
              <w:bottom w:val="nil"/>
              <w:right w:val="nil"/>
            </w:tcBorders>
            <w:noWrap/>
            <w:vAlign w:val="center"/>
            <w:hideMark/>
          </w:tcPr>
          <w:p w14:paraId="72699A1F"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584A9E22"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-360</w:t>
            </w:r>
          </w:p>
        </w:tc>
        <w:tc>
          <w:tcPr>
            <w:tcW w:w="657" w:type="pct"/>
            <w:tcBorders>
              <w:top w:val="nil"/>
              <w:left w:val="nil"/>
              <w:bottom w:val="nil"/>
              <w:right w:val="nil"/>
            </w:tcBorders>
            <w:noWrap/>
            <w:vAlign w:val="center"/>
            <w:hideMark/>
          </w:tcPr>
          <w:p w14:paraId="41A15664"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-17.4</w:t>
            </w:r>
          </w:p>
        </w:tc>
      </w:tr>
      <w:tr w:rsidR="001364B1" w:rsidRPr="00954D98" w14:paraId="26400818" w14:textId="77777777" w:rsidTr="001364B1">
        <w:trPr>
          <w:trHeight w:hRule="exact" w:val="225"/>
        </w:trPr>
        <w:tc>
          <w:tcPr>
            <w:tcW w:w="2182" w:type="pct"/>
            <w:tcBorders>
              <w:top w:val="nil"/>
              <w:left w:val="nil"/>
              <w:bottom w:val="nil"/>
              <w:right w:val="nil"/>
            </w:tcBorders>
            <w:noWrap/>
            <w:vAlign w:val="center"/>
            <w:hideMark/>
          </w:tcPr>
          <w:p w14:paraId="66940AF8" w14:textId="77777777" w:rsidR="001364B1" w:rsidRPr="00954D98" w:rsidRDefault="001364B1" w:rsidP="001364B1">
            <w:pPr>
              <w:spacing w:before="0" w:after="0" w:line="240" w:lineRule="auto"/>
              <w:ind w:firstLineChars="100" w:firstLine="160"/>
              <w:rPr>
                <w:rFonts w:ascii="Arial" w:hAnsi="Arial" w:cs="Arial"/>
                <w:sz w:val="16"/>
                <w:szCs w:val="16"/>
              </w:rPr>
            </w:pPr>
            <w:r w:rsidRPr="00954D98">
              <w:rPr>
                <w:rFonts w:ascii="Arial" w:hAnsi="Arial" w:cs="Arial"/>
                <w:sz w:val="16"/>
                <w:szCs w:val="16"/>
              </w:rPr>
              <w:t>Tobacco</w:t>
            </w:r>
          </w:p>
        </w:tc>
        <w:tc>
          <w:tcPr>
            <w:tcW w:w="727" w:type="pct"/>
            <w:tcBorders>
              <w:top w:val="nil"/>
              <w:left w:val="nil"/>
              <w:bottom w:val="nil"/>
              <w:right w:val="nil"/>
            </w:tcBorders>
            <w:noWrap/>
            <w:vAlign w:val="center"/>
            <w:hideMark/>
          </w:tcPr>
          <w:p w14:paraId="5875B7B1"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6,800</w:t>
            </w:r>
          </w:p>
        </w:tc>
        <w:tc>
          <w:tcPr>
            <w:tcW w:w="727" w:type="pct"/>
            <w:tcBorders>
              <w:top w:val="nil"/>
              <w:left w:val="nil"/>
              <w:bottom w:val="nil"/>
              <w:right w:val="nil"/>
            </w:tcBorders>
            <w:shd w:val="clear" w:color="000000" w:fill="E6F2FF"/>
            <w:noWrap/>
            <w:vAlign w:val="center"/>
            <w:hideMark/>
          </w:tcPr>
          <w:p w14:paraId="3714D4D9"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4,800</w:t>
            </w:r>
          </w:p>
        </w:tc>
        <w:tc>
          <w:tcPr>
            <w:tcW w:w="51" w:type="pct"/>
            <w:tcBorders>
              <w:top w:val="nil"/>
              <w:left w:val="nil"/>
              <w:bottom w:val="nil"/>
              <w:right w:val="nil"/>
            </w:tcBorders>
            <w:noWrap/>
            <w:vAlign w:val="center"/>
            <w:hideMark/>
          </w:tcPr>
          <w:p w14:paraId="3536509D"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7FBF7152"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-2,000</w:t>
            </w:r>
          </w:p>
        </w:tc>
        <w:tc>
          <w:tcPr>
            <w:tcW w:w="657" w:type="pct"/>
            <w:tcBorders>
              <w:top w:val="nil"/>
              <w:left w:val="nil"/>
              <w:bottom w:val="nil"/>
              <w:right w:val="nil"/>
            </w:tcBorders>
            <w:noWrap/>
            <w:vAlign w:val="center"/>
            <w:hideMark/>
          </w:tcPr>
          <w:p w14:paraId="6E6B5245"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-29.4</w:t>
            </w:r>
          </w:p>
        </w:tc>
      </w:tr>
      <w:tr w:rsidR="001364B1" w:rsidRPr="00954D98" w14:paraId="5EDE4921" w14:textId="77777777" w:rsidTr="001364B1">
        <w:trPr>
          <w:trHeight w:hRule="exact" w:val="225"/>
        </w:trPr>
        <w:tc>
          <w:tcPr>
            <w:tcW w:w="2182" w:type="pct"/>
            <w:tcBorders>
              <w:top w:val="nil"/>
              <w:left w:val="nil"/>
              <w:bottom w:val="nil"/>
              <w:right w:val="nil"/>
            </w:tcBorders>
            <w:noWrap/>
            <w:vAlign w:val="center"/>
            <w:hideMark/>
          </w:tcPr>
          <w:p w14:paraId="01835145" w14:textId="77777777" w:rsidR="001364B1" w:rsidRPr="00954D98" w:rsidRDefault="001364B1" w:rsidP="001364B1">
            <w:pPr>
              <w:spacing w:before="0" w:after="0" w:line="240" w:lineRule="auto"/>
              <w:ind w:firstLineChars="100" w:firstLine="160"/>
              <w:rPr>
                <w:rFonts w:ascii="Arial" w:hAnsi="Arial" w:cs="Arial"/>
                <w:sz w:val="16"/>
                <w:szCs w:val="16"/>
              </w:rPr>
            </w:pPr>
            <w:r w:rsidRPr="00954D98">
              <w:rPr>
                <w:rFonts w:ascii="Arial" w:hAnsi="Arial" w:cs="Arial"/>
                <w:sz w:val="16"/>
                <w:szCs w:val="16"/>
              </w:rPr>
              <w:t>Beer</w:t>
            </w:r>
          </w:p>
        </w:tc>
        <w:tc>
          <w:tcPr>
            <w:tcW w:w="727" w:type="pct"/>
            <w:tcBorders>
              <w:top w:val="nil"/>
              <w:left w:val="nil"/>
              <w:bottom w:val="nil"/>
              <w:right w:val="nil"/>
            </w:tcBorders>
            <w:noWrap/>
            <w:vAlign w:val="center"/>
            <w:hideMark/>
          </w:tcPr>
          <w:p w14:paraId="25D181A9"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2,910</w:t>
            </w:r>
          </w:p>
        </w:tc>
        <w:tc>
          <w:tcPr>
            <w:tcW w:w="727" w:type="pct"/>
            <w:tcBorders>
              <w:top w:val="nil"/>
              <w:left w:val="nil"/>
              <w:bottom w:val="nil"/>
              <w:right w:val="nil"/>
            </w:tcBorders>
            <w:shd w:val="clear" w:color="000000" w:fill="E6F2FF"/>
            <w:noWrap/>
            <w:vAlign w:val="center"/>
            <w:hideMark/>
          </w:tcPr>
          <w:p w14:paraId="7167EFB5"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2,760</w:t>
            </w:r>
          </w:p>
        </w:tc>
        <w:tc>
          <w:tcPr>
            <w:tcW w:w="51" w:type="pct"/>
            <w:tcBorders>
              <w:top w:val="nil"/>
              <w:left w:val="nil"/>
              <w:bottom w:val="nil"/>
              <w:right w:val="nil"/>
            </w:tcBorders>
            <w:noWrap/>
            <w:vAlign w:val="center"/>
            <w:hideMark/>
          </w:tcPr>
          <w:p w14:paraId="3B63EAC1"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0331B0E1"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-150</w:t>
            </w:r>
          </w:p>
        </w:tc>
        <w:tc>
          <w:tcPr>
            <w:tcW w:w="657" w:type="pct"/>
            <w:tcBorders>
              <w:top w:val="nil"/>
              <w:left w:val="nil"/>
              <w:bottom w:val="nil"/>
              <w:right w:val="nil"/>
            </w:tcBorders>
            <w:noWrap/>
            <w:vAlign w:val="center"/>
            <w:hideMark/>
          </w:tcPr>
          <w:p w14:paraId="245B5526"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-5.2</w:t>
            </w:r>
          </w:p>
        </w:tc>
      </w:tr>
      <w:tr w:rsidR="001364B1" w:rsidRPr="00954D98" w14:paraId="241243CF" w14:textId="77777777" w:rsidTr="001364B1">
        <w:trPr>
          <w:trHeight w:hRule="exact" w:val="225"/>
        </w:trPr>
        <w:tc>
          <w:tcPr>
            <w:tcW w:w="2182" w:type="pct"/>
            <w:tcBorders>
              <w:top w:val="nil"/>
              <w:left w:val="nil"/>
              <w:bottom w:val="nil"/>
              <w:right w:val="nil"/>
            </w:tcBorders>
            <w:noWrap/>
            <w:vAlign w:val="center"/>
            <w:hideMark/>
          </w:tcPr>
          <w:p w14:paraId="10A85BEB" w14:textId="77777777" w:rsidR="001364B1" w:rsidRPr="00954D98" w:rsidRDefault="001364B1" w:rsidP="001364B1">
            <w:pPr>
              <w:spacing w:before="0" w:after="0" w:line="240" w:lineRule="auto"/>
              <w:ind w:firstLineChars="100" w:firstLine="160"/>
              <w:rPr>
                <w:rFonts w:ascii="Arial" w:hAnsi="Arial" w:cs="Arial"/>
                <w:sz w:val="16"/>
                <w:szCs w:val="16"/>
              </w:rPr>
            </w:pPr>
            <w:r w:rsidRPr="00954D98">
              <w:rPr>
                <w:rFonts w:ascii="Arial" w:hAnsi="Arial" w:cs="Arial"/>
                <w:sz w:val="16"/>
                <w:szCs w:val="16"/>
              </w:rPr>
              <w:t>Spirits</w:t>
            </w:r>
          </w:p>
        </w:tc>
        <w:tc>
          <w:tcPr>
            <w:tcW w:w="727" w:type="pct"/>
            <w:tcBorders>
              <w:top w:val="nil"/>
              <w:left w:val="nil"/>
              <w:bottom w:val="nil"/>
              <w:right w:val="nil"/>
            </w:tcBorders>
            <w:noWrap/>
            <w:vAlign w:val="center"/>
            <w:hideMark/>
          </w:tcPr>
          <w:p w14:paraId="25DB138D"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3,430</w:t>
            </w:r>
          </w:p>
        </w:tc>
        <w:tc>
          <w:tcPr>
            <w:tcW w:w="727" w:type="pct"/>
            <w:tcBorders>
              <w:top w:val="nil"/>
              <w:left w:val="nil"/>
              <w:bottom w:val="nil"/>
              <w:right w:val="nil"/>
            </w:tcBorders>
            <w:shd w:val="clear" w:color="000000" w:fill="E6F2FF"/>
            <w:noWrap/>
            <w:vAlign w:val="center"/>
            <w:hideMark/>
          </w:tcPr>
          <w:p w14:paraId="6089BF25"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3,280</w:t>
            </w:r>
          </w:p>
        </w:tc>
        <w:tc>
          <w:tcPr>
            <w:tcW w:w="51" w:type="pct"/>
            <w:tcBorders>
              <w:top w:val="nil"/>
              <w:left w:val="nil"/>
              <w:bottom w:val="nil"/>
              <w:right w:val="nil"/>
            </w:tcBorders>
            <w:noWrap/>
            <w:vAlign w:val="center"/>
            <w:hideMark/>
          </w:tcPr>
          <w:p w14:paraId="1F76CDC1"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2BC01A64"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-150</w:t>
            </w:r>
          </w:p>
        </w:tc>
        <w:tc>
          <w:tcPr>
            <w:tcW w:w="657" w:type="pct"/>
            <w:tcBorders>
              <w:top w:val="nil"/>
              <w:left w:val="nil"/>
              <w:bottom w:val="nil"/>
              <w:right w:val="nil"/>
            </w:tcBorders>
            <w:noWrap/>
            <w:vAlign w:val="center"/>
            <w:hideMark/>
          </w:tcPr>
          <w:p w14:paraId="03C1276D"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-4.4</w:t>
            </w:r>
          </w:p>
        </w:tc>
      </w:tr>
      <w:tr w:rsidR="001364B1" w:rsidRPr="00954D98" w14:paraId="1B7D0130" w14:textId="77777777" w:rsidTr="001364B1">
        <w:trPr>
          <w:trHeight w:hRule="exact" w:val="225"/>
        </w:trPr>
        <w:tc>
          <w:tcPr>
            <w:tcW w:w="2182" w:type="pct"/>
            <w:tcBorders>
              <w:top w:val="nil"/>
              <w:left w:val="nil"/>
              <w:bottom w:val="nil"/>
              <w:right w:val="nil"/>
            </w:tcBorders>
            <w:noWrap/>
            <w:vAlign w:val="center"/>
            <w:hideMark/>
          </w:tcPr>
          <w:p w14:paraId="6BC0336A" w14:textId="77777777" w:rsidR="001364B1" w:rsidRPr="00954D98" w:rsidRDefault="001364B1" w:rsidP="001364B1">
            <w:pPr>
              <w:spacing w:before="0" w:after="0" w:line="240" w:lineRule="auto"/>
              <w:ind w:firstLineChars="100" w:firstLine="160"/>
              <w:rPr>
                <w:rFonts w:ascii="Arial" w:hAnsi="Arial" w:cs="Arial"/>
                <w:sz w:val="16"/>
                <w:szCs w:val="16"/>
              </w:rPr>
            </w:pPr>
            <w:r w:rsidRPr="00954D98">
              <w:rPr>
                <w:rFonts w:ascii="Arial" w:hAnsi="Arial" w:cs="Arial"/>
                <w:sz w:val="16"/>
                <w:szCs w:val="16"/>
              </w:rPr>
              <w:t>Other alcoholic beverages(a)</w:t>
            </w:r>
          </w:p>
        </w:tc>
        <w:tc>
          <w:tcPr>
            <w:tcW w:w="727" w:type="pct"/>
            <w:tcBorders>
              <w:top w:val="nil"/>
              <w:left w:val="nil"/>
              <w:bottom w:val="nil"/>
              <w:right w:val="nil"/>
            </w:tcBorders>
            <w:noWrap/>
            <w:vAlign w:val="center"/>
            <w:hideMark/>
          </w:tcPr>
          <w:p w14:paraId="478153D5"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1,930</w:t>
            </w:r>
          </w:p>
        </w:tc>
        <w:tc>
          <w:tcPr>
            <w:tcW w:w="727" w:type="pct"/>
            <w:tcBorders>
              <w:top w:val="nil"/>
              <w:left w:val="nil"/>
              <w:bottom w:val="nil"/>
              <w:right w:val="nil"/>
            </w:tcBorders>
            <w:shd w:val="clear" w:color="000000" w:fill="E6F2FF"/>
            <w:noWrap/>
            <w:vAlign w:val="center"/>
            <w:hideMark/>
          </w:tcPr>
          <w:p w14:paraId="4779E2A1"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1,860</w:t>
            </w:r>
          </w:p>
        </w:tc>
        <w:tc>
          <w:tcPr>
            <w:tcW w:w="51" w:type="pct"/>
            <w:tcBorders>
              <w:top w:val="nil"/>
              <w:left w:val="nil"/>
              <w:bottom w:val="nil"/>
              <w:right w:val="nil"/>
            </w:tcBorders>
            <w:noWrap/>
            <w:vAlign w:val="center"/>
            <w:hideMark/>
          </w:tcPr>
          <w:p w14:paraId="29F80292"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2A876AD7"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-70</w:t>
            </w:r>
          </w:p>
        </w:tc>
        <w:tc>
          <w:tcPr>
            <w:tcW w:w="657" w:type="pct"/>
            <w:tcBorders>
              <w:top w:val="nil"/>
              <w:left w:val="nil"/>
              <w:bottom w:val="nil"/>
              <w:right w:val="nil"/>
            </w:tcBorders>
            <w:noWrap/>
            <w:vAlign w:val="center"/>
            <w:hideMark/>
          </w:tcPr>
          <w:p w14:paraId="281A7EBE"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-3.6</w:t>
            </w:r>
          </w:p>
        </w:tc>
      </w:tr>
      <w:tr w:rsidR="001364B1" w:rsidRPr="00954D98" w14:paraId="620BB693" w14:textId="77777777" w:rsidTr="001364B1">
        <w:trPr>
          <w:trHeight w:hRule="exact" w:val="225"/>
        </w:trPr>
        <w:tc>
          <w:tcPr>
            <w:tcW w:w="2182" w:type="pct"/>
            <w:tcBorders>
              <w:top w:val="nil"/>
              <w:left w:val="nil"/>
              <w:bottom w:val="nil"/>
              <w:right w:val="nil"/>
            </w:tcBorders>
            <w:noWrap/>
            <w:vAlign w:val="center"/>
            <w:hideMark/>
          </w:tcPr>
          <w:p w14:paraId="25A350D3" w14:textId="77777777" w:rsidR="001364B1" w:rsidRPr="00954D98" w:rsidRDefault="001364B1" w:rsidP="001364B1">
            <w:pPr>
              <w:spacing w:before="0" w:after="0" w:line="240" w:lineRule="auto"/>
              <w:ind w:firstLineChars="100" w:firstLine="160"/>
              <w:rPr>
                <w:rFonts w:ascii="Arial" w:hAnsi="Arial" w:cs="Arial"/>
                <w:sz w:val="16"/>
                <w:szCs w:val="16"/>
              </w:rPr>
            </w:pPr>
            <w:r w:rsidRPr="00954D98">
              <w:rPr>
                <w:rFonts w:ascii="Arial" w:hAnsi="Arial" w:cs="Arial"/>
                <w:sz w:val="16"/>
                <w:szCs w:val="16"/>
              </w:rPr>
              <w:t>Other customs duty</w:t>
            </w:r>
          </w:p>
        </w:tc>
        <w:tc>
          <w:tcPr>
            <w:tcW w:w="727" w:type="pct"/>
            <w:tcBorders>
              <w:top w:val="nil"/>
              <w:left w:val="nil"/>
              <w:bottom w:val="nil"/>
              <w:right w:val="nil"/>
            </w:tcBorders>
            <w:noWrap/>
            <w:vAlign w:val="center"/>
            <w:hideMark/>
          </w:tcPr>
          <w:p w14:paraId="056085F3" w14:textId="77777777" w:rsidR="001364B1" w:rsidRPr="00954D98" w:rsidRDefault="001364B1" w:rsidP="001364B1">
            <w:pPr>
              <w:spacing w:before="0" w:after="0" w:line="240" w:lineRule="auto"/>
              <w:ind w:firstLineChars="100" w:firstLine="160"/>
              <w:rPr>
                <w:rFonts w:ascii="Arial" w:hAnsi="Arial" w:cs="Arial"/>
                <w:sz w:val="16"/>
                <w:szCs w:val="16"/>
              </w:rPr>
            </w:pPr>
          </w:p>
        </w:tc>
        <w:tc>
          <w:tcPr>
            <w:tcW w:w="727" w:type="pct"/>
            <w:tcBorders>
              <w:top w:val="nil"/>
              <w:left w:val="nil"/>
              <w:bottom w:val="nil"/>
              <w:right w:val="nil"/>
            </w:tcBorders>
            <w:shd w:val="clear" w:color="000000" w:fill="E6F2FF"/>
            <w:noWrap/>
            <w:vAlign w:val="center"/>
            <w:hideMark/>
          </w:tcPr>
          <w:p w14:paraId="62FF5FD7"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 </w:t>
            </w:r>
          </w:p>
        </w:tc>
        <w:tc>
          <w:tcPr>
            <w:tcW w:w="51" w:type="pct"/>
            <w:tcBorders>
              <w:top w:val="nil"/>
              <w:left w:val="nil"/>
              <w:bottom w:val="nil"/>
              <w:right w:val="nil"/>
            </w:tcBorders>
            <w:noWrap/>
            <w:vAlign w:val="center"/>
            <w:hideMark/>
          </w:tcPr>
          <w:p w14:paraId="7A0CAD85" w14:textId="77777777" w:rsidR="001364B1" w:rsidRPr="00954D98" w:rsidRDefault="001364B1" w:rsidP="001364B1">
            <w:pPr>
              <w:spacing w:before="0" w:after="0" w:line="240" w:lineRule="auto"/>
              <w:rPr>
                <w:rFonts w:ascii="Arial" w:hAnsi="Arial" w:cs="Arial"/>
                <w:sz w:val="16"/>
                <w:szCs w:val="16"/>
              </w:rPr>
            </w:pPr>
          </w:p>
        </w:tc>
        <w:tc>
          <w:tcPr>
            <w:tcW w:w="657" w:type="pct"/>
            <w:tcBorders>
              <w:top w:val="nil"/>
              <w:left w:val="nil"/>
              <w:bottom w:val="nil"/>
              <w:right w:val="nil"/>
            </w:tcBorders>
            <w:noWrap/>
            <w:vAlign w:val="center"/>
            <w:hideMark/>
          </w:tcPr>
          <w:p w14:paraId="5369AF2B" w14:textId="77777777" w:rsidR="001364B1" w:rsidRPr="00954D98" w:rsidRDefault="001364B1" w:rsidP="001364B1">
            <w:pPr>
              <w:spacing w:before="0" w:after="0" w:line="240" w:lineRule="auto"/>
              <w:jc w:val="right"/>
              <w:rPr>
                <w:sz w:val="20"/>
              </w:rPr>
            </w:pPr>
          </w:p>
        </w:tc>
        <w:tc>
          <w:tcPr>
            <w:tcW w:w="657" w:type="pct"/>
            <w:tcBorders>
              <w:top w:val="nil"/>
              <w:left w:val="nil"/>
              <w:bottom w:val="nil"/>
              <w:right w:val="nil"/>
            </w:tcBorders>
            <w:noWrap/>
            <w:vAlign w:val="center"/>
            <w:hideMark/>
          </w:tcPr>
          <w:p w14:paraId="1871D52C" w14:textId="77777777" w:rsidR="001364B1" w:rsidRPr="00954D98" w:rsidRDefault="001364B1" w:rsidP="001364B1">
            <w:pPr>
              <w:spacing w:before="0" w:after="0" w:line="240" w:lineRule="auto"/>
              <w:jc w:val="right"/>
              <w:rPr>
                <w:sz w:val="20"/>
              </w:rPr>
            </w:pPr>
          </w:p>
        </w:tc>
      </w:tr>
      <w:tr w:rsidR="001364B1" w:rsidRPr="00954D98" w14:paraId="3561EDB5" w14:textId="77777777" w:rsidTr="001364B1">
        <w:trPr>
          <w:trHeight w:hRule="exact" w:val="225"/>
        </w:trPr>
        <w:tc>
          <w:tcPr>
            <w:tcW w:w="2182" w:type="pct"/>
            <w:tcBorders>
              <w:top w:val="nil"/>
              <w:left w:val="nil"/>
              <w:bottom w:val="nil"/>
              <w:right w:val="nil"/>
            </w:tcBorders>
            <w:noWrap/>
            <w:vAlign w:val="bottom"/>
            <w:hideMark/>
          </w:tcPr>
          <w:p w14:paraId="76680B14" w14:textId="77777777" w:rsidR="001364B1" w:rsidRPr="00954D98" w:rsidRDefault="001364B1" w:rsidP="001364B1">
            <w:pPr>
              <w:spacing w:before="0" w:after="0" w:line="240" w:lineRule="auto"/>
              <w:ind w:left="170"/>
              <w:rPr>
                <w:rFonts w:ascii="Arial" w:hAnsi="Arial" w:cs="Arial"/>
                <w:sz w:val="16"/>
                <w:szCs w:val="16"/>
              </w:rPr>
            </w:pPr>
            <w:r w:rsidRPr="00954D98">
              <w:rPr>
                <w:rFonts w:ascii="Arial" w:hAnsi="Arial" w:cs="Arial"/>
                <w:sz w:val="16"/>
                <w:szCs w:val="16"/>
              </w:rPr>
              <w:t xml:space="preserve">    Textiles, clothing and footwear</w:t>
            </w:r>
          </w:p>
        </w:tc>
        <w:tc>
          <w:tcPr>
            <w:tcW w:w="727" w:type="pct"/>
            <w:tcBorders>
              <w:top w:val="nil"/>
              <w:left w:val="nil"/>
              <w:bottom w:val="nil"/>
              <w:right w:val="nil"/>
            </w:tcBorders>
            <w:noWrap/>
            <w:vAlign w:val="center"/>
            <w:hideMark/>
          </w:tcPr>
          <w:p w14:paraId="107DEAC4"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180</w:t>
            </w:r>
          </w:p>
        </w:tc>
        <w:tc>
          <w:tcPr>
            <w:tcW w:w="727" w:type="pct"/>
            <w:tcBorders>
              <w:top w:val="nil"/>
              <w:left w:val="nil"/>
              <w:bottom w:val="nil"/>
              <w:right w:val="nil"/>
            </w:tcBorders>
            <w:shd w:val="clear" w:color="000000" w:fill="E6F2FF"/>
            <w:noWrap/>
            <w:vAlign w:val="center"/>
            <w:hideMark/>
          </w:tcPr>
          <w:p w14:paraId="49A41547"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160</w:t>
            </w:r>
          </w:p>
        </w:tc>
        <w:tc>
          <w:tcPr>
            <w:tcW w:w="51" w:type="pct"/>
            <w:tcBorders>
              <w:top w:val="nil"/>
              <w:left w:val="nil"/>
              <w:bottom w:val="nil"/>
              <w:right w:val="nil"/>
            </w:tcBorders>
            <w:noWrap/>
            <w:vAlign w:val="center"/>
            <w:hideMark/>
          </w:tcPr>
          <w:p w14:paraId="36D127D9"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10F28E9F"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-20</w:t>
            </w:r>
          </w:p>
        </w:tc>
        <w:tc>
          <w:tcPr>
            <w:tcW w:w="657" w:type="pct"/>
            <w:tcBorders>
              <w:top w:val="nil"/>
              <w:left w:val="nil"/>
              <w:bottom w:val="nil"/>
              <w:right w:val="nil"/>
            </w:tcBorders>
            <w:noWrap/>
            <w:vAlign w:val="center"/>
            <w:hideMark/>
          </w:tcPr>
          <w:p w14:paraId="4456149F"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-11.1</w:t>
            </w:r>
          </w:p>
        </w:tc>
      </w:tr>
      <w:tr w:rsidR="001364B1" w:rsidRPr="00954D98" w14:paraId="2C58650A" w14:textId="77777777" w:rsidTr="001364B1">
        <w:trPr>
          <w:trHeight w:hRule="exact" w:val="225"/>
        </w:trPr>
        <w:tc>
          <w:tcPr>
            <w:tcW w:w="2182" w:type="pct"/>
            <w:tcBorders>
              <w:top w:val="nil"/>
              <w:left w:val="nil"/>
              <w:bottom w:val="nil"/>
              <w:right w:val="nil"/>
            </w:tcBorders>
            <w:noWrap/>
            <w:vAlign w:val="bottom"/>
            <w:hideMark/>
          </w:tcPr>
          <w:p w14:paraId="08E8F959" w14:textId="77777777" w:rsidR="001364B1" w:rsidRPr="00954D98" w:rsidRDefault="001364B1" w:rsidP="001364B1">
            <w:pPr>
              <w:spacing w:before="0" w:after="0" w:line="240" w:lineRule="auto"/>
              <w:ind w:left="170"/>
              <w:rPr>
                <w:rFonts w:ascii="Arial" w:hAnsi="Arial" w:cs="Arial"/>
                <w:sz w:val="16"/>
                <w:szCs w:val="16"/>
              </w:rPr>
            </w:pPr>
            <w:r w:rsidRPr="00954D98">
              <w:rPr>
                <w:rFonts w:ascii="Arial" w:hAnsi="Arial" w:cs="Arial"/>
                <w:sz w:val="16"/>
                <w:szCs w:val="16"/>
              </w:rPr>
              <w:t xml:space="preserve">    Passenger motor vehicles</w:t>
            </w:r>
          </w:p>
        </w:tc>
        <w:tc>
          <w:tcPr>
            <w:tcW w:w="727" w:type="pct"/>
            <w:tcBorders>
              <w:top w:val="nil"/>
              <w:left w:val="nil"/>
              <w:bottom w:val="nil"/>
              <w:right w:val="nil"/>
            </w:tcBorders>
            <w:noWrap/>
            <w:vAlign w:val="center"/>
            <w:hideMark/>
          </w:tcPr>
          <w:p w14:paraId="6CB26E79"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350</w:t>
            </w:r>
          </w:p>
        </w:tc>
        <w:tc>
          <w:tcPr>
            <w:tcW w:w="727" w:type="pct"/>
            <w:tcBorders>
              <w:top w:val="nil"/>
              <w:left w:val="nil"/>
              <w:bottom w:val="nil"/>
              <w:right w:val="nil"/>
            </w:tcBorders>
            <w:shd w:val="clear" w:color="000000" w:fill="E6F2FF"/>
            <w:noWrap/>
            <w:vAlign w:val="center"/>
            <w:hideMark/>
          </w:tcPr>
          <w:p w14:paraId="1444F911"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270</w:t>
            </w:r>
          </w:p>
        </w:tc>
        <w:tc>
          <w:tcPr>
            <w:tcW w:w="51" w:type="pct"/>
            <w:tcBorders>
              <w:top w:val="nil"/>
              <w:left w:val="nil"/>
              <w:bottom w:val="nil"/>
              <w:right w:val="nil"/>
            </w:tcBorders>
            <w:noWrap/>
            <w:vAlign w:val="center"/>
            <w:hideMark/>
          </w:tcPr>
          <w:p w14:paraId="3513C43D"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525C2170"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-80</w:t>
            </w:r>
          </w:p>
        </w:tc>
        <w:tc>
          <w:tcPr>
            <w:tcW w:w="657" w:type="pct"/>
            <w:tcBorders>
              <w:top w:val="nil"/>
              <w:left w:val="nil"/>
              <w:bottom w:val="nil"/>
              <w:right w:val="nil"/>
            </w:tcBorders>
            <w:noWrap/>
            <w:vAlign w:val="center"/>
            <w:hideMark/>
          </w:tcPr>
          <w:p w14:paraId="337BB841"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-22.9</w:t>
            </w:r>
          </w:p>
        </w:tc>
      </w:tr>
      <w:tr w:rsidR="001364B1" w:rsidRPr="00954D98" w14:paraId="575F89D0" w14:textId="77777777" w:rsidTr="001364B1">
        <w:trPr>
          <w:trHeight w:hRule="exact" w:val="225"/>
        </w:trPr>
        <w:tc>
          <w:tcPr>
            <w:tcW w:w="2182" w:type="pct"/>
            <w:tcBorders>
              <w:top w:val="nil"/>
              <w:left w:val="nil"/>
              <w:bottom w:val="nil"/>
              <w:right w:val="nil"/>
            </w:tcBorders>
            <w:noWrap/>
            <w:vAlign w:val="center"/>
            <w:hideMark/>
          </w:tcPr>
          <w:p w14:paraId="5628F8CA" w14:textId="77777777" w:rsidR="001364B1" w:rsidRPr="00954D98" w:rsidRDefault="001364B1" w:rsidP="001364B1">
            <w:pPr>
              <w:spacing w:before="0" w:after="0" w:line="240" w:lineRule="auto"/>
              <w:ind w:left="170"/>
              <w:rPr>
                <w:rFonts w:ascii="Arial" w:hAnsi="Arial" w:cs="Arial"/>
                <w:sz w:val="16"/>
                <w:szCs w:val="16"/>
              </w:rPr>
            </w:pPr>
            <w:r w:rsidRPr="00954D98">
              <w:rPr>
                <w:rFonts w:ascii="Arial" w:hAnsi="Arial" w:cs="Arial"/>
                <w:sz w:val="16"/>
                <w:szCs w:val="16"/>
              </w:rPr>
              <w:t xml:space="preserve">    Other imports</w:t>
            </w:r>
          </w:p>
        </w:tc>
        <w:tc>
          <w:tcPr>
            <w:tcW w:w="727" w:type="pct"/>
            <w:tcBorders>
              <w:top w:val="nil"/>
              <w:left w:val="nil"/>
              <w:bottom w:val="nil"/>
              <w:right w:val="nil"/>
            </w:tcBorders>
            <w:noWrap/>
            <w:vAlign w:val="center"/>
            <w:hideMark/>
          </w:tcPr>
          <w:p w14:paraId="7CDD3425"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1,680</w:t>
            </w:r>
          </w:p>
        </w:tc>
        <w:tc>
          <w:tcPr>
            <w:tcW w:w="727" w:type="pct"/>
            <w:tcBorders>
              <w:top w:val="nil"/>
              <w:left w:val="nil"/>
              <w:bottom w:val="nil"/>
              <w:right w:val="nil"/>
            </w:tcBorders>
            <w:shd w:val="clear" w:color="000000" w:fill="E6F2FF"/>
            <w:noWrap/>
            <w:vAlign w:val="center"/>
            <w:hideMark/>
          </w:tcPr>
          <w:p w14:paraId="4D267CAE"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1,640</w:t>
            </w:r>
          </w:p>
        </w:tc>
        <w:tc>
          <w:tcPr>
            <w:tcW w:w="51" w:type="pct"/>
            <w:tcBorders>
              <w:top w:val="nil"/>
              <w:left w:val="nil"/>
              <w:bottom w:val="nil"/>
              <w:right w:val="nil"/>
            </w:tcBorders>
            <w:noWrap/>
            <w:vAlign w:val="center"/>
            <w:hideMark/>
          </w:tcPr>
          <w:p w14:paraId="588A082F"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4268DF45"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-40</w:t>
            </w:r>
          </w:p>
        </w:tc>
        <w:tc>
          <w:tcPr>
            <w:tcW w:w="657" w:type="pct"/>
            <w:tcBorders>
              <w:top w:val="nil"/>
              <w:left w:val="nil"/>
              <w:bottom w:val="nil"/>
              <w:right w:val="nil"/>
            </w:tcBorders>
            <w:noWrap/>
            <w:vAlign w:val="center"/>
            <w:hideMark/>
          </w:tcPr>
          <w:p w14:paraId="4C4A3EFF"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-2.4</w:t>
            </w:r>
          </w:p>
        </w:tc>
      </w:tr>
      <w:tr w:rsidR="001364B1" w:rsidRPr="00954D98" w14:paraId="3DDE0369" w14:textId="77777777" w:rsidTr="001364B1">
        <w:trPr>
          <w:trHeight w:hRule="exact" w:val="225"/>
        </w:trPr>
        <w:tc>
          <w:tcPr>
            <w:tcW w:w="2182" w:type="pct"/>
            <w:tcBorders>
              <w:top w:val="nil"/>
              <w:left w:val="nil"/>
              <w:bottom w:val="nil"/>
              <w:right w:val="nil"/>
            </w:tcBorders>
            <w:noWrap/>
            <w:vAlign w:val="bottom"/>
            <w:hideMark/>
          </w:tcPr>
          <w:p w14:paraId="0736CDDA" w14:textId="77777777" w:rsidR="001364B1" w:rsidRPr="00954D98" w:rsidRDefault="001364B1" w:rsidP="001364B1">
            <w:pPr>
              <w:spacing w:before="0" w:after="0" w:line="240" w:lineRule="auto"/>
              <w:ind w:firstLineChars="100" w:firstLine="160"/>
              <w:rPr>
                <w:rFonts w:ascii="Arial" w:hAnsi="Arial" w:cs="Arial"/>
                <w:i/>
                <w:iCs/>
                <w:sz w:val="16"/>
                <w:szCs w:val="16"/>
              </w:rPr>
            </w:pPr>
            <w:r w:rsidRPr="00954D98">
              <w:rPr>
                <w:rFonts w:ascii="Arial" w:hAnsi="Arial" w:cs="Arial"/>
                <w:i/>
                <w:iCs/>
                <w:sz w:val="16"/>
                <w:szCs w:val="16"/>
              </w:rPr>
              <w:t xml:space="preserve">less: </w:t>
            </w:r>
            <w:r w:rsidRPr="00954D98">
              <w:rPr>
                <w:rFonts w:ascii="Arial" w:hAnsi="Arial" w:cs="Arial"/>
                <w:sz w:val="16"/>
                <w:szCs w:val="16"/>
              </w:rPr>
              <w:t>Refunds and drawbacks</w:t>
            </w:r>
          </w:p>
        </w:tc>
        <w:tc>
          <w:tcPr>
            <w:tcW w:w="727" w:type="pct"/>
            <w:tcBorders>
              <w:top w:val="nil"/>
              <w:left w:val="nil"/>
              <w:bottom w:val="nil"/>
              <w:right w:val="nil"/>
            </w:tcBorders>
            <w:noWrap/>
            <w:vAlign w:val="center"/>
            <w:hideMark/>
          </w:tcPr>
          <w:p w14:paraId="5C83DD24"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730</w:t>
            </w:r>
          </w:p>
        </w:tc>
        <w:tc>
          <w:tcPr>
            <w:tcW w:w="727" w:type="pct"/>
            <w:tcBorders>
              <w:top w:val="nil"/>
              <w:left w:val="nil"/>
              <w:bottom w:val="nil"/>
              <w:right w:val="nil"/>
            </w:tcBorders>
            <w:shd w:val="clear" w:color="000000" w:fill="E6F2FF"/>
            <w:noWrap/>
            <w:vAlign w:val="center"/>
            <w:hideMark/>
          </w:tcPr>
          <w:p w14:paraId="49C789B7"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730</w:t>
            </w:r>
          </w:p>
        </w:tc>
        <w:tc>
          <w:tcPr>
            <w:tcW w:w="51" w:type="pct"/>
            <w:tcBorders>
              <w:top w:val="nil"/>
              <w:left w:val="nil"/>
              <w:bottom w:val="nil"/>
              <w:right w:val="nil"/>
            </w:tcBorders>
            <w:noWrap/>
            <w:vAlign w:val="center"/>
            <w:hideMark/>
          </w:tcPr>
          <w:p w14:paraId="06FB10F1"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68C5B0C2"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0</w:t>
            </w:r>
          </w:p>
        </w:tc>
        <w:tc>
          <w:tcPr>
            <w:tcW w:w="657" w:type="pct"/>
            <w:tcBorders>
              <w:top w:val="nil"/>
              <w:left w:val="nil"/>
              <w:bottom w:val="nil"/>
              <w:right w:val="nil"/>
            </w:tcBorders>
            <w:noWrap/>
            <w:vAlign w:val="center"/>
            <w:hideMark/>
          </w:tcPr>
          <w:p w14:paraId="031B000F"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0.0</w:t>
            </w:r>
          </w:p>
        </w:tc>
      </w:tr>
      <w:tr w:rsidR="001364B1" w:rsidRPr="00954D98" w14:paraId="2AB9F514" w14:textId="77777777" w:rsidTr="001364B1">
        <w:trPr>
          <w:trHeight w:hRule="exact" w:val="225"/>
        </w:trPr>
        <w:tc>
          <w:tcPr>
            <w:tcW w:w="2182" w:type="pct"/>
            <w:tcBorders>
              <w:top w:val="nil"/>
              <w:left w:val="nil"/>
              <w:bottom w:val="nil"/>
              <w:right w:val="nil"/>
            </w:tcBorders>
            <w:noWrap/>
            <w:vAlign w:val="bottom"/>
            <w:hideMark/>
          </w:tcPr>
          <w:p w14:paraId="0935A353"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 xml:space="preserve">Total excise and customs duty </w:t>
            </w:r>
          </w:p>
        </w:tc>
        <w:tc>
          <w:tcPr>
            <w:tcW w:w="727" w:type="pct"/>
            <w:tcBorders>
              <w:top w:val="single" w:sz="4" w:space="0" w:color="293F5B"/>
              <w:left w:val="nil"/>
              <w:bottom w:val="nil"/>
              <w:right w:val="nil"/>
            </w:tcBorders>
            <w:noWrap/>
            <w:vAlign w:val="center"/>
            <w:hideMark/>
          </w:tcPr>
          <w:p w14:paraId="69C758E7"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44,990</w:t>
            </w:r>
          </w:p>
        </w:tc>
        <w:tc>
          <w:tcPr>
            <w:tcW w:w="727" w:type="pct"/>
            <w:tcBorders>
              <w:top w:val="single" w:sz="4" w:space="0" w:color="293F5B"/>
              <w:left w:val="nil"/>
              <w:bottom w:val="nil"/>
              <w:right w:val="nil"/>
            </w:tcBorders>
            <w:shd w:val="clear" w:color="000000" w:fill="E6F2FF"/>
            <w:noWrap/>
            <w:vAlign w:val="center"/>
            <w:hideMark/>
          </w:tcPr>
          <w:p w14:paraId="1FAA8723"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41,730</w:t>
            </w:r>
          </w:p>
        </w:tc>
        <w:tc>
          <w:tcPr>
            <w:tcW w:w="51" w:type="pct"/>
            <w:tcBorders>
              <w:top w:val="nil"/>
              <w:left w:val="nil"/>
              <w:bottom w:val="nil"/>
              <w:right w:val="nil"/>
            </w:tcBorders>
            <w:noWrap/>
            <w:vAlign w:val="center"/>
            <w:hideMark/>
          </w:tcPr>
          <w:p w14:paraId="6C0F0ECC"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single" w:sz="4" w:space="0" w:color="293F5B"/>
              <w:left w:val="nil"/>
              <w:bottom w:val="nil"/>
              <w:right w:val="nil"/>
            </w:tcBorders>
            <w:noWrap/>
            <w:vAlign w:val="center"/>
            <w:hideMark/>
          </w:tcPr>
          <w:p w14:paraId="18B79415"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-3,260</w:t>
            </w:r>
          </w:p>
        </w:tc>
        <w:tc>
          <w:tcPr>
            <w:tcW w:w="657" w:type="pct"/>
            <w:tcBorders>
              <w:top w:val="single" w:sz="4" w:space="0" w:color="293F5B"/>
              <w:left w:val="nil"/>
              <w:bottom w:val="nil"/>
              <w:right w:val="nil"/>
            </w:tcBorders>
            <w:noWrap/>
            <w:vAlign w:val="center"/>
            <w:hideMark/>
          </w:tcPr>
          <w:p w14:paraId="55B8B9BA"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-7.2</w:t>
            </w:r>
          </w:p>
        </w:tc>
      </w:tr>
      <w:tr w:rsidR="001364B1" w:rsidRPr="00954D98" w14:paraId="5BE10837" w14:textId="77777777" w:rsidTr="001364B1">
        <w:trPr>
          <w:trHeight w:hRule="exact" w:val="225"/>
        </w:trPr>
        <w:tc>
          <w:tcPr>
            <w:tcW w:w="2182" w:type="pct"/>
            <w:tcBorders>
              <w:top w:val="nil"/>
              <w:left w:val="nil"/>
              <w:bottom w:val="nil"/>
              <w:right w:val="nil"/>
            </w:tcBorders>
            <w:noWrap/>
            <w:vAlign w:val="center"/>
            <w:hideMark/>
          </w:tcPr>
          <w:p w14:paraId="3AFBD84F"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Major Bank Levy</w:t>
            </w:r>
          </w:p>
        </w:tc>
        <w:tc>
          <w:tcPr>
            <w:tcW w:w="727" w:type="pct"/>
            <w:tcBorders>
              <w:top w:val="nil"/>
              <w:left w:val="nil"/>
              <w:bottom w:val="nil"/>
              <w:right w:val="nil"/>
            </w:tcBorders>
            <w:noWrap/>
            <w:vAlign w:val="center"/>
            <w:hideMark/>
          </w:tcPr>
          <w:p w14:paraId="6AA61295"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1,930</w:t>
            </w:r>
          </w:p>
        </w:tc>
        <w:tc>
          <w:tcPr>
            <w:tcW w:w="727" w:type="pct"/>
            <w:tcBorders>
              <w:top w:val="nil"/>
              <w:left w:val="nil"/>
              <w:bottom w:val="nil"/>
              <w:right w:val="nil"/>
            </w:tcBorders>
            <w:shd w:val="clear" w:color="000000" w:fill="E6F2FF"/>
            <w:noWrap/>
            <w:vAlign w:val="center"/>
            <w:hideMark/>
          </w:tcPr>
          <w:p w14:paraId="0023CDB4"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1,970</w:t>
            </w:r>
          </w:p>
        </w:tc>
        <w:tc>
          <w:tcPr>
            <w:tcW w:w="51" w:type="pct"/>
            <w:tcBorders>
              <w:top w:val="nil"/>
              <w:left w:val="nil"/>
              <w:bottom w:val="nil"/>
              <w:right w:val="nil"/>
            </w:tcBorders>
            <w:noWrap/>
            <w:vAlign w:val="center"/>
            <w:hideMark/>
          </w:tcPr>
          <w:p w14:paraId="78971142"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567E0AE3"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40</w:t>
            </w:r>
          </w:p>
        </w:tc>
        <w:tc>
          <w:tcPr>
            <w:tcW w:w="657" w:type="pct"/>
            <w:tcBorders>
              <w:top w:val="nil"/>
              <w:left w:val="nil"/>
              <w:bottom w:val="nil"/>
              <w:right w:val="nil"/>
            </w:tcBorders>
            <w:noWrap/>
            <w:vAlign w:val="center"/>
            <w:hideMark/>
          </w:tcPr>
          <w:p w14:paraId="3C747CB5"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2.1</w:t>
            </w:r>
          </w:p>
        </w:tc>
      </w:tr>
      <w:tr w:rsidR="001364B1" w:rsidRPr="00954D98" w14:paraId="3B442F2F" w14:textId="77777777" w:rsidTr="001364B1">
        <w:trPr>
          <w:trHeight w:hRule="exact" w:val="225"/>
        </w:trPr>
        <w:tc>
          <w:tcPr>
            <w:tcW w:w="2182" w:type="pct"/>
            <w:tcBorders>
              <w:top w:val="nil"/>
              <w:left w:val="nil"/>
              <w:bottom w:val="nil"/>
              <w:right w:val="nil"/>
            </w:tcBorders>
            <w:noWrap/>
            <w:vAlign w:val="center"/>
            <w:hideMark/>
          </w:tcPr>
          <w:p w14:paraId="6305055D"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Agricultural levies</w:t>
            </w:r>
          </w:p>
        </w:tc>
        <w:tc>
          <w:tcPr>
            <w:tcW w:w="727" w:type="pct"/>
            <w:tcBorders>
              <w:top w:val="nil"/>
              <w:left w:val="nil"/>
              <w:bottom w:val="nil"/>
              <w:right w:val="nil"/>
            </w:tcBorders>
            <w:noWrap/>
            <w:vAlign w:val="center"/>
            <w:hideMark/>
          </w:tcPr>
          <w:p w14:paraId="52ABA364"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684</w:t>
            </w:r>
          </w:p>
        </w:tc>
        <w:tc>
          <w:tcPr>
            <w:tcW w:w="727" w:type="pct"/>
            <w:tcBorders>
              <w:top w:val="nil"/>
              <w:left w:val="nil"/>
              <w:bottom w:val="nil"/>
              <w:right w:val="nil"/>
            </w:tcBorders>
            <w:shd w:val="clear" w:color="000000" w:fill="E6F2FF"/>
            <w:noWrap/>
            <w:vAlign w:val="center"/>
            <w:hideMark/>
          </w:tcPr>
          <w:p w14:paraId="1DA80EAB"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697</w:t>
            </w:r>
          </w:p>
        </w:tc>
        <w:tc>
          <w:tcPr>
            <w:tcW w:w="51" w:type="pct"/>
            <w:tcBorders>
              <w:top w:val="nil"/>
              <w:left w:val="nil"/>
              <w:bottom w:val="nil"/>
              <w:right w:val="nil"/>
            </w:tcBorders>
            <w:noWrap/>
            <w:vAlign w:val="center"/>
            <w:hideMark/>
          </w:tcPr>
          <w:p w14:paraId="534779B5"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7814E872"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13</w:t>
            </w:r>
          </w:p>
        </w:tc>
        <w:tc>
          <w:tcPr>
            <w:tcW w:w="657" w:type="pct"/>
            <w:tcBorders>
              <w:top w:val="nil"/>
              <w:left w:val="nil"/>
              <w:bottom w:val="nil"/>
              <w:right w:val="nil"/>
            </w:tcBorders>
            <w:noWrap/>
            <w:vAlign w:val="center"/>
            <w:hideMark/>
          </w:tcPr>
          <w:p w14:paraId="5526597F"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1.9</w:t>
            </w:r>
          </w:p>
        </w:tc>
      </w:tr>
      <w:tr w:rsidR="001364B1" w:rsidRPr="00954D98" w14:paraId="3A67FFCD" w14:textId="77777777" w:rsidTr="001364B1">
        <w:trPr>
          <w:trHeight w:hRule="exact" w:val="225"/>
        </w:trPr>
        <w:tc>
          <w:tcPr>
            <w:tcW w:w="2182" w:type="pct"/>
            <w:tcBorders>
              <w:top w:val="nil"/>
              <w:left w:val="nil"/>
              <w:bottom w:val="nil"/>
              <w:right w:val="nil"/>
            </w:tcBorders>
            <w:noWrap/>
            <w:vAlign w:val="center"/>
            <w:hideMark/>
          </w:tcPr>
          <w:p w14:paraId="41D2F3F1"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Visa application charges</w:t>
            </w:r>
          </w:p>
        </w:tc>
        <w:tc>
          <w:tcPr>
            <w:tcW w:w="727" w:type="pct"/>
            <w:tcBorders>
              <w:top w:val="nil"/>
              <w:left w:val="nil"/>
              <w:bottom w:val="nil"/>
              <w:right w:val="nil"/>
            </w:tcBorders>
            <w:noWrap/>
            <w:vAlign w:val="center"/>
            <w:hideMark/>
          </w:tcPr>
          <w:p w14:paraId="54E54488"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4,402</w:t>
            </w:r>
          </w:p>
        </w:tc>
        <w:tc>
          <w:tcPr>
            <w:tcW w:w="727" w:type="pct"/>
            <w:tcBorders>
              <w:top w:val="nil"/>
              <w:left w:val="nil"/>
              <w:bottom w:val="nil"/>
              <w:right w:val="nil"/>
            </w:tcBorders>
            <w:shd w:val="clear" w:color="000000" w:fill="E6F2FF"/>
            <w:noWrap/>
            <w:vAlign w:val="center"/>
            <w:hideMark/>
          </w:tcPr>
          <w:p w14:paraId="7A830964"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4,971</w:t>
            </w:r>
          </w:p>
        </w:tc>
        <w:tc>
          <w:tcPr>
            <w:tcW w:w="51" w:type="pct"/>
            <w:tcBorders>
              <w:top w:val="nil"/>
              <w:left w:val="nil"/>
              <w:bottom w:val="nil"/>
              <w:right w:val="nil"/>
            </w:tcBorders>
            <w:noWrap/>
            <w:vAlign w:val="center"/>
            <w:hideMark/>
          </w:tcPr>
          <w:p w14:paraId="100C486D"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42434441"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569</w:t>
            </w:r>
          </w:p>
        </w:tc>
        <w:tc>
          <w:tcPr>
            <w:tcW w:w="657" w:type="pct"/>
            <w:tcBorders>
              <w:top w:val="nil"/>
              <w:left w:val="nil"/>
              <w:bottom w:val="nil"/>
              <w:right w:val="nil"/>
            </w:tcBorders>
            <w:noWrap/>
            <w:vAlign w:val="center"/>
            <w:hideMark/>
          </w:tcPr>
          <w:p w14:paraId="299E5678"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12.9</w:t>
            </w:r>
          </w:p>
        </w:tc>
      </w:tr>
      <w:tr w:rsidR="001364B1" w:rsidRPr="00954D98" w14:paraId="6EEE0CA8" w14:textId="77777777" w:rsidTr="001364B1">
        <w:trPr>
          <w:trHeight w:hRule="exact" w:val="225"/>
        </w:trPr>
        <w:tc>
          <w:tcPr>
            <w:tcW w:w="2182" w:type="pct"/>
            <w:tcBorders>
              <w:top w:val="nil"/>
              <w:left w:val="nil"/>
              <w:bottom w:val="nil"/>
              <w:right w:val="nil"/>
            </w:tcBorders>
            <w:noWrap/>
            <w:vAlign w:val="center"/>
            <w:hideMark/>
          </w:tcPr>
          <w:p w14:paraId="42CD3CE1"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Other taxes</w:t>
            </w:r>
          </w:p>
        </w:tc>
        <w:tc>
          <w:tcPr>
            <w:tcW w:w="727" w:type="pct"/>
            <w:tcBorders>
              <w:top w:val="nil"/>
              <w:left w:val="nil"/>
              <w:bottom w:val="nil"/>
              <w:right w:val="nil"/>
            </w:tcBorders>
            <w:shd w:val="clear" w:color="000000" w:fill="FFFFFF"/>
            <w:noWrap/>
            <w:vAlign w:val="center"/>
            <w:hideMark/>
          </w:tcPr>
          <w:p w14:paraId="56A562AC"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6,211</w:t>
            </w:r>
          </w:p>
        </w:tc>
        <w:tc>
          <w:tcPr>
            <w:tcW w:w="727" w:type="pct"/>
            <w:tcBorders>
              <w:top w:val="nil"/>
              <w:left w:val="nil"/>
              <w:bottom w:val="nil"/>
              <w:right w:val="nil"/>
            </w:tcBorders>
            <w:shd w:val="clear" w:color="000000" w:fill="E6F2FF"/>
            <w:noWrap/>
            <w:vAlign w:val="center"/>
            <w:hideMark/>
          </w:tcPr>
          <w:p w14:paraId="21C73FA5"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6,087</w:t>
            </w:r>
          </w:p>
        </w:tc>
        <w:tc>
          <w:tcPr>
            <w:tcW w:w="51" w:type="pct"/>
            <w:tcBorders>
              <w:top w:val="nil"/>
              <w:left w:val="nil"/>
              <w:bottom w:val="nil"/>
              <w:right w:val="nil"/>
            </w:tcBorders>
            <w:noWrap/>
            <w:vAlign w:val="center"/>
            <w:hideMark/>
          </w:tcPr>
          <w:p w14:paraId="73E16AA4"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29C4FD48"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-123</w:t>
            </w:r>
          </w:p>
        </w:tc>
        <w:tc>
          <w:tcPr>
            <w:tcW w:w="657" w:type="pct"/>
            <w:tcBorders>
              <w:top w:val="nil"/>
              <w:left w:val="nil"/>
              <w:bottom w:val="nil"/>
              <w:right w:val="nil"/>
            </w:tcBorders>
            <w:noWrap/>
            <w:vAlign w:val="center"/>
            <w:hideMark/>
          </w:tcPr>
          <w:p w14:paraId="0535759F"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-2.0</w:t>
            </w:r>
          </w:p>
        </w:tc>
      </w:tr>
      <w:tr w:rsidR="001364B1" w:rsidRPr="00954D98" w14:paraId="6084CAC7" w14:textId="77777777" w:rsidTr="001364B1">
        <w:trPr>
          <w:trHeight w:hRule="exact" w:val="225"/>
        </w:trPr>
        <w:tc>
          <w:tcPr>
            <w:tcW w:w="2182" w:type="pct"/>
            <w:tcBorders>
              <w:top w:val="nil"/>
              <w:left w:val="nil"/>
              <w:bottom w:val="nil"/>
              <w:right w:val="nil"/>
            </w:tcBorders>
            <w:noWrap/>
            <w:vAlign w:val="center"/>
            <w:hideMark/>
          </w:tcPr>
          <w:p w14:paraId="3D687634" w14:textId="77777777" w:rsidR="001364B1" w:rsidRPr="00954D98" w:rsidRDefault="001364B1" w:rsidP="001364B1">
            <w:pPr>
              <w:spacing w:before="0" w:after="0" w:line="240" w:lineRule="auto"/>
              <w:rPr>
                <w:rFonts w:ascii="Arial" w:hAnsi="Arial" w:cs="Arial"/>
                <w:b/>
                <w:bCs/>
                <w:sz w:val="16"/>
                <w:szCs w:val="16"/>
              </w:rPr>
            </w:pPr>
            <w:r w:rsidRPr="00954D98">
              <w:rPr>
                <w:rFonts w:ascii="Arial" w:hAnsi="Arial" w:cs="Arial"/>
                <w:b/>
                <w:bCs/>
                <w:sz w:val="16"/>
                <w:szCs w:val="16"/>
              </w:rPr>
              <w:t>Indirect taxation receipts</w:t>
            </w:r>
          </w:p>
        </w:tc>
        <w:tc>
          <w:tcPr>
            <w:tcW w:w="727" w:type="pct"/>
            <w:tcBorders>
              <w:top w:val="single" w:sz="4" w:space="0" w:color="293F5B"/>
              <w:left w:val="nil"/>
              <w:bottom w:val="nil"/>
              <w:right w:val="nil"/>
            </w:tcBorders>
            <w:shd w:val="clear" w:color="000000" w:fill="FFFFFF"/>
            <w:noWrap/>
            <w:vAlign w:val="center"/>
            <w:hideMark/>
          </w:tcPr>
          <w:p w14:paraId="6B8B7564"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160,036</w:t>
            </w:r>
          </w:p>
        </w:tc>
        <w:tc>
          <w:tcPr>
            <w:tcW w:w="727" w:type="pct"/>
            <w:tcBorders>
              <w:top w:val="single" w:sz="4" w:space="0" w:color="293F5B"/>
              <w:left w:val="nil"/>
              <w:bottom w:val="nil"/>
              <w:right w:val="nil"/>
            </w:tcBorders>
            <w:shd w:val="clear" w:color="000000" w:fill="E6F2FF"/>
            <w:noWrap/>
            <w:vAlign w:val="center"/>
            <w:hideMark/>
          </w:tcPr>
          <w:p w14:paraId="602368A0"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159,406</w:t>
            </w:r>
          </w:p>
        </w:tc>
        <w:tc>
          <w:tcPr>
            <w:tcW w:w="51" w:type="pct"/>
            <w:tcBorders>
              <w:top w:val="nil"/>
              <w:left w:val="nil"/>
              <w:bottom w:val="nil"/>
              <w:right w:val="nil"/>
            </w:tcBorders>
            <w:noWrap/>
            <w:vAlign w:val="center"/>
            <w:hideMark/>
          </w:tcPr>
          <w:p w14:paraId="4971A029" w14:textId="77777777" w:rsidR="001364B1" w:rsidRPr="00954D98" w:rsidRDefault="001364B1" w:rsidP="001364B1">
            <w:pPr>
              <w:spacing w:before="0" w:after="0" w:line="240" w:lineRule="auto"/>
              <w:jc w:val="right"/>
              <w:rPr>
                <w:rFonts w:ascii="Arial" w:hAnsi="Arial" w:cs="Arial"/>
                <w:b/>
                <w:bCs/>
                <w:sz w:val="16"/>
                <w:szCs w:val="16"/>
              </w:rPr>
            </w:pPr>
          </w:p>
        </w:tc>
        <w:tc>
          <w:tcPr>
            <w:tcW w:w="657" w:type="pct"/>
            <w:tcBorders>
              <w:top w:val="single" w:sz="4" w:space="0" w:color="293F5B"/>
              <w:left w:val="nil"/>
              <w:bottom w:val="nil"/>
              <w:right w:val="nil"/>
            </w:tcBorders>
            <w:noWrap/>
            <w:vAlign w:val="center"/>
            <w:hideMark/>
          </w:tcPr>
          <w:p w14:paraId="271A1D29"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-630</w:t>
            </w:r>
          </w:p>
        </w:tc>
        <w:tc>
          <w:tcPr>
            <w:tcW w:w="657" w:type="pct"/>
            <w:tcBorders>
              <w:top w:val="single" w:sz="4" w:space="0" w:color="293F5B"/>
              <w:left w:val="nil"/>
              <w:bottom w:val="nil"/>
              <w:right w:val="nil"/>
            </w:tcBorders>
            <w:noWrap/>
            <w:vAlign w:val="center"/>
            <w:hideMark/>
          </w:tcPr>
          <w:p w14:paraId="2FDD86B0"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-0.4</w:t>
            </w:r>
          </w:p>
        </w:tc>
      </w:tr>
      <w:tr w:rsidR="001364B1" w:rsidRPr="00954D98" w14:paraId="122B30A4" w14:textId="77777777" w:rsidTr="001364B1">
        <w:trPr>
          <w:trHeight w:hRule="exact" w:val="60"/>
        </w:trPr>
        <w:tc>
          <w:tcPr>
            <w:tcW w:w="2182" w:type="pct"/>
            <w:tcBorders>
              <w:top w:val="nil"/>
              <w:left w:val="nil"/>
              <w:bottom w:val="nil"/>
              <w:right w:val="nil"/>
            </w:tcBorders>
            <w:noWrap/>
            <w:vAlign w:val="center"/>
            <w:hideMark/>
          </w:tcPr>
          <w:p w14:paraId="61642103" w14:textId="77777777" w:rsidR="001364B1" w:rsidRPr="00954D98" w:rsidRDefault="001364B1" w:rsidP="001364B1">
            <w:pPr>
              <w:spacing w:before="0" w:after="0" w:line="240" w:lineRule="auto"/>
              <w:jc w:val="right"/>
              <w:rPr>
                <w:rFonts w:ascii="Arial" w:hAnsi="Arial" w:cs="Arial"/>
                <w:b/>
                <w:bCs/>
                <w:sz w:val="16"/>
                <w:szCs w:val="16"/>
              </w:rPr>
            </w:pPr>
          </w:p>
        </w:tc>
        <w:tc>
          <w:tcPr>
            <w:tcW w:w="727" w:type="pct"/>
            <w:tcBorders>
              <w:top w:val="single" w:sz="4" w:space="0" w:color="293F5B"/>
              <w:left w:val="nil"/>
              <w:bottom w:val="nil"/>
              <w:right w:val="nil"/>
            </w:tcBorders>
            <w:shd w:val="clear" w:color="000000" w:fill="FFFFFF"/>
            <w:noWrap/>
            <w:vAlign w:val="center"/>
            <w:hideMark/>
          </w:tcPr>
          <w:p w14:paraId="59535F6F"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 </w:t>
            </w:r>
          </w:p>
        </w:tc>
        <w:tc>
          <w:tcPr>
            <w:tcW w:w="727" w:type="pct"/>
            <w:tcBorders>
              <w:top w:val="single" w:sz="4" w:space="0" w:color="293F5B"/>
              <w:left w:val="nil"/>
              <w:bottom w:val="nil"/>
              <w:right w:val="nil"/>
            </w:tcBorders>
            <w:shd w:val="clear" w:color="000000" w:fill="E6F2FF"/>
            <w:noWrap/>
            <w:vAlign w:val="center"/>
            <w:hideMark/>
          </w:tcPr>
          <w:p w14:paraId="6E80FC04"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 </w:t>
            </w:r>
          </w:p>
        </w:tc>
        <w:tc>
          <w:tcPr>
            <w:tcW w:w="51" w:type="pct"/>
            <w:tcBorders>
              <w:top w:val="nil"/>
              <w:left w:val="nil"/>
              <w:bottom w:val="nil"/>
              <w:right w:val="nil"/>
            </w:tcBorders>
            <w:noWrap/>
            <w:vAlign w:val="center"/>
            <w:hideMark/>
          </w:tcPr>
          <w:p w14:paraId="6551055C" w14:textId="77777777" w:rsidR="001364B1" w:rsidRPr="00954D98" w:rsidRDefault="001364B1" w:rsidP="001364B1">
            <w:pPr>
              <w:spacing w:before="0" w:after="0" w:line="240" w:lineRule="auto"/>
              <w:rPr>
                <w:rFonts w:ascii="Arial" w:hAnsi="Arial" w:cs="Arial"/>
                <w:sz w:val="16"/>
                <w:szCs w:val="16"/>
              </w:rPr>
            </w:pPr>
          </w:p>
        </w:tc>
        <w:tc>
          <w:tcPr>
            <w:tcW w:w="657" w:type="pct"/>
            <w:tcBorders>
              <w:top w:val="single" w:sz="4" w:space="0" w:color="293F5B"/>
              <w:left w:val="nil"/>
              <w:bottom w:val="nil"/>
              <w:right w:val="nil"/>
            </w:tcBorders>
            <w:noWrap/>
            <w:vAlign w:val="center"/>
            <w:hideMark/>
          </w:tcPr>
          <w:p w14:paraId="70478771"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657" w:type="pct"/>
            <w:tcBorders>
              <w:top w:val="single" w:sz="4" w:space="0" w:color="293F5B"/>
              <w:left w:val="nil"/>
              <w:bottom w:val="nil"/>
              <w:right w:val="nil"/>
            </w:tcBorders>
            <w:noWrap/>
            <w:vAlign w:val="center"/>
            <w:hideMark/>
          </w:tcPr>
          <w:p w14:paraId="0323DEE9"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 </w:t>
            </w:r>
          </w:p>
        </w:tc>
      </w:tr>
      <w:tr w:rsidR="001364B1" w:rsidRPr="00954D98" w14:paraId="5205416C" w14:textId="77777777" w:rsidTr="001364B1">
        <w:trPr>
          <w:trHeight w:hRule="exact" w:val="225"/>
        </w:trPr>
        <w:tc>
          <w:tcPr>
            <w:tcW w:w="2182" w:type="pct"/>
            <w:tcBorders>
              <w:top w:val="nil"/>
              <w:left w:val="nil"/>
              <w:bottom w:val="nil"/>
              <w:right w:val="nil"/>
            </w:tcBorders>
            <w:noWrap/>
            <w:vAlign w:val="center"/>
            <w:hideMark/>
          </w:tcPr>
          <w:p w14:paraId="1DF5CC90" w14:textId="77777777" w:rsidR="001364B1" w:rsidRPr="00954D98" w:rsidRDefault="001364B1" w:rsidP="001364B1">
            <w:pPr>
              <w:spacing w:before="0" w:after="0" w:line="240" w:lineRule="auto"/>
              <w:rPr>
                <w:rFonts w:ascii="Arial" w:hAnsi="Arial" w:cs="Arial"/>
                <w:b/>
                <w:bCs/>
                <w:sz w:val="16"/>
                <w:szCs w:val="16"/>
              </w:rPr>
            </w:pPr>
            <w:r w:rsidRPr="00954D98">
              <w:rPr>
                <w:rFonts w:ascii="Arial" w:hAnsi="Arial" w:cs="Arial"/>
                <w:b/>
                <w:bCs/>
                <w:sz w:val="16"/>
                <w:szCs w:val="16"/>
              </w:rPr>
              <w:t>Taxation receipts</w:t>
            </w:r>
          </w:p>
        </w:tc>
        <w:tc>
          <w:tcPr>
            <w:tcW w:w="727" w:type="pct"/>
            <w:tcBorders>
              <w:top w:val="nil"/>
              <w:left w:val="nil"/>
              <w:bottom w:val="single" w:sz="4" w:space="0" w:color="293F5B"/>
              <w:right w:val="nil"/>
            </w:tcBorders>
            <w:shd w:val="clear" w:color="000000" w:fill="FFFFFF"/>
            <w:noWrap/>
            <w:vAlign w:val="center"/>
            <w:hideMark/>
          </w:tcPr>
          <w:p w14:paraId="79B577A4"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707,556</w:t>
            </w:r>
          </w:p>
        </w:tc>
        <w:tc>
          <w:tcPr>
            <w:tcW w:w="727" w:type="pct"/>
            <w:tcBorders>
              <w:top w:val="nil"/>
              <w:left w:val="nil"/>
              <w:bottom w:val="single" w:sz="4" w:space="0" w:color="293F5B"/>
              <w:right w:val="nil"/>
            </w:tcBorders>
            <w:shd w:val="clear" w:color="000000" w:fill="E6F2FF"/>
            <w:noWrap/>
            <w:vAlign w:val="center"/>
            <w:hideMark/>
          </w:tcPr>
          <w:p w14:paraId="41BBCBC9"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718,486</w:t>
            </w:r>
          </w:p>
        </w:tc>
        <w:tc>
          <w:tcPr>
            <w:tcW w:w="51" w:type="pct"/>
            <w:tcBorders>
              <w:top w:val="nil"/>
              <w:left w:val="nil"/>
              <w:bottom w:val="nil"/>
              <w:right w:val="nil"/>
            </w:tcBorders>
            <w:noWrap/>
            <w:vAlign w:val="center"/>
            <w:hideMark/>
          </w:tcPr>
          <w:p w14:paraId="5C85A593" w14:textId="77777777" w:rsidR="001364B1" w:rsidRPr="00954D98" w:rsidRDefault="001364B1" w:rsidP="001364B1">
            <w:pPr>
              <w:spacing w:before="0" w:after="0" w:line="240" w:lineRule="auto"/>
              <w:jc w:val="right"/>
              <w:rPr>
                <w:rFonts w:ascii="Arial" w:hAnsi="Arial" w:cs="Arial"/>
                <w:b/>
                <w:bCs/>
                <w:sz w:val="16"/>
                <w:szCs w:val="16"/>
              </w:rPr>
            </w:pPr>
          </w:p>
        </w:tc>
        <w:tc>
          <w:tcPr>
            <w:tcW w:w="657" w:type="pct"/>
            <w:tcBorders>
              <w:top w:val="nil"/>
              <w:left w:val="nil"/>
              <w:bottom w:val="single" w:sz="4" w:space="0" w:color="293F5B"/>
              <w:right w:val="nil"/>
            </w:tcBorders>
            <w:noWrap/>
            <w:vAlign w:val="center"/>
            <w:hideMark/>
          </w:tcPr>
          <w:p w14:paraId="0E2DE427"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10,930</w:t>
            </w:r>
          </w:p>
        </w:tc>
        <w:tc>
          <w:tcPr>
            <w:tcW w:w="657" w:type="pct"/>
            <w:tcBorders>
              <w:top w:val="nil"/>
              <w:left w:val="nil"/>
              <w:bottom w:val="single" w:sz="4" w:space="0" w:color="293F5B"/>
              <w:right w:val="nil"/>
            </w:tcBorders>
            <w:noWrap/>
            <w:vAlign w:val="center"/>
            <w:hideMark/>
          </w:tcPr>
          <w:p w14:paraId="1196674A"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1.5</w:t>
            </w:r>
          </w:p>
        </w:tc>
      </w:tr>
      <w:tr w:rsidR="001364B1" w:rsidRPr="00954D98" w14:paraId="4EB0B292" w14:textId="77777777" w:rsidTr="001364B1">
        <w:trPr>
          <w:trHeight w:hRule="exact" w:val="60"/>
        </w:trPr>
        <w:tc>
          <w:tcPr>
            <w:tcW w:w="2182" w:type="pct"/>
            <w:tcBorders>
              <w:top w:val="nil"/>
              <w:left w:val="nil"/>
              <w:bottom w:val="nil"/>
              <w:right w:val="nil"/>
            </w:tcBorders>
            <w:noWrap/>
            <w:vAlign w:val="center"/>
            <w:hideMark/>
          </w:tcPr>
          <w:p w14:paraId="2EABA746" w14:textId="77777777" w:rsidR="001364B1" w:rsidRPr="00954D98" w:rsidRDefault="001364B1" w:rsidP="001364B1">
            <w:pPr>
              <w:spacing w:before="0" w:after="0" w:line="240" w:lineRule="auto"/>
              <w:jc w:val="right"/>
              <w:rPr>
                <w:rFonts w:ascii="Arial" w:hAnsi="Arial" w:cs="Arial"/>
                <w:b/>
                <w:bCs/>
                <w:sz w:val="16"/>
                <w:szCs w:val="16"/>
              </w:rPr>
            </w:pPr>
          </w:p>
        </w:tc>
        <w:tc>
          <w:tcPr>
            <w:tcW w:w="727" w:type="pct"/>
            <w:tcBorders>
              <w:top w:val="nil"/>
              <w:left w:val="nil"/>
              <w:bottom w:val="nil"/>
              <w:right w:val="nil"/>
            </w:tcBorders>
            <w:shd w:val="clear" w:color="000000" w:fill="FFFFFF"/>
            <w:noWrap/>
            <w:vAlign w:val="center"/>
            <w:hideMark/>
          </w:tcPr>
          <w:p w14:paraId="0A3CF682" w14:textId="77777777" w:rsidR="001364B1" w:rsidRPr="00954D98" w:rsidRDefault="001364B1" w:rsidP="001364B1">
            <w:pPr>
              <w:spacing w:before="0" w:after="0" w:line="240" w:lineRule="auto"/>
              <w:rPr>
                <w:rFonts w:ascii="Arial" w:hAnsi="Arial" w:cs="Arial"/>
                <w:b/>
                <w:bCs/>
                <w:sz w:val="16"/>
                <w:szCs w:val="16"/>
              </w:rPr>
            </w:pPr>
            <w:r w:rsidRPr="00954D98">
              <w:rPr>
                <w:rFonts w:ascii="Arial" w:hAnsi="Arial" w:cs="Arial"/>
                <w:b/>
                <w:bCs/>
                <w:sz w:val="16"/>
                <w:szCs w:val="16"/>
              </w:rPr>
              <w:t> </w:t>
            </w:r>
          </w:p>
        </w:tc>
        <w:tc>
          <w:tcPr>
            <w:tcW w:w="727" w:type="pct"/>
            <w:tcBorders>
              <w:top w:val="nil"/>
              <w:left w:val="nil"/>
              <w:bottom w:val="nil"/>
              <w:right w:val="nil"/>
            </w:tcBorders>
            <w:shd w:val="clear" w:color="000000" w:fill="E6F2FF"/>
            <w:noWrap/>
            <w:vAlign w:val="center"/>
            <w:hideMark/>
          </w:tcPr>
          <w:p w14:paraId="5FC9970A" w14:textId="77777777" w:rsidR="001364B1" w:rsidRPr="00954D98" w:rsidRDefault="001364B1" w:rsidP="001364B1">
            <w:pPr>
              <w:spacing w:before="0" w:after="0" w:line="240" w:lineRule="auto"/>
              <w:rPr>
                <w:rFonts w:ascii="Arial" w:hAnsi="Arial" w:cs="Arial"/>
                <w:b/>
                <w:bCs/>
                <w:sz w:val="16"/>
                <w:szCs w:val="16"/>
              </w:rPr>
            </w:pPr>
            <w:r w:rsidRPr="00954D98">
              <w:rPr>
                <w:rFonts w:ascii="Arial" w:hAnsi="Arial" w:cs="Arial"/>
                <w:b/>
                <w:bCs/>
                <w:sz w:val="16"/>
                <w:szCs w:val="16"/>
              </w:rPr>
              <w:t> </w:t>
            </w:r>
          </w:p>
        </w:tc>
        <w:tc>
          <w:tcPr>
            <w:tcW w:w="51" w:type="pct"/>
            <w:tcBorders>
              <w:top w:val="nil"/>
              <w:left w:val="nil"/>
              <w:bottom w:val="nil"/>
              <w:right w:val="nil"/>
            </w:tcBorders>
            <w:noWrap/>
            <w:vAlign w:val="center"/>
            <w:hideMark/>
          </w:tcPr>
          <w:p w14:paraId="53B45537" w14:textId="77777777" w:rsidR="001364B1" w:rsidRPr="00954D98" w:rsidRDefault="001364B1" w:rsidP="001364B1">
            <w:pPr>
              <w:spacing w:before="0" w:after="0" w:line="240" w:lineRule="auto"/>
              <w:rPr>
                <w:rFonts w:ascii="Arial" w:hAnsi="Arial" w:cs="Arial"/>
                <w:b/>
                <w:bCs/>
                <w:sz w:val="16"/>
                <w:szCs w:val="16"/>
              </w:rPr>
            </w:pPr>
          </w:p>
        </w:tc>
        <w:tc>
          <w:tcPr>
            <w:tcW w:w="657" w:type="pct"/>
            <w:tcBorders>
              <w:top w:val="nil"/>
              <w:left w:val="nil"/>
              <w:bottom w:val="nil"/>
              <w:right w:val="nil"/>
            </w:tcBorders>
            <w:noWrap/>
            <w:vAlign w:val="center"/>
            <w:hideMark/>
          </w:tcPr>
          <w:p w14:paraId="4835FF1D" w14:textId="77777777" w:rsidR="001364B1" w:rsidRPr="00954D98" w:rsidRDefault="001364B1" w:rsidP="001364B1">
            <w:pPr>
              <w:spacing w:before="0" w:after="0" w:line="240" w:lineRule="auto"/>
              <w:jc w:val="right"/>
              <w:rPr>
                <w:sz w:val="20"/>
              </w:rPr>
            </w:pPr>
          </w:p>
        </w:tc>
        <w:tc>
          <w:tcPr>
            <w:tcW w:w="657" w:type="pct"/>
            <w:tcBorders>
              <w:top w:val="nil"/>
              <w:left w:val="nil"/>
              <w:bottom w:val="nil"/>
              <w:right w:val="nil"/>
            </w:tcBorders>
            <w:noWrap/>
            <w:vAlign w:val="center"/>
            <w:hideMark/>
          </w:tcPr>
          <w:p w14:paraId="5A88D719" w14:textId="77777777" w:rsidR="001364B1" w:rsidRPr="00954D98" w:rsidRDefault="001364B1" w:rsidP="001364B1">
            <w:pPr>
              <w:spacing w:before="0" w:after="0" w:line="240" w:lineRule="auto"/>
              <w:jc w:val="right"/>
              <w:rPr>
                <w:sz w:val="20"/>
              </w:rPr>
            </w:pPr>
          </w:p>
        </w:tc>
      </w:tr>
      <w:tr w:rsidR="001364B1" w:rsidRPr="00954D98" w14:paraId="577B7284" w14:textId="77777777" w:rsidTr="001364B1">
        <w:trPr>
          <w:trHeight w:hRule="exact" w:val="225"/>
        </w:trPr>
        <w:tc>
          <w:tcPr>
            <w:tcW w:w="2182" w:type="pct"/>
            <w:tcBorders>
              <w:top w:val="nil"/>
              <w:left w:val="nil"/>
              <w:bottom w:val="nil"/>
              <w:right w:val="nil"/>
            </w:tcBorders>
            <w:noWrap/>
            <w:vAlign w:val="center"/>
            <w:hideMark/>
          </w:tcPr>
          <w:p w14:paraId="6BBF78BB"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Sales of goods and services</w:t>
            </w:r>
          </w:p>
        </w:tc>
        <w:tc>
          <w:tcPr>
            <w:tcW w:w="727" w:type="pct"/>
            <w:tcBorders>
              <w:top w:val="nil"/>
              <w:left w:val="nil"/>
              <w:bottom w:val="nil"/>
              <w:right w:val="nil"/>
            </w:tcBorders>
            <w:shd w:val="clear" w:color="000000" w:fill="FFFFFF"/>
            <w:noWrap/>
            <w:vAlign w:val="center"/>
            <w:hideMark/>
          </w:tcPr>
          <w:p w14:paraId="2B879B24"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22,974</w:t>
            </w:r>
          </w:p>
        </w:tc>
        <w:tc>
          <w:tcPr>
            <w:tcW w:w="727" w:type="pct"/>
            <w:tcBorders>
              <w:top w:val="nil"/>
              <w:left w:val="nil"/>
              <w:bottom w:val="nil"/>
              <w:right w:val="nil"/>
            </w:tcBorders>
            <w:shd w:val="clear" w:color="000000" w:fill="E6F2FF"/>
            <w:noWrap/>
            <w:vAlign w:val="center"/>
            <w:hideMark/>
          </w:tcPr>
          <w:p w14:paraId="0C577BA3"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23,025</w:t>
            </w:r>
          </w:p>
        </w:tc>
        <w:tc>
          <w:tcPr>
            <w:tcW w:w="51" w:type="pct"/>
            <w:tcBorders>
              <w:top w:val="nil"/>
              <w:left w:val="nil"/>
              <w:bottom w:val="nil"/>
              <w:right w:val="nil"/>
            </w:tcBorders>
            <w:noWrap/>
            <w:vAlign w:val="center"/>
            <w:hideMark/>
          </w:tcPr>
          <w:p w14:paraId="132EE19A"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08918C11"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52</w:t>
            </w:r>
          </w:p>
        </w:tc>
        <w:tc>
          <w:tcPr>
            <w:tcW w:w="657" w:type="pct"/>
            <w:tcBorders>
              <w:top w:val="nil"/>
              <w:left w:val="nil"/>
              <w:bottom w:val="nil"/>
              <w:right w:val="nil"/>
            </w:tcBorders>
            <w:noWrap/>
            <w:vAlign w:val="center"/>
            <w:hideMark/>
          </w:tcPr>
          <w:p w14:paraId="52B727B7"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0.2</w:t>
            </w:r>
          </w:p>
        </w:tc>
      </w:tr>
      <w:tr w:rsidR="001364B1" w:rsidRPr="00954D98" w14:paraId="0949FFCC" w14:textId="77777777" w:rsidTr="001364B1">
        <w:trPr>
          <w:trHeight w:hRule="exact" w:val="225"/>
        </w:trPr>
        <w:tc>
          <w:tcPr>
            <w:tcW w:w="2182" w:type="pct"/>
            <w:tcBorders>
              <w:top w:val="nil"/>
              <w:left w:val="nil"/>
              <w:bottom w:val="nil"/>
              <w:right w:val="nil"/>
            </w:tcBorders>
            <w:noWrap/>
            <w:vAlign w:val="center"/>
            <w:hideMark/>
          </w:tcPr>
          <w:p w14:paraId="35E52665"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Interest received</w:t>
            </w:r>
          </w:p>
        </w:tc>
        <w:tc>
          <w:tcPr>
            <w:tcW w:w="727" w:type="pct"/>
            <w:tcBorders>
              <w:top w:val="nil"/>
              <w:left w:val="nil"/>
              <w:bottom w:val="nil"/>
              <w:right w:val="nil"/>
            </w:tcBorders>
            <w:shd w:val="clear" w:color="000000" w:fill="FFFFFF"/>
            <w:noWrap/>
            <w:vAlign w:val="center"/>
            <w:hideMark/>
          </w:tcPr>
          <w:p w14:paraId="32FEAE82"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8,939</w:t>
            </w:r>
          </w:p>
        </w:tc>
        <w:tc>
          <w:tcPr>
            <w:tcW w:w="727" w:type="pct"/>
            <w:tcBorders>
              <w:top w:val="nil"/>
              <w:left w:val="nil"/>
              <w:bottom w:val="nil"/>
              <w:right w:val="nil"/>
            </w:tcBorders>
            <w:shd w:val="clear" w:color="000000" w:fill="E6F2FF"/>
            <w:noWrap/>
            <w:vAlign w:val="center"/>
            <w:hideMark/>
          </w:tcPr>
          <w:p w14:paraId="6F798572"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9,091</w:t>
            </w:r>
          </w:p>
        </w:tc>
        <w:tc>
          <w:tcPr>
            <w:tcW w:w="51" w:type="pct"/>
            <w:tcBorders>
              <w:top w:val="nil"/>
              <w:left w:val="nil"/>
              <w:bottom w:val="nil"/>
              <w:right w:val="nil"/>
            </w:tcBorders>
            <w:noWrap/>
            <w:vAlign w:val="center"/>
            <w:hideMark/>
          </w:tcPr>
          <w:p w14:paraId="2401468D"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5FFC447F"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152</w:t>
            </w:r>
          </w:p>
        </w:tc>
        <w:tc>
          <w:tcPr>
            <w:tcW w:w="657" w:type="pct"/>
            <w:tcBorders>
              <w:top w:val="nil"/>
              <w:left w:val="nil"/>
              <w:bottom w:val="nil"/>
              <w:right w:val="nil"/>
            </w:tcBorders>
            <w:noWrap/>
            <w:vAlign w:val="center"/>
            <w:hideMark/>
          </w:tcPr>
          <w:p w14:paraId="6BDC9B98"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1.7</w:t>
            </w:r>
          </w:p>
        </w:tc>
      </w:tr>
      <w:tr w:rsidR="001364B1" w:rsidRPr="00954D98" w14:paraId="4712ED6C" w14:textId="77777777" w:rsidTr="001364B1">
        <w:trPr>
          <w:trHeight w:hRule="exact" w:val="225"/>
        </w:trPr>
        <w:tc>
          <w:tcPr>
            <w:tcW w:w="2182" w:type="pct"/>
            <w:tcBorders>
              <w:top w:val="nil"/>
              <w:left w:val="nil"/>
              <w:bottom w:val="nil"/>
              <w:right w:val="nil"/>
            </w:tcBorders>
            <w:noWrap/>
            <w:vAlign w:val="center"/>
            <w:hideMark/>
          </w:tcPr>
          <w:p w14:paraId="76E6E609"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Dividends and distributions</w:t>
            </w:r>
          </w:p>
        </w:tc>
        <w:tc>
          <w:tcPr>
            <w:tcW w:w="727" w:type="pct"/>
            <w:tcBorders>
              <w:top w:val="nil"/>
              <w:left w:val="nil"/>
              <w:bottom w:val="nil"/>
              <w:right w:val="nil"/>
            </w:tcBorders>
            <w:shd w:val="clear" w:color="000000" w:fill="FFFFFF"/>
            <w:noWrap/>
            <w:vAlign w:val="center"/>
            <w:hideMark/>
          </w:tcPr>
          <w:p w14:paraId="1313D890"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7,766</w:t>
            </w:r>
          </w:p>
        </w:tc>
        <w:tc>
          <w:tcPr>
            <w:tcW w:w="727" w:type="pct"/>
            <w:tcBorders>
              <w:top w:val="nil"/>
              <w:left w:val="nil"/>
              <w:bottom w:val="nil"/>
              <w:right w:val="nil"/>
            </w:tcBorders>
            <w:shd w:val="clear" w:color="000000" w:fill="E6F2FF"/>
            <w:noWrap/>
            <w:vAlign w:val="center"/>
            <w:hideMark/>
          </w:tcPr>
          <w:p w14:paraId="7B67D85D"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7,766</w:t>
            </w:r>
          </w:p>
        </w:tc>
        <w:tc>
          <w:tcPr>
            <w:tcW w:w="51" w:type="pct"/>
            <w:tcBorders>
              <w:top w:val="nil"/>
              <w:left w:val="nil"/>
              <w:bottom w:val="nil"/>
              <w:right w:val="nil"/>
            </w:tcBorders>
            <w:noWrap/>
            <w:vAlign w:val="center"/>
            <w:hideMark/>
          </w:tcPr>
          <w:p w14:paraId="59E44FA2"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26CFF0C4"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0</w:t>
            </w:r>
          </w:p>
        </w:tc>
        <w:tc>
          <w:tcPr>
            <w:tcW w:w="657" w:type="pct"/>
            <w:tcBorders>
              <w:top w:val="nil"/>
              <w:left w:val="nil"/>
              <w:bottom w:val="nil"/>
              <w:right w:val="nil"/>
            </w:tcBorders>
            <w:noWrap/>
            <w:vAlign w:val="center"/>
            <w:hideMark/>
          </w:tcPr>
          <w:p w14:paraId="12544CCC"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0.0</w:t>
            </w:r>
          </w:p>
        </w:tc>
      </w:tr>
      <w:tr w:rsidR="001364B1" w:rsidRPr="00954D98" w14:paraId="150D1C74" w14:textId="77777777" w:rsidTr="001364B1">
        <w:trPr>
          <w:trHeight w:hRule="exact" w:val="225"/>
        </w:trPr>
        <w:tc>
          <w:tcPr>
            <w:tcW w:w="2182" w:type="pct"/>
            <w:tcBorders>
              <w:top w:val="nil"/>
              <w:left w:val="nil"/>
              <w:bottom w:val="nil"/>
              <w:right w:val="nil"/>
            </w:tcBorders>
            <w:noWrap/>
            <w:vAlign w:val="center"/>
            <w:hideMark/>
          </w:tcPr>
          <w:p w14:paraId="3C2B34BB" w14:textId="77777777" w:rsidR="001364B1" w:rsidRPr="00954D98" w:rsidRDefault="001364B1" w:rsidP="001364B1">
            <w:pPr>
              <w:spacing w:before="0" w:after="0" w:line="240" w:lineRule="auto"/>
              <w:rPr>
                <w:rFonts w:ascii="Arial" w:hAnsi="Arial" w:cs="Arial"/>
                <w:sz w:val="16"/>
                <w:szCs w:val="16"/>
              </w:rPr>
            </w:pPr>
            <w:r w:rsidRPr="00954D98">
              <w:rPr>
                <w:rFonts w:ascii="Arial" w:hAnsi="Arial" w:cs="Arial"/>
                <w:sz w:val="16"/>
                <w:szCs w:val="16"/>
              </w:rPr>
              <w:t>Other non-taxation receipts</w:t>
            </w:r>
          </w:p>
        </w:tc>
        <w:tc>
          <w:tcPr>
            <w:tcW w:w="727" w:type="pct"/>
            <w:tcBorders>
              <w:top w:val="nil"/>
              <w:left w:val="nil"/>
              <w:bottom w:val="nil"/>
              <w:right w:val="nil"/>
            </w:tcBorders>
            <w:shd w:val="clear" w:color="000000" w:fill="FFFFFF"/>
            <w:noWrap/>
            <w:vAlign w:val="center"/>
            <w:hideMark/>
          </w:tcPr>
          <w:p w14:paraId="6092C45F"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18,736</w:t>
            </w:r>
          </w:p>
        </w:tc>
        <w:tc>
          <w:tcPr>
            <w:tcW w:w="727" w:type="pct"/>
            <w:tcBorders>
              <w:top w:val="nil"/>
              <w:left w:val="nil"/>
              <w:bottom w:val="nil"/>
              <w:right w:val="nil"/>
            </w:tcBorders>
            <w:shd w:val="clear" w:color="000000" w:fill="E6F2FF"/>
            <w:noWrap/>
            <w:vAlign w:val="center"/>
            <w:hideMark/>
          </w:tcPr>
          <w:p w14:paraId="79845390"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18,662</w:t>
            </w:r>
          </w:p>
        </w:tc>
        <w:tc>
          <w:tcPr>
            <w:tcW w:w="51" w:type="pct"/>
            <w:tcBorders>
              <w:top w:val="nil"/>
              <w:left w:val="nil"/>
              <w:bottom w:val="nil"/>
              <w:right w:val="nil"/>
            </w:tcBorders>
            <w:noWrap/>
            <w:vAlign w:val="center"/>
            <w:hideMark/>
          </w:tcPr>
          <w:p w14:paraId="6486C075" w14:textId="77777777" w:rsidR="001364B1" w:rsidRPr="00954D98" w:rsidRDefault="001364B1" w:rsidP="001364B1">
            <w:pPr>
              <w:spacing w:before="0" w:after="0" w:line="240" w:lineRule="auto"/>
              <w:jc w:val="right"/>
              <w:rPr>
                <w:rFonts w:ascii="Arial" w:hAnsi="Arial" w:cs="Arial"/>
                <w:sz w:val="16"/>
                <w:szCs w:val="16"/>
              </w:rPr>
            </w:pPr>
          </w:p>
        </w:tc>
        <w:tc>
          <w:tcPr>
            <w:tcW w:w="657" w:type="pct"/>
            <w:tcBorders>
              <w:top w:val="nil"/>
              <w:left w:val="nil"/>
              <w:bottom w:val="nil"/>
              <w:right w:val="nil"/>
            </w:tcBorders>
            <w:noWrap/>
            <w:vAlign w:val="center"/>
            <w:hideMark/>
          </w:tcPr>
          <w:p w14:paraId="2092402B"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-74</w:t>
            </w:r>
          </w:p>
        </w:tc>
        <w:tc>
          <w:tcPr>
            <w:tcW w:w="657" w:type="pct"/>
            <w:tcBorders>
              <w:top w:val="nil"/>
              <w:left w:val="nil"/>
              <w:bottom w:val="nil"/>
              <w:right w:val="nil"/>
            </w:tcBorders>
            <w:noWrap/>
            <w:vAlign w:val="center"/>
            <w:hideMark/>
          </w:tcPr>
          <w:p w14:paraId="25B4682C" w14:textId="77777777" w:rsidR="001364B1" w:rsidRPr="00954D98" w:rsidRDefault="001364B1" w:rsidP="001364B1">
            <w:pPr>
              <w:spacing w:before="0" w:after="0" w:line="240" w:lineRule="auto"/>
              <w:jc w:val="right"/>
              <w:rPr>
                <w:rFonts w:ascii="Arial" w:hAnsi="Arial" w:cs="Arial"/>
                <w:sz w:val="16"/>
                <w:szCs w:val="16"/>
              </w:rPr>
            </w:pPr>
            <w:r w:rsidRPr="00954D98">
              <w:rPr>
                <w:rFonts w:ascii="Arial" w:hAnsi="Arial" w:cs="Arial"/>
                <w:sz w:val="16"/>
                <w:szCs w:val="16"/>
              </w:rPr>
              <w:t>-0.4</w:t>
            </w:r>
          </w:p>
        </w:tc>
      </w:tr>
      <w:tr w:rsidR="001364B1" w:rsidRPr="00954D98" w14:paraId="6D5D3EDB" w14:textId="77777777" w:rsidTr="001364B1">
        <w:trPr>
          <w:trHeight w:hRule="exact" w:val="225"/>
        </w:trPr>
        <w:tc>
          <w:tcPr>
            <w:tcW w:w="2182" w:type="pct"/>
            <w:tcBorders>
              <w:top w:val="nil"/>
              <w:left w:val="nil"/>
              <w:bottom w:val="nil"/>
              <w:right w:val="nil"/>
            </w:tcBorders>
            <w:noWrap/>
            <w:vAlign w:val="center"/>
            <w:hideMark/>
          </w:tcPr>
          <w:p w14:paraId="33095805" w14:textId="77777777" w:rsidR="001364B1" w:rsidRPr="00954D98" w:rsidRDefault="001364B1" w:rsidP="001364B1">
            <w:pPr>
              <w:spacing w:before="0" w:after="0" w:line="240" w:lineRule="auto"/>
              <w:rPr>
                <w:rFonts w:ascii="Arial" w:hAnsi="Arial" w:cs="Arial"/>
                <w:b/>
                <w:bCs/>
                <w:sz w:val="16"/>
                <w:szCs w:val="16"/>
              </w:rPr>
            </w:pPr>
            <w:r w:rsidRPr="00954D98">
              <w:rPr>
                <w:rFonts w:ascii="Arial" w:hAnsi="Arial" w:cs="Arial"/>
                <w:b/>
                <w:bCs/>
                <w:sz w:val="16"/>
                <w:szCs w:val="16"/>
              </w:rPr>
              <w:t>Non-taxation receipts</w:t>
            </w:r>
          </w:p>
        </w:tc>
        <w:tc>
          <w:tcPr>
            <w:tcW w:w="727" w:type="pct"/>
            <w:tcBorders>
              <w:top w:val="single" w:sz="4" w:space="0" w:color="293F5B"/>
              <w:left w:val="nil"/>
              <w:bottom w:val="nil"/>
              <w:right w:val="nil"/>
            </w:tcBorders>
            <w:shd w:val="clear" w:color="000000" w:fill="FFFFFF"/>
            <w:noWrap/>
            <w:vAlign w:val="center"/>
            <w:hideMark/>
          </w:tcPr>
          <w:p w14:paraId="08829568"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58,414</w:t>
            </w:r>
          </w:p>
        </w:tc>
        <w:tc>
          <w:tcPr>
            <w:tcW w:w="727" w:type="pct"/>
            <w:tcBorders>
              <w:top w:val="single" w:sz="4" w:space="0" w:color="293F5B"/>
              <w:left w:val="nil"/>
              <w:bottom w:val="nil"/>
              <w:right w:val="nil"/>
            </w:tcBorders>
            <w:shd w:val="clear" w:color="000000" w:fill="E6F2FF"/>
            <w:noWrap/>
            <w:vAlign w:val="center"/>
            <w:hideMark/>
          </w:tcPr>
          <w:p w14:paraId="14AA653D"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58,544</w:t>
            </w:r>
          </w:p>
        </w:tc>
        <w:tc>
          <w:tcPr>
            <w:tcW w:w="51" w:type="pct"/>
            <w:tcBorders>
              <w:top w:val="nil"/>
              <w:left w:val="nil"/>
              <w:bottom w:val="nil"/>
              <w:right w:val="nil"/>
            </w:tcBorders>
            <w:noWrap/>
            <w:vAlign w:val="center"/>
            <w:hideMark/>
          </w:tcPr>
          <w:p w14:paraId="67FAA050" w14:textId="77777777" w:rsidR="001364B1" w:rsidRPr="00954D98" w:rsidRDefault="001364B1" w:rsidP="001364B1">
            <w:pPr>
              <w:spacing w:before="0" w:after="0" w:line="240" w:lineRule="auto"/>
              <w:jc w:val="right"/>
              <w:rPr>
                <w:rFonts w:ascii="Arial" w:hAnsi="Arial" w:cs="Arial"/>
                <w:b/>
                <w:bCs/>
                <w:sz w:val="16"/>
                <w:szCs w:val="16"/>
              </w:rPr>
            </w:pPr>
          </w:p>
        </w:tc>
        <w:tc>
          <w:tcPr>
            <w:tcW w:w="657" w:type="pct"/>
            <w:tcBorders>
              <w:top w:val="single" w:sz="4" w:space="0" w:color="293F5B"/>
              <w:left w:val="nil"/>
              <w:bottom w:val="nil"/>
              <w:right w:val="nil"/>
            </w:tcBorders>
            <w:noWrap/>
            <w:vAlign w:val="center"/>
            <w:hideMark/>
          </w:tcPr>
          <w:p w14:paraId="14E4FE06"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130</w:t>
            </w:r>
          </w:p>
        </w:tc>
        <w:tc>
          <w:tcPr>
            <w:tcW w:w="657" w:type="pct"/>
            <w:tcBorders>
              <w:top w:val="single" w:sz="4" w:space="0" w:color="293F5B"/>
              <w:left w:val="nil"/>
              <w:bottom w:val="nil"/>
              <w:right w:val="nil"/>
            </w:tcBorders>
            <w:noWrap/>
            <w:vAlign w:val="center"/>
            <w:hideMark/>
          </w:tcPr>
          <w:p w14:paraId="2FF1E14E"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0.2</w:t>
            </w:r>
          </w:p>
        </w:tc>
      </w:tr>
      <w:tr w:rsidR="001364B1" w:rsidRPr="00954D98" w14:paraId="23A82F8B" w14:textId="77777777" w:rsidTr="001364B1">
        <w:trPr>
          <w:trHeight w:hRule="exact" w:val="60"/>
        </w:trPr>
        <w:tc>
          <w:tcPr>
            <w:tcW w:w="2182" w:type="pct"/>
            <w:tcBorders>
              <w:top w:val="nil"/>
              <w:left w:val="nil"/>
              <w:bottom w:val="nil"/>
              <w:right w:val="nil"/>
            </w:tcBorders>
            <w:noWrap/>
            <w:vAlign w:val="center"/>
            <w:hideMark/>
          </w:tcPr>
          <w:p w14:paraId="2D414960" w14:textId="77777777" w:rsidR="001364B1" w:rsidRPr="00954D98" w:rsidRDefault="001364B1" w:rsidP="001364B1">
            <w:pPr>
              <w:spacing w:before="0" w:after="0" w:line="240" w:lineRule="auto"/>
              <w:jc w:val="right"/>
              <w:rPr>
                <w:rFonts w:ascii="Arial" w:hAnsi="Arial" w:cs="Arial"/>
                <w:b/>
                <w:bCs/>
                <w:sz w:val="16"/>
                <w:szCs w:val="16"/>
              </w:rPr>
            </w:pPr>
          </w:p>
        </w:tc>
        <w:tc>
          <w:tcPr>
            <w:tcW w:w="727" w:type="pct"/>
            <w:tcBorders>
              <w:top w:val="single" w:sz="4" w:space="0" w:color="293F5B"/>
              <w:left w:val="nil"/>
              <w:bottom w:val="nil"/>
              <w:right w:val="nil"/>
            </w:tcBorders>
            <w:shd w:val="clear" w:color="000000" w:fill="FFFFFF"/>
            <w:noWrap/>
            <w:vAlign w:val="center"/>
            <w:hideMark/>
          </w:tcPr>
          <w:p w14:paraId="3CA8BE6B"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727" w:type="pct"/>
            <w:tcBorders>
              <w:top w:val="single" w:sz="4" w:space="0" w:color="293F5B"/>
              <w:left w:val="nil"/>
              <w:bottom w:val="nil"/>
              <w:right w:val="nil"/>
            </w:tcBorders>
            <w:shd w:val="clear" w:color="000000" w:fill="E6F2FF"/>
            <w:noWrap/>
            <w:vAlign w:val="center"/>
            <w:hideMark/>
          </w:tcPr>
          <w:p w14:paraId="309DE0D8"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51" w:type="pct"/>
            <w:tcBorders>
              <w:top w:val="nil"/>
              <w:left w:val="nil"/>
              <w:bottom w:val="nil"/>
              <w:right w:val="nil"/>
            </w:tcBorders>
            <w:noWrap/>
            <w:vAlign w:val="center"/>
            <w:hideMark/>
          </w:tcPr>
          <w:p w14:paraId="33C78D5F" w14:textId="77777777" w:rsidR="001364B1" w:rsidRPr="00954D98" w:rsidRDefault="001364B1" w:rsidP="001364B1">
            <w:pPr>
              <w:spacing w:before="0" w:after="0" w:line="240" w:lineRule="auto"/>
              <w:jc w:val="right"/>
              <w:rPr>
                <w:rFonts w:ascii="Arial" w:hAnsi="Arial" w:cs="Arial"/>
                <w:b/>
                <w:bCs/>
                <w:sz w:val="16"/>
                <w:szCs w:val="16"/>
              </w:rPr>
            </w:pPr>
          </w:p>
        </w:tc>
        <w:tc>
          <w:tcPr>
            <w:tcW w:w="657" w:type="pct"/>
            <w:tcBorders>
              <w:top w:val="single" w:sz="4" w:space="0" w:color="293F5B"/>
              <w:left w:val="nil"/>
              <w:bottom w:val="nil"/>
              <w:right w:val="nil"/>
            </w:tcBorders>
            <w:noWrap/>
            <w:vAlign w:val="center"/>
            <w:hideMark/>
          </w:tcPr>
          <w:p w14:paraId="09873342"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657" w:type="pct"/>
            <w:tcBorders>
              <w:top w:val="single" w:sz="4" w:space="0" w:color="293F5B"/>
              <w:left w:val="nil"/>
              <w:bottom w:val="nil"/>
              <w:right w:val="nil"/>
            </w:tcBorders>
            <w:noWrap/>
            <w:vAlign w:val="center"/>
            <w:hideMark/>
          </w:tcPr>
          <w:p w14:paraId="22C611DE"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 </w:t>
            </w:r>
          </w:p>
        </w:tc>
      </w:tr>
      <w:tr w:rsidR="001364B1" w:rsidRPr="00954D98" w14:paraId="1BB2FD58" w14:textId="77777777" w:rsidTr="001364B1">
        <w:trPr>
          <w:trHeight w:hRule="exact" w:val="225"/>
        </w:trPr>
        <w:tc>
          <w:tcPr>
            <w:tcW w:w="2182" w:type="pct"/>
            <w:tcBorders>
              <w:top w:val="nil"/>
              <w:left w:val="nil"/>
              <w:bottom w:val="single" w:sz="4" w:space="0" w:color="293F5B"/>
              <w:right w:val="nil"/>
            </w:tcBorders>
            <w:noWrap/>
            <w:vAlign w:val="center"/>
            <w:hideMark/>
          </w:tcPr>
          <w:p w14:paraId="06349C53" w14:textId="77777777" w:rsidR="001364B1" w:rsidRPr="00954D98" w:rsidRDefault="001364B1" w:rsidP="001364B1">
            <w:pPr>
              <w:spacing w:before="0" w:after="0" w:line="240" w:lineRule="auto"/>
              <w:rPr>
                <w:rFonts w:ascii="Arial" w:hAnsi="Arial" w:cs="Arial"/>
                <w:b/>
                <w:bCs/>
                <w:sz w:val="16"/>
                <w:szCs w:val="16"/>
              </w:rPr>
            </w:pPr>
            <w:r w:rsidRPr="00954D98">
              <w:rPr>
                <w:rFonts w:ascii="Arial" w:hAnsi="Arial" w:cs="Arial"/>
                <w:b/>
                <w:bCs/>
                <w:sz w:val="16"/>
                <w:szCs w:val="16"/>
              </w:rPr>
              <w:t>Total receipts</w:t>
            </w:r>
          </w:p>
        </w:tc>
        <w:tc>
          <w:tcPr>
            <w:tcW w:w="727" w:type="pct"/>
            <w:tcBorders>
              <w:top w:val="nil"/>
              <w:left w:val="nil"/>
              <w:bottom w:val="single" w:sz="4" w:space="0" w:color="293F5B"/>
              <w:right w:val="nil"/>
            </w:tcBorders>
            <w:shd w:val="clear" w:color="000000" w:fill="FFFFFF"/>
            <w:noWrap/>
            <w:vAlign w:val="center"/>
            <w:hideMark/>
          </w:tcPr>
          <w:p w14:paraId="2B5DD1CD"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765,970</w:t>
            </w:r>
          </w:p>
        </w:tc>
        <w:tc>
          <w:tcPr>
            <w:tcW w:w="727" w:type="pct"/>
            <w:tcBorders>
              <w:top w:val="nil"/>
              <w:left w:val="nil"/>
              <w:bottom w:val="single" w:sz="4" w:space="0" w:color="293F5B"/>
              <w:right w:val="nil"/>
            </w:tcBorders>
            <w:shd w:val="clear" w:color="000000" w:fill="E6F2FF"/>
            <w:noWrap/>
            <w:vAlign w:val="center"/>
            <w:hideMark/>
          </w:tcPr>
          <w:p w14:paraId="49468169"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777,030</w:t>
            </w:r>
          </w:p>
        </w:tc>
        <w:tc>
          <w:tcPr>
            <w:tcW w:w="51" w:type="pct"/>
            <w:tcBorders>
              <w:top w:val="nil"/>
              <w:left w:val="nil"/>
              <w:bottom w:val="single" w:sz="4" w:space="0" w:color="293F5B"/>
              <w:right w:val="nil"/>
            </w:tcBorders>
            <w:noWrap/>
            <w:vAlign w:val="center"/>
            <w:hideMark/>
          </w:tcPr>
          <w:p w14:paraId="30DF6E1D"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657" w:type="pct"/>
            <w:tcBorders>
              <w:top w:val="nil"/>
              <w:left w:val="nil"/>
              <w:bottom w:val="single" w:sz="4" w:space="0" w:color="293F5B"/>
              <w:right w:val="nil"/>
            </w:tcBorders>
            <w:noWrap/>
            <w:vAlign w:val="center"/>
            <w:hideMark/>
          </w:tcPr>
          <w:p w14:paraId="069027A1"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11,059</w:t>
            </w:r>
          </w:p>
        </w:tc>
        <w:tc>
          <w:tcPr>
            <w:tcW w:w="657" w:type="pct"/>
            <w:tcBorders>
              <w:top w:val="nil"/>
              <w:left w:val="nil"/>
              <w:bottom w:val="single" w:sz="4" w:space="0" w:color="293F5B"/>
              <w:right w:val="nil"/>
            </w:tcBorders>
            <w:noWrap/>
            <w:vAlign w:val="center"/>
            <w:hideMark/>
          </w:tcPr>
          <w:p w14:paraId="634CFDD7"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1.4</w:t>
            </w:r>
          </w:p>
        </w:tc>
      </w:tr>
      <w:tr w:rsidR="001364B1" w:rsidRPr="00954D98" w14:paraId="78050ECB" w14:textId="77777777" w:rsidTr="001364B1">
        <w:trPr>
          <w:trHeight w:hRule="exact" w:val="225"/>
        </w:trPr>
        <w:tc>
          <w:tcPr>
            <w:tcW w:w="2182" w:type="pct"/>
            <w:tcBorders>
              <w:top w:val="nil"/>
              <w:left w:val="nil"/>
              <w:bottom w:val="nil"/>
              <w:right w:val="nil"/>
            </w:tcBorders>
            <w:noWrap/>
            <w:vAlign w:val="center"/>
            <w:hideMark/>
          </w:tcPr>
          <w:p w14:paraId="3CADE373" w14:textId="77777777" w:rsidR="001364B1" w:rsidRPr="00954D98" w:rsidRDefault="001364B1" w:rsidP="001364B1">
            <w:pPr>
              <w:spacing w:before="0" w:after="0" w:line="240" w:lineRule="auto"/>
              <w:rPr>
                <w:rFonts w:ascii="Arial" w:hAnsi="Arial" w:cs="Arial"/>
                <w:i/>
                <w:iCs/>
                <w:sz w:val="16"/>
                <w:szCs w:val="16"/>
              </w:rPr>
            </w:pPr>
            <w:r w:rsidRPr="00954D98">
              <w:rPr>
                <w:rFonts w:ascii="Arial" w:hAnsi="Arial" w:cs="Arial"/>
                <w:i/>
                <w:iCs/>
                <w:sz w:val="16"/>
                <w:szCs w:val="16"/>
              </w:rPr>
              <w:t>Memorandum:</w:t>
            </w:r>
          </w:p>
        </w:tc>
        <w:tc>
          <w:tcPr>
            <w:tcW w:w="727" w:type="pct"/>
            <w:tcBorders>
              <w:top w:val="nil"/>
              <w:left w:val="nil"/>
              <w:bottom w:val="nil"/>
              <w:right w:val="nil"/>
            </w:tcBorders>
            <w:shd w:val="clear" w:color="000000" w:fill="FFFFFF"/>
            <w:noWrap/>
            <w:vAlign w:val="center"/>
            <w:hideMark/>
          </w:tcPr>
          <w:p w14:paraId="75FB7B61" w14:textId="77777777" w:rsidR="001364B1" w:rsidRPr="00954D98" w:rsidRDefault="001364B1" w:rsidP="001364B1">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727" w:type="pct"/>
            <w:tcBorders>
              <w:top w:val="nil"/>
              <w:left w:val="nil"/>
              <w:bottom w:val="nil"/>
              <w:right w:val="nil"/>
            </w:tcBorders>
            <w:shd w:val="clear" w:color="000000" w:fill="E6F2FF"/>
            <w:noWrap/>
            <w:vAlign w:val="center"/>
            <w:hideMark/>
          </w:tcPr>
          <w:p w14:paraId="4BB938D1" w14:textId="77777777" w:rsidR="001364B1" w:rsidRPr="00954D98" w:rsidRDefault="001364B1" w:rsidP="001364B1">
            <w:pPr>
              <w:spacing w:before="0" w:after="0" w:line="240" w:lineRule="auto"/>
              <w:rPr>
                <w:rFonts w:ascii="Arial" w:hAnsi="Arial" w:cs="Arial"/>
                <w:b/>
                <w:bCs/>
                <w:sz w:val="16"/>
                <w:szCs w:val="16"/>
              </w:rPr>
            </w:pPr>
            <w:r w:rsidRPr="00954D98">
              <w:rPr>
                <w:rFonts w:ascii="Arial" w:hAnsi="Arial" w:cs="Arial"/>
                <w:b/>
                <w:bCs/>
                <w:sz w:val="16"/>
                <w:szCs w:val="16"/>
              </w:rPr>
              <w:t> </w:t>
            </w:r>
          </w:p>
        </w:tc>
        <w:tc>
          <w:tcPr>
            <w:tcW w:w="51" w:type="pct"/>
            <w:tcBorders>
              <w:top w:val="nil"/>
              <w:left w:val="nil"/>
              <w:bottom w:val="nil"/>
              <w:right w:val="nil"/>
            </w:tcBorders>
            <w:noWrap/>
            <w:vAlign w:val="center"/>
            <w:hideMark/>
          </w:tcPr>
          <w:p w14:paraId="1BC57814" w14:textId="77777777" w:rsidR="001364B1" w:rsidRPr="00954D98" w:rsidRDefault="001364B1" w:rsidP="001364B1">
            <w:pPr>
              <w:spacing w:before="0" w:after="0" w:line="240" w:lineRule="auto"/>
              <w:rPr>
                <w:rFonts w:ascii="Arial" w:hAnsi="Arial" w:cs="Arial"/>
                <w:b/>
                <w:bCs/>
                <w:sz w:val="16"/>
                <w:szCs w:val="16"/>
              </w:rPr>
            </w:pPr>
          </w:p>
        </w:tc>
        <w:tc>
          <w:tcPr>
            <w:tcW w:w="657" w:type="pct"/>
            <w:tcBorders>
              <w:top w:val="nil"/>
              <w:left w:val="nil"/>
              <w:bottom w:val="nil"/>
              <w:right w:val="nil"/>
            </w:tcBorders>
            <w:noWrap/>
            <w:vAlign w:val="center"/>
            <w:hideMark/>
          </w:tcPr>
          <w:p w14:paraId="019C5C0E" w14:textId="77777777" w:rsidR="001364B1" w:rsidRPr="00954D98" w:rsidRDefault="001364B1" w:rsidP="001364B1">
            <w:pPr>
              <w:spacing w:before="0" w:after="0" w:line="240" w:lineRule="auto"/>
              <w:jc w:val="right"/>
              <w:rPr>
                <w:sz w:val="20"/>
              </w:rPr>
            </w:pPr>
          </w:p>
        </w:tc>
        <w:tc>
          <w:tcPr>
            <w:tcW w:w="657" w:type="pct"/>
            <w:tcBorders>
              <w:top w:val="nil"/>
              <w:left w:val="nil"/>
              <w:bottom w:val="nil"/>
              <w:right w:val="nil"/>
            </w:tcBorders>
            <w:noWrap/>
            <w:vAlign w:val="center"/>
            <w:hideMark/>
          </w:tcPr>
          <w:p w14:paraId="66842ED2" w14:textId="77777777" w:rsidR="001364B1" w:rsidRPr="00954D98" w:rsidRDefault="001364B1" w:rsidP="001364B1">
            <w:pPr>
              <w:spacing w:before="0" w:after="0" w:line="240" w:lineRule="auto"/>
              <w:jc w:val="right"/>
              <w:rPr>
                <w:sz w:val="20"/>
              </w:rPr>
            </w:pPr>
          </w:p>
        </w:tc>
      </w:tr>
      <w:tr w:rsidR="001364B1" w:rsidRPr="00954D98" w14:paraId="47D6D445" w14:textId="77777777" w:rsidTr="001364B1">
        <w:trPr>
          <w:trHeight w:hRule="exact" w:val="225"/>
        </w:trPr>
        <w:tc>
          <w:tcPr>
            <w:tcW w:w="2182" w:type="pct"/>
            <w:tcBorders>
              <w:top w:val="nil"/>
              <w:left w:val="nil"/>
              <w:bottom w:val="nil"/>
              <w:right w:val="nil"/>
            </w:tcBorders>
            <w:noWrap/>
            <w:vAlign w:val="center"/>
            <w:hideMark/>
          </w:tcPr>
          <w:p w14:paraId="75158B9C" w14:textId="77777777" w:rsidR="001364B1" w:rsidRPr="00954D98" w:rsidRDefault="001364B1" w:rsidP="001364B1">
            <w:pPr>
              <w:spacing w:before="0" w:after="0" w:line="240" w:lineRule="auto"/>
              <w:ind w:firstLineChars="100" w:firstLine="160"/>
              <w:rPr>
                <w:rFonts w:ascii="Arial" w:hAnsi="Arial" w:cs="Arial"/>
                <w:i/>
                <w:iCs/>
                <w:sz w:val="16"/>
                <w:szCs w:val="16"/>
              </w:rPr>
            </w:pPr>
            <w:r w:rsidRPr="00954D98">
              <w:rPr>
                <w:rFonts w:ascii="Arial" w:hAnsi="Arial" w:cs="Arial"/>
                <w:i/>
                <w:iCs/>
                <w:sz w:val="16"/>
                <w:szCs w:val="16"/>
              </w:rPr>
              <w:t xml:space="preserve">Total excise </w:t>
            </w:r>
          </w:p>
        </w:tc>
        <w:tc>
          <w:tcPr>
            <w:tcW w:w="727" w:type="pct"/>
            <w:tcBorders>
              <w:top w:val="nil"/>
              <w:left w:val="nil"/>
              <w:bottom w:val="nil"/>
              <w:right w:val="nil"/>
            </w:tcBorders>
            <w:noWrap/>
            <w:vAlign w:val="center"/>
            <w:hideMark/>
          </w:tcPr>
          <w:p w14:paraId="5699E844" w14:textId="77777777" w:rsidR="001364B1" w:rsidRPr="00954D98" w:rsidRDefault="001364B1" w:rsidP="001364B1">
            <w:pPr>
              <w:spacing w:before="0" w:after="0" w:line="240" w:lineRule="auto"/>
              <w:jc w:val="right"/>
              <w:rPr>
                <w:rFonts w:ascii="Arial" w:hAnsi="Arial" w:cs="Arial"/>
                <w:i/>
                <w:iCs/>
                <w:sz w:val="16"/>
                <w:szCs w:val="16"/>
              </w:rPr>
            </w:pPr>
            <w:r w:rsidRPr="00954D98">
              <w:rPr>
                <w:rFonts w:ascii="Arial" w:hAnsi="Arial" w:cs="Arial"/>
                <w:i/>
                <w:iCs/>
                <w:sz w:val="16"/>
                <w:szCs w:val="16"/>
              </w:rPr>
              <w:t>33,810</w:t>
            </w:r>
          </w:p>
        </w:tc>
        <w:tc>
          <w:tcPr>
            <w:tcW w:w="727" w:type="pct"/>
            <w:tcBorders>
              <w:top w:val="nil"/>
              <w:left w:val="nil"/>
              <w:bottom w:val="nil"/>
              <w:right w:val="nil"/>
            </w:tcBorders>
            <w:shd w:val="clear" w:color="000000" w:fill="E6F2FF"/>
            <w:noWrap/>
            <w:vAlign w:val="center"/>
            <w:hideMark/>
          </w:tcPr>
          <w:p w14:paraId="697057A3" w14:textId="77777777" w:rsidR="001364B1" w:rsidRPr="00954D98" w:rsidRDefault="001364B1" w:rsidP="001364B1">
            <w:pPr>
              <w:spacing w:before="0" w:after="0" w:line="240" w:lineRule="auto"/>
              <w:jc w:val="right"/>
              <w:rPr>
                <w:rFonts w:ascii="Arial" w:hAnsi="Arial" w:cs="Arial"/>
                <w:i/>
                <w:iCs/>
                <w:sz w:val="16"/>
                <w:szCs w:val="16"/>
              </w:rPr>
            </w:pPr>
            <w:r w:rsidRPr="00954D98">
              <w:rPr>
                <w:rFonts w:ascii="Arial" w:hAnsi="Arial" w:cs="Arial"/>
                <w:i/>
                <w:iCs/>
                <w:sz w:val="16"/>
                <w:szCs w:val="16"/>
              </w:rPr>
              <w:t>32,900</w:t>
            </w:r>
          </w:p>
        </w:tc>
        <w:tc>
          <w:tcPr>
            <w:tcW w:w="51" w:type="pct"/>
            <w:tcBorders>
              <w:top w:val="nil"/>
              <w:left w:val="nil"/>
              <w:bottom w:val="nil"/>
              <w:right w:val="nil"/>
            </w:tcBorders>
            <w:noWrap/>
            <w:vAlign w:val="center"/>
            <w:hideMark/>
          </w:tcPr>
          <w:p w14:paraId="15DEE760" w14:textId="77777777" w:rsidR="001364B1" w:rsidRPr="00954D98" w:rsidRDefault="001364B1" w:rsidP="001364B1">
            <w:pPr>
              <w:spacing w:before="0" w:after="0" w:line="240" w:lineRule="auto"/>
              <w:jc w:val="right"/>
              <w:rPr>
                <w:rFonts w:ascii="Arial" w:hAnsi="Arial" w:cs="Arial"/>
                <w:i/>
                <w:iCs/>
                <w:sz w:val="16"/>
                <w:szCs w:val="16"/>
              </w:rPr>
            </w:pPr>
          </w:p>
        </w:tc>
        <w:tc>
          <w:tcPr>
            <w:tcW w:w="657" w:type="pct"/>
            <w:tcBorders>
              <w:top w:val="nil"/>
              <w:left w:val="nil"/>
              <w:bottom w:val="nil"/>
              <w:right w:val="nil"/>
            </w:tcBorders>
            <w:noWrap/>
            <w:vAlign w:val="center"/>
            <w:hideMark/>
          </w:tcPr>
          <w:p w14:paraId="235F1B94" w14:textId="77777777" w:rsidR="001364B1" w:rsidRPr="00954D98" w:rsidRDefault="001364B1" w:rsidP="001364B1">
            <w:pPr>
              <w:spacing w:before="0" w:after="0" w:line="240" w:lineRule="auto"/>
              <w:jc w:val="right"/>
              <w:rPr>
                <w:rFonts w:ascii="Arial" w:hAnsi="Arial" w:cs="Arial"/>
                <w:i/>
                <w:iCs/>
                <w:sz w:val="16"/>
                <w:szCs w:val="16"/>
              </w:rPr>
            </w:pPr>
            <w:r w:rsidRPr="00954D98">
              <w:rPr>
                <w:rFonts w:ascii="Arial" w:hAnsi="Arial" w:cs="Arial"/>
                <w:i/>
                <w:iCs/>
                <w:sz w:val="16"/>
                <w:szCs w:val="16"/>
              </w:rPr>
              <w:t>-910</w:t>
            </w:r>
          </w:p>
        </w:tc>
        <w:tc>
          <w:tcPr>
            <w:tcW w:w="657" w:type="pct"/>
            <w:tcBorders>
              <w:top w:val="nil"/>
              <w:left w:val="nil"/>
              <w:bottom w:val="nil"/>
              <w:right w:val="nil"/>
            </w:tcBorders>
            <w:noWrap/>
            <w:vAlign w:val="center"/>
            <w:hideMark/>
          </w:tcPr>
          <w:p w14:paraId="12B1BE1B" w14:textId="77777777" w:rsidR="001364B1" w:rsidRPr="00954D98" w:rsidRDefault="001364B1" w:rsidP="001364B1">
            <w:pPr>
              <w:spacing w:before="0" w:after="0" w:line="240" w:lineRule="auto"/>
              <w:jc w:val="right"/>
              <w:rPr>
                <w:rFonts w:ascii="Arial" w:hAnsi="Arial" w:cs="Arial"/>
                <w:i/>
                <w:iCs/>
                <w:sz w:val="16"/>
                <w:szCs w:val="16"/>
              </w:rPr>
            </w:pPr>
            <w:r w:rsidRPr="00954D98">
              <w:rPr>
                <w:rFonts w:ascii="Arial" w:hAnsi="Arial" w:cs="Arial"/>
                <w:i/>
                <w:iCs/>
                <w:sz w:val="16"/>
                <w:szCs w:val="16"/>
              </w:rPr>
              <w:t>-2.7</w:t>
            </w:r>
          </w:p>
        </w:tc>
      </w:tr>
      <w:tr w:rsidR="001364B1" w:rsidRPr="00954D98" w14:paraId="7F2F1304" w14:textId="77777777" w:rsidTr="001364B1">
        <w:trPr>
          <w:trHeight w:hRule="exact" w:val="225"/>
        </w:trPr>
        <w:tc>
          <w:tcPr>
            <w:tcW w:w="2182" w:type="pct"/>
            <w:tcBorders>
              <w:top w:val="nil"/>
              <w:left w:val="nil"/>
              <w:bottom w:val="nil"/>
              <w:right w:val="nil"/>
            </w:tcBorders>
            <w:noWrap/>
            <w:vAlign w:val="center"/>
            <w:hideMark/>
          </w:tcPr>
          <w:p w14:paraId="179A3954" w14:textId="77777777" w:rsidR="001364B1" w:rsidRPr="00954D98" w:rsidRDefault="001364B1" w:rsidP="001364B1">
            <w:pPr>
              <w:spacing w:before="0" w:after="0" w:line="240" w:lineRule="auto"/>
              <w:ind w:firstLineChars="100" w:firstLine="160"/>
              <w:rPr>
                <w:rFonts w:ascii="Arial" w:hAnsi="Arial" w:cs="Arial"/>
                <w:i/>
                <w:iCs/>
                <w:sz w:val="16"/>
                <w:szCs w:val="16"/>
              </w:rPr>
            </w:pPr>
            <w:r w:rsidRPr="00954D98">
              <w:rPr>
                <w:rFonts w:ascii="Arial" w:hAnsi="Arial" w:cs="Arial"/>
                <w:i/>
                <w:iCs/>
                <w:sz w:val="16"/>
                <w:szCs w:val="16"/>
              </w:rPr>
              <w:t xml:space="preserve">Total customs duty </w:t>
            </w:r>
          </w:p>
        </w:tc>
        <w:tc>
          <w:tcPr>
            <w:tcW w:w="727" w:type="pct"/>
            <w:tcBorders>
              <w:top w:val="nil"/>
              <w:left w:val="nil"/>
              <w:bottom w:val="nil"/>
              <w:right w:val="nil"/>
            </w:tcBorders>
            <w:noWrap/>
            <w:vAlign w:val="center"/>
            <w:hideMark/>
          </w:tcPr>
          <w:p w14:paraId="12961253" w14:textId="77777777" w:rsidR="001364B1" w:rsidRPr="00954D98" w:rsidRDefault="001364B1" w:rsidP="001364B1">
            <w:pPr>
              <w:spacing w:before="0" w:after="0" w:line="240" w:lineRule="auto"/>
              <w:jc w:val="right"/>
              <w:rPr>
                <w:rFonts w:ascii="Arial" w:hAnsi="Arial" w:cs="Arial"/>
                <w:i/>
                <w:iCs/>
                <w:sz w:val="16"/>
                <w:szCs w:val="16"/>
              </w:rPr>
            </w:pPr>
            <w:r w:rsidRPr="00954D98">
              <w:rPr>
                <w:rFonts w:ascii="Arial" w:hAnsi="Arial" w:cs="Arial"/>
                <w:i/>
                <w:iCs/>
                <w:sz w:val="16"/>
                <w:szCs w:val="16"/>
              </w:rPr>
              <w:t>11,180</w:t>
            </w:r>
          </w:p>
        </w:tc>
        <w:tc>
          <w:tcPr>
            <w:tcW w:w="727" w:type="pct"/>
            <w:tcBorders>
              <w:top w:val="nil"/>
              <w:left w:val="nil"/>
              <w:bottom w:val="nil"/>
              <w:right w:val="nil"/>
            </w:tcBorders>
            <w:shd w:val="clear" w:color="000000" w:fill="E6F2FF"/>
            <w:noWrap/>
            <w:vAlign w:val="center"/>
            <w:hideMark/>
          </w:tcPr>
          <w:p w14:paraId="2249C695" w14:textId="77777777" w:rsidR="001364B1" w:rsidRPr="00954D98" w:rsidRDefault="001364B1" w:rsidP="001364B1">
            <w:pPr>
              <w:spacing w:before="0" w:after="0" w:line="240" w:lineRule="auto"/>
              <w:jc w:val="right"/>
              <w:rPr>
                <w:rFonts w:ascii="Arial" w:hAnsi="Arial" w:cs="Arial"/>
                <w:i/>
                <w:iCs/>
                <w:sz w:val="16"/>
                <w:szCs w:val="16"/>
              </w:rPr>
            </w:pPr>
            <w:r w:rsidRPr="00954D98">
              <w:rPr>
                <w:rFonts w:ascii="Arial" w:hAnsi="Arial" w:cs="Arial"/>
                <w:i/>
                <w:iCs/>
                <w:sz w:val="16"/>
                <w:szCs w:val="16"/>
              </w:rPr>
              <w:t>8,830</w:t>
            </w:r>
          </w:p>
        </w:tc>
        <w:tc>
          <w:tcPr>
            <w:tcW w:w="51" w:type="pct"/>
            <w:tcBorders>
              <w:top w:val="nil"/>
              <w:left w:val="nil"/>
              <w:bottom w:val="nil"/>
              <w:right w:val="nil"/>
            </w:tcBorders>
            <w:noWrap/>
            <w:vAlign w:val="center"/>
            <w:hideMark/>
          </w:tcPr>
          <w:p w14:paraId="03540019" w14:textId="77777777" w:rsidR="001364B1" w:rsidRPr="00954D98" w:rsidRDefault="001364B1" w:rsidP="001364B1">
            <w:pPr>
              <w:spacing w:before="0" w:after="0" w:line="240" w:lineRule="auto"/>
              <w:jc w:val="right"/>
              <w:rPr>
                <w:rFonts w:ascii="Arial" w:hAnsi="Arial" w:cs="Arial"/>
                <w:i/>
                <w:iCs/>
                <w:sz w:val="16"/>
                <w:szCs w:val="16"/>
              </w:rPr>
            </w:pPr>
          </w:p>
        </w:tc>
        <w:tc>
          <w:tcPr>
            <w:tcW w:w="657" w:type="pct"/>
            <w:tcBorders>
              <w:top w:val="nil"/>
              <w:left w:val="nil"/>
              <w:bottom w:val="nil"/>
              <w:right w:val="nil"/>
            </w:tcBorders>
            <w:noWrap/>
            <w:vAlign w:val="center"/>
            <w:hideMark/>
          </w:tcPr>
          <w:p w14:paraId="48947AE0" w14:textId="77777777" w:rsidR="001364B1" w:rsidRPr="00954D98" w:rsidRDefault="001364B1" w:rsidP="001364B1">
            <w:pPr>
              <w:spacing w:before="0" w:after="0" w:line="240" w:lineRule="auto"/>
              <w:jc w:val="right"/>
              <w:rPr>
                <w:rFonts w:ascii="Arial" w:hAnsi="Arial" w:cs="Arial"/>
                <w:i/>
                <w:iCs/>
                <w:sz w:val="16"/>
                <w:szCs w:val="16"/>
              </w:rPr>
            </w:pPr>
            <w:r w:rsidRPr="00954D98">
              <w:rPr>
                <w:rFonts w:ascii="Arial" w:hAnsi="Arial" w:cs="Arial"/>
                <w:i/>
                <w:iCs/>
                <w:sz w:val="16"/>
                <w:szCs w:val="16"/>
              </w:rPr>
              <w:t>-2,350</w:t>
            </w:r>
          </w:p>
        </w:tc>
        <w:tc>
          <w:tcPr>
            <w:tcW w:w="657" w:type="pct"/>
            <w:tcBorders>
              <w:top w:val="nil"/>
              <w:left w:val="nil"/>
              <w:bottom w:val="nil"/>
              <w:right w:val="nil"/>
            </w:tcBorders>
            <w:noWrap/>
            <w:vAlign w:val="center"/>
            <w:hideMark/>
          </w:tcPr>
          <w:p w14:paraId="033ABB46" w14:textId="77777777" w:rsidR="001364B1" w:rsidRPr="00954D98" w:rsidRDefault="001364B1" w:rsidP="001364B1">
            <w:pPr>
              <w:spacing w:before="0" w:after="0" w:line="240" w:lineRule="auto"/>
              <w:jc w:val="right"/>
              <w:rPr>
                <w:rFonts w:ascii="Arial" w:hAnsi="Arial" w:cs="Arial"/>
                <w:i/>
                <w:iCs/>
                <w:sz w:val="16"/>
                <w:szCs w:val="16"/>
              </w:rPr>
            </w:pPr>
            <w:r w:rsidRPr="00954D98">
              <w:rPr>
                <w:rFonts w:ascii="Arial" w:hAnsi="Arial" w:cs="Arial"/>
                <w:i/>
                <w:iCs/>
                <w:sz w:val="16"/>
                <w:szCs w:val="16"/>
              </w:rPr>
              <w:t>-21.0</w:t>
            </w:r>
          </w:p>
        </w:tc>
      </w:tr>
      <w:tr w:rsidR="001364B1" w:rsidRPr="00954D98" w14:paraId="1C26B3D9" w14:textId="77777777" w:rsidTr="001364B1">
        <w:trPr>
          <w:trHeight w:hRule="exact" w:val="225"/>
        </w:trPr>
        <w:tc>
          <w:tcPr>
            <w:tcW w:w="2182" w:type="pct"/>
            <w:tcBorders>
              <w:top w:val="nil"/>
              <w:left w:val="nil"/>
              <w:bottom w:val="single" w:sz="4" w:space="0" w:color="293F5B"/>
              <w:right w:val="nil"/>
            </w:tcBorders>
            <w:noWrap/>
            <w:vAlign w:val="center"/>
            <w:hideMark/>
          </w:tcPr>
          <w:p w14:paraId="4BF96F33" w14:textId="77777777" w:rsidR="001364B1" w:rsidRPr="00954D98" w:rsidRDefault="001364B1" w:rsidP="001364B1">
            <w:pPr>
              <w:spacing w:before="0" w:after="0" w:line="240" w:lineRule="auto"/>
              <w:ind w:firstLineChars="100" w:firstLine="160"/>
              <w:rPr>
                <w:rFonts w:ascii="Arial" w:hAnsi="Arial" w:cs="Arial"/>
                <w:i/>
                <w:iCs/>
                <w:sz w:val="16"/>
                <w:szCs w:val="16"/>
              </w:rPr>
            </w:pPr>
            <w:r w:rsidRPr="00954D98">
              <w:rPr>
                <w:rFonts w:ascii="Arial" w:hAnsi="Arial" w:cs="Arial"/>
                <w:i/>
                <w:iCs/>
                <w:sz w:val="16"/>
                <w:szCs w:val="16"/>
              </w:rPr>
              <w:t>Capital gains tax(b)</w:t>
            </w:r>
          </w:p>
        </w:tc>
        <w:tc>
          <w:tcPr>
            <w:tcW w:w="727" w:type="pct"/>
            <w:tcBorders>
              <w:top w:val="nil"/>
              <w:left w:val="nil"/>
              <w:bottom w:val="single" w:sz="4" w:space="0" w:color="293F5B"/>
              <w:right w:val="nil"/>
            </w:tcBorders>
            <w:shd w:val="clear" w:color="000000" w:fill="FFFFFF"/>
            <w:noWrap/>
            <w:vAlign w:val="center"/>
            <w:hideMark/>
          </w:tcPr>
          <w:p w14:paraId="3B2BD3EA" w14:textId="77777777" w:rsidR="001364B1" w:rsidRPr="00954D98" w:rsidRDefault="001364B1" w:rsidP="001364B1">
            <w:pPr>
              <w:spacing w:before="0" w:after="0" w:line="240" w:lineRule="auto"/>
              <w:jc w:val="right"/>
              <w:rPr>
                <w:rFonts w:ascii="Arial" w:hAnsi="Arial" w:cs="Arial"/>
                <w:i/>
                <w:iCs/>
                <w:sz w:val="16"/>
                <w:szCs w:val="16"/>
              </w:rPr>
            </w:pPr>
            <w:r w:rsidRPr="00954D98">
              <w:rPr>
                <w:rFonts w:ascii="Arial" w:hAnsi="Arial" w:cs="Arial"/>
                <w:i/>
                <w:iCs/>
                <w:sz w:val="16"/>
                <w:szCs w:val="16"/>
              </w:rPr>
              <w:t>27,600</w:t>
            </w:r>
          </w:p>
        </w:tc>
        <w:tc>
          <w:tcPr>
            <w:tcW w:w="727" w:type="pct"/>
            <w:tcBorders>
              <w:top w:val="nil"/>
              <w:left w:val="nil"/>
              <w:bottom w:val="single" w:sz="4" w:space="0" w:color="293F5B"/>
              <w:right w:val="nil"/>
            </w:tcBorders>
            <w:shd w:val="clear" w:color="000000" w:fill="E6F2FF"/>
            <w:noWrap/>
            <w:vAlign w:val="center"/>
            <w:hideMark/>
          </w:tcPr>
          <w:p w14:paraId="1B6D906D" w14:textId="77777777" w:rsidR="001364B1" w:rsidRPr="00954D98" w:rsidRDefault="001364B1" w:rsidP="001364B1">
            <w:pPr>
              <w:spacing w:before="0" w:after="0" w:line="240" w:lineRule="auto"/>
              <w:jc w:val="right"/>
              <w:rPr>
                <w:rFonts w:ascii="Arial" w:hAnsi="Arial" w:cs="Arial"/>
                <w:i/>
                <w:iCs/>
                <w:sz w:val="16"/>
                <w:szCs w:val="16"/>
              </w:rPr>
            </w:pPr>
            <w:r w:rsidRPr="00954D98">
              <w:rPr>
                <w:rFonts w:ascii="Arial" w:hAnsi="Arial" w:cs="Arial"/>
                <w:i/>
                <w:iCs/>
                <w:sz w:val="16"/>
                <w:szCs w:val="16"/>
              </w:rPr>
              <w:t>30,700</w:t>
            </w:r>
          </w:p>
        </w:tc>
        <w:tc>
          <w:tcPr>
            <w:tcW w:w="51" w:type="pct"/>
            <w:tcBorders>
              <w:top w:val="nil"/>
              <w:left w:val="nil"/>
              <w:bottom w:val="single" w:sz="4" w:space="0" w:color="293F5B"/>
              <w:right w:val="nil"/>
            </w:tcBorders>
            <w:noWrap/>
            <w:vAlign w:val="center"/>
            <w:hideMark/>
          </w:tcPr>
          <w:p w14:paraId="554A65F6" w14:textId="77777777" w:rsidR="001364B1" w:rsidRPr="00954D98" w:rsidRDefault="001364B1" w:rsidP="001364B1">
            <w:pPr>
              <w:spacing w:before="0" w:after="0" w:line="240" w:lineRule="auto"/>
              <w:jc w:val="right"/>
              <w:rPr>
                <w:rFonts w:ascii="Arial" w:hAnsi="Arial" w:cs="Arial"/>
                <w:i/>
                <w:iCs/>
                <w:sz w:val="16"/>
                <w:szCs w:val="16"/>
              </w:rPr>
            </w:pPr>
            <w:r w:rsidRPr="00954D98">
              <w:rPr>
                <w:rFonts w:ascii="Arial" w:hAnsi="Arial" w:cs="Arial"/>
                <w:i/>
                <w:iCs/>
                <w:sz w:val="16"/>
                <w:szCs w:val="16"/>
              </w:rPr>
              <w:t> </w:t>
            </w:r>
          </w:p>
        </w:tc>
        <w:tc>
          <w:tcPr>
            <w:tcW w:w="657" w:type="pct"/>
            <w:tcBorders>
              <w:top w:val="nil"/>
              <w:left w:val="nil"/>
              <w:bottom w:val="single" w:sz="4" w:space="0" w:color="293F5B"/>
              <w:right w:val="nil"/>
            </w:tcBorders>
            <w:noWrap/>
            <w:vAlign w:val="center"/>
            <w:hideMark/>
          </w:tcPr>
          <w:p w14:paraId="22366955" w14:textId="77777777" w:rsidR="001364B1" w:rsidRPr="00954D98" w:rsidRDefault="001364B1" w:rsidP="001364B1">
            <w:pPr>
              <w:spacing w:before="0" w:after="0" w:line="240" w:lineRule="auto"/>
              <w:jc w:val="right"/>
              <w:rPr>
                <w:rFonts w:ascii="Arial" w:hAnsi="Arial" w:cs="Arial"/>
                <w:i/>
                <w:iCs/>
                <w:sz w:val="16"/>
                <w:szCs w:val="16"/>
              </w:rPr>
            </w:pPr>
            <w:r w:rsidRPr="00954D98">
              <w:rPr>
                <w:rFonts w:ascii="Arial" w:hAnsi="Arial" w:cs="Arial"/>
                <w:i/>
                <w:iCs/>
                <w:sz w:val="16"/>
                <w:szCs w:val="16"/>
              </w:rPr>
              <w:t>3,100</w:t>
            </w:r>
          </w:p>
        </w:tc>
        <w:tc>
          <w:tcPr>
            <w:tcW w:w="657" w:type="pct"/>
            <w:tcBorders>
              <w:top w:val="nil"/>
              <w:left w:val="nil"/>
              <w:bottom w:val="single" w:sz="4" w:space="0" w:color="293F5B"/>
              <w:right w:val="nil"/>
            </w:tcBorders>
            <w:noWrap/>
            <w:vAlign w:val="center"/>
            <w:hideMark/>
          </w:tcPr>
          <w:p w14:paraId="1C73A8FD" w14:textId="77777777" w:rsidR="001364B1" w:rsidRPr="00954D98" w:rsidRDefault="001364B1" w:rsidP="001364B1">
            <w:pPr>
              <w:spacing w:before="0" w:after="0" w:line="240" w:lineRule="auto"/>
              <w:jc w:val="right"/>
              <w:rPr>
                <w:rFonts w:ascii="Arial" w:hAnsi="Arial" w:cs="Arial"/>
                <w:i/>
                <w:iCs/>
                <w:sz w:val="16"/>
                <w:szCs w:val="16"/>
              </w:rPr>
            </w:pPr>
            <w:r w:rsidRPr="00954D98">
              <w:rPr>
                <w:rFonts w:ascii="Arial" w:hAnsi="Arial" w:cs="Arial"/>
                <w:i/>
                <w:iCs/>
                <w:sz w:val="16"/>
                <w:szCs w:val="16"/>
              </w:rPr>
              <w:t>11.2</w:t>
            </w:r>
          </w:p>
        </w:tc>
      </w:tr>
    </w:tbl>
    <w:p w14:paraId="12BED967" w14:textId="112AA81D" w:rsidR="00F1044A" w:rsidRPr="00954D98" w:rsidRDefault="00536CFF" w:rsidP="00DA02B2">
      <w:pPr>
        <w:pStyle w:val="ChartandTableFootnoteAlpha"/>
        <w:numPr>
          <w:ilvl w:val="0"/>
          <w:numId w:val="25"/>
        </w:numPr>
        <w:spacing w:before="0"/>
        <w:rPr>
          <w:rFonts w:eastAsiaTheme="minorEastAsia"/>
          <w:color w:val="auto"/>
        </w:rPr>
      </w:pPr>
      <w:r>
        <w:rPr>
          <w:rFonts w:eastAsiaTheme="minorEastAsia"/>
          <w:color w:val="auto"/>
        </w:rPr>
        <w:t>‘</w:t>
      </w:r>
      <w:r w:rsidR="00F1044A" w:rsidRPr="00954D98">
        <w:rPr>
          <w:rFonts w:eastAsiaTheme="minorEastAsia"/>
          <w:color w:val="auto"/>
        </w:rPr>
        <w:t>Other alcoholic beverages</w:t>
      </w:r>
      <w:r>
        <w:rPr>
          <w:rFonts w:eastAsiaTheme="minorEastAsia"/>
          <w:color w:val="auto"/>
        </w:rPr>
        <w:t>’</w:t>
      </w:r>
      <w:r w:rsidR="00F1044A" w:rsidRPr="00954D98">
        <w:rPr>
          <w:rFonts w:eastAsiaTheme="minorEastAsia"/>
          <w:color w:val="auto"/>
        </w:rPr>
        <w:t xml:space="preserve"> are those not exceeding 10 per cent by volume of alcohol (excluding beer, brandy and wine).</w:t>
      </w:r>
    </w:p>
    <w:p w14:paraId="3D737123" w14:textId="306D1346" w:rsidR="006D3CE2" w:rsidRPr="006D3CE2" w:rsidRDefault="00536CFF" w:rsidP="00DA02B2">
      <w:pPr>
        <w:pStyle w:val="ChartandTableFootnoteAlpha"/>
        <w:numPr>
          <w:ilvl w:val="0"/>
          <w:numId w:val="25"/>
        </w:numPr>
        <w:spacing w:before="0"/>
        <w:rPr>
          <w:rFonts w:eastAsiaTheme="minorEastAsia"/>
        </w:rPr>
      </w:pPr>
      <w:r>
        <w:rPr>
          <w:rFonts w:eastAsiaTheme="minorEastAsia"/>
          <w:color w:val="auto"/>
        </w:rPr>
        <w:t>‘</w:t>
      </w:r>
      <w:r w:rsidR="00F1044A" w:rsidRPr="00954D98">
        <w:rPr>
          <w:rFonts w:eastAsiaTheme="minorEastAsia"/>
          <w:color w:val="auto"/>
        </w:rPr>
        <w:t>Capital gains tax</w:t>
      </w:r>
      <w:r>
        <w:rPr>
          <w:rFonts w:eastAsiaTheme="minorEastAsia"/>
          <w:color w:val="auto"/>
        </w:rPr>
        <w:t>’</w:t>
      </w:r>
      <w:r w:rsidR="00F1044A" w:rsidRPr="00954D98">
        <w:rPr>
          <w:rFonts w:eastAsiaTheme="minorEastAsia"/>
          <w:color w:val="auto"/>
        </w:rPr>
        <w:t xml:space="preserve"> is part of gross other individuals, company tax and superannuation fund taxes.</w:t>
      </w:r>
      <w:r w:rsidR="00F1044A" w:rsidRPr="00954D98">
        <w:rPr>
          <w:color w:val="auto"/>
        </w:rPr>
        <w:t xml:space="preserve"> </w:t>
      </w:r>
    </w:p>
    <w:p w14:paraId="4C6D0587" w14:textId="59A9BBF3" w:rsidR="00F1044A" w:rsidRPr="00954D98" w:rsidRDefault="00F1044A" w:rsidP="00DA02B2">
      <w:pPr>
        <w:pStyle w:val="TableLine"/>
        <w:rPr>
          <w:rFonts w:eastAsiaTheme="minorEastAsia"/>
        </w:rPr>
      </w:pPr>
    </w:p>
    <w:p w14:paraId="4902FF70" w14:textId="1312F766" w:rsidR="00F1044A" w:rsidRPr="00954D98" w:rsidRDefault="00F1044A" w:rsidP="00F1044A">
      <w:pPr>
        <w:pStyle w:val="TableHeading"/>
        <w:rPr>
          <w:rFonts w:asciiTheme="minorHAnsi" w:eastAsiaTheme="minorHAnsi" w:hAnsiTheme="minorHAnsi" w:cstheme="minorBidi"/>
          <w:b w:val="0"/>
          <w:sz w:val="22"/>
          <w:szCs w:val="22"/>
          <w:lang w:eastAsia="en-US"/>
        </w:rPr>
      </w:pPr>
      <w:r w:rsidRPr="00954D98">
        <w:lastRenderedPageBreak/>
        <w:t>Table 3.</w:t>
      </w:r>
      <w:r w:rsidR="0058313B" w:rsidRPr="00954D98">
        <w:t>5</w:t>
      </w:r>
      <w:r w:rsidRPr="00954D98">
        <w:t>: Australian Government general government (cash) receipts</w:t>
      </w:r>
    </w:p>
    <w:tbl>
      <w:tblPr>
        <w:tblW w:w="5000" w:type="pct"/>
        <w:tblCellMar>
          <w:left w:w="0" w:type="dxa"/>
          <w:right w:w="28" w:type="dxa"/>
        </w:tblCellMar>
        <w:tblLook w:val="04A0" w:firstRow="1" w:lastRow="0" w:firstColumn="1" w:lastColumn="0" w:noHBand="0" w:noVBand="1"/>
      </w:tblPr>
      <w:tblGrid>
        <w:gridCol w:w="3623"/>
        <w:gridCol w:w="800"/>
        <w:gridCol w:w="85"/>
        <w:gridCol w:w="714"/>
        <w:gridCol w:w="830"/>
        <w:gridCol w:w="830"/>
        <w:gridCol w:w="828"/>
      </w:tblGrid>
      <w:tr w:rsidR="000932FC" w:rsidRPr="00954D98" w14:paraId="307BE81F" w14:textId="77777777" w:rsidTr="00EF2868">
        <w:trPr>
          <w:trHeight w:hRule="exact" w:val="225"/>
        </w:trPr>
        <w:tc>
          <w:tcPr>
            <w:tcW w:w="2350" w:type="pct"/>
            <w:tcBorders>
              <w:top w:val="single" w:sz="4" w:space="0" w:color="293F5B"/>
              <w:left w:val="nil"/>
              <w:bottom w:val="nil"/>
              <w:right w:val="nil"/>
            </w:tcBorders>
            <w:noWrap/>
            <w:vAlign w:val="center"/>
            <w:hideMark/>
          </w:tcPr>
          <w:p w14:paraId="134C6100"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 </w:t>
            </w:r>
          </w:p>
        </w:tc>
        <w:tc>
          <w:tcPr>
            <w:tcW w:w="519" w:type="pct"/>
            <w:tcBorders>
              <w:top w:val="single" w:sz="4" w:space="0" w:color="293F5B"/>
              <w:left w:val="nil"/>
              <w:right w:val="nil"/>
            </w:tcBorders>
            <w:noWrap/>
            <w:vAlign w:val="center"/>
            <w:hideMark/>
          </w:tcPr>
          <w:p w14:paraId="7431F438" w14:textId="77777777" w:rsidR="000932FC" w:rsidRPr="00954D98" w:rsidRDefault="000932FC" w:rsidP="000932FC">
            <w:pPr>
              <w:spacing w:before="0" w:after="0" w:line="240" w:lineRule="auto"/>
              <w:jc w:val="center"/>
              <w:rPr>
                <w:rFonts w:ascii="Arial" w:hAnsi="Arial" w:cs="Arial"/>
                <w:sz w:val="16"/>
                <w:szCs w:val="16"/>
              </w:rPr>
            </w:pPr>
            <w:r w:rsidRPr="00954D98">
              <w:rPr>
                <w:rFonts w:ascii="Arial" w:hAnsi="Arial" w:cs="Arial"/>
                <w:sz w:val="16"/>
                <w:szCs w:val="16"/>
              </w:rPr>
              <w:t>Actual</w:t>
            </w:r>
          </w:p>
        </w:tc>
        <w:tc>
          <w:tcPr>
            <w:tcW w:w="55" w:type="pct"/>
            <w:tcBorders>
              <w:top w:val="single" w:sz="4" w:space="0" w:color="293F5B"/>
              <w:left w:val="nil"/>
              <w:bottom w:val="nil"/>
              <w:right w:val="nil"/>
            </w:tcBorders>
            <w:noWrap/>
            <w:vAlign w:val="center"/>
            <w:hideMark/>
          </w:tcPr>
          <w:p w14:paraId="3B730387"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2076" w:type="pct"/>
            <w:gridSpan w:val="4"/>
            <w:tcBorders>
              <w:top w:val="single" w:sz="4" w:space="0" w:color="293F5B"/>
              <w:left w:val="nil"/>
              <w:right w:val="nil"/>
            </w:tcBorders>
            <w:noWrap/>
            <w:vAlign w:val="center"/>
            <w:hideMark/>
          </w:tcPr>
          <w:p w14:paraId="465B1D32" w14:textId="77777777" w:rsidR="000932FC" w:rsidRPr="00954D98" w:rsidRDefault="000932FC" w:rsidP="000932FC">
            <w:pPr>
              <w:spacing w:before="0" w:after="0" w:line="240" w:lineRule="auto"/>
              <w:jc w:val="center"/>
              <w:rPr>
                <w:rFonts w:ascii="Arial" w:hAnsi="Arial" w:cs="Arial"/>
                <w:sz w:val="16"/>
                <w:szCs w:val="16"/>
              </w:rPr>
            </w:pPr>
            <w:r w:rsidRPr="00954D98">
              <w:rPr>
                <w:rFonts w:ascii="Arial" w:hAnsi="Arial" w:cs="Arial"/>
                <w:sz w:val="16"/>
                <w:szCs w:val="16"/>
              </w:rPr>
              <w:t>Estimates</w:t>
            </w:r>
          </w:p>
        </w:tc>
      </w:tr>
      <w:tr w:rsidR="000932FC" w:rsidRPr="00954D98" w14:paraId="549E64EC" w14:textId="77777777" w:rsidTr="00EF2868">
        <w:trPr>
          <w:trHeight w:hRule="exact" w:val="225"/>
        </w:trPr>
        <w:tc>
          <w:tcPr>
            <w:tcW w:w="2350" w:type="pct"/>
            <w:tcBorders>
              <w:top w:val="nil"/>
              <w:left w:val="nil"/>
              <w:bottom w:val="nil"/>
              <w:right w:val="nil"/>
            </w:tcBorders>
            <w:noWrap/>
            <w:vAlign w:val="center"/>
            <w:hideMark/>
          </w:tcPr>
          <w:p w14:paraId="1C84C8C0" w14:textId="77777777" w:rsidR="000932FC" w:rsidRPr="00954D98" w:rsidRDefault="000932FC" w:rsidP="000932FC">
            <w:pPr>
              <w:spacing w:before="0" w:after="0" w:line="240" w:lineRule="auto"/>
              <w:jc w:val="center"/>
              <w:rPr>
                <w:rFonts w:ascii="Arial" w:hAnsi="Arial" w:cs="Arial"/>
                <w:sz w:val="16"/>
                <w:szCs w:val="16"/>
              </w:rPr>
            </w:pPr>
          </w:p>
        </w:tc>
        <w:tc>
          <w:tcPr>
            <w:tcW w:w="519" w:type="pct"/>
            <w:tcBorders>
              <w:left w:val="nil"/>
              <w:right w:val="nil"/>
            </w:tcBorders>
            <w:noWrap/>
            <w:vAlign w:val="center"/>
            <w:hideMark/>
          </w:tcPr>
          <w:p w14:paraId="2D163F46"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2024-25</w:t>
            </w:r>
          </w:p>
        </w:tc>
        <w:tc>
          <w:tcPr>
            <w:tcW w:w="55" w:type="pct"/>
            <w:tcBorders>
              <w:top w:val="nil"/>
              <w:left w:val="nil"/>
              <w:bottom w:val="nil"/>
              <w:right w:val="nil"/>
            </w:tcBorders>
            <w:shd w:val="clear" w:color="000000" w:fill="FFFFFF"/>
            <w:noWrap/>
            <w:vAlign w:val="center"/>
            <w:hideMark/>
          </w:tcPr>
          <w:p w14:paraId="49862BE2"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3B4E5392"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2025-26</w:t>
            </w:r>
          </w:p>
        </w:tc>
        <w:tc>
          <w:tcPr>
            <w:tcW w:w="538" w:type="pct"/>
            <w:tcBorders>
              <w:top w:val="nil"/>
              <w:left w:val="nil"/>
              <w:bottom w:val="nil"/>
              <w:right w:val="nil"/>
            </w:tcBorders>
            <w:noWrap/>
            <w:vAlign w:val="center"/>
            <w:hideMark/>
          </w:tcPr>
          <w:p w14:paraId="46E8D30B"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2026-27</w:t>
            </w:r>
          </w:p>
        </w:tc>
        <w:tc>
          <w:tcPr>
            <w:tcW w:w="538" w:type="pct"/>
            <w:tcBorders>
              <w:top w:val="nil"/>
              <w:left w:val="nil"/>
              <w:bottom w:val="nil"/>
              <w:right w:val="nil"/>
            </w:tcBorders>
            <w:noWrap/>
            <w:vAlign w:val="center"/>
            <w:hideMark/>
          </w:tcPr>
          <w:p w14:paraId="6CF52004"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2027-28</w:t>
            </w:r>
          </w:p>
        </w:tc>
        <w:tc>
          <w:tcPr>
            <w:tcW w:w="538" w:type="pct"/>
            <w:tcBorders>
              <w:top w:val="nil"/>
              <w:left w:val="nil"/>
              <w:bottom w:val="nil"/>
              <w:right w:val="nil"/>
            </w:tcBorders>
            <w:noWrap/>
            <w:vAlign w:val="center"/>
            <w:hideMark/>
          </w:tcPr>
          <w:p w14:paraId="12DA1D30"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2028-29</w:t>
            </w:r>
          </w:p>
        </w:tc>
      </w:tr>
      <w:tr w:rsidR="000932FC" w:rsidRPr="00954D98" w14:paraId="4FC670A1" w14:textId="77777777" w:rsidTr="00EF2868">
        <w:trPr>
          <w:trHeight w:hRule="exact" w:val="225"/>
        </w:trPr>
        <w:tc>
          <w:tcPr>
            <w:tcW w:w="2350" w:type="pct"/>
            <w:tcBorders>
              <w:top w:val="nil"/>
              <w:left w:val="nil"/>
              <w:bottom w:val="nil"/>
              <w:right w:val="nil"/>
            </w:tcBorders>
            <w:vAlign w:val="center"/>
            <w:hideMark/>
          </w:tcPr>
          <w:p w14:paraId="5B928B33" w14:textId="77777777" w:rsidR="000932FC" w:rsidRPr="00954D98" w:rsidRDefault="000932FC" w:rsidP="000932FC">
            <w:pPr>
              <w:spacing w:before="0" w:after="0" w:line="240" w:lineRule="auto"/>
              <w:jc w:val="right"/>
              <w:rPr>
                <w:rFonts w:ascii="Arial" w:hAnsi="Arial" w:cs="Arial"/>
                <w:sz w:val="16"/>
                <w:szCs w:val="16"/>
              </w:rPr>
            </w:pPr>
          </w:p>
        </w:tc>
        <w:tc>
          <w:tcPr>
            <w:tcW w:w="519" w:type="pct"/>
            <w:tcBorders>
              <w:top w:val="nil"/>
              <w:left w:val="nil"/>
              <w:bottom w:val="single" w:sz="4" w:space="0" w:color="293F5B"/>
              <w:right w:val="nil"/>
            </w:tcBorders>
            <w:vAlign w:val="center"/>
            <w:hideMark/>
          </w:tcPr>
          <w:p w14:paraId="1FF2F8B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$m</w:t>
            </w:r>
          </w:p>
        </w:tc>
        <w:tc>
          <w:tcPr>
            <w:tcW w:w="55" w:type="pct"/>
            <w:tcBorders>
              <w:top w:val="nil"/>
              <w:left w:val="nil"/>
              <w:bottom w:val="nil"/>
              <w:right w:val="nil"/>
            </w:tcBorders>
            <w:shd w:val="clear" w:color="000000" w:fill="FFFFFF"/>
            <w:vAlign w:val="center"/>
            <w:hideMark/>
          </w:tcPr>
          <w:p w14:paraId="473C98D7"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single" w:sz="4" w:space="0" w:color="293F5B"/>
              <w:right w:val="nil"/>
            </w:tcBorders>
            <w:shd w:val="clear" w:color="000000" w:fill="E6F2FF"/>
            <w:noWrap/>
            <w:vAlign w:val="center"/>
            <w:hideMark/>
          </w:tcPr>
          <w:p w14:paraId="7AC03C74"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$m</w:t>
            </w:r>
          </w:p>
        </w:tc>
        <w:tc>
          <w:tcPr>
            <w:tcW w:w="538" w:type="pct"/>
            <w:tcBorders>
              <w:top w:val="nil"/>
              <w:left w:val="nil"/>
              <w:bottom w:val="single" w:sz="4" w:space="0" w:color="293F5B"/>
              <w:right w:val="nil"/>
            </w:tcBorders>
            <w:vAlign w:val="center"/>
            <w:hideMark/>
          </w:tcPr>
          <w:p w14:paraId="3BDC31DD"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$m</w:t>
            </w:r>
          </w:p>
        </w:tc>
        <w:tc>
          <w:tcPr>
            <w:tcW w:w="538" w:type="pct"/>
            <w:tcBorders>
              <w:top w:val="nil"/>
              <w:left w:val="nil"/>
              <w:bottom w:val="single" w:sz="4" w:space="0" w:color="293F5B"/>
              <w:right w:val="nil"/>
            </w:tcBorders>
            <w:vAlign w:val="center"/>
            <w:hideMark/>
          </w:tcPr>
          <w:p w14:paraId="0971D1B7"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$m</w:t>
            </w:r>
          </w:p>
        </w:tc>
        <w:tc>
          <w:tcPr>
            <w:tcW w:w="538" w:type="pct"/>
            <w:tcBorders>
              <w:top w:val="nil"/>
              <w:left w:val="nil"/>
              <w:bottom w:val="single" w:sz="4" w:space="0" w:color="293F5B"/>
              <w:right w:val="nil"/>
            </w:tcBorders>
            <w:vAlign w:val="center"/>
            <w:hideMark/>
          </w:tcPr>
          <w:p w14:paraId="6E871891"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$m</w:t>
            </w:r>
          </w:p>
        </w:tc>
      </w:tr>
      <w:tr w:rsidR="000932FC" w:rsidRPr="00954D98" w14:paraId="2A2C9AEB" w14:textId="77777777" w:rsidTr="00EF2868">
        <w:trPr>
          <w:trHeight w:hRule="exact" w:val="225"/>
        </w:trPr>
        <w:tc>
          <w:tcPr>
            <w:tcW w:w="2350" w:type="pct"/>
            <w:tcBorders>
              <w:top w:val="nil"/>
              <w:left w:val="nil"/>
              <w:bottom w:val="nil"/>
              <w:right w:val="nil"/>
            </w:tcBorders>
            <w:noWrap/>
            <w:vAlign w:val="center"/>
            <w:hideMark/>
          </w:tcPr>
          <w:p w14:paraId="0ADBB75E"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Individuals and other withholding taxes</w:t>
            </w:r>
          </w:p>
        </w:tc>
        <w:tc>
          <w:tcPr>
            <w:tcW w:w="519" w:type="pct"/>
            <w:tcBorders>
              <w:top w:val="single" w:sz="4" w:space="0" w:color="293F5B"/>
              <w:left w:val="nil"/>
              <w:bottom w:val="nil"/>
              <w:right w:val="nil"/>
            </w:tcBorders>
            <w:noWrap/>
            <w:vAlign w:val="center"/>
            <w:hideMark/>
          </w:tcPr>
          <w:p w14:paraId="2A1653B0" w14:textId="77777777" w:rsidR="000932FC" w:rsidRPr="00954D98" w:rsidRDefault="000932FC" w:rsidP="000932FC">
            <w:pPr>
              <w:spacing w:before="0" w:after="0" w:line="240" w:lineRule="auto"/>
              <w:rPr>
                <w:rFonts w:ascii="Arial" w:hAnsi="Arial" w:cs="Arial"/>
                <w:sz w:val="16"/>
                <w:szCs w:val="16"/>
              </w:rPr>
            </w:pPr>
          </w:p>
        </w:tc>
        <w:tc>
          <w:tcPr>
            <w:tcW w:w="55" w:type="pct"/>
            <w:tcBorders>
              <w:top w:val="nil"/>
              <w:left w:val="nil"/>
              <w:bottom w:val="nil"/>
              <w:right w:val="nil"/>
            </w:tcBorders>
            <w:shd w:val="clear" w:color="000000" w:fill="FFFFFF"/>
            <w:noWrap/>
            <w:vAlign w:val="center"/>
            <w:hideMark/>
          </w:tcPr>
          <w:p w14:paraId="359545C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single" w:sz="4" w:space="0" w:color="293F5B"/>
              <w:left w:val="nil"/>
              <w:bottom w:val="nil"/>
              <w:right w:val="nil"/>
            </w:tcBorders>
            <w:shd w:val="clear" w:color="000000" w:fill="E6F2FF"/>
            <w:noWrap/>
            <w:vAlign w:val="center"/>
            <w:hideMark/>
          </w:tcPr>
          <w:p w14:paraId="3AA3B286"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 </w:t>
            </w:r>
          </w:p>
        </w:tc>
        <w:tc>
          <w:tcPr>
            <w:tcW w:w="538" w:type="pct"/>
            <w:tcBorders>
              <w:top w:val="single" w:sz="4" w:space="0" w:color="293F5B"/>
              <w:left w:val="nil"/>
              <w:bottom w:val="nil"/>
              <w:right w:val="nil"/>
            </w:tcBorders>
            <w:noWrap/>
            <w:vAlign w:val="center"/>
            <w:hideMark/>
          </w:tcPr>
          <w:p w14:paraId="35048B7B" w14:textId="77777777" w:rsidR="000932FC" w:rsidRPr="00954D98" w:rsidRDefault="000932FC" w:rsidP="000932FC">
            <w:pPr>
              <w:spacing w:before="0" w:after="0" w:line="240" w:lineRule="auto"/>
              <w:rPr>
                <w:rFonts w:ascii="Arial" w:hAnsi="Arial" w:cs="Arial"/>
                <w:sz w:val="16"/>
                <w:szCs w:val="16"/>
              </w:rPr>
            </w:pPr>
          </w:p>
        </w:tc>
        <w:tc>
          <w:tcPr>
            <w:tcW w:w="538" w:type="pct"/>
            <w:tcBorders>
              <w:top w:val="single" w:sz="4" w:space="0" w:color="293F5B"/>
              <w:left w:val="nil"/>
              <w:bottom w:val="nil"/>
              <w:right w:val="nil"/>
            </w:tcBorders>
            <w:noWrap/>
            <w:vAlign w:val="center"/>
            <w:hideMark/>
          </w:tcPr>
          <w:p w14:paraId="0A67CE7F" w14:textId="77777777" w:rsidR="000932FC" w:rsidRPr="00954D98" w:rsidRDefault="000932FC" w:rsidP="000932FC">
            <w:pPr>
              <w:spacing w:before="0" w:after="0" w:line="240" w:lineRule="auto"/>
              <w:rPr>
                <w:sz w:val="20"/>
              </w:rPr>
            </w:pPr>
          </w:p>
        </w:tc>
        <w:tc>
          <w:tcPr>
            <w:tcW w:w="538" w:type="pct"/>
            <w:tcBorders>
              <w:top w:val="single" w:sz="4" w:space="0" w:color="293F5B"/>
              <w:left w:val="nil"/>
              <w:bottom w:val="nil"/>
              <w:right w:val="nil"/>
            </w:tcBorders>
            <w:noWrap/>
            <w:vAlign w:val="center"/>
            <w:hideMark/>
          </w:tcPr>
          <w:p w14:paraId="4B698553" w14:textId="77777777" w:rsidR="000932FC" w:rsidRPr="00954D98" w:rsidRDefault="000932FC" w:rsidP="000932FC">
            <w:pPr>
              <w:spacing w:before="0" w:after="0" w:line="240" w:lineRule="auto"/>
              <w:rPr>
                <w:sz w:val="20"/>
              </w:rPr>
            </w:pPr>
          </w:p>
        </w:tc>
      </w:tr>
      <w:tr w:rsidR="000932FC" w:rsidRPr="00954D98" w14:paraId="22CFA872" w14:textId="77777777" w:rsidTr="000932FC">
        <w:trPr>
          <w:trHeight w:hRule="exact" w:val="225"/>
        </w:trPr>
        <w:tc>
          <w:tcPr>
            <w:tcW w:w="2350" w:type="pct"/>
            <w:tcBorders>
              <w:top w:val="nil"/>
              <w:left w:val="nil"/>
              <w:bottom w:val="nil"/>
              <w:right w:val="nil"/>
            </w:tcBorders>
            <w:noWrap/>
            <w:vAlign w:val="center"/>
            <w:hideMark/>
          </w:tcPr>
          <w:p w14:paraId="0C3FF414" w14:textId="77777777" w:rsidR="000932FC" w:rsidRPr="00954D98" w:rsidRDefault="000932FC" w:rsidP="000932FC">
            <w:pPr>
              <w:spacing w:before="0" w:after="0" w:line="240" w:lineRule="auto"/>
              <w:ind w:firstLineChars="100" w:firstLine="160"/>
              <w:rPr>
                <w:rFonts w:ascii="Arial" w:hAnsi="Arial" w:cs="Arial"/>
                <w:sz w:val="16"/>
                <w:szCs w:val="16"/>
              </w:rPr>
            </w:pPr>
            <w:r w:rsidRPr="00954D98">
              <w:rPr>
                <w:rFonts w:ascii="Arial" w:hAnsi="Arial" w:cs="Arial"/>
                <w:sz w:val="16"/>
                <w:szCs w:val="16"/>
              </w:rPr>
              <w:t>Gross income tax withholding</w:t>
            </w:r>
          </w:p>
        </w:tc>
        <w:tc>
          <w:tcPr>
            <w:tcW w:w="519" w:type="pct"/>
            <w:tcBorders>
              <w:top w:val="nil"/>
              <w:left w:val="nil"/>
              <w:bottom w:val="nil"/>
              <w:right w:val="nil"/>
            </w:tcBorders>
            <w:noWrap/>
            <w:vAlign w:val="center"/>
            <w:hideMark/>
          </w:tcPr>
          <w:p w14:paraId="0C835A6B"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295,827</w:t>
            </w:r>
          </w:p>
        </w:tc>
        <w:tc>
          <w:tcPr>
            <w:tcW w:w="55" w:type="pct"/>
            <w:tcBorders>
              <w:top w:val="nil"/>
              <w:left w:val="nil"/>
              <w:bottom w:val="nil"/>
              <w:right w:val="nil"/>
            </w:tcBorders>
            <w:shd w:val="clear" w:color="000000" w:fill="FFFFFF"/>
            <w:noWrap/>
            <w:vAlign w:val="center"/>
            <w:hideMark/>
          </w:tcPr>
          <w:p w14:paraId="2630625C"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293A32B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312,500</w:t>
            </w:r>
          </w:p>
        </w:tc>
        <w:tc>
          <w:tcPr>
            <w:tcW w:w="538" w:type="pct"/>
            <w:tcBorders>
              <w:top w:val="nil"/>
              <w:left w:val="nil"/>
              <w:bottom w:val="nil"/>
              <w:right w:val="nil"/>
            </w:tcBorders>
            <w:noWrap/>
            <w:vAlign w:val="center"/>
            <w:hideMark/>
          </w:tcPr>
          <w:p w14:paraId="38B7B73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328,700</w:t>
            </w:r>
          </w:p>
        </w:tc>
        <w:tc>
          <w:tcPr>
            <w:tcW w:w="538" w:type="pct"/>
            <w:tcBorders>
              <w:top w:val="nil"/>
              <w:left w:val="nil"/>
              <w:bottom w:val="nil"/>
              <w:right w:val="nil"/>
            </w:tcBorders>
            <w:noWrap/>
            <w:vAlign w:val="center"/>
            <w:hideMark/>
          </w:tcPr>
          <w:p w14:paraId="7AFDCAE4"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348,200</w:t>
            </w:r>
          </w:p>
        </w:tc>
        <w:tc>
          <w:tcPr>
            <w:tcW w:w="538" w:type="pct"/>
            <w:tcBorders>
              <w:top w:val="nil"/>
              <w:left w:val="nil"/>
              <w:bottom w:val="nil"/>
              <w:right w:val="nil"/>
            </w:tcBorders>
            <w:noWrap/>
            <w:vAlign w:val="center"/>
            <w:hideMark/>
          </w:tcPr>
          <w:p w14:paraId="755D9951"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368,300</w:t>
            </w:r>
          </w:p>
        </w:tc>
      </w:tr>
      <w:tr w:rsidR="000932FC" w:rsidRPr="00954D98" w14:paraId="02224217" w14:textId="77777777" w:rsidTr="00EF2868">
        <w:trPr>
          <w:trHeight w:hRule="exact" w:val="225"/>
        </w:trPr>
        <w:tc>
          <w:tcPr>
            <w:tcW w:w="2350" w:type="pct"/>
            <w:tcBorders>
              <w:top w:val="nil"/>
              <w:left w:val="nil"/>
              <w:bottom w:val="nil"/>
              <w:right w:val="nil"/>
            </w:tcBorders>
            <w:noWrap/>
            <w:vAlign w:val="center"/>
            <w:hideMark/>
          </w:tcPr>
          <w:p w14:paraId="137DE62C" w14:textId="77777777" w:rsidR="000932FC" w:rsidRPr="00954D98" w:rsidRDefault="000932FC" w:rsidP="000932FC">
            <w:pPr>
              <w:spacing w:before="0" w:after="0" w:line="240" w:lineRule="auto"/>
              <w:ind w:firstLineChars="100" w:firstLine="160"/>
              <w:rPr>
                <w:rFonts w:ascii="Arial" w:hAnsi="Arial" w:cs="Arial"/>
                <w:sz w:val="16"/>
                <w:szCs w:val="16"/>
              </w:rPr>
            </w:pPr>
            <w:r w:rsidRPr="00954D98">
              <w:rPr>
                <w:rFonts w:ascii="Arial" w:hAnsi="Arial" w:cs="Arial"/>
                <w:sz w:val="16"/>
                <w:szCs w:val="16"/>
              </w:rPr>
              <w:t>Gross other individuals</w:t>
            </w:r>
          </w:p>
        </w:tc>
        <w:tc>
          <w:tcPr>
            <w:tcW w:w="519" w:type="pct"/>
            <w:tcBorders>
              <w:top w:val="nil"/>
              <w:left w:val="nil"/>
              <w:right w:val="nil"/>
            </w:tcBorders>
            <w:noWrap/>
            <w:vAlign w:val="center"/>
            <w:hideMark/>
          </w:tcPr>
          <w:p w14:paraId="5FF3E7C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81,707</w:t>
            </w:r>
          </w:p>
        </w:tc>
        <w:tc>
          <w:tcPr>
            <w:tcW w:w="55" w:type="pct"/>
            <w:tcBorders>
              <w:top w:val="nil"/>
              <w:left w:val="nil"/>
              <w:bottom w:val="nil"/>
              <w:right w:val="nil"/>
            </w:tcBorders>
            <w:shd w:val="clear" w:color="000000" w:fill="FFFFFF"/>
            <w:noWrap/>
            <w:vAlign w:val="center"/>
            <w:hideMark/>
          </w:tcPr>
          <w:p w14:paraId="2B0F5CD7"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076969A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86,000</w:t>
            </w:r>
          </w:p>
        </w:tc>
        <w:tc>
          <w:tcPr>
            <w:tcW w:w="538" w:type="pct"/>
            <w:tcBorders>
              <w:top w:val="nil"/>
              <w:left w:val="nil"/>
              <w:bottom w:val="nil"/>
              <w:right w:val="nil"/>
            </w:tcBorders>
            <w:noWrap/>
            <w:vAlign w:val="center"/>
            <w:hideMark/>
          </w:tcPr>
          <w:p w14:paraId="720681A1"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89,500</w:t>
            </w:r>
          </w:p>
        </w:tc>
        <w:tc>
          <w:tcPr>
            <w:tcW w:w="538" w:type="pct"/>
            <w:tcBorders>
              <w:top w:val="nil"/>
              <w:left w:val="nil"/>
              <w:bottom w:val="nil"/>
              <w:right w:val="nil"/>
            </w:tcBorders>
            <w:noWrap/>
            <w:vAlign w:val="center"/>
            <w:hideMark/>
          </w:tcPr>
          <w:p w14:paraId="7EA80182"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92,500</w:t>
            </w:r>
          </w:p>
        </w:tc>
        <w:tc>
          <w:tcPr>
            <w:tcW w:w="538" w:type="pct"/>
            <w:tcBorders>
              <w:top w:val="nil"/>
              <w:left w:val="nil"/>
              <w:bottom w:val="nil"/>
              <w:right w:val="nil"/>
            </w:tcBorders>
            <w:noWrap/>
            <w:vAlign w:val="center"/>
            <w:hideMark/>
          </w:tcPr>
          <w:p w14:paraId="0E4EDA88"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101,100</w:t>
            </w:r>
          </w:p>
        </w:tc>
      </w:tr>
      <w:tr w:rsidR="000932FC" w:rsidRPr="00954D98" w14:paraId="711A9DFC" w14:textId="77777777" w:rsidTr="00EF2868">
        <w:trPr>
          <w:trHeight w:hRule="exact" w:val="225"/>
        </w:trPr>
        <w:tc>
          <w:tcPr>
            <w:tcW w:w="2350" w:type="pct"/>
            <w:tcBorders>
              <w:top w:val="nil"/>
              <w:left w:val="nil"/>
              <w:bottom w:val="nil"/>
              <w:right w:val="nil"/>
            </w:tcBorders>
            <w:noWrap/>
            <w:vAlign w:val="center"/>
            <w:hideMark/>
          </w:tcPr>
          <w:p w14:paraId="774E260C" w14:textId="77777777" w:rsidR="000932FC" w:rsidRPr="00954D98" w:rsidRDefault="000932FC" w:rsidP="000932FC">
            <w:pPr>
              <w:spacing w:before="0" w:after="0" w:line="240" w:lineRule="auto"/>
              <w:ind w:firstLineChars="100" w:firstLine="160"/>
              <w:rPr>
                <w:rFonts w:ascii="Arial" w:hAnsi="Arial" w:cs="Arial"/>
                <w:i/>
                <w:iCs/>
                <w:sz w:val="16"/>
                <w:szCs w:val="16"/>
              </w:rPr>
            </w:pPr>
            <w:r w:rsidRPr="00954D98">
              <w:rPr>
                <w:rFonts w:ascii="Arial" w:hAnsi="Arial" w:cs="Arial"/>
                <w:i/>
                <w:iCs/>
                <w:sz w:val="16"/>
                <w:szCs w:val="16"/>
              </w:rPr>
              <w:t>less: Refunds</w:t>
            </w:r>
          </w:p>
        </w:tc>
        <w:tc>
          <w:tcPr>
            <w:tcW w:w="519" w:type="pct"/>
            <w:tcBorders>
              <w:top w:val="nil"/>
              <w:left w:val="nil"/>
              <w:bottom w:val="single" w:sz="4" w:space="0" w:color="293F5B"/>
              <w:right w:val="nil"/>
            </w:tcBorders>
            <w:noWrap/>
            <w:vAlign w:val="center"/>
            <w:hideMark/>
          </w:tcPr>
          <w:p w14:paraId="0C16955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39,223</w:t>
            </w:r>
          </w:p>
        </w:tc>
        <w:tc>
          <w:tcPr>
            <w:tcW w:w="55" w:type="pct"/>
            <w:tcBorders>
              <w:top w:val="nil"/>
              <w:left w:val="nil"/>
              <w:bottom w:val="nil"/>
              <w:right w:val="nil"/>
            </w:tcBorders>
            <w:shd w:val="clear" w:color="000000" w:fill="FFFFFF"/>
            <w:noWrap/>
            <w:vAlign w:val="center"/>
            <w:hideMark/>
          </w:tcPr>
          <w:p w14:paraId="596B380A"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0151BBE4"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40,600</w:t>
            </w:r>
          </w:p>
        </w:tc>
        <w:tc>
          <w:tcPr>
            <w:tcW w:w="538" w:type="pct"/>
            <w:tcBorders>
              <w:top w:val="nil"/>
              <w:left w:val="nil"/>
              <w:bottom w:val="nil"/>
              <w:right w:val="nil"/>
            </w:tcBorders>
            <w:noWrap/>
            <w:vAlign w:val="center"/>
            <w:hideMark/>
          </w:tcPr>
          <w:p w14:paraId="37A1CEA7"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42,400</w:t>
            </w:r>
          </w:p>
        </w:tc>
        <w:tc>
          <w:tcPr>
            <w:tcW w:w="538" w:type="pct"/>
            <w:tcBorders>
              <w:top w:val="nil"/>
              <w:left w:val="nil"/>
              <w:bottom w:val="nil"/>
              <w:right w:val="nil"/>
            </w:tcBorders>
            <w:noWrap/>
            <w:vAlign w:val="center"/>
            <w:hideMark/>
          </w:tcPr>
          <w:p w14:paraId="5581B8A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45,600</w:t>
            </w:r>
          </w:p>
        </w:tc>
        <w:tc>
          <w:tcPr>
            <w:tcW w:w="538" w:type="pct"/>
            <w:tcBorders>
              <w:top w:val="nil"/>
              <w:left w:val="nil"/>
              <w:bottom w:val="nil"/>
              <w:right w:val="nil"/>
            </w:tcBorders>
            <w:noWrap/>
            <w:vAlign w:val="center"/>
            <w:hideMark/>
          </w:tcPr>
          <w:p w14:paraId="6C96D29C"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47,700</w:t>
            </w:r>
          </w:p>
        </w:tc>
      </w:tr>
      <w:tr w:rsidR="000932FC" w:rsidRPr="00954D98" w14:paraId="7129FD3E" w14:textId="77777777" w:rsidTr="00EF2868">
        <w:trPr>
          <w:trHeight w:hRule="exact" w:val="225"/>
        </w:trPr>
        <w:tc>
          <w:tcPr>
            <w:tcW w:w="2350" w:type="pct"/>
            <w:tcBorders>
              <w:top w:val="nil"/>
              <w:left w:val="nil"/>
              <w:bottom w:val="nil"/>
              <w:right w:val="nil"/>
            </w:tcBorders>
            <w:noWrap/>
            <w:vAlign w:val="center"/>
            <w:hideMark/>
          </w:tcPr>
          <w:p w14:paraId="252BBB5E"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Total individuals and other withholding tax</w:t>
            </w:r>
          </w:p>
        </w:tc>
        <w:tc>
          <w:tcPr>
            <w:tcW w:w="519" w:type="pct"/>
            <w:tcBorders>
              <w:top w:val="single" w:sz="4" w:space="0" w:color="293F5B"/>
              <w:left w:val="nil"/>
              <w:bottom w:val="nil"/>
              <w:right w:val="nil"/>
            </w:tcBorders>
            <w:noWrap/>
            <w:vAlign w:val="center"/>
            <w:hideMark/>
          </w:tcPr>
          <w:p w14:paraId="19BFD181"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338,312</w:t>
            </w:r>
          </w:p>
        </w:tc>
        <w:tc>
          <w:tcPr>
            <w:tcW w:w="55" w:type="pct"/>
            <w:tcBorders>
              <w:top w:val="nil"/>
              <w:left w:val="nil"/>
              <w:bottom w:val="nil"/>
              <w:right w:val="nil"/>
            </w:tcBorders>
            <w:shd w:val="clear" w:color="000000" w:fill="FFFFFF"/>
            <w:noWrap/>
            <w:vAlign w:val="center"/>
            <w:hideMark/>
          </w:tcPr>
          <w:p w14:paraId="6ED4F8DC"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single" w:sz="4" w:space="0" w:color="000000"/>
              <w:left w:val="nil"/>
              <w:bottom w:val="nil"/>
              <w:right w:val="nil"/>
            </w:tcBorders>
            <w:shd w:val="clear" w:color="000000" w:fill="E6F2FF"/>
            <w:noWrap/>
            <w:vAlign w:val="center"/>
            <w:hideMark/>
          </w:tcPr>
          <w:p w14:paraId="7B5BF632"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357,900</w:t>
            </w:r>
          </w:p>
        </w:tc>
        <w:tc>
          <w:tcPr>
            <w:tcW w:w="538" w:type="pct"/>
            <w:tcBorders>
              <w:top w:val="single" w:sz="4" w:space="0" w:color="000000"/>
              <w:left w:val="nil"/>
              <w:bottom w:val="nil"/>
              <w:right w:val="nil"/>
            </w:tcBorders>
            <w:noWrap/>
            <w:vAlign w:val="center"/>
            <w:hideMark/>
          </w:tcPr>
          <w:p w14:paraId="1200DA1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375,800</w:t>
            </w:r>
          </w:p>
        </w:tc>
        <w:tc>
          <w:tcPr>
            <w:tcW w:w="538" w:type="pct"/>
            <w:tcBorders>
              <w:top w:val="single" w:sz="4" w:space="0" w:color="000000"/>
              <w:left w:val="nil"/>
              <w:bottom w:val="nil"/>
              <w:right w:val="nil"/>
            </w:tcBorders>
            <w:noWrap/>
            <w:vAlign w:val="center"/>
            <w:hideMark/>
          </w:tcPr>
          <w:p w14:paraId="45BC97C6"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395,100</w:t>
            </w:r>
          </w:p>
        </w:tc>
        <w:tc>
          <w:tcPr>
            <w:tcW w:w="538" w:type="pct"/>
            <w:tcBorders>
              <w:top w:val="single" w:sz="4" w:space="0" w:color="000000"/>
              <w:left w:val="nil"/>
              <w:bottom w:val="nil"/>
              <w:right w:val="nil"/>
            </w:tcBorders>
            <w:noWrap/>
            <w:vAlign w:val="center"/>
            <w:hideMark/>
          </w:tcPr>
          <w:p w14:paraId="6F176FD4"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421,700</w:t>
            </w:r>
          </w:p>
        </w:tc>
      </w:tr>
      <w:tr w:rsidR="000932FC" w:rsidRPr="00954D98" w14:paraId="0B99324E" w14:textId="77777777" w:rsidTr="000932FC">
        <w:trPr>
          <w:trHeight w:hRule="exact" w:val="225"/>
        </w:trPr>
        <w:tc>
          <w:tcPr>
            <w:tcW w:w="2350" w:type="pct"/>
            <w:tcBorders>
              <w:top w:val="nil"/>
              <w:left w:val="nil"/>
              <w:bottom w:val="nil"/>
              <w:right w:val="nil"/>
            </w:tcBorders>
            <w:noWrap/>
            <w:vAlign w:val="center"/>
            <w:hideMark/>
          </w:tcPr>
          <w:p w14:paraId="72E51CA5"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Fringe benefits tax</w:t>
            </w:r>
          </w:p>
        </w:tc>
        <w:tc>
          <w:tcPr>
            <w:tcW w:w="519" w:type="pct"/>
            <w:tcBorders>
              <w:top w:val="nil"/>
              <w:left w:val="nil"/>
              <w:bottom w:val="nil"/>
              <w:right w:val="nil"/>
            </w:tcBorders>
            <w:noWrap/>
            <w:vAlign w:val="center"/>
            <w:hideMark/>
          </w:tcPr>
          <w:p w14:paraId="5A88E026"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4,927</w:t>
            </w:r>
          </w:p>
        </w:tc>
        <w:tc>
          <w:tcPr>
            <w:tcW w:w="55" w:type="pct"/>
            <w:tcBorders>
              <w:top w:val="nil"/>
              <w:left w:val="nil"/>
              <w:bottom w:val="nil"/>
              <w:right w:val="nil"/>
            </w:tcBorders>
            <w:shd w:val="clear" w:color="000000" w:fill="FFFFFF"/>
            <w:noWrap/>
            <w:vAlign w:val="center"/>
            <w:hideMark/>
          </w:tcPr>
          <w:p w14:paraId="500BF58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75D7598A"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5,310</w:t>
            </w:r>
          </w:p>
        </w:tc>
        <w:tc>
          <w:tcPr>
            <w:tcW w:w="538" w:type="pct"/>
            <w:tcBorders>
              <w:top w:val="nil"/>
              <w:left w:val="nil"/>
              <w:bottom w:val="nil"/>
              <w:right w:val="nil"/>
            </w:tcBorders>
            <w:noWrap/>
            <w:vAlign w:val="center"/>
            <w:hideMark/>
          </w:tcPr>
          <w:p w14:paraId="6192FBF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5,370</w:t>
            </w:r>
          </w:p>
        </w:tc>
        <w:tc>
          <w:tcPr>
            <w:tcW w:w="538" w:type="pct"/>
            <w:tcBorders>
              <w:top w:val="nil"/>
              <w:left w:val="nil"/>
              <w:bottom w:val="nil"/>
              <w:right w:val="nil"/>
            </w:tcBorders>
            <w:noWrap/>
            <w:vAlign w:val="center"/>
            <w:hideMark/>
          </w:tcPr>
          <w:p w14:paraId="5EDA18A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5,530</w:t>
            </w:r>
          </w:p>
        </w:tc>
        <w:tc>
          <w:tcPr>
            <w:tcW w:w="538" w:type="pct"/>
            <w:tcBorders>
              <w:top w:val="nil"/>
              <w:left w:val="nil"/>
              <w:bottom w:val="nil"/>
              <w:right w:val="nil"/>
            </w:tcBorders>
            <w:noWrap/>
            <w:vAlign w:val="center"/>
            <w:hideMark/>
          </w:tcPr>
          <w:p w14:paraId="6FF0FFFB"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5,840</w:t>
            </w:r>
          </w:p>
        </w:tc>
      </w:tr>
      <w:tr w:rsidR="000932FC" w:rsidRPr="00954D98" w14:paraId="0C72B20E" w14:textId="77777777" w:rsidTr="000932FC">
        <w:trPr>
          <w:trHeight w:hRule="exact" w:val="225"/>
        </w:trPr>
        <w:tc>
          <w:tcPr>
            <w:tcW w:w="2350" w:type="pct"/>
            <w:tcBorders>
              <w:top w:val="nil"/>
              <w:left w:val="nil"/>
              <w:bottom w:val="nil"/>
              <w:right w:val="nil"/>
            </w:tcBorders>
            <w:noWrap/>
            <w:vAlign w:val="center"/>
            <w:hideMark/>
          </w:tcPr>
          <w:p w14:paraId="0F2B8007"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Company tax</w:t>
            </w:r>
          </w:p>
        </w:tc>
        <w:tc>
          <w:tcPr>
            <w:tcW w:w="519" w:type="pct"/>
            <w:tcBorders>
              <w:top w:val="nil"/>
              <w:left w:val="nil"/>
              <w:bottom w:val="nil"/>
              <w:right w:val="nil"/>
            </w:tcBorders>
            <w:noWrap/>
            <w:vAlign w:val="center"/>
            <w:hideMark/>
          </w:tcPr>
          <w:p w14:paraId="12DB4E0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138,762</w:t>
            </w:r>
          </w:p>
        </w:tc>
        <w:tc>
          <w:tcPr>
            <w:tcW w:w="55" w:type="pct"/>
            <w:tcBorders>
              <w:top w:val="nil"/>
              <w:left w:val="nil"/>
              <w:bottom w:val="nil"/>
              <w:right w:val="nil"/>
            </w:tcBorders>
            <w:shd w:val="clear" w:color="000000" w:fill="FFFFFF"/>
            <w:noWrap/>
            <w:vAlign w:val="center"/>
            <w:hideMark/>
          </w:tcPr>
          <w:p w14:paraId="024D594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6C67DB5A"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144,700</w:t>
            </w:r>
          </w:p>
        </w:tc>
        <w:tc>
          <w:tcPr>
            <w:tcW w:w="538" w:type="pct"/>
            <w:tcBorders>
              <w:top w:val="nil"/>
              <w:left w:val="nil"/>
              <w:bottom w:val="nil"/>
              <w:right w:val="nil"/>
            </w:tcBorders>
            <w:noWrap/>
            <w:vAlign w:val="center"/>
            <w:hideMark/>
          </w:tcPr>
          <w:p w14:paraId="6756F99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147,300</w:t>
            </w:r>
          </w:p>
        </w:tc>
        <w:tc>
          <w:tcPr>
            <w:tcW w:w="538" w:type="pct"/>
            <w:tcBorders>
              <w:top w:val="nil"/>
              <w:left w:val="nil"/>
              <w:bottom w:val="nil"/>
              <w:right w:val="nil"/>
            </w:tcBorders>
            <w:noWrap/>
            <w:vAlign w:val="center"/>
            <w:hideMark/>
          </w:tcPr>
          <w:p w14:paraId="0EB2FECA"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146,900</w:t>
            </w:r>
          </w:p>
        </w:tc>
        <w:tc>
          <w:tcPr>
            <w:tcW w:w="538" w:type="pct"/>
            <w:tcBorders>
              <w:top w:val="nil"/>
              <w:left w:val="nil"/>
              <w:bottom w:val="nil"/>
              <w:right w:val="nil"/>
            </w:tcBorders>
            <w:noWrap/>
            <w:vAlign w:val="center"/>
            <w:hideMark/>
          </w:tcPr>
          <w:p w14:paraId="03E53D70"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151,700</w:t>
            </w:r>
          </w:p>
        </w:tc>
      </w:tr>
      <w:tr w:rsidR="000932FC" w:rsidRPr="00954D98" w14:paraId="60D0C945" w14:textId="77777777" w:rsidTr="00EF2868">
        <w:trPr>
          <w:trHeight w:hRule="exact" w:val="225"/>
        </w:trPr>
        <w:tc>
          <w:tcPr>
            <w:tcW w:w="2350" w:type="pct"/>
            <w:tcBorders>
              <w:top w:val="nil"/>
              <w:left w:val="nil"/>
              <w:bottom w:val="nil"/>
              <w:right w:val="nil"/>
            </w:tcBorders>
            <w:noWrap/>
            <w:vAlign w:val="center"/>
            <w:hideMark/>
          </w:tcPr>
          <w:p w14:paraId="272577B0"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Superannuation fund taxes</w:t>
            </w:r>
          </w:p>
        </w:tc>
        <w:tc>
          <w:tcPr>
            <w:tcW w:w="519" w:type="pct"/>
            <w:tcBorders>
              <w:top w:val="nil"/>
              <w:left w:val="nil"/>
              <w:right w:val="nil"/>
            </w:tcBorders>
            <w:noWrap/>
            <w:vAlign w:val="center"/>
            <w:hideMark/>
          </w:tcPr>
          <w:p w14:paraId="636D620B"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25,700</w:t>
            </w:r>
          </w:p>
        </w:tc>
        <w:tc>
          <w:tcPr>
            <w:tcW w:w="55" w:type="pct"/>
            <w:tcBorders>
              <w:top w:val="nil"/>
              <w:left w:val="nil"/>
              <w:bottom w:val="nil"/>
              <w:right w:val="nil"/>
            </w:tcBorders>
            <w:shd w:val="clear" w:color="000000" w:fill="FFFFFF"/>
            <w:noWrap/>
            <w:vAlign w:val="center"/>
            <w:hideMark/>
          </w:tcPr>
          <w:p w14:paraId="7657284B"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08B1BF7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30,010</w:t>
            </w:r>
          </w:p>
        </w:tc>
        <w:tc>
          <w:tcPr>
            <w:tcW w:w="538" w:type="pct"/>
            <w:tcBorders>
              <w:top w:val="nil"/>
              <w:left w:val="nil"/>
              <w:bottom w:val="nil"/>
              <w:right w:val="nil"/>
            </w:tcBorders>
            <w:noWrap/>
            <w:vAlign w:val="center"/>
            <w:hideMark/>
          </w:tcPr>
          <w:p w14:paraId="260AA8D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29,110</w:t>
            </w:r>
          </w:p>
        </w:tc>
        <w:tc>
          <w:tcPr>
            <w:tcW w:w="538" w:type="pct"/>
            <w:tcBorders>
              <w:top w:val="nil"/>
              <w:left w:val="nil"/>
              <w:bottom w:val="nil"/>
              <w:right w:val="nil"/>
            </w:tcBorders>
            <w:noWrap/>
            <w:vAlign w:val="center"/>
            <w:hideMark/>
          </w:tcPr>
          <w:p w14:paraId="01FD43CA"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28,110</w:t>
            </w:r>
          </w:p>
        </w:tc>
        <w:tc>
          <w:tcPr>
            <w:tcW w:w="538" w:type="pct"/>
            <w:tcBorders>
              <w:top w:val="nil"/>
              <w:left w:val="nil"/>
              <w:bottom w:val="nil"/>
              <w:right w:val="nil"/>
            </w:tcBorders>
            <w:noWrap/>
            <w:vAlign w:val="center"/>
            <w:hideMark/>
          </w:tcPr>
          <w:p w14:paraId="6C1E488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30,310</w:t>
            </w:r>
          </w:p>
        </w:tc>
      </w:tr>
      <w:tr w:rsidR="000932FC" w:rsidRPr="00954D98" w14:paraId="5C81B8D2" w14:textId="77777777" w:rsidTr="00EF2868">
        <w:trPr>
          <w:trHeight w:hRule="exact" w:val="225"/>
        </w:trPr>
        <w:tc>
          <w:tcPr>
            <w:tcW w:w="2350" w:type="pct"/>
            <w:tcBorders>
              <w:top w:val="nil"/>
              <w:left w:val="nil"/>
              <w:bottom w:val="nil"/>
              <w:right w:val="nil"/>
            </w:tcBorders>
            <w:noWrap/>
            <w:vAlign w:val="center"/>
            <w:hideMark/>
          </w:tcPr>
          <w:p w14:paraId="44C63A67"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Petroleum resource rent tax</w:t>
            </w:r>
          </w:p>
        </w:tc>
        <w:tc>
          <w:tcPr>
            <w:tcW w:w="519" w:type="pct"/>
            <w:tcBorders>
              <w:top w:val="nil"/>
              <w:left w:val="nil"/>
              <w:bottom w:val="single" w:sz="4" w:space="0" w:color="293F5B"/>
              <w:right w:val="nil"/>
            </w:tcBorders>
            <w:noWrap/>
            <w:vAlign w:val="center"/>
            <w:hideMark/>
          </w:tcPr>
          <w:p w14:paraId="03BB4F3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1,420</w:t>
            </w:r>
          </w:p>
        </w:tc>
        <w:tc>
          <w:tcPr>
            <w:tcW w:w="55" w:type="pct"/>
            <w:tcBorders>
              <w:top w:val="nil"/>
              <w:left w:val="nil"/>
              <w:bottom w:val="nil"/>
              <w:right w:val="nil"/>
            </w:tcBorders>
            <w:shd w:val="clear" w:color="000000" w:fill="FFFFFF"/>
            <w:noWrap/>
            <w:vAlign w:val="center"/>
            <w:hideMark/>
          </w:tcPr>
          <w:p w14:paraId="43D9F978"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single" w:sz="4" w:space="0" w:color="293F5B"/>
              <w:right w:val="nil"/>
            </w:tcBorders>
            <w:shd w:val="clear" w:color="000000" w:fill="E6F2FF"/>
            <w:noWrap/>
            <w:vAlign w:val="center"/>
            <w:hideMark/>
          </w:tcPr>
          <w:p w14:paraId="1C44554D"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1,500</w:t>
            </w:r>
          </w:p>
        </w:tc>
        <w:tc>
          <w:tcPr>
            <w:tcW w:w="538" w:type="pct"/>
            <w:tcBorders>
              <w:top w:val="nil"/>
              <w:left w:val="nil"/>
              <w:bottom w:val="single" w:sz="4" w:space="0" w:color="293F5B"/>
              <w:right w:val="nil"/>
            </w:tcBorders>
            <w:noWrap/>
            <w:vAlign w:val="center"/>
            <w:hideMark/>
          </w:tcPr>
          <w:p w14:paraId="0489233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1,500</w:t>
            </w:r>
          </w:p>
        </w:tc>
        <w:tc>
          <w:tcPr>
            <w:tcW w:w="538" w:type="pct"/>
            <w:tcBorders>
              <w:top w:val="nil"/>
              <w:left w:val="nil"/>
              <w:bottom w:val="single" w:sz="4" w:space="0" w:color="293F5B"/>
              <w:right w:val="nil"/>
            </w:tcBorders>
            <w:noWrap/>
            <w:vAlign w:val="center"/>
            <w:hideMark/>
          </w:tcPr>
          <w:p w14:paraId="1C19EB2D"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1,300</w:t>
            </w:r>
          </w:p>
        </w:tc>
        <w:tc>
          <w:tcPr>
            <w:tcW w:w="538" w:type="pct"/>
            <w:tcBorders>
              <w:top w:val="nil"/>
              <w:left w:val="nil"/>
              <w:bottom w:val="single" w:sz="4" w:space="0" w:color="293F5B"/>
              <w:right w:val="nil"/>
            </w:tcBorders>
            <w:noWrap/>
            <w:vAlign w:val="center"/>
            <w:hideMark/>
          </w:tcPr>
          <w:p w14:paraId="295FD52C"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1,050</w:t>
            </w:r>
          </w:p>
        </w:tc>
      </w:tr>
      <w:tr w:rsidR="000932FC" w:rsidRPr="00954D98" w14:paraId="7717B6D9" w14:textId="77777777" w:rsidTr="00EF2868">
        <w:trPr>
          <w:trHeight w:hRule="exact" w:val="225"/>
        </w:trPr>
        <w:tc>
          <w:tcPr>
            <w:tcW w:w="2350" w:type="pct"/>
            <w:tcBorders>
              <w:top w:val="nil"/>
              <w:left w:val="nil"/>
              <w:bottom w:val="nil"/>
              <w:right w:val="nil"/>
            </w:tcBorders>
            <w:noWrap/>
            <w:vAlign w:val="center"/>
            <w:hideMark/>
          </w:tcPr>
          <w:p w14:paraId="779C4732" w14:textId="77777777" w:rsidR="000932FC" w:rsidRPr="00954D98" w:rsidRDefault="000932FC" w:rsidP="000932FC">
            <w:pPr>
              <w:spacing w:before="0" w:after="0" w:line="240" w:lineRule="auto"/>
              <w:rPr>
                <w:rFonts w:ascii="Arial" w:hAnsi="Arial" w:cs="Arial"/>
                <w:b/>
                <w:bCs/>
                <w:sz w:val="16"/>
                <w:szCs w:val="16"/>
              </w:rPr>
            </w:pPr>
            <w:r w:rsidRPr="00954D98">
              <w:rPr>
                <w:rFonts w:ascii="Arial" w:hAnsi="Arial" w:cs="Arial"/>
                <w:b/>
                <w:bCs/>
                <w:sz w:val="16"/>
                <w:szCs w:val="16"/>
              </w:rPr>
              <w:t>Income taxation receipts</w:t>
            </w:r>
          </w:p>
        </w:tc>
        <w:tc>
          <w:tcPr>
            <w:tcW w:w="519" w:type="pct"/>
            <w:tcBorders>
              <w:top w:val="single" w:sz="4" w:space="0" w:color="293F5B"/>
              <w:left w:val="nil"/>
              <w:bottom w:val="single" w:sz="4" w:space="0" w:color="293F5B"/>
              <w:right w:val="nil"/>
            </w:tcBorders>
            <w:noWrap/>
            <w:vAlign w:val="center"/>
            <w:hideMark/>
          </w:tcPr>
          <w:p w14:paraId="4164537B"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509,121</w:t>
            </w:r>
          </w:p>
        </w:tc>
        <w:tc>
          <w:tcPr>
            <w:tcW w:w="55" w:type="pct"/>
            <w:tcBorders>
              <w:top w:val="nil"/>
              <w:left w:val="nil"/>
              <w:bottom w:val="nil"/>
              <w:right w:val="nil"/>
            </w:tcBorders>
            <w:shd w:val="clear" w:color="000000" w:fill="FFFFFF"/>
            <w:noWrap/>
            <w:vAlign w:val="center"/>
            <w:hideMark/>
          </w:tcPr>
          <w:p w14:paraId="40E37B83"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463" w:type="pct"/>
            <w:tcBorders>
              <w:top w:val="single" w:sz="4" w:space="0" w:color="293F5B"/>
              <w:left w:val="nil"/>
              <w:bottom w:val="single" w:sz="4" w:space="0" w:color="293F5B"/>
              <w:right w:val="nil"/>
            </w:tcBorders>
            <w:shd w:val="clear" w:color="000000" w:fill="E6F2FF"/>
            <w:noWrap/>
            <w:vAlign w:val="center"/>
            <w:hideMark/>
          </w:tcPr>
          <w:p w14:paraId="720624A8"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539,420</w:t>
            </w:r>
          </w:p>
        </w:tc>
        <w:tc>
          <w:tcPr>
            <w:tcW w:w="538" w:type="pct"/>
            <w:tcBorders>
              <w:top w:val="single" w:sz="4" w:space="0" w:color="293F5B"/>
              <w:left w:val="nil"/>
              <w:bottom w:val="single" w:sz="4" w:space="0" w:color="293F5B"/>
              <w:right w:val="nil"/>
            </w:tcBorders>
            <w:noWrap/>
            <w:vAlign w:val="center"/>
            <w:hideMark/>
          </w:tcPr>
          <w:p w14:paraId="70B93997"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559,080</w:t>
            </w:r>
          </w:p>
        </w:tc>
        <w:tc>
          <w:tcPr>
            <w:tcW w:w="538" w:type="pct"/>
            <w:tcBorders>
              <w:top w:val="single" w:sz="4" w:space="0" w:color="293F5B"/>
              <w:left w:val="nil"/>
              <w:bottom w:val="single" w:sz="4" w:space="0" w:color="293F5B"/>
              <w:right w:val="nil"/>
            </w:tcBorders>
            <w:noWrap/>
            <w:vAlign w:val="center"/>
            <w:hideMark/>
          </w:tcPr>
          <w:p w14:paraId="0CE339BD"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576,940</w:t>
            </w:r>
          </w:p>
        </w:tc>
        <w:tc>
          <w:tcPr>
            <w:tcW w:w="538" w:type="pct"/>
            <w:tcBorders>
              <w:top w:val="single" w:sz="4" w:space="0" w:color="293F5B"/>
              <w:left w:val="nil"/>
              <w:bottom w:val="single" w:sz="4" w:space="0" w:color="293F5B"/>
              <w:right w:val="nil"/>
            </w:tcBorders>
            <w:noWrap/>
            <w:vAlign w:val="center"/>
            <w:hideMark/>
          </w:tcPr>
          <w:p w14:paraId="042AC016"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610,600</w:t>
            </w:r>
          </w:p>
        </w:tc>
      </w:tr>
      <w:tr w:rsidR="000932FC" w:rsidRPr="00954D98" w14:paraId="7F98F472" w14:textId="77777777" w:rsidTr="00EF2868">
        <w:trPr>
          <w:trHeight w:hRule="exact" w:val="60"/>
        </w:trPr>
        <w:tc>
          <w:tcPr>
            <w:tcW w:w="2350" w:type="pct"/>
            <w:tcBorders>
              <w:top w:val="nil"/>
              <w:left w:val="nil"/>
              <w:bottom w:val="nil"/>
              <w:right w:val="nil"/>
            </w:tcBorders>
            <w:noWrap/>
            <w:vAlign w:val="center"/>
            <w:hideMark/>
          </w:tcPr>
          <w:p w14:paraId="63CE9F23" w14:textId="77777777" w:rsidR="000932FC" w:rsidRPr="00954D98" w:rsidRDefault="000932FC" w:rsidP="000932FC">
            <w:pPr>
              <w:spacing w:before="0" w:after="0" w:line="240" w:lineRule="auto"/>
              <w:jc w:val="right"/>
              <w:rPr>
                <w:rFonts w:ascii="Arial" w:hAnsi="Arial" w:cs="Arial"/>
                <w:b/>
                <w:bCs/>
                <w:sz w:val="16"/>
                <w:szCs w:val="16"/>
              </w:rPr>
            </w:pPr>
          </w:p>
        </w:tc>
        <w:tc>
          <w:tcPr>
            <w:tcW w:w="519" w:type="pct"/>
            <w:tcBorders>
              <w:top w:val="single" w:sz="4" w:space="0" w:color="293F5B"/>
              <w:left w:val="nil"/>
              <w:bottom w:val="nil"/>
              <w:right w:val="nil"/>
            </w:tcBorders>
            <w:noWrap/>
            <w:vAlign w:val="center"/>
            <w:hideMark/>
          </w:tcPr>
          <w:p w14:paraId="08BBE8B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55" w:type="pct"/>
            <w:tcBorders>
              <w:top w:val="nil"/>
              <w:left w:val="nil"/>
              <w:bottom w:val="nil"/>
              <w:right w:val="nil"/>
            </w:tcBorders>
            <w:shd w:val="clear" w:color="000000" w:fill="FFFFFF"/>
            <w:noWrap/>
            <w:vAlign w:val="center"/>
            <w:hideMark/>
          </w:tcPr>
          <w:p w14:paraId="2BDC917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single" w:sz="4" w:space="0" w:color="293F5B"/>
              <w:left w:val="nil"/>
              <w:bottom w:val="nil"/>
              <w:right w:val="nil"/>
            </w:tcBorders>
            <w:shd w:val="clear" w:color="000000" w:fill="E6F2FF"/>
            <w:noWrap/>
            <w:vAlign w:val="center"/>
            <w:hideMark/>
          </w:tcPr>
          <w:p w14:paraId="47C6921F"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 </w:t>
            </w:r>
          </w:p>
        </w:tc>
        <w:tc>
          <w:tcPr>
            <w:tcW w:w="538" w:type="pct"/>
            <w:tcBorders>
              <w:top w:val="single" w:sz="4" w:space="0" w:color="293F5B"/>
              <w:left w:val="nil"/>
              <w:bottom w:val="nil"/>
              <w:right w:val="nil"/>
            </w:tcBorders>
            <w:noWrap/>
            <w:vAlign w:val="center"/>
            <w:hideMark/>
          </w:tcPr>
          <w:p w14:paraId="27E09910"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538" w:type="pct"/>
            <w:tcBorders>
              <w:top w:val="single" w:sz="4" w:space="0" w:color="293F5B"/>
              <w:left w:val="nil"/>
              <w:bottom w:val="nil"/>
              <w:right w:val="nil"/>
            </w:tcBorders>
            <w:noWrap/>
            <w:vAlign w:val="center"/>
            <w:hideMark/>
          </w:tcPr>
          <w:p w14:paraId="6E5CC091"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538" w:type="pct"/>
            <w:tcBorders>
              <w:top w:val="single" w:sz="4" w:space="0" w:color="293F5B"/>
              <w:left w:val="nil"/>
              <w:bottom w:val="nil"/>
              <w:right w:val="nil"/>
            </w:tcBorders>
            <w:noWrap/>
            <w:vAlign w:val="center"/>
            <w:hideMark/>
          </w:tcPr>
          <w:p w14:paraId="77547EF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r>
      <w:tr w:rsidR="000932FC" w:rsidRPr="00954D98" w14:paraId="4FD6135C" w14:textId="77777777" w:rsidTr="000932FC">
        <w:trPr>
          <w:trHeight w:hRule="exact" w:val="225"/>
        </w:trPr>
        <w:tc>
          <w:tcPr>
            <w:tcW w:w="2350" w:type="pct"/>
            <w:tcBorders>
              <w:top w:val="nil"/>
              <w:left w:val="nil"/>
              <w:bottom w:val="nil"/>
              <w:right w:val="nil"/>
            </w:tcBorders>
            <w:noWrap/>
            <w:vAlign w:val="center"/>
            <w:hideMark/>
          </w:tcPr>
          <w:p w14:paraId="29E6A457"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Goods and services tax</w:t>
            </w:r>
          </w:p>
        </w:tc>
        <w:tc>
          <w:tcPr>
            <w:tcW w:w="519" w:type="pct"/>
            <w:tcBorders>
              <w:top w:val="nil"/>
              <w:left w:val="nil"/>
              <w:bottom w:val="nil"/>
              <w:right w:val="nil"/>
            </w:tcBorders>
            <w:noWrap/>
            <w:vAlign w:val="center"/>
            <w:hideMark/>
          </w:tcPr>
          <w:p w14:paraId="103B58E1"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90,322</w:t>
            </w:r>
          </w:p>
        </w:tc>
        <w:tc>
          <w:tcPr>
            <w:tcW w:w="55" w:type="pct"/>
            <w:tcBorders>
              <w:top w:val="nil"/>
              <w:left w:val="nil"/>
              <w:bottom w:val="nil"/>
              <w:right w:val="nil"/>
            </w:tcBorders>
            <w:shd w:val="clear" w:color="000000" w:fill="FFFFFF"/>
            <w:noWrap/>
            <w:vAlign w:val="center"/>
            <w:hideMark/>
          </w:tcPr>
          <w:p w14:paraId="4FCD56DA"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1389BBF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95,654</w:t>
            </w:r>
          </w:p>
        </w:tc>
        <w:tc>
          <w:tcPr>
            <w:tcW w:w="538" w:type="pct"/>
            <w:tcBorders>
              <w:top w:val="nil"/>
              <w:left w:val="nil"/>
              <w:bottom w:val="nil"/>
              <w:right w:val="nil"/>
            </w:tcBorders>
            <w:noWrap/>
            <w:vAlign w:val="center"/>
            <w:hideMark/>
          </w:tcPr>
          <w:p w14:paraId="25FDCE1A"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101,560</w:t>
            </w:r>
          </w:p>
        </w:tc>
        <w:tc>
          <w:tcPr>
            <w:tcW w:w="538" w:type="pct"/>
            <w:tcBorders>
              <w:top w:val="nil"/>
              <w:left w:val="nil"/>
              <w:bottom w:val="nil"/>
              <w:right w:val="nil"/>
            </w:tcBorders>
            <w:noWrap/>
            <w:vAlign w:val="center"/>
            <w:hideMark/>
          </w:tcPr>
          <w:p w14:paraId="14D8723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106,848</w:t>
            </w:r>
          </w:p>
        </w:tc>
        <w:tc>
          <w:tcPr>
            <w:tcW w:w="538" w:type="pct"/>
            <w:tcBorders>
              <w:top w:val="nil"/>
              <w:left w:val="nil"/>
              <w:bottom w:val="nil"/>
              <w:right w:val="nil"/>
            </w:tcBorders>
            <w:noWrap/>
            <w:vAlign w:val="center"/>
            <w:hideMark/>
          </w:tcPr>
          <w:p w14:paraId="4EA29FB7"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113,702</w:t>
            </w:r>
          </w:p>
        </w:tc>
      </w:tr>
      <w:tr w:rsidR="000932FC" w:rsidRPr="00954D98" w14:paraId="27A630FC" w14:textId="77777777" w:rsidTr="000932FC">
        <w:trPr>
          <w:trHeight w:hRule="exact" w:val="225"/>
        </w:trPr>
        <w:tc>
          <w:tcPr>
            <w:tcW w:w="2350" w:type="pct"/>
            <w:tcBorders>
              <w:top w:val="nil"/>
              <w:left w:val="nil"/>
              <w:bottom w:val="nil"/>
              <w:right w:val="nil"/>
            </w:tcBorders>
            <w:noWrap/>
            <w:vAlign w:val="center"/>
            <w:hideMark/>
          </w:tcPr>
          <w:p w14:paraId="62B18F21"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Wine equalisation tax</w:t>
            </w:r>
          </w:p>
        </w:tc>
        <w:tc>
          <w:tcPr>
            <w:tcW w:w="519" w:type="pct"/>
            <w:tcBorders>
              <w:top w:val="nil"/>
              <w:left w:val="nil"/>
              <w:bottom w:val="nil"/>
              <w:right w:val="nil"/>
            </w:tcBorders>
            <w:noWrap/>
            <w:vAlign w:val="center"/>
            <w:hideMark/>
          </w:tcPr>
          <w:p w14:paraId="50CCD59B"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1,134</w:t>
            </w:r>
          </w:p>
        </w:tc>
        <w:tc>
          <w:tcPr>
            <w:tcW w:w="55" w:type="pct"/>
            <w:tcBorders>
              <w:top w:val="nil"/>
              <w:left w:val="nil"/>
              <w:bottom w:val="nil"/>
              <w:right w:val="nil"/>
            </w:tcBorders>
            <w:shd w:val="clear" w:color="000000" w:fill="FFFFFF"/>
            <w:noWrap/>
            <w:vAlign w:val="center"/>
            <w:hideMark/>
          </w:tcPr>
          <w:p w14:paraId="5D2B755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6742A416"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1,160</w:t>
            </w:r>
          </w:p>
        </w:tc>
        <w:tc>
          <w:tcPr>
            <w:tcW w:w="538" w:type="pct"/>
            <w:tcBorders>
              <w:top w:val="nil"/>
              <w:left w:val="nil"/>
              <w:bottom w:val="nil"/>
              <w:right w:val="nil"/>
            </w:tcBorders>
            <w:noWrap/>
            <w:vAlign w:val="center"/>
            <w:hideMark/>
          </w:tcPr>
          <w:p w14:paraId="029DD36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1,210</w:t>
            </w:r>
          </w:p>
        </w:tc>
        <w:tc>
          <w:tcPr>
            <w:tcW w:w="538" w:type="pct"/>
            <w:tcBorders>
              <w:top w:val="nil"/>
              <w:left w:val="nil"/>
              <w:bottom w:val="nil"/>
              <w:right w:val="nil"/>
            </w:tcBorders>
            <w:noWrap/>
            <w:vAlign w:val="center"/>
            <w:hideMark/>
          </w:tcPr>
          <w:p w14:paraId="7BC325F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1,270</w:t>
            </w:r>
          </w:p>
        </w:tc>
        <w:tc>
          <w:tcPr>
            <w:tcW w:w="538" w:type="pct"/>
            <w:tcBorders>
              <w:top w:val="nil"/>
              <w:left w:val="nil"/>
              <w:bottom w:val="nil"/>
              <w:right w:val="nil"/>
            </w:tcBorders>
            <w:noWrap/>
            <w:vAlign w:val="center"/>
            <w:hideMark/>
          </w:tcPr>
          <w:p w14:paraId="0893C2D6"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1,310</w:t>
            </w:r>
          </w:p>
        </w:tc>
      </w:tr>
      <w:tr w:rsidR="000932FC" w:rsidRPr="00954D98" w14:paraId="5075390E" w14:textId="77777777" w:rsidTr="000932FC">
        <w:trPr>
          <w:trHeight w:hRule="exact" w:val="225"/>
        </w:trPr>
        <w:tc>
          <w:tcPr>
            <w:tcW w:w="2350" w:type="pct"/>
            <w:tcBorders>
              <w:top w:val="nil"/>
              <w:left w:val="nil"/>
              <w:bottom w:val="nil"/>
              <w:right w:val="nil"/>
            </w:tcBorders>
            <w:noWrap/>
            <w:vAlign w:val="center"/>
            <w:hideMark/>
          </w:tcPr>
          <w:p w14:paraId="2DB1F197"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Luxury car tax</w:t>
            </w:r>
          </w:p>
        </w:tc>
        <w:tc>
          <w:tcPr>
            <w:tcW w:w="519" w:type="pct"/>
            <w:tcBorders>
              <w:top w:val="nil"/>
              <w:left w:val="nil"/>
              <w:bottom w:val="nil"/>
              <w:right w:val="nil"/>
            </w:tcBorders>
            <w:noWrap/>
            <w:vAlign w:val="center"/>
            <w:hideMark/>
          </w:tcPr>
          <w:p w14:paraId="1E8DF09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1,088</w:t>
            </w:r>
          </w:p>
        </w:tc>
        <w:tc>
          <w:tcPr>
            <w:tcW w:w="55" w:type="pct"/>
            <w:tcBorders>
              <w:top w:val="nil"/>
              <w:left w:val="nil"/>
              <w:bottom w:val="nil"/>
              <w:right w:val="nil"/>
            </w:tcBorders>
            <w:shd w:val="clear" w:color="000000" w:fill="FFFFFF"/>
            <w:noWrap/>
            <w:vAlign w:val="center"/>
            <w:hideMark/>
          </w:tcPr>
          <w:p w14:paraId="4654B12B"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3A1D9B4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1,120</w:t>
            </w:r>
          </w:p>
        </w:tc>
        <w:tc>
          <w:tcPr>
            <w:tcW w:w="538" w:type="pct"/>
            <w:tcBorders>
              <w:top w:val="nil"/>
              <w:left w:val="nil"/>
              <w:bottom w:val="nil"/>
              <w:right w:val="nil"/>
            </w:tcBorders>
            <w:noWrap/>
            <w:vAlign w:val="center"/>
            <w:hideMark/>
          </w:tcPr>
          <w:p w14:paraId="1CDBF3A1"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1,180</w:t>
            </w:r>
          </w:p>
        </w:tc>
        <w:tc>
          <w:tcPr>
            <w:tcW w:w="538" w:type="pct"/>
            <w:tcBorders>
              <w:top w:val="nil"/>
              <w:left w:val="nil"/>
              <w:bottom w:val="nil"/>
              <w:right w:val="nil"/>
            </w:tcBorders>
            <w:noWrap/>
            <w:vAlign w:val="center"/>
            <w:hideMark/>
          </w:tcPr>
          <w:p w14:paraId="3D1E175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1,240</w:t>
            </w:r>
          </w:p>
        </w:tc>
        <w:tc>
          <w:tcPr>
            <w:tcW w:w="538" w:type="pct"/>
            <w:tcBorders>
              <w:top w:val="nil"/>
              <w:left w:val="nil"/>
              <w:bottom w:val="nil"/>
              <w:right w:val="nil"/>
            </w:tcBorders>
            <w:noWrap/>
            <w:vAlign w:val="center"/>
            <w:hideMark/>
          </w:tcPr>
          <w:p w14:paraId="46734D9C"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1,300</w:t>
            </w:r>
          </w:p>
        </w:tc>
      </w:tr>
      <w:tr w:rsidR="000932FC" w:rsidRPr="00954D98" w14:paraId="3B9C1F00" w14:textId="77777777" w:rsidTr="000932FC">
        <w:trPr>
          <w:trHeight w:hRule="exact" w:val="225"/>
        </w:trPr>
        <w:tc>
          <w:tcPr>
            <w:tcW w:w="2350" w:type="pct"/>
            <w:tcBorders>
              <w:top w:val="nil"/>
              <w:left w:val="nil"/>
              <w:bottom w:val="nil"/>
              <w:right w:val="nil"/>
            </w:tcBorders>
            <w:noWrap/>
            <w:vAlign w:val="center"/>
            <w:hideMark/>
          </w:tcPr>
          <w:p w14:paraId="3C1AB0B1"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Excise and customs duty</w:t>
            </w:r>
          </w:p>
        </w:tc>
        <w:tc>
          <w:tcPr>
            <w:tcW w:w="519" w:type="pct"/>
            <w:tcBorders>
              <w:top w:val="nil"/>
              <w:left w:val="nil"/>
              <w:bottom w:val="nil"/>
              <w:right w:val="nil"/>
            </w:tcBorders>
            <w:noWrap/>
            <w:vAlign w:val="center"/>
            <w:hideMark/>
          </w:tcPr>
          <w:p w14:paraId="66F951A3" w14:textId="77777777" w:rsidR="000932FC" w:rsidRPr="00954D98" w:rsidRDefault="000932FC" w:rsidP="000932FC">
            <w:pPr>
              <w:spacing w:before="0" w:after="0" w:line="240" w:lineRule="auto"/>
              <w:rPr>
                <w:rFonts w:ascii="Arial" w:hAnsi="Arial" w:cs="Arial"/>
                <w:sz w:val="16"/>
                <w:szCs w:val="16"/>
              </w:rPr>
            </w:pPr>
          </w:p>
        </w:tc>
        <w:tc>
          <w:tcPr>
            <w:tcW w:w="55" w:type="pct"/>
            <w:tcBorders>
              <w:top w:val="nil"/>
              <w:left w:val="nil"/>
              <w:bottom w:val="nil"/>
              <w:right w:val="nil"/>
            </w:tcBorders>
            <w:shd w:val="clear" w:color="000000" w:fill="FFFFFF"/>
            <w:noWrap/>
            <w:vAlign w:val="center"/>
            <w:hideMark/>
          </w:tcPr>
          <w:p w14:paraId="05BDC42B"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5C1B52F4"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 </w:t>
            </w:r>
          </w:p>
        </w:tc>
        <w:tc>
          <w:tcPr>
            <w:tcW w:w="538" w:type="pct"/>
            <w:tcBorders>
              <w:top w:val="nil"/>
              <w:left w:val="nil"/>
              <w:bottom w:val="nil"/>
              <w:right w:val="nil"/>
            </w:tcBorders>
            <w:noWrap/>
            <w:vAlign w:val="center"/>
            <w:hideMark/>
          </w:tcPr>
          <w:p w14:paraId="1F4A305C" w14:textId="77777777" w:rsidR="000932FC" w:rsidRPr="00954D98" w:rsidRDefault="000932FC" w:rsidP="000932FC">
            <w:pPr>
              <w:spacing w:before="0" w:after="0" w:line="240" w:lineRule="auto"/>
              <w:rPr>
                <w:rFonts w:ascii="Arial" w:hAnsi="Arial" w:cs="Arial"/>
                <w:sz w:val="16"/>
                <w:szCs w:val="16"/>
              </w:rPr>
            </w:pPr>
          </w:p>
        </w:tc>
        <w:tc>
          <w:tcPr>
            <w:tcW w:w="538" w:type="pct"/>
            <w:tcBorders>
              <w:top w:val="nil"/>
              <w:left w:val="nil"/>
              <w:bottom w:val="nil"/>
              <w:right w:val="nil"/>
            </w:tcBorders>
            <w:noWrap/>
            <w:vAlign w:val="center"/>
            <w:hideMark/>
          </w:tcPr>
          <w:p w14:paraId="7C2E0B77" w14:textId="77777777" w:rsidR="000932FC" w:rsidRPr="00954D98" w:rsidRDefault="000932FC" w:rsidP="000932FC">
            <w:pPr>
              <w:spacing w:before="0" w:after="0" w:line="240" w:lineRule="auto"/>
              <w:jc w:val="right"/>
              <w:rPr>
                <w:sz w:val="20"/>
              </w:rPr>
            </w:pPr>
          </w:p>
        </w:tc>
        <w:tc>
          <w:tcPr>
            <w:tcW w:w="538" w:type="pct"/>
            <w:tcBorders>
              <w:top w:val="nil"/>
              <w:left w:val="nil"/>
              <w:bottom w:val="nil"/>
              <w:right w:val="nil"/>
            </w:tcBorders>
            <w:noWrap/>
            <w:vAlign w:val="center"/>
            <w:hideMark/>
          </w:tcPr>
          <w:p w14:paraId="0D7AD077" w14:textId="77777777" w:rsidR="000932FC" w:rsidRPr="00954D98" w:rsidRDefault="000932FC" w:rsidP="000932FC">
            <w:pPr>
              <w:spacing w:before="0" w:after="0" w:line="240" w:lineRule="auto"/>
              <w:jc w:val="right"/>
              <w:rPr>
                <w:sz w:val="20"/>
              </w:rPr>
            </w:pPr>
          </w:p>
        </w:tc>
      </w:tr>
      <w:tr w:rsidR="000932FC" w:rsidRPr="00954D98" w14:paraId="68DDB02E" w14:textId="77777777" w:rsidTr="000932FC">
        <w:trPr>
          <w:trHeight w:hRule="exact" w:val="225"/>
        </w:trPr>
        <w:tc>
          <w:tcPr>
            <w:tcW w:w="2350" w:type="pct"/>
            <w:tcBorders>
              <w:top w:val="nil"/>
              <w:left w:val="nil"/>
              <w:bottom w:val="nil"/>
              <w:right w:val="nil"/>
            </w:tcBorders>
            <w:noWrap/>
            <w:vAlign w:val="center"/>
            <w:hideMark/>
          </w:tcPr>
          <w:p w14:paraId="6F5E1E8F" w14:textId="77777777" w:rsidR="000932FC" w:rsidRPr="00954D98" w:rsidRDefault="000932FC" w:rsidP="000932FC">
            <w:pPr>
              <w:spacing w:before="0" w:after="0" w:line="240" w:lineRule="auto"/>
              <w:ind w:firstLineChars="100" w:firstLine="160"/>
              <w:rPr>
                <w:rFonts w:ascii="Arial" w:hAnsi="Arial" w:cs="Arial"/>
                <w:sz w:val="16"/>
                <w:szCs w:val="16"/>
              </w:rPr>
            </w:pPr>
            <w:r w:rsidRPr="00954D98">
              <w:rPr>
                <w:rFonts w:ascii="Arial" w:hAnsi="Arial" w:cs="Arial"/>
                <w:sz w:val="16"/>
                <w:szCs w:val="16"/>
              </w:rPr>
              <w:t>Petrol</w:t>
            </w:r>
          </w:p>
        </w:tc>
        <w:tc>
          <w:tcPr>
            <w:tcW w:w="519" w:type="pct"/>
            <w:tcBorders>
              <w:top w:val="nil"/>
              <w:left w:val="nil"/>
              <w:bottom w:val="nil"/>
              <w:right w:val="nil"/>
            </w:tcBorders>
            <w:noWrap/>
            <w:vAlign w:val="center"/>
            <w:hideMark/>
          </w:tcPr>
          <w:p w14:paraId="08C752C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7,306</w:t>
            </w:r>
          </w:p>
        </w:tc>
        <w:tc>
          <w:tcPr>
            <w:tcW w:w="55" w:type="pct"/>
            <w:tcBorders>
              <w:top w:val="nil"/>
              <w:left w:val="nil"/>
              <w:bottom w:val="nil"/>
              <w:right w:val="nil"/>
            </w:tcBorders>
            <w:shd w:val="clear" w:color="000000" w:fill="FFFFFF"/>
            <w:noWrap/>
            <w:vAlign w:val="center"/>
            <w:hideMark/>
          </w:tcPr>
          <w:p w14:paraId="61C0703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2E9ED856"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7,300</w:t>
            </w:r>
          </w:p>
        </w:tc>
        <w:tc>
          <w:tcPr>
            <w:tcW w:w="538" w:type="pct"/>
            <w:tcBorders>
              <w:top w:val="nil"/>
              <w:left w:val="nil"/>
              <w:bottom w:val="nil"/>
              <w:right w:val="nil"/>
            </w:tcBorders>
            <w:noWrap/>
            <w:vAlign w:val="center"/>
            <w:hideMark/>
          </w:tcPr>
          <w:p w14:paraId="1EDE1E9B"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7,550</w:t>
            </w:r>
          </w:p>
        </w:tc>
        <w:tc>
          <w:tcPr>
            <w:tcW w:w="538" w:type="pct"/>
            <w:tcBorders>
              <w:top w:val="nil"/>
              <w:left w:val="nil"/>
              <w:bottom w:val="nil"/>
              <w:right w:val="nil"/>
            </w:tcBorders>
            <w:noWrap/>
            <w:vAlign w:val="center"/>
            <w:hideMark/>
          </w:tcPr>
          <w:p w14:paraId="4A48DF1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7,750</w:t>
            </w:r>
          </w:p>
        </w:tc>
        <w:tc>
          <w:tcPr>
            <w:tcW w:w="538" w:type="pct"/>
            <w:tcBorders>
              <w:top w:val="nil"/>
              <w:left w:val="nil"/>
              <w:bottom w:val="nil"/>
              <w:right w:val="nil"/>
            </w:tcBorders>
            <w:noWrap/>
            <w:vAlign w:val="center"/>
            <w:hideMark/>
          </w:tcPr>
          <w:p w14:paraId="68A3A42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8,000</w:t>
            </w:r>
          </w:p>
        </w:tc>
      </w:tr>
      <w:tr w:rsidR="000932FC" w:rsidRPr="00954D98" w14:paraId="032B7349" w14:textId="77777777" w:rsidTr="000932FC">
        <w:trPr>
          <w:trHeight w:hRule="exact" w:val="225"/>
        </w:trPr>
        <w:tc>
          <w:tcPr>
            <w:tcW w:w="2350" w:type="pct"/>
            <w:tcBorders>
              <w:top w:val="nil"/>
              <w:left w:val="nil"/>
              <w:bottom w:val="nil"/>
              <w:right w:val="nil"/>
            </w:tcBorders>
            <w:noWrap/>
            <w:vAlign w:val="center"/>
            <w:hideMark/>
          </w:tcPr>
          <w:p w14:paraId="1BBCB525" w14:textId="77777777" w:rsidR="000932FC" w:rsidRPr="00954D98" w:rsidRDefault="000932FC" w:rsidP="000932FC">
            <w:pPr>
              <w:spacing w:before="0" w:after="0" w:line="240" w:lineRule="auto"/>
              <w:ind w:firstLineChars="100" w:firstLine="160"/>
              <w:rPr>
                <w:rFonts w:ascii="Arial" w:hAnsi="Arial" w:cs="Arial"/>
                <w:sz w:val="16"/>
                <w:szCs w:val="16"/>
              </w:rPr>
            </w:pPr>
            <w:r w:rsidRPr="00954D98">
              <w:rPr>
                <w:rFonts w:ascii="Arial" w:hAnsi="Arial" w:cs="Arial"/>
                <w:sz w:val="16"/>
                <w:szCs w:val="16"/>
              </w:rPr>
              <w:t>Diesel</w:t>
            </w:r>
          </w:p>
        </w:tc>
        <w:tc>
          <w:tcPr>
            <w:tcW w:w="519" w:type="pct"/>
            <w:tcBorders>
              <w:top w:val="nil"/>
              <w:left w:val="nil"/>
              <w:bottom w:val="nil"/>
              <w:right w:val="nil"/>
            </w:tcBorders>
            <w:noWrap/>
            <w:vAlign w:val="center"/>
            <w:hideMark/>
          </w:tcPr>
          <w:p w14:paraId="317E1D84"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17,262</w:t>
            </w:r>
          </w:p>
        </w:tc>
        <w:tc>
          <w:tcPr>
            <w:tcW w:w="55" w:type="pct"/>
            <w:tcBorders>
              <w:top w:val="nil"/>
              <w:left w:val="nil"/>
              <w:bottom w:val="nil"/>
              <w:right w:val="nil"/>
            </w:tcBorders>
            <w:shd w:val="clear" w:color="000000" w:fill="FFFFFF"/>
            <w:noWrap/>
            <w:vAlign w:val="center"/>
            <w:hideMark/>
          </w:tcPr>
          <w:p w14:paraId="4E3F18F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65AD5E32"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17,610</w:t>
            </w:r>
          </w:p>
        </w:tc>
        <w:tc>
          <w:tcPr>
            <w:tcW w:w="538" w:type="pct"/>
            <w:tcBorders>
              <w:top w:val="nil"/>
              <w:left w:val="nil"/>
              <w:bottom w:val="nil"/>
              <w:right w:val="nil"/>
            </w:tcBorders>
            <w:noWrap/>
            <w:vAlign w:val="center"/>
            <w:hideMark/>
          </w:tcPr>
          <w:p w14:paraId="47039348"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18,430</w:t>
            </w:r>
          </w:p>
        </w:tc>
        <w:tc>
          <w:tcPr>
            <w:tcW w:w="538" w:type="pct"/>
            <w:tcBorders>
              <w:top w:val="nil"/>
              <w:left w:val="nil"/>
              <w:bottom w:val="nil"/>
              <w:right w:val="nil"/>
            </w:tcBorders>
            <w:noWrap/>
            <w:vAlign w:val="center"/>
            <w:hideMark/>
          </w:tcPr>
          <w:p w14:paraId="6F36194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19,130</w:t>
            </w:r>
          </w:p>
        </w:tc>
        <w:tc>
          <w:tcPr>
            <w:tcW w:w="538" w:type="pct"/>
            <w:tcBorders>
              <w:top w:val="nil"/>
              <w:left w:val="nil"/>
              <w:bottom w:val="nil"/>
              <w:right w:val="nil"/>
            </w:tcBorders>
            <w:noWrap/>
            <w:vAlign w:val="center"/>
            <w:hideMark/>
          </w:tcPr>
          <w:p w14:paraId="0975B19C"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19,730</w:t>
            </w:r>
          </w:p>
        </w:tc>
      </w:tr>
      <w:tr w:rsidR="000932FC" w:rsidRPr="00954D98" w14:paraId="40F464AD" w14:textId="77777777" w:rsidTr="000932FC">
        <w:trPr>
          <w:trHeight w:hRule="exact" w:val="225"/>
        </w:trPr>
        <w:tc>
          <w:tcPr>
            <w:tcW w:w="2350" w:type="pct"/>
            <w:tcBorders>
              <w:top w:val="nil"/>
              <w:left w:val="nil"/>
              <w:bottom w:val="nil"/>
              <w:right w:val="nil"/>
            </w:tcBorders>
            <w:noWrap/>
            <w:vAlign w:val="center"/>
            <w:hideMark/>
          </w:tcPr>
          <w:p w14:paraId="34F2612E" w14:textId="77777777" w:rsidR="000932FC" w:rsidRPr="00954D98" w:rsidRDefault="000932FC" w:rsidP="000932FC">
            <w:pPr>
              <w:spacing w:before="0" w:after="0" w:line="240" w:lineRule="auto"/>
              <w:ind w:firstLineChars="100" w:firstLine="160"/>
              <w:rPr>
                <w:rFonts w:ascii="Arial" w:hAnsi="Arial" w:cs="Arial"/>
                <w:sz w:val="16"/>
                <w:szCs w:val="16"/>
              </w:rPr>
            </w:pPr>
            <w:r w:rsidRPr="00954D98">
              <w:rPr>
                <w:rFonts w:ascii="Arial" w:hAnsi="Arial" w:cs="Arial"/>
                <w:sz w:val="16"/>
                <w:szCs w:val="16"/>
              </w:rPr>
              <w:t>Other fuel products</w:t>
            </w:r>
          </w:p>
        </w:tc>
        <w:tc>
          <w:tcPr>
            <w:tcW w:w="519" w:type="pct"/>
            <w:tcBorders>
              <w:top w:val="nil"/>
              <w:left w:val="nil"/>
              <w:bottom w:val="nil"/>
              <w:right w:val="nil"/>
            </w:tcBorders>
            <w:noWrap/>
            <w:vAlign w:val="center"/>
            <w:hideMark/>
          </w:tcPr>
          <w:p w14:paraId="5186FB40"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1,731</w:t>
            </w:r>
          </w:p>
        </w:tc>
        <w:tc>
          <w:tcPr>
            <w:tcW w:w="55" w:type="pct"/>
            <w:tcBorders>
              <w:top w:val="nil"/>
              <w:left w:val="nil"/>
              <w:bottom w:val="nil"/>
              <w:right w:val="nil"/>
            </w:tcBorders>
            <w:shd w:val="clear" w:color="000000" w:fill="FFFFFF"/>
            <w:noWrap/>
            <w:vAlign w:val="center"/>
            <w:hideMark/>
          </w:tcPr>
          <w:p w14:paraId="4261B96A"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3A12F851"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1,680</w:t>
            </w:r>
          </w:p>
        </w:tc>
        <w:tc>
          <w:tcPr>
            <w:tcW w:w="538" w:type="pct"/>
            <w:tcBorders>
              <w:top w:val="nil"/>
              <w:left w:val="nil"/>
              <w:bottom w:val="nil"/>
              <w:right w:val="nil"/>
            </w:tcBorders>
            <w:noWrap/>
            <w:vAlign w:val="center"/>
            <w:hideMark/>
          </w:tcPr>
          <w:p w14:paraId="04CD08FB"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1,710</w:t>
            </w:r>
          </w:p>
        </w:tc>
        <w:tc>
          <w:tcPr>
            <w:tcW w:w="538" w:type="pct"/>
            <w:tcBorders>
              <w:top w:val="nil"/>
              <w:left w:val="nil"/>
              <w:bottom w:val="nil"/>
              <w:right w:val="nil"/>
            </w:tcBorders>
            <w:noWrap/>
            <w:vAlign w:val="center"/>
            <w:hideMark/>
          </w:tcPr>
          <w:p w14:paraId="48DE3896"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1,710</w:t>
            </w:r>
          </w:p>
        </w:tc>
        <w:tc>
          <w:tcPr>
            <w:tcW w:w="538" w:type="pct"/>
            <w:tcBorders>
              <w:top w:val="nil"/>
              <w:left w:val="nil"/>
              <w:bottom w:val="nil"/>
              <w:right w:val="nil"/>
            </w:tcBorders>
            <w:noWrap/>
            <w:vAlign w:val="center"/>
            <w:hideMark/>
          </w:tcPr>
          <w:p w14:paraId="102D9D3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1,760</w:t>
            </w:r>
          </w:p>
        </w:tc>
      </w:tr>
      <w:tr w:rsidR="000932FC" w:rsidRPr="00954D98" w14:paraId="7AC889D9" w14:textId="77777777" w:rsidTr="000932FC">
        <w:trPr>
          <w:trHeight w:hRule="exact" w:val="225"/>
        </w:trPr>
        <w:tc>
          <w:tcPr>
            <w:tcW w:w="2350" w:type="pct"/>
            <w:tcBorders>
              <w:top w:val="nil"/>
              <w:left w:val="nil"/>
              <w:bottom w:val="nil"/>
              <w:right w:val="nil"/>
            </w:tcBorders>
            <w:noWrap/>
            <w:vAlign w:val="center"/>
            <w:hideMark/>
          </w:tcPr>
          <w:p w14:paraId="7AC70EB2" w14:textId="77777777" w:rsidR="000932FC" w:rsidRPr="00954D98" w:rsidRDefault="000932FC" w:rsidP="000932FC">
            <w:pPr>
              <w:spacing w:before="0" w:after="0" w:line="240" w:lineRule="auto"/>
              <w:ind w:firstLineChars="100" w:firstLine="160"/>
              <w:rPr>
                <w:rFonts w:ascii="Arial" w:hAnsi="Arial" w:cs="Arial"/>
                <w:sz w:val="16"/>
                <w:szCs w:val="16"/>
              </w:rPr>
            </w:pPr>
            <w:r w:rsidRPr="00954D98">
              <w:rPr>
                <w:rFonts w:ascii="Arial" w:hAnsi="Arial" w:cs="Arial"/>
                <w:sz w:val="16"/>
                <w:szCs w:val="16"/>
              </w:rPr>
              <w:t>Tobacco</w:t>
            </w:r>
          </w:p>
        </w:tc>
        <w:tc>
          <w:tcPr>
            <w:tcW w:w="519" w:type="pct"/>
            <w:tcBorders>
              <w:top w:val="nil"/>
              <w:left w:val="nil"/>
              <w:bottom w:val="nil"/>
              <w:right w:val="nil"/>
            </w:tcBorders>
            <w:noWrap/>
            <w:vAlign w:val="center"/>
            <w:hideMark/>
          </w:tcPr>
          <w:p w14:paraId="418BB84D"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7,767</w:t>
            </w:r>
          </w:p>
        </w:tc>
        <w:tc>
          <w:tcPr>
            <w:tcW w:w="55" w:type="pct"/>
            <w:tcBorders>
              <w:top w:val="nil"/>
              <w:left w:val="nil"/>
              <w:bottom w:val="nil"/>
              <w:right w:val="nil"/>
            </w:tcBorders>
            <w:shd w:val="clear" w:color="000000" w:fill="FFFFFF"/>
            <w:noWrap/>
            <w:vAlign w:val="center"/>
            <w:hideMark/>
          </w:tcPr>
          <w:p w14:paraId="282A42B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784DE05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5,450</w:t>
            </w:r>
          </w:p>
        </w:tc>
        <w:tc>
          <w:tcPr>
            <w:tcW w:w="538" w:type="pct"/>
            <w:tcBorders>
              <w:top w:val="nil"/>
              <w:left w:val="nil"/>
              <w:bottom w:val="nil"/>
              <w:right w:val="nil"/>
            </w:tcBorders>
            <w:noWrap/>
            <w:vAlign w:val="center"/>
            <w:hideMark/>
          </w:tcPr>
          <w:p w14:paraId="5EA42120"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4,800</w:t>
            </w:r>
          </w:p>
        </w:tc>
        <w:tc>
          <w:tcPr>
            <w:tcW w:w="538" w:type="pct"/>
            <w:tcBorders>
              <w:top w:val="nil"/>
              <w:left w:val="nil"/>
              <w:bottom w:val="nil"/>
              <w:right w:val="nil"/>
            </w:tcBorders>
            <w:noWrap/>
            <w:vAlign w:val="center"/>
            <w:hideMark/>
          </w:tcPr>
          <w:p w14:paraId="5997B964"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4,550</w:t>
            </w:r>
          </w:p>
        </w:tc>
        <w:tc>
          <w:tcPr>
            <w:tcW w:w="538" w:type="pct"/>
            <w:tcBorders>
              <w:top w:val="nil"/>
              <w:left w:val="nil"/>
              <w:bottom w:val="nil"/>
              <w:right w:val="nil"/>
            </w:tcBorders>
            <w:noWrap/>
            <w:vAlign w:val="center"/>
            <w:hideMark/>
          </w:tcPr>
          <w:p w14:paraId="2CB0195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4,350</w:t>
            </w:r>
          </w:p>
        </w:tc>
      </w:tr>
      <w:tr w:rsidR="000932FC" w:rsidRPr="00954D98" w14:paraId="2CA409BE" w14:textId="77777777" w:rsidTr="000932FC">
        <w:trPr>
          <w:trHeight w:hRule="exact" w:val="225"/>
        </w:trPr>
        <w:tc>
          <w:tcPr>
            <w:tcW w:w="2350" w:type="pct"/>
            <w:tcBorders>
              <w:top w:val="nil"/>
              <w:left w:val="nil"/>
              <w:bottom w:val="nil"/>
              <w:right w:val="nil"/>
            </w:tcBorders>
            <w:noWrap/>
            <w:vAlign w:val="center"/>
            <w:hideMark/>
          </w:tcPr>
          <w:p w14:paraId="7A5D3DF8" w14:textId="77777777" w:rsidR="000932FC" w:rsidRPr="00954D98" w:rsidRDefault="000932FC" w:rsidP="000932FC">
            <w:pPr>
              <w:spacing w:before="0" w:after="0" w:line="240" w:lineRule="auto"/>
              <w:ind w:firstLineChars="100" w:firstLine="160"/>
              <w:rPr>
                <w:rFonts w:ascii="Arial" w:hAnsi="Arial" w:cs="Arial"/>
                <w:sz w:val="16"/>
                <w:szCs w:val="16"/>
              </w:rPr>
            </w:pPr>
            <w:r w:rsidRPr="00954D98">
              <w:rPr>
                <w:rFonts w:ascii="Arial" w:hAnsi="Arial" w:cs="Arial"/>
                <w:sz w:val="16"/>
                <w:szCs w:val="16"/>
              </w:rPr>
              <w:t>Beer</w:t>
            </w:r>
          </w:p>
        </w:tc>
        <w:tc>
          <w:tcPr>
            <w:tcW w:w="519" w:type="pct"/>
            <w:tcBorders>
              <w:top w:val="nil"/>
              <w:left w:val="nil"/>
              <w:bottom w:val="nil"/>
              <w:right w:val="nil"/>
            </w:tcBorders>
            <w:noWrap/>
            <w:vAlign w:val="center"/>
            <w:hideMark/>
          </w:tcPr>
          <w:p w14:paraId="661F41E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2,729</w:t>
            </w:r>
          </w:p>
        </w:tc>
        <w:tc>
          <w:tcPr>
            <w:tcW w:w="55" w:type="pct"/>
            <w:tcBorders>
              <w:top w:val="nil"/>
              <w:left w:val="nil"/>
              <w:bottom w:val="nil"/>
              <w:right w:val="nil"/>
            </w:tcBorders>
            <w:shd w:val="clear" w:color="000000" w:fill="FFFFFF"/>
            <w:noWrap/>
            <w:vAlign w:val="center"/>
            <w:hideMark/>
          </w:tcPr>
          <w:p w14:paraId="58307A5C"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56D2F8C8"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2,710</w:t>
            </w:r>
          </w:p>
        </w:tc>
        <w:tc>
          <w:tcPr>
            <w:tcW w:w="538" w:type="pct"/>
            <w:tcBorders>
              <w:top w:val="nil"/>
              <w:left w:val="nil"/>
              <w:bottom w:val="nil"/>
              <w:right w:val="nil"/>
            </w:tcBorders>
            <w:noWrap/>
            <w:vAlign w:val="center"/>
            <w:hideMark/>
          </w:tcPr>
          <w:p w14:paraId="769EF6E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2,760</w:t>
            </w:r>
          </w:p>
        </w:tc>
        <w:tc>
          <w:tcPr>
            <w:tcW w:w="538" w:type="pct"/>
            <w:tcBorders>
              <w:top w:val="nil"/>
              <w:left w:val="nil"/>
              <w:bottom w:val="nil"/>
              <w:right w:val="nil"/>
            </w:tcBorders>
            <w:noWrap/>
            <w:vAlign w:val="center"/>
            <w:hideMark/>
          </w:tcPr>
          <w:p w14:paraId="4B740657"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2,790</w:t>
            </w:r>
          </w:p>
        </w:tc>
        <w:tc>
          <w:tcPr>
            <w:tcW w:w="538" w:type="pct"/>
            <w:tcBorders>
              <w:top w:val="nil"/>
              <w:left w:val="nil"/>
              <w:bottom w:val="nil"/>
              <w:right w:val="nil"/>
            </w:tcBorders>
            <w:noWrap/>
            <w:vAlign w:val="center"/>
            <w:hideMark/>
          </w:tcPr>
          <w:p w14:paraId="3D241770"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2,850</w:t>
            </w:r>
          </w:p>
        </w:tc>
      </w:tr>
      <w:tr w:rsidR="000932FC" w:rsidRPr="00954D98" w14:paraId="65CD46BD" w14:textId="77777777" w:rsidTr="000932FC">
        <w:trPr>
          <w:trHeight w:hRule="exact" w:val="225"/>
        </w:trPr>
        <w:tc>
          <w:tcPr>
            <w:tcW w:w="2350" w:type="pct"/>
            <w:tcBorders>
              <w:top w:val="nil"/>
              <w:left w:val="nil"/>
              <w:bottom w:val="nil"/>
              <w:right w:val="nil"/>
            </w:tcBorders>
            <w:noWrap/>
            <w:vAlign w:val="center"/>
            <w:hideMark/>
          </w:tcPr>
          <w:p w14:paraId="2C1680A3" w14:textId="77777777" w:rsidR="000932FC" w:rsidRPr="00954D98" w:rsidRDefault="000932FC" w:rsidP="000932FC">
            <w:pPr>
              <w:spacing w:before="0" w:after="0" w:line="240" w:lineRule="auto"/>
              <w:ind w:firstLineChars="100" w:firstLine="160"/>
              <w:rPr>
                <w:rFonts w:ascii="Arial" w:hAnsi="Arial" w:cs="Arial"/>
                <w:sz w:val="16"/>
                <w:szCs w:val="16"/>
              </w:rPr>
            </w:pPr>
            <w:r w:rsidRPr="00954D98">
              <w:rPr>
                <w:rFonts w:ascii="Arial" w:hAnsi="Arial" w:cs="Arial"/>
                <w:sz w:val="16"/>
                <w:szCs w:val="16"/>
              </w:rPr>
              <w:t>Spirits</w:t>
            </w:r>
          </w:p>
        </w:tc>
        <w:tc>
          <w:tcPr>
            <w:tcW w:w="519" w:type="pct"/>
            <w:tcBorders>
              <w:top w:val="nil"/>
              <w:left w:val="nil"/>
              <w:bottom w:val="nil"/>
              <w:right w:val="nil"/>
            </w:tcBorders>
            <w:noWrap/>
            <w:vAlign w:val="center"/>
            <w:hideMark/>
          </w:tcPr>
          <w:p w14:paraId="7651B30C"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3,320</w:t>
            </w:r>
          </w:p>
        </w:tc>
        <w:tc>
          <w:tcPr>
            <w:tcW w:w="55" w:type="pct"/>
            <w:tcBorders>
              <w:top w:val="nil"/>
              <w:left w:val="nil"/>
              <w:bottom w:val="nil"/>
              <w:right w:val="nil"/>
            </w:tcBorders>
            <w:shd w:val="clear" w:color="000000" w:fill="FFFFFF"/>
            <w:noWrap/>
            <w:vAlign w:val="center"/>
            <w:hideMark/>
          </w:tcPr>
          <w:p w14:paraId="374EB84A"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6200BC22"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3,270</w:t>
            </w:r>
          </w:p>
        </w:tc>
        <w:tc>
          <w:tcPr>
            <w:tcW w:w="538" w:type="pct"/>
            <w:tcBorders>
              <w:top w:val="nil"/>
              <w:left w:val="nil"/>
              <w:bottom w:val="nil"/>
              <w:right w:val="nil"/>
            </w:tcBorders>
            <w:noWrap/>
            <w:vAlign w:val="center"/>
            <w:hideMark/>
          </w:tcPr>
          <w:p w14:paraId="513E489B"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3,280</w:t>
            </w:r>
          </w:p>
        </w:tc>
        <w:tc>
          <w:tcPr>
            <w:tcW w:w="538" w:type="pct"/>
            <w:tcBorders>
              <w:top w:val="nil"/>
              <w:left w:val="nil"/>
              <w:bottom w:val="nil"/>
              <w:right w:val="nil"/>
            </w:tcBorders>
            <w:noWrap/>
            <w:vAlign w:val="center"/>
            <w:hideMark/>
          </w:tcPr>
          <w:p w14:paraId="5D743D7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3,280</w:t>
            </w:r>
          </w:p>
        </w:tc>
        <w:tc>
          <w:tcPr>
            <w:tcW w:w="538" w:type="pct"/>
            <w:tcBorders>
              <w:top w:val="nil"/>
              <w:left w:val="nil"/>
              <w:bottom w:val="nil"/>
              <w:right w:val="nil"/>
            </w:tcBorders>
            <w:noWrap/>
            <w:vAlign w:val="center"/>
            <w:hideMark/>
          </w:tcPr>
          <w:p w14:paraId="4F680D26"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3,300</w:t>
            </w:r>
          </w:p>
        </w:tc>
      </w:tr>
      <w:tr w:rsidR="000932FC" w:rsidRPr="00954D98" w14:paraId="05211E52" w14:textId="77777777" w:rsidTr="000932FC">
        <w:trPr>
          <w:trHeight w:hRule="exact" w:val="225"/>
        </w:trPr>
        <w:tc>
          <w:tcPr>
            <w:tcW w:w="2350" w:type="pct"/>
            <w:tcBorders>
              <w:top w:val="nil"/>
              <w:left w:val="nil"/>
              <w:bottom w:val="nil"/>
              <w:right w:val="nil"/>
            </w:tcBorders>
            <w:noWrap/>
            <w:vAlign w:val="center"/>
            <w:hideMark/>
          </w:tcPr>
          <w:p w14:paraId="0F1FBBFF" w14:textId="77777777" w:rsidR="000932FC" w:rsidRPr="00954D98" w:rsidRDefault="000932FC" w:rsidP="000932FC">
            <w:pPr>
              <w:spacing w:before="0" w:after="0" w:line="240" w:lineRule="auto"/>
              <w:ind w:firstLineChars="100" w:firstLine="160"/>
              <w:rPr>
                <w:rFonts w:ascii="Arial" w:hAnsi="Arial" w:cs="Arial"/>
                <w:sz w:val="16"/>
                <w:szCs w:val="16"/>
              </w:rPr>
            </w:pPr>
            <w:r w:rsidRPr="00954D98">
              <w:rPr>
                <w:rFonts w:ascii="Arial" w:hAnsi="Arial" w:cs="Arial"/>
                <w:sz w:val="16"/>
                <w:szCs w:val="16"/>
              </w:rPr>
              <w:t>Other alcoholic beverages(a)</w:t>
            </w:r>
          </w:p>
        </w:tc>
        <w:tc>
          <w:tcPr>
            <w:tcW w:w="519" w:type="pct"/>
            <w:tcBorders>
              <w:top w:val="nil"/>
              <w:left w:val="nil"/>
              <w:bottom w:val="nil"/>
              <w:right w:val="nil"/>
            </w:tcBorders>
            <w:noWrap/>
            <w:vAlign w:val="center"/>
            <w:hideMark/>
          </w:tcPr>
          <w:p w14:paraId="4F7BD85D"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1,789</w:t>
            </w:r>
          </w:p>
        </w:tc>
        <w:tc>
          <w:tcPr>
            <w:tcW w:w="55" w:type="pct"/>
            <w:tcBorders>
              <w:top w:val="nil"/>
              <w:left w:val="nil"/>
              <w:bottom w:val="nil"/>
              <w:right w:val="nil"/>
            </w:tcBorders>
            <w:shd w:val="clear" w:color="000000" w:fill="FFFFFF"/>
            <w:noWrap/>
            <w:vAlign w:val="center"/>
            <w:hideMark/>
          </w:tcPr>
          <w:p w14:paraId="5D284080"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6C3F4ABC"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1,810</w:t>
            </w:r>
          </w:p>
        </w:tc>
        <w:tc>
          <w:tcPr>
            <w:tcW w:w="538" w:type="pct"/>
            <w:tcBorders>
              <w:top w:val="nil"/>
              <w:left w:val="nil"/>
              <w:bottom w:val="nil"/>
              <w:right w:val="nil"/>
            </w:tcBorders>
            <w:noWrap/>
            <w:vAlign w:val="center"/>
            <w:hideMark/>
          </w:tcPr>
          <w:p w14:paraId="5322FF2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1,860</w:t>
            </w:r>
          </w:p>
        </w:tc>
        <w:tc>
          <w:tcPr>
            <w:tcW w:w="538" w:type="pct"/>
            <w:tcBorders>
              <w:top w:val="nil"/>
              <w:left w:val="nil"/>
              <w:bottom w:val="nil"/>
              <w:right w:val="nil"/>
            </w:tcBorders>
            <w:noWrap/>
            <w:vAlign w:val="center"/>
            <w:hideMark/>
          </w:tcPr>
          <w:p w14:paraId="00A2D0D6"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1,900</w:t>
            </w:r>
          </w:p>
        </w:tc>
        <w:tc>
          <w:tcPr>
            <w:tcW w:w="538" w:type="pct"/>
            <w:tcBorders>
              <w:top w:val="nil"/>
              <w:left w:val="nil"/>
              <w:bottom w:val="nil"/>
              <w:right w:val="nil"/>
            </w:tcBorders>
            <w:noWrap/>
            <w:vAlign w:val="center"/>
            <w:hideMark/>
          </w:tcPr>
          <w:p w14:paraId="0132638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1,950</w:t>
            </w:r>
          </w:p>
        </w:tc>
      </w:tr>
      <w:tr w:rsidR="000932FC" w:rsidRPr="00954D98" w14:paraId="44569FF6" w14:textId="77777777" w:rsidTr="000932FC">
        <w:trPr>
          <w:trHeight w:hRule="exact" w:val="225"/>
        </w:trPr>
        <w:tc>
          <w:tcPr>
            <w:tcW w:w="2350" w:type="pct"/>
            <w:tcBorders>
              <w:top w:val="nil"/>
              <w:left w:val="nil"/>
              <w:bottom w:val="nil"/>
              <w:right w:val="nil"/>
            </w:tcBorders>
            <w:noWrap/>
            <w:vAlign w:val="center"/>
            <w:hideMark/>
          </w:tcPr>
          <w:p w14:paraId="6294DA75" w14:textId="77777777" w:rsidR="000932FC" w:rsidRPr="00954D98" w:rsidRDefault="000932FC" w:rsidP="000932FC">
            <w:pPr>
              <w:spacing w:before="0" w:after="0" w:line="240" w:lineRule="auto"/>
              <w:ind w:firstLineChars="100" w:firstLine="160"/>
              <w:rPr>
                <w:rFonts w:ascii="Arial" w:hAnsi="Arial" w:cs="Arial"/>
                <w:sz w:val="16"/>
                <w:szCs w:val="16"/>
              </w:rPr>
            </w:pPr>
            <w:r w:rsidRPr="00954D98">
              <w:rPr>
                <w:rFonts w:ascii="Arial" w:hAnsi="Arial" w:cs="Arial"/>
                <w:sz w:val="16"/>
                <w:szCs w:val="16"/>
              </w:rPr>
              <w:t>Other customs duty</w:t>
            </w:r>
          </w:p>
        </w:tc>
        <w:tc>
          <w:tcPr>
            <w:tcW w:w="519" w:type="pct"/>
            <w:tcBorders>
              <w:top w:val="nil"/>
              <w:left w:val="nil"/>
              <w:bottom w:val="nil"/>
              <w:right w:val="nil"/>
            </w:tcBorders>
            <w:noWrap/>
            <w:vAlign w:val="center"/>
            <w:hideMark/>
          </w:tcPr>
          <w:p w14:paraId="038DA195" w14:textId="77777777" w:rsidR="000932FC" w:rsidRPr="00954D98" w:rsidRDefault="000932FC" w:rsidP="000932FC">
            <w:pPr>
              <w:spacing w:before="0" w:after="0" w:line="240" w:lineRule="auto"/>
              <w:ind w:firstLineChars="100" w:firstLine="160"/>
              <w:rPr>
                <w:rFonts w:ascii="Arial" w:hAnsi="Arial" w:cs="Arial"/>
                <w:sz w:val="16"/>
                <w:szCs w:val="16"/>
              </w:rPr>
            </w:pPr>
          </w:p>
        </w:tc>
        <w:tc>
          <w:tcPr>
            <w:tcW w:w="55" w:type="pct"/>
            <w:tcBorders>
              <w:top w:val="nil"/>
              <w:left w:val="nil"/>
              <w:bottom w:val="nil"/>
              <w:right w:val="nil"/>
            </w:tcBorders>
            <w:shd w:val="clear" w:color="000000" w:fill="FFFFFF"/>
            <w:noWrap/>
            <w:vAlign w:val="center"/>
            <w:hideMark/>
          </w:tcPr>
          <w:p w14:paraId="6B7C7AC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217F70ED"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 </w:t>
            </w:r>
          </w:p>
        </w:tc>
        <w:tc>
          <w:tcPr>
            <w:tcW w:w="538" w:type="pct"/>
            <w:tcBorders>
              <w:top w:val="nil"/>
              <w:left w:val="nil"/>
              <w:bottom w:val="nil"/>
              <w:right w:val="nil"/>
            </w:tcBorders>
            <w:noWrap/>
            <w:vAlign w:val="center"/>
            <w:hideMark/>
          </w:tcPr>
          <w:p w14:paraId="311BE9F9" w14:textId="77777777" w:rsidR="000932FC" w:rsidRPr="00954D98" w:rsidRDefault="000932FC" w:rsidP="000932FC">
            <w:pPr>
              <w:spacing w:before="0" w:after="0" w:line="240" w:lineRule="auto"/>
              <w:rPr>
                <w:rFonts w:ascii="Arial" w:hAnsi="Arial" w:cs="Arial"/>
                <w:sz w:val="16"/>
                <w:szCs w:val="16"/>
              </w:rPr>
            </w:pPr>
          </w:p>
        </w:tc>
        <w:tc>
          <w:tcPr>
            <w:tcW w:w="538" w:type="pct"/>
            <w:tcBorders>
              <w:top w:val="nil"/>
              <w:left w:val="nil"/>
              <w:bottom w:val="nil"/>
              <w:right w:val="nil"/>
            </w:tcBorders>
            <w:noWrap/>
            <w:vAlign w:val="center"/>
            <w:hideMark/>
          </w:tcPr>
          <w:p w14:paraId="16EBBFF0" w14:textId="77777777" w:rsidR="000932FC" w:rsidRPr="00954D98" w:rsidRDefault="000932FC" w:rsidP="000932FC">
            <w:pPr>
              <w:spacing w:before="0" w:after="0" w:line="240" w:lineRule="auto"/>
              <w:jc w:val="right"/>
              <w:rPr>
                <w:sz w:val="20"/>
              </w:rPr>
            </w:pPr>
          </w:p>
        </w:tc>
        <w:tc>
          <w:tcPr>
            <w:tcW w:w="538" w:type="pct"/>
            <w:tcBorders>
              <w:top w:val="nil"/>
              <w:left w:val="nil"/>
              <w:bottom w:val="nil"/>
              <w:right w:val="nil"/>
            </w:tcBorders>
            <w:noWrap/>
            <w:vAlign w:val="center"/>
            <w:hideMark/>
          </w:tcPr>
          <w:p w14:paraId="6D2F22CA" w14:textId="77777777" w:rsidR="000932FC" w:rsidRPr="00954D98" w:rsidRDefault="000932FC" w:rsidP="000932FC">
            <w:pPr>
              <w:spacing w:before="0" w:after="0" w:line="240" w:lineRule="auto"/>
              <w:jc w:val="right"/>
              <w:rPr>
                <w:sz w:val="20"/>
              </w:rPr>
            </w:pPr>
          </w:p>
        </w:tc>
      </w:tr>
      <w:tr w:rsidR="000932FC" w:rsidRPr="00954D98" w14:paraId="1E222EC0" w14:textId="77777777" w:rsidTr="000932FC">
        <w:trPr>
          <w:trHeight w:hRule="exact" w:val="225"/>
        </w:trPr>
        <w:tc>
          <w:tcPr>
            <w:tcW w:w="2350" w:type="pct"/>
            <w:tcBorders>
              <w:top w:val="nil"/>
              <w:left w:val="nil"/>
              <w:bottom w:val="nil"/>
              <w:right w:val="nil"/>
            </w:tcBorders>
            <w:noWrap/>
            <w:vAlign w:val="bottom"/>
            <w:hideMark/>
          </w:tcPr>
          <w:p w14:paraId="4A436E84" w14:textId="77777777" w:rsidR="000932FC" w:rsidRPr="00954D98" w:rsidRDefault="000932FC" w:rsidP="000932FC">
            <w:pPr>
              <w:spacing w:before="0" w:after="0" w:line="240" w:lineRule="auto"/>
              <w:ind w:left="170"/>
              <w:rPr>
                <w:rFonts w:ascii="Arial" w:hAnsi="Arial" w:cs="Arial"/>
                <w:sz w:val="16"/>
                <w:szCs w:val="16"/>
              </w:rPr>
            </w:pPr>
            <w:r w:rsidRPr="00954D98">
              <w:rPr>
                <w:rFonts w:ascii="Arial" w:hAnsi="Arial" w:cs="Arial"/>
                <w:sz w:val="16"/>
                <w:szCs w:val="16"/>
              </w:rPr>
              <w:t xml:space="preserve">    Textiles, clothing and footwear</w:t>
            </w:r>
          </w:p>
        </w:tc>
        <w:tc>
          <w:tcPr>
            <w:tcW w:w="519" w:type="pct"/>
            <w:tcBorders>
              <w:top w:val="nil"/>
              <w:left w:val="nil"/>
              <w:bottom w:val="nil"/>
              <w:right w:val="nil"/>
            </w:tcBorders>
            <w:noWrap/>
            <w:vAlign w:val="center"/>
            <w:hideMark/>
          </w:tcPr>
          <w:p w14:paraId="17F3A91A"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153</w:t>
            </w:r>
          </w:p>
        </w:tc>
        <w:tc>
          <w:tcPr>
            <w:tcW w:w="55" w:type="pct"/>
            <w:tcBorders>
              <w:top w:val="nil"/>
              <w:left w:val="nil"/>
              <w:bottom w:val="nil"/>
              <w:right w:val="nil"/>
            </w:tcBorders>
            <w:shd w:val="clear" w:color="000000" w:fill="FFFFFF"/>
            <w:noWrap/>
            <w:vAlign w:val="center"/>
            <w:hideMark/>
          </w:tcPr>
          <w:p w14:paraId="79AB1A8A"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34262701"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160</w:t>
            </w:r>
          </w:p>
        </w:tc>
        <w:tc>
          <w:tcPr>
            <w:tcW w:w="538" w:type="pct"/>
            <w:tcBorders>
              <w:top w:val="nil"/>
              <w:left w:val="nil"/>
              <w:bottom w:val="nil"/>
              <w:right w:val="nil"/>
            </w:tcBorders>
            <w:noWrap/>
            <w:vAlign w:val="center"/>
            <w:hideMark/>
          </w:tcPr>
          <w:p w14:paraId="36B32968"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160</w:t>
            </w:r>
          </w:p>
        </w:tc>
        <w:tc>
          <w:tcPr>
            <w:tcW w:w="538" w:type="pct"/>
            <w:tcBorders>
              <w:top w:val="nil"/>
              <w:left w:val="nil"/>
              <w:bottom w:val="nil"/>
              <w:right w:val="nil"/>
            </w:tcBorders>
            <w:noWrap/>
            <w:vAlign w:val="center"/>
            <w:hideMark/>
          </w:tcPr>
          <w:p w14:paraId="12483EAB"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150</w:t>
            </w:r>
          </w:p>
        </w:tc>
        <w:tc>
          <w:tcPr>
            <w:tcW w:w="538" w:type="pct"/>
            <w:tcBorders>
              <w:top w:val="nil"/>
              <w:left w:val="nil"/>
              <w:bottom w:val="nil"/>
              <w:right w:val="nil"/>
            </w:tcBorders>
            <w:noWrap/>
            <w:vAlign w:val="center"/>
            <w:hideMark/>
          </w:tcPr>
          <w:p w14:paraId="7898EF5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140</w:t>
            </w:r>
          </w:p>
        </w:tc>
      </w:tr>
      <w:tr w:rsidR="000932FC" w:rsidRPr="00954D98" w14:paraId="0E440E41" w14:textId="77777777" w:rsidTr="000932FC">
        <w:trPr>
          <w:trHeight w:hRule="exact" w:val="225"/>
        </w:trPr>
        <w:tc>
          <w:tcPr>
            <w:tcW w:w="2350" w:type="pct"/>
            <w:tcBorders>
              <w:top w:val="nil"/>
              <w:left w:val="nil"/>
              <w:bottom w:val="nil"/>
              <w:right w:val="nil"/>
            </w:tcBorders>
            <w:noWrap/>
            <w:vAlign w:val="bottom"/>
            <w:hideMark/>
          </w:tcPr>
          <w:p w14:paraId="20684F4C" w14:textId="77777777" w:rsidR="000932FC" w:rsidRPr="00954D98" w:rsidRDefault="000932FC" w:rsidP="000932FC">
            <w:pPr>
              <w:spacing w:before="0" w:after="0" w:line="240" w:lineRule="auto"/>
              <w:ind w:left="170"/>
              <w:rPr>
                <w:rFonts w:ascii="Arial" w:hAnsi="Arial" w:cs="Arial"/>
                <w:sz w:val="16"/>
                <w:szCs w:val="16"/>
              </w:rPr>
            </w:pPr>
            <w:r w:rsidRPr="00954D98">
              <w:rPr>
                <w:rFonts w:ascii="Arial" w:hAnsi="Arial" w:cs="Arial"/>
                <w:sz w:val="16"/>
                <w:szCs w:val="16"/>
              </w:rPr>
              <w:t xml:space="preserve">    Passenger motor vehicles</w:t>
            </w:r>
          </w:p>
        </w:tc>
        <w:tc>
          <w:tcPr>
            <w:tcW w:w="519" w:type="pct"/>
            <w:tcBorders>
              <w:top w:val="nil"/>
              <w:left w:val="nil"/>
              <w:bottom w:val="nil"/>
              <w:right w:val="nil"/>
            </w:tcBorders>
            <w:noWrap/>
            <w:vAlign w:val="center"/>
            <w:hideMark/>
          </w:tcPr>
          <w:p w14:paraId="5CB6DE64"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339</w:t>
            </w:r>
          </w:p>
        </w:tc>
        <w:tc>
          <w:tcPr>
            <w:tcW w:w="55" w:type="pct"/>
            <w:tcBorders>
              <w:top w:val="nil"/>
              <w:left w:val="nil"/>
              <w:bottom w:val="nil"/>
              <w:right w:val="nil"/>
            </w:tcBorders>
            <w:shd w:val="clear" w:color="000000" w:fill="FFFFFF"/>
            <w:noWrap/>
            <w:vAlign w:val="center"/>
            <w:hideMark/>
          </w:tcPr>
          <w:p w14:paraId="6E7E7C9D"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057F8E8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300</w:t>
            </w:r>
          </w:p>
        </w:tc>
        <w:tc>
          <w:tcPr>
            <w:tcW w:w="538" w:type="pct"/>
            <w:tcBorders>
              <w:top w:val="nil"/>
              <w:left w:val="nil"/>
              <w:bottom w:val="nil"/>
              <w:right w:val="nil"/>
            </w:tcBorders>
            <w:noWrap/>
            <w:vAlign w:val="center"/>
            <w:hideMark/>
          </w:tcPr>
          <w:p w14:paraId="098B44FC"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270</w:t>
            </w:r>
          </w:p>
        </w:tc>
        <w:tc>
          <w:tcPr>
            <w:tcW w:w="538" w:type="pct"/>
            <w:tcBorders>
              <w:top w:val="nil"/>
              <w:left w:val="nil"/>
              <w:bottom w:val="nil"/>
              <w:right w:val="nil"/>
            </w:tcBorders>
            <w:noWrap/>
            <w:vAlign w:val="center"/>
            <w:hideMark/>
          </w:tcPr>
          <w:p w14:paraId="3EE221A8"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220</w:t>
            </w:r>
          </w:p>
        </w:tc>
        <w:tc>
          <w:tcPr>
            <w:tcW w:w="538" w:type="pct"/>
            <w:tcBorders>
              <w:top w:val="nil"/>
              <w:left w:val="nil"/>
              <w:bottom w:val="nil"/>
              <w:right w:val="nil"/>
            </w:tcBorders>
            <w:noWrap/>
            <w:vAlign w:val="center"/>
            <w:hideMark/>
          </w:tcPr>
          <w:p w14:paraId="0432070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90</w:t>
            </w:r>
          </w:p>
        </w:tc>
      </w:tr>
      <w:tr w:rsidR="000932FC" w:rsidRPr="00954D98" w14:paraId="07BB2C89" w14:textId="77777777" w:rsidTr="00EF2868">
        <w:trPr>
          <w:trHeight w:hRule="exact" w:val="225"/>
        </w:trPr>
        <w:tc>
          <w:tcPr>
            <w:tcW w:w="2350" w:type="pct"/>
            <w:tcBorders>
              <w:top w:val="nil"/>
              <w:left w:val="nil"/>
              <w:bottom w:val="nil"/>
              <w:right w:val="nil"/>
            </w:tcBorders>
            <w:noWrap/>
            <w:vAlign w:val="center"/>
            <w:hideMark/>
          </w:tcPr>
          <w:p w14:paraId="63E3995F" w14:textId="77777777" w:rsidR="000932FC" w:rsidRPr="00954D98" w:rsidRDefault="000932FC" w:rsidP="000932FC">
            <w:pPr>
              <w:spacing w:before="0" w:after="0" w:line="240" w:lineRule="auto"/>
              <w:ind w:left="170"/>
              <w:rPr>
                <w:rFonts w:ascii="Arial" w:hAnsi="Arial" w:cs="Arial"/>
                <w:sz w:val="16"/>
                <w:szCs w:val="16"/>
              </w:rPr>
            </w:pPr>
            <w:r w:rsidRPr="00954D98">
              <w:rPr>
                <w:rFonts w:ascii="Arial" w:hAnsi="Arial" w:cs="Arial"/>
                <w:sz w:val="16"/>
                <w:szCs w:val="16"/>
              </w:rPr>
              <w:t xml:space="preserve">    Other imports</w:t>
            </w:r>
          </w:p>
        </w:tc>
        <w:tc>
          <w:tcPr>
            <w:tcW w:w="519" w:type="pct"/>
            <w:tcBorders>
              <w:top w:val="nil"/>
              <w:left w:val="nil"/>
              <w:right w:val="nil"/>
            </w:tcBorders>
            <w:noWrap/>
            <w:vAlign w:val="center"/>
            <w:hideMark/>
          </w:tcPr>
          <w:p w14:paraId="2D7FAF7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1,504</w:t>
            </w:r>
          </w:p>
        </w:tc>
        <w:tc>
          <w:tcPr>
            <w:tcW w:w="55" w:type="pct"/>
            <w:tcBorders>
              <w:top w:val="nil"/>
              <w:left w:val="nil"/>
              <w:bottom w:val="nil"/>
              <w:right w:val="nil"/>
            </w:tcBorders>
            <w:shd w:val="clear" w:color="000000" w:fill="FFFFFF"/>
            <w:noWrap/>
            <w:vAlign w:val="center"/>
            <w:hideMark/>
          </w:tcPr>
          <w:p w14:paraId="167B8642"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right w:val="nil"/>
            </w:tcBorders>
            <w:shd w:val="clear" w:color="000000" w:fill="E6F2FF"/>
            <w:noWrap/>
            <w:vAlign w:val="center"/>
            <w:hideMark/>
          </w:tcPr>
          <w:p w14:paraId="1BDA4887"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1,550</w:t>
            </w:r>
          </w:p>
        </w:tc>
        <w:tc>
          <w:tcPr>
            <w:tcW w:w="538" w:type="pct"/>
            <w:tcBorders>
              <w:top w:val="nil"/>
              <w:left w:val="nil"/>
              <w:right w:val="nil"/>
            </w:tcBorders>
            <w:noWrap/>
            <w:vAlign w:val="center"/>
            <w:hideMark/>
          </w:tcPr>
          <w:p w14:paraId="201D1F8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1,640</w:t>
            </w:r>
          </w:p>
        </w:tc>
        <w:tc>
          <w:tcPr>
            <w:tcW w:w="538" w:type="pct"/>
            <w:tcBorders>
              <w:top w:val="nil"/>
              <w:left w:val="nil"/>
              <w:right w:val="nil"/>
            </w:tcBorders>
            <w:noWrap/>
            <w:vAlign w:val="center"/>
            <w:hideMark/>
          </w:tcPr>
          <w:p w14:paraId="184EAE7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1,250</w:t>
            </w:r>
          </w:p>
        </w:tc>
        <w:tc>
          <w:tcPr>
            <w:tcW w:w="538" w:type="pct"/>
            <w:tcBorders>
              <w:top w:val="nil"/>
              <w:left w:val="nil"/>
              <w:right w:val="nil"/>
            </w:tcBorders>
            <w:noWrap/>
            <w:vAlign w:val="center"/>
            <w:hideMark/>
          </w:tcPr>
          <w:p w14:paraId="1D880F2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890</w:t>
            </w:r>
          </w:p>
        </w:tc>
      </w:tr>
      <w:tr w:rsidR="000932FC" w:rsidRPr="00954D98" w14:paraId="2FE99904" w14:textId="77777777" w:rsidTr="00EF2868">
        <w:trPr>
          <w:trHeight w:hRule="exact" w:val="225"/>
        </w:trPr>
        <w:tc>
          <w:tcPr>
            <w:tcW w:w="2350" w:type="pct"/>
            <w:tcBorders>
              <w:top w:val="nil"/>
              <w:left w:val="nil"/>
              <w:bottom w:val="nil"/>
              <w:right w:val="nil"/>
            </w:tcBorders>
            <w:noWrap/>
            <w:vAlign w:val="bottom"/>
            <w:hideMark/>
          </w:tcPr>
          <w:p w14:paraId="32A8288F" w14:textId="77777777" w:rsidR="000932FC" w:rsidRPr="00954D98" w:rsidRDefault="000932FC" w:rsidP="000932FC">
            <w:pPr>
              <w:spacing w:before="0" w:after="0" w:line="240" w:lineRule="auto"/>
              <w:ind w:firstLineChars="100" w:firstLine="160"/>
              <w:rPr>
                <w:rFonts w:ascii="Arial" w:hAnsi="Arial" w:cs="Arial"/>
                <w:i/>
                <w:iCs/>
                <w:sz w:val="16"/>
                <w:szCs w:val="16"/>
              </w:rPr>
            </w:pPr>
            <w:r w:rsidRPr="00954D98">
              <w:rPr>
                <w:rFonts w:ascii="Arial" w:hAnsi="Arial" w:cs="Arial"/>
                <w:i/>
                <w:iCs/>
                <w:sz w:val="16"/>
                <w:szCs w:val="16"/>
              </w:rPr>
              <w:t>less: Refunds and drawbacks</w:t>
            </w:r>
          </w:p>
        </w:tc>
        <w:tc>
          <w:tcPr>
            <w:tcW w:w="519" w:type="pct"/>
            <w:tcBorders>
              <w:top w:val="nil"/>
              <w:left w:val="nil"/>
              <w:bottom w:val="single" w:sz="4" w:space="0" w:color="293F5B"/>
              <w:right w:val="nil"/>
            </w:tcBorders>
            <w:noWrap/>
            <w:vAlign w:val="center"/>
            <w:hideMark/>
          </w:tcPr>
          <w:p w14:paraId="7828D6E7"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711</w:t>
            </w:r>
          </w:p>
        </w:tc>
        <w:tc>
          <w:tcPr>
            <w:tcW w:w="55" w:type="pct"/>
            <w:tcBorders>
              <w:top w:val="nil"/>
              <w:left w:val="nil"/>
              <w:bottom w:val="nil"/>
              <w:right w:val="nil"/>
            </w:tcBorders>
            <w:shd w:val="clear" w:color="000000" w:fill="FFFFFF"/>
            <w:noWrap/>
            <w:vAlign w:val="center"/>
            <w:hideMark/>
          </w:tcPr>
          <w:p w14:paraId="51C95DC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single" w:sz="4" w:space="0" w:color="293F5B"/>
              <w:right w:val="nil"/>
            </w:tcBorders>
            <w:shd w:val="clear" w:color="000000" w:fill="E6F2FF"/>
            <w:noWrap/>
            <w:vAlign w:val="center"/>
            <w:hideMark/>
          </w:tcPr>
          <w:p w14:paraId="351F202A"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1,380</w:t>
            </w:r>
          </w:p>
        </w:tc>
        <w:tc>
          <w:tcPr>
            <w:tcW w:w="538" w:type="pct"/>
            <w:tcBorders>
              <w:top w:val="nil"/>
              <w:left w:val="nil"/>
              <w:bottom w:val="single" w:sz="4" w:space="0" w:color="293F5B"/>
              <w:right w:val="nil"/>
            </w:tcBorders>
            <w:noWrap/>
            <w:vAlign w:val="center"/>
            <w:hideMark/>
          </w:tcPr>
          <w:p w14:paraId="0621BDA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730</w:t>
            </w:r>
          </w:p>
        </w:tc>
        <w:tc>
          <w:tcPr>
            <w:tcW w:w="538" w:type="pct"/>
            <w:tcBorders>
              <w:top w:val="nil"/>
              <w:left w:val="nil"/>
              <w:bottom w:val="single" w:sz="4" w:space="0" w:color="293F5B"/>
              <w:right w:val="nil"/>
            </w:tcBorders>
            <w:noWrap/>
            <w:vAlign w:val="center"/>
            <w:hideMark/>
          </w:tcPr>
          <w:p w14:paraId="57768E8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730</w:t>
            </w:r>
          </w:p>
        </w:tc>
        <w:tc>
          <w:tcPr>
            <w:tcW w:w="538" w:type="pct"/>
            <w:tcBorders>
              <w:top w:val="nil"/>
              <w:left w:val="nil"/>
              <w:bottom w:val="single" w:sz="4" w:space="0" w:color="293F5B"/>
              <w:right w:val="nil"/>
            </w:tcBorders>
            <w:noWrap/>
            <w:vAlign w:val="center"/>
            <w:hideMark/>
          </w:tcPr>
          <w:p w14:paraId="7A47CF5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730</w:t>
            </w:r>
          </w:p>
        </w:tc>
      </w:tr>
      <w:tr w:rsidR="000932FC" w:rsidRPr="00954D98" w14:paraId="2A6E158E" w14:textId="77777777" w:rsidTr="00EF2868">
        <w:trPr>
          <w:trHeight w:hRule="exact" w:val="225"/>
        </w:trPr>
        <w:tc>
          <w:tcPr>
            <w:tcW w:w="2350" w:type="pct"/>
            <w:tcBorders>
              <w:top w:val="nil"/>
              <w:left w:val="nil"/>
              <w:bottom w:val="nil"/>
              <w:right w:val="nil"/>
            </w:tcBorders>
            <w:noWrap/>
            <w:vAlign w:val="bottom"/>
            <w:hideMark/>
          </w:tcPr>
          <w:p w14:paraId="2F9FFDA7"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 xml:space="preserve">Total excise and customs duty </w:t>
            </w:r>
          </w:p>
        </w:tc>
        <w:tc>
          <w:tcPr>
            <w:tcW w:w="519" w:type="pct"/>
            <w:tcBorders>
              <w:top w:val="single" w:sz="4" w:space="0" w:color="293F5B"/>
              <w:left w:val="nil"/>
              <w:bottom w:val="nil"/>
              <w:right w:val="nil"/>
            </w:tcBorders>
            <w:noWrap/>
            <w:vAlign w:val="center"/>
            <w:hideMark/>
          </w:tcPr>
          <w:p w14:paraId="27D2C94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43,188</w:t>
            </w:r>
          </w:p>
        </w:tc>
        <w:tc>
          <w:tcPr>
            <w:tcW w:w="55" w:type="pct"/>
            <w:tcBorders>
              <w:top w:val="nil"/>
              <w:left w:val="nil"/>
              <w:bottom w:val="nil"/>
              <w:right w:val="nil"/>
            </w:tcBorders>
            <w:shd w:val="clear" w:color="000000" w:fill="FFFFFF"/>
            <w:noWrap/>
            <w:vAlign w:val="center"/>
            <w:hideMark/>
          </w:tcPr>
          <w:p w14:paraId="5C80B24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single" w:sz="4" w:space="0" w:color="293F5B"/>
              <w:left w:val="nil"/>
              <w:bottom w:val="nil"/>
              <w:right w:val="nil"/>
            </w:tcBorders>
            <w:shd w:val="clear" w:color="000000" w:fill="E6F2FF"/>
            <w:noWrap/>
            <w:vAlign w:val="center"/>
            <w:hideMark/>
          </w:tcPr>
          <w:p w14:paraId="5044804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40,460</w:t>
            </w:r>
          </w:p>
        </w:tc>
        <w:tc>
          <w:tcPr>
            <w:tcW w:w="538" w:type="pct"/>
            <w:tcBorders>
              <w:top w:val="single" w:sz="4" w:space="0" w:color="293F5B"/>
              <w:left w:val="nil"/>
              <w:bottom w:val="nil"/>
              <w:right w:val="nil"/>
            </w:tcBorders>
            <w:noWrap/>
            <w:vAlign w:val="center"/>
            <w:hideMark/>
          </w:tcPr>
          <w:p w14:paraId="6EF9CA87"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41,730</w:t>
            </w:r>
          </w:p>
        </w:tc>
        <w:tc>
          <w:tcPr>
            <w:tcW w:w="538" w:type="pct"/>
            <w:tcBorders>
              <w:top w:val="single" w:sz="4" w:space="0" w:color="293F5B"/>
              <w:left w:val="nil"/>
              <w:bottom w:val="nil"/>
              <w:right w:val="nil"/>
            </w:tcBorders>
            <w:noWrap/>
            <w:vAlign w:val="center"/>
            <w:hideMark/>
          </w:tcPr>
          <w:p w14:paraId="7FDB99B8"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42,000</w:t>
            </w:r>
          </w:p>
        </w:tc>
        <w:tc>
          <w:tcPr>
            <w:tcW w:w="538" w:type="pct"/>
            <w:tcBorders>
              <w:top w:val="single" w:sz="4" w:space="0" w:color="293F5B"/>
              <w:left w:val="nil"/>
              <w:bottom w:val="nil"/>
              <w:right w:val="nil"/>
            </w:tcBorders>
            <w:noWrap/>
            <w:vAlign w:val="center"/>
            <w:hideMark/>
          </w:tcPr>
          <w:p w14:paraId="26A531A4"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42,330</w:t>
            </w:r>
          </w:p>
        </w:tc>
      </w:tr>
      <w:tr w:rsidR="000932FC" w:rsidRPr="00954D98" w14:paraId="6CDDF91D" w14:textId="77777777" w:rsidTr="000932FC">
        <w:trPr>
          <w:trHeight w:hRule="exact" w:val="60"/>
        </w:trPr>
        <w:tc>
          <w:tcPr>
            <w:tcW w:w="2350" w:type="pct"/>
            <w:tcBorders>
              <w:top w:val="nil"/>
              <w:left w:val="nil"/>
              <w:bottom w:val="nil"/>
              <w:right w:val="nil"/>
            </w:tcBorders>
            <w:noWrap/>
            <w:vAlign w:val="bottom"/>
            <w:hideMark/>
          </w:tcPr>
          <w:p w14:paraId="5C3DAC2B" w14:textId="77777777" w:rsidR="000932FC" w:rsidRPr="00954D98" w:rsidRDefault="000932FC" w:rsidP="000932FC">
            <w:pPr>
              <w:spacing w:before="0" w:after="0" w:line="240" w:lineRule="auto"/>
              <w:jc w:val="right"/>
              <w:rPr>
                <w:rFonts w:ascii="Arial" w:hAnsi="Arial" w:cs="Arial"/>
                <w:sz w:val="16"/>
                <w:szCs w:val="16"/>
              </w:rPr>
            </w:pPr>
          </w:p>
        </w:tc>
        <w:tc>
          <w:tcPr>
            <w:tcW w:w="519" w:type="pct"/>
            <w:tcBorders>
              <w:top w:val="nil"/>
              <w:left w:val="nil"/>
              <w:bottom w:val="nil"/>
              <w:right w:val="nil"/>
            </w:tcBorders>
            <w:noWrap/>
            <w:vAlign w:val="center"/>
            <w:hideMark/>
          </w:tcPr>
          <w:p w14:paraId="4502E7AE" w14:textId="77777777" w:rsidR="000932FC" w:rsidRPr="00954D98" w:rsidRDefault="000932FC" w:rsidP="000932FC">
            <w:pPr>
              <w:spacing w:before="0" w:after="0" w:line="240" w:lineRule="auto"/>
              <w:rPr>
                <w:sz w:val="20"/>
              </w:rPr>
            </w:pPr>
          </w:p>
        </w:tc>
        <w:tc>
          <w:tcPr>
            <w:tcW w:w="55" w:type="pct"/>
            <w:tcBorders>
              <w:top w:val="nil"/>
              <w:left w:val="nil"/>
              <w:bottom w:val="nil"/>
              <w:right w:val="nil"/>
            </w:tcBorders>
            <w:shd w:val="clear" w:color="000000" w:fill="FFFFFF"/>
            <w:noWrap/>
            <w:vAlign w:val="center"/>
            <w:hideMark/>
          </w:tcPr>
          <w:p w14:paraId="1B7ED3E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6B952381"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 </w:t>
            </w:r>
          </w:p>
        </w:tc>
        <w:tc>
          <w:tcPr>
            <w:tcW w:w="538" w:type="pct"/>
            <w:tcBorders>
              <w:top w:val="nil"/>
              <w:left w:val="nil"/>
              <w:bottom w:val="nil"/>
              <w:right w:val="nil"/>
            </w:tcBorders>
            <w:noWrap/>
            <w:vAlign w:val="center"/>
            <w:hideMark/>
          </w:tcPr>
          <w:p w14:paraId="53800818" w14:textId="77777777" w:rsidR="000932FC" w:rsidRPr="00954D98" w:rsidRDefault="000932FC" w:rsidP="000932FC">
            <w:pPr>
              <w:spacing w:before="0" w:after="0" w:line="240" w:lineRule="auto"/>
              <w:rPr>
                <w:rFonts w:ascii="Arial" w:hAnsi="Arial" w:cs="Arial"/>
                <w:sz w:val="16"/>
                <w:szCs w:val="16"/>
              </w:rPr>
            </w:pPr>
          </w:p>
        </w:tc>
        <w:tc>
          <w:tcPr>
            <w:tcW w:w="538" w:type="pct"/>
            <w:tcBorders>
              <w:top w:val="nil"/>
              <w:left w:val="nil"/>
              <w:bottom w:val="nil"/>
              <w:right w:val="nil"/>
            </w:tcBorders>
            <w:noWrap/>
            <w:vAlign w:val="center"/>
            <w:hideMark/>
          </w:tcPr>
          <w:p w14:paraId="71C360D9" w14:textId="77777777" w:rsidR="000932FC" w:rsidRPr="00954D98" w:rsidRDefault="000932FC" w:rsidP="000932FC">
            <w:pPr>
              <w:spacing w:before="0" w:after="0" w:line="240" w:lineRule="auto"/>
              <w:jc w:val="right"/>
              <w:rPr>
                <w:sz w:val="20"/>
              </w:rPr>
            </w:pPr>
          </w:p>
        </w:tc>
        <w:tc>
          <w:tcPr>
            <w:tcW w:w="538" w:type="pct"/>
            <w:tcBorders>
              <w:top w:val="nil"/>
              <w:left w:val="nil"/>
              <w:bottom w:val="nil"/>
              <w:right w:val="nil"/>
            </w:tcBorders>
            <w:noWrap/>
            <w:vAlign w:val="center"/>
            <w:hideMark/>
          </w:tcPr>
          <w:p w14:paraId="6F6766C1" w14:textId="77777777" w:rsidR="000932FC" w:rsidRPr="00954D98" w:rsidRDefault="000932FC" w:rsidP="000932FC">
            <w:pPr>
              <w:spacing w:before="0" w:after="0" w:line="240" w:lineRule="auto"/>
              <w:jc w:val="right"/>
              <w:rPr>
                <w:sz w:val="20"/>
              </w:rPr>
            </w:pPr>
          </w:p>
        </w:tc>
      </w:tr>
      <w:tr w:rsidR="000932FC" w:rsidRPr="00954D98" w14:paraId="465899AE" w14:textId="77777777" w:rsidTr="000932FC">
        <w:trPr>
          <w:trHeight w:hRule="exact" w:val="225"/>
        </w:trPr>
        <w:tc>
          <w:tcPr>
            <w:tcW w:w="2350" w:type="pct"/>
            <w:tcBorders>
              <w:top w:val="nil"/>
              <w:left w:val="nil"/>
              <w:bottom w:val="nil"/>
              <w:right w:val="nil"/>
            </w:tcBorders>
            <w:noWrap/>
            <w:vAlign w:val="center"/>
            <w:hideMark/>
          </w:tcPr>
          <w:p w14:paraId="1AAAC93F"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Major Bank Levy</w:t>
            </w:r>
          </w:p>
        </w:tc>
        <w:tc>
          <w:tcPr>
            <w:tcW w:w="519" w:type="pct"/>
            <w:tcBorders>
              <w:top w:val="nil"/>
              <w:left w:val="nil"/>
              <w:bottom w:val="nil"/>
              <w:right w:val="nil"/>
            </w:tcBorders>
            <w:noWrap/>
            <w:vAlign w:val="center"/>
            <w:hideMark/>
          </w:tcPr>
          <w:p w14:paraId="24F7252B"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1,768</w:t>
            </w:r>
          </w:p>
        </w:tc>
        <w:tc>
          <w:tcPr>
            <w:tcW w:w="55" w:type="pct"/>
            <w:tcBorders>
              <w:top w:val="nil"/>
              <w:left w:val="nil"/>
              <w:bottom w:val="nil"/>
              <w:right w:val="nil"/>
            </w:tcBorders>
            <w:shd w:val="clear" w:color="000000" w:fill="FFFFFF"/>
            <w:noWrap/>
            <w:vAlign w:val="center"/>
            <w:hideMark/>
          </w:tcPr>
          <w:p w14:paraId="3859ADB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63698604"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1,880</w:t>
            </w:r>
          </w:p>
        </w:tc>
        <w:tc>
          <w:tcPr>
            <w:tcW w:w="538" w:type="pct"/>
            <w:tcBorders>
              <w:top w:val="nil"/>
              <w:left w:val="nil"/>
              <w:bottom w:val="nil"/>
              <w:right w:val="nil"/>
            </w:tcBorders>
            <w:noWrap/>
            <w:vAlign w:val="center"/>
            <w:hideMark/>
          </w:tcPr>
          <w:p w14:paraId="6247270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1,970</w:t>
            </w:r>
          </w:p>
        </w:tc>
        <w:tc>
          <w:tcPr>
            <w:tcW w:w="538" w:type="pct"/>
            <w:tcBorders>
              <w:top w:val="nil"/>
              <w:left w:val="nil"/>
              <w:bottom w:val="nil"/>
              <w:right w:val="nil"/>
            </w:tcBorders>
            <w:noWrap/>
            <w:vAlign w:val="center"/>
            <w:hideMark/>
          </w:tcPr>
          <w:p w14:paraId="5EB261F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2,060</w:t>
            </w:r>
          </w:p>
        </w:tc>
        <w:tc>
          <w:tcPr>
            <w:tcW w:w="538" w:type="pct"/>
            <w:tcBorders>
              <w:top w:val="nil"/>
              <w:left w:val="nil"/>
              <w:bottom w:val="nil"/>
              <w:right w:val="nil"/>
            </w:tcBorders>
            <w:noWrap/>
            <w:vAlign w:val="center"/>
            <w:hideMark/>
          </w:tcPr>
          <w:p w14:paraId="7C64E957"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2,170</w:t>
            </w:r>
          </w:p>
        </w:tc>
      </w:tr>
      <w:tr w:rsidR="000932FC" w:rsidRPr="00954D98" w14:paraId="4B00E68B" w14:textId="77777777" w:rsidTr="000932FC">
        <w:trPr>
          <w:trHeight w:hRule="exact" w:val="225"/>
        </w:trPr>
        <w:tc>
          <w:tcPr>
            <w:tcW w:w="2350" w:type="pct"/>
            <w:tcBorders>
              <w:top w:val="nil"/>
              <w:left w:val="nil"/>
              <w:bottom w:val="nil"/>
              <w:right w:val="nil"/>
            </w:tcBorders>
            <w:noWrap/>
            <w:vAlign w:val="center"/>
            <w:hideMark/>
          </w:tcPr>
          <w:p w14:paraId="500C716A"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Agricultural levies</w:t>
            </w:r>
          </w:p>
        </w:tc>
        <w:tc>
          <w:tcPr>
            <w:tcW w:w="519" w:type="pct"/>
            <w:tcBorders>
              <w:top w:val="nil"/>
              <w:left w:val="nil"/>
              <w:bottom w:val="nil"/>
              <w:right w:val="nil"/>
            </w:tcBorders>
            <w:noWrap/>
            <w:vAlign w:val="center"/>
            <w:hideMark/>
          </w:tcPr>
          <w:p w14:paraId="0867DB1C"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664</w:t>
            </w:r>
          </w:p>
        </w:tc>
        <w:tc>
          <w:tcPr>
            <w:tcW w:w="55" w:type="pct"/>
            <w:tcBorders>
              <w:top w:val="nil"/>
              <w:left w:val="nil"/>
              <w:bottom w:val="nil"/>
              <w:right w:val="nil"/>
            </w:tcBorders>
            <w:shd w:val="clear" w:color="000000" w:fill="FFFFFF"/>
            <w:noWrap/>
            <w:vAlign w:val="center"/>
            <w:hideMark/>
          </w:tcPr>
          <w:p w14:paraId="134D6E5B"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1C8F60D8"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707</w:t>
            </w:r>
          </w:p>
        </w:tc>
        <w:tc>
          <w:tcPr>
            <w:tcW w:w="538" w:type="pct"/>
            <w:tcBorders>
              <w:top w:val="nil"/>
              <w:left w:val="nil"/>
              <w:bottom w:val="nil"/>
              <w:right w:val="nil"/>
            </w:tcBorders>
            <w:noWrap/>
            <w:vAlign w:val="center"/>
            <w:hideMark/>
          </w:tcPr>
          <w:p w14:paraId="4382F26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697</w:t>
            </w:r>
          </w:p>
        </w:tc>
        <w:tc>
          <w:tcPr>
            <w:tcW w:w="538" w:type="pct"/>
            <w:tcBorders>
              <w:top w:val="nil"/>
              <w:left w:val="nil"/>
              <w:bottom w:val="nil"/>
              <w:right w:val="nil"/>
            </w:tcBorders>
            <w:noWrap/>
            <w:vAlign w:val="center"/>
            <w:hideMark/>
          </w:tcPr>
          <w:p w14:paraId="1199E1D0"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703</w:t>
            </w:r>
          </w:p>
        </w:tc>
        <w:tc>
          <w:tcPr>
            <w:tcW w:w="538" w:type="pct"/>
            <w:tcBorders>
              <w:top w:val="nil"/>
              <w:left w:val="nil"/>
              <w:bottom w:val="nil"/>
              <w:right w:val="nil"/>
            </w:tcBorders>
            <w:noWrap/>
            <w:vAlign w:val="center"/>
            <w:hideMark/>
          </w:tcPr>
          <w:p w14:paraId="5778A93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716</w:t>
            </w:r>
          </w:p>
        </w:tc>
      </w:tr>
      <w:tr w:rsidR="000932FC" w:rsidRPr="00954D98" w14:paraId="1DB3094F" w14:textId="77777777" w:rsidTr="00EF2868">
        <w:trPr>
          <w:trHeight w:hRule="exact" w:val="225"/>
        </w:trPr>
        <w:tc>
          <w:tcPr>
            <w:tcW w:w="2350" w:type="pct"/>
            <w:tcBorders>
              <w:top w:val="nil"/>
              <w:left w:val="nil"/>
              <w:bottom w:val="nil"/>
              <w:right w:val="nil"/>
            </w:tcBorders>
            <w:noWrap/>
            <w:vAlign w:val="center"/>
            <w:hideMark/>
          </w:tcPr>
          <w:p w14:paraId="7C993F7B"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Visa application charges</w:t>
            </w:r>
          </w:p>
        </w:tc>
        <w:tc>
          <w:tcPr>
            <w:tcW w:w="519" w:type="pct"/>
            <w:tcBorders>
              <w:top w:val="nil"/>
              <w:left w:val="nil"/>
              <w:right w:val="nil"/>
            </w:tcBorders>
            <w:noWrap/>
            <w:vAlign w:val="center"/>
            <w:hideMark/>
          </w:tcPr>
          <w:p w14:paraId="1E253B7C"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4,154</w:t>
            </w:r>
          </w:p>
        </w:tc>
        <w:tc>
          <w:tcPr>
            <w:tcW w:w="55" w:type="pct"/>
            <w:tcBorders>
              <w:top w:val="nil"/>
              <w:left w:val="nil"/>
              <w:bottom w:val="nil"/>
              <w:right w:val="nil"/>
            </w:tcBorders>
            <w:shd w:val="clear" w:color="000000" w:fill="FFFFFF"/>
            <w:noWrap/>
            <w:vAlign w:val="center"/>
            <w:hideMark/>
          </w:tcPr>
          <w:p w14:paraId="1567C9C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right w:val="nil"/>
            </w:tcBorders>
            <w:shd w:val="clear" w:color="000000" w:fill="E6F2FF"/>
            <w:noWrap/>
            <w:vAlign w:val="center"/>
            <w:hideMark/>
          </w:tcPr>
          <w:p w14:paraId="49B5C1CC"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4,576</w:t>
            </w:r>
          </w:p>
        </w:tc>
        <w:tc>
          <w:tcPr>
            <w:tcW w:w="538" w:type="pct"/>
            <w:tcBorders>
              <w:top w:val="nil"/>
              <w:left w:val="nil"/>
              <w:right w:val="nil"/>
            </w:tcBorders>
            <w:noWrap/>
            <w:vAlign w:val="center"/>
            <w:hideMark/>
          </w:tcPr>
          <w:p w14:paraId="5CD88068"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4,971</w:t>
            </w:r>
          </w:p>
        </w:tc>
        <w:tc>
          <w:tcPr>
            <w:tcW w:w="538" w:type="pct"/>
            <w:tcBorders>
              <w:top w:val="nil"/>
              <w:left w:val="nil"/>
              <w:right w:val="nil"/>
            </w:tcBorders>
            <w:noWrap/>
            <w:vAlign w:val="center"/>
            <w:hideMark/>
          </w:tcPr>
          <w:p w14:paraId="78C2F2B0"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5,198</w:t>
            </w:r>
          </w:p>
        </w:tc>
        <w:tc>
          <w:tcPr>
            <w:tcW w:w="538" w:type="pct"/>
            <w:tcBorders>
              <w:top w:val="nil"/>
              <w:left w:val="nil"/>
              <w:right w:val="nil"/>
            </w:tcBorders>
            <w:noWrap/>
            <w:vAlign w:val="center"/>
            <w:hideMark/>
          </w:tcPr>
          <w:p w14:paraId="69E55321"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5,438</w:t>
            </w:r>
          </w:p>
        </w:tc>
      </w:tr>
      <w:tr w:rsidR="000932FC" w:rsidRPr="00954D98" w14:paraId="0575A9C1" w14:textId="77777777" w:rsidTr="00EF2868">
        <w:trPr>
          <w:trHeight w:hRule="exact" w:val="225"/>
        </w:trPr>
        <w:tc>
          <w:tcPr>
            <w:tcW w:w="2350" w:type="pct"/>
            <w:tcBorders>
              <w:top w:val="nil"/>
              <w:left w:val="nil"/>
              <w:bottom w:val="nil"/>
              <w:right w:val="nil"/>
            </w:tcBorders>
            <w:noWrap/>
            <w:vAlign w:val="center"/>
            <w:hideMark/>
          </w:tcPr>
          <w:p w14:paraId="7878D9E3"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Other taxes</w:t>
            </w:r>
          </w:p>
        </w:tc>
        <w:tc>
          <w:tcPr>
            <w:tcW w:w="519" w:type="pct"/>
            <w:tcBorders>
              <w:top w:val="nil"/>
              <w:left w:val="nil"/>
              <w:bottom w:val="single" w:sz="4" w:space="0" w:color="293F5B"/>
              <w:right w:val="nil"/>
            </w:tcBorders>
            <w:noWrap/>
            <w:vAlign w:val="center"/>
            <w:hideMark/>
          </w:tcPr>
          <w:p w14:paraId="4F4BD086"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6,403</w:t>
            </w:r>
          </w:p>
        </w:tc>
        <w:tc>
          <w:tcPr>
            <w:tcW w:w="55" w:type="pct"/>
            <w:tcBorders>
              <w:top w:val="nil"/>
              <w:left w:val="nil"/>
              <w:bottom w:val="nil"/>
              <w:right w:val="nil"/>
            </w:tcBorders>
            <w:shd w:val="clear" w:color="000000" w:fill="FFFFFF"/>
            <w:noWrap/>
            <w:vAlign w:val="center"/>
            <w:hideMark/>
          </w:tcPr>
          <w:p w14:paraId="2A8B96A6"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single" w:sz="4" w:space="0" w:color="293F5B"/>
              <w:right w:val="nil"/>
            </w:tcBorders>
            <w:shd w:val="clear" w:color="000000" w:fill="E6F2FF"/>
            <w:noWrap/>
            <w:vAlign w:val="center"/>
            <w:hideMark/>
          </w:tcPr>
          <w:p w14:paraId="481F1C58"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6,166</w:t>
            </w:r>
          </w:p>
        </w:tc>
        <w:tc>
          <w:tcPr>
            <w:tcW w:w="538" w:type="pct"/>
            <w:tcBorders>
              <w:top w:val="nil"/>
              <w:left w:val="nil"/>
              <w:bottom w:val="single" w:sz="4" w:space="0" w:color="293F5B"/>
              <w:right w:val="nil"/>
            </w:tcBorders>
            <w:noWrap/>
            <w:vAlign w:val="center"/>
            <w:hideMark/>
          </w:tcPr>
          <w:p w14:paraId="6C8F4517"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6,087</w:t>
            </w:r>
          </w:p>
        </w:tc>
        <w:tc>
          <w:tcPr>
            <w:tcW w:w="538" w:type="pct"/>
            <w:tcBorders>
              <w:top w:val="nil"/>
              <w:left w:val="nil"/>
              <w:bottom w:val="single" w:sz="4" w:space="0" w:color="293F5B"/>
              <w:right w:val="nil"/>
            </w:tcBorders>
            <w:noWrap/>
            <w:vAlign w:val="center"/>
            <w:hideMark/>
          </w:tcPr>
          <w:p w14:paraId="4F5A7D7D"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6,010</w:t>
            </w:r>
          </w:p>
        </w:tc>
        <w:tc>
          <w:tcPr>
            <w:tcW w:w="538" w:type="pct"/>
            <w:tcBorders>
              <w:top w:val="nil"/>
              <w:left w:val="nil"/>
              <w:bottom w:val="single" w:sz="4" w:space="0" w:color="293F5B"/>
              <w:right w:val="nil"/>
            </w:tcBorders>
            <w:noWrap/>
            <w:vAlign w:val="center"/>
            <w:hideMark/>
          </w:tcPr>
          <w:p w14:paraId="5D8D013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6,033</w:t>
            </w:r>
          </w:p>
        </w:tc>
      </w:tr>
      <w:tr w:rsidR="000932FC" w:rsidRPr="00954D98" w14:paraId="0A046CF2" w14:textId="77777777" w:rsidTr="00EF2868">
        <w:trPr>
          <w:trHeight w:hRule="exact" w:val="225"/>
        </w:trPr>
        <w:tc>
          <w:tcPr>
            <w:tcW w:w="2350" w:type="pct"/>
            <w:tcBorders>
              <w:top w:val="nil"/>
              <w:left w:val="nil"/>
              <w:bottom w:val="nil"/>
              <w:right w:val="nil"/>
            </w:tcBorders>
            <w:noWrap/>
            <w:vAlign w:val="center"/>
            <w:hideMark/>
          </w:tcPr>
          <w:p w14:paraId="0DFDF8C1" w14:textId="77777777" w:rsidR="000932FC" w:rsidRPr="00954D98" w:rsidRDefault="000932FC" w:rsidP="000932FC">
            <w:pPr>
              <w:spacing w:before="0" w:after="0" w:line="240" w:lineRule="auto"/>
              <w:rPr>
                <w:rFonts w:ascii="Arial" w:hAnsi="Arial" w:cs="Arial"/>
                <w:b/>
                <w:bCs/>
                <w:sz w:val="16"/>
                <w:szCs w:val="16"/>
              </w:rPr>
            </w:pPr>
            <w:r w:rsidRPr="00954D98">
              <w:rPr>
                <w:rFonts w:ascii="Arial" w:hAnsi="Arial" w:cs="Arial"/>
                <w:b/>
                <w:bCs/>
                <w:sz w:val="16"/>
                <w:szCs w:val="16"/>
              </w:rPr>
              <w:t>Indirect taxation receipts</w:t>
            </w:r>
          </w:p>
        </w:tc>
        <w:tc>
          <w:tcPr>
            <w:tcW w:w="519" w:type="pct"/>
            <w:tcBorders>
              <w:top w:val="single" w:sz="4" w:space="0" w:color="293F5B"/>
              <w:left w:val="nil"/>
              <w:bottom w:val="single" w:sz="4" w:space="0" w:color="293F5B"/>
              <w:right w:val="nil"/>
            </w:tcBorders>
            <w:shd w:val="clear" w:color="000000" w:fill="FFFFFF"/>
            <w:noWrap/>
            <w:vAlign w:val="center"/>
            <w:hideMark/>
          </w:tcPr>
          <w:p w14:paraId="633CBAF5"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148,723</w:t>
            </w:r>
          </w:p>
        </w:tc>
        <w:tc>
          <w:tcPr>
            <w:tcW w:w="55" w:type="pct"/>
            <w:tcBorders>
              <w:top w:val="nil"/>
              <w:left w:val="nil"/>
              <w:bottom w:val="nil"/>
              <w:right w:val="nil"/>
            </w:tcBorders>
            <w:shd w:val="clear" w:color="000000" w:fill="FFFFFF"/>
            <w:noWrap/>
            <w:vAlign w:val="center"/>
            <w:hideMark/>
          </w:tcPr>
          <w:p w14:paraId="2BDD47B6"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463" w:type="pct"/>
            <w:tcBorders>
              <w:top w:val="single" w:sz="4" w:space="0" w:color="293F5B"/>
              <w:left w:val="nil"/>
              <w:bottom w:val="single" w:sz="4" w:space="0" w:color="293F5B"/>
              <w:right w:val="nil"/>
            </w:tcBorders>
            <w:shd w:val="clear" w:color="000000" w:fill="E6F2FF"/>
            <w:noWrap/>
            <w:vAlign w:val="center"/>
            <w:hideMark/>
          </w:tcPr>
          <w:p w14:paraId="6314CA83"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151,722</w:t>
            </w:r>
          </w:p>
        </w:tc>
        <w:tc>
          <w:tcPr>
            <w:tcW w:w="538" w:type="pct"/>
            <w:tcBorders>
              <w:top w:val="single" w:sz="4" w:space="0" w:color="293F5B"/>
              <w:left w:val="nil"/>
              <w:bottom w:val="single" w:sz="4" w:space="0" w:color="293F5B"/>
              <w:right w:val="nil"/>
            </w:tcBorders>
            <w:noWrap/>
            <w:vAlign w:val="center"/>
            <w:hideMark/>
          </w:tcPr>
          <w:p w14:paraId="2FA9E2AD"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159,406</w:t>
            </w:r>
          </w:p>
        </w:tc>
        <w:tc>
          <w:tcPr>
            <w:tcW w:w="538" w:type="pct"/>
            <w:tcBorders>
              <w:top w:val="single" w:sz="4" w:space="0" w:color="293F5B"/>
              <w:left w:val="nil"/>
              <w:bottom w:val="single" w:sz="4" w:space="0" w:color="293F5B"/>
              <w:right w:val="nil"/>
            </w:tcBorders>
            <w:noWrap/>
            <w:vAlign w:val="center"/>
            <w:hideMark/>
          </w:tcPr>
          <w:p w14:paraId="2369CD95"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165,329</w:t>
            </w:r>
          </w:p>
        </w:tc>
        <w:tc>
          <w:tcPr>
            <w:tcW w:w="538" w:type="pct"/>
            <w:tcBorders>
              <w:top w:val="single" w:sz="4" w:space="0" w:color="293F5B"/>
              <w:left w:val="nil"/>
              <w:bottom w:val="single" w:sz="4" w:space="0" w:color="293F5B"/>
              <w:right w:val="nil"/>
            </w:tcBorders>
            <w:noWrap/>
            <w:vAlign w:val="center"/>
            <w:hideMark/>
          </w:tcPr>
          <w:p w14:paraId="2D009297"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173,001</w:t>
            </w:r>
          </w:p>
        </w:tc>
      </w:tr>
      <w:tr w:rsidR="000932FC" w:rsidRPr="00954D98" w14:paraId="1652B1D4" w14:textId="77777777" w:rsidTr="00EF2868">
        <w:trPr>
          <w:trHeight w:hRule="exact" w:val="60"/>
        </w:trPr>
        <w:tc>
          <w:tcPr>
            <w:tcW w:w="2350" w:type="pct"/>
            <w:tcBorders>
              <w:top w:val="nil"/>
              <w:left w:val="nil"/>
              <w:bottom w:val="nil"/>
              <w:right w:val="nil"/>
            </w:tcBorders>
            <w:noWrap/>
            <w:vAlign w:val="center"/>
            <w:hideMark/>
          </w:tcPr>
          <w:p w14:paraId="66D43B55" w14:textId="77777777" w:rsidR="000932FC" w:rsidRPr="00954D98" w:rsidRDefault="000932FC" w:rsidP="000932FC">
            <w:pPr>
              <w:spacing w:before="0" w:after="0" w:line="240" w:lineRule="auto"/>
              <w:jc w:val="right"/>
              <w:rPr>
                <w:rFonts w:ascii="Arial" w:hAnsi="Arial" w:cs="Arial"/>
                <w:b/>
                <w:bCs/>
                <w:sz w:val="16"/>
                <w:szCs w:val="16"/>
              </w:rPr>
            </w:pPr>
          </w:p>
        </w:tc>
        <w:tc>
          <w:tcPr>
            <w:tcW w:w="519" w:type="pct"/>
            <w:tcBorders>
              <w:top w:val="single" w:sz="4" w:space="0" w:color="293F5B"/>
              <w:left w:val="nil"/>
              <w:right w:val="nil"/>
            </w:tcBorders>
            <w:noWrap/>
            <w:vAlign w:val="center"/>
            <w:hideMark/>
          </w:tcPr>
          <w:p w14:paraId="76F5074A"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55" w:type="pct"/>
            <w:tcBorders>
              <w:top w:val="nil"/>
              <w:left w:val="nil"/>
              <w:bottom w:val="nil"/>
              <w:right w:val="nil"/>
            </w:tcBorders>
            <w:shd w:val="clear" w:color="000000" w:fill="FFFFFF"/>
            <w:noWrap/>
            <w:vAlign w:val="center"/>
            <w:hideMark/>
          </w:tcPr>
          <w:p w14:paraId="312592CD"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single" w:sz="4" w:space="0" w:color="293F5B"/>
              <w:left w:val="nil"/>
              <w:right w:val="nil"/>
            </w:tcBorders>
            <w:shd w:val="clear" w:color="000000" w:fill="E6F2FF"/>
            <w:noWrap/>
            <w:vAlign w:val="center"/>
            <w:hideMark/>
          </w:tcPr>
          <w:p w14:paraId="097D9220" w14:textId="77777777" w:rsidR="000932FC" w:rsidRPr="00954D98" w:rsidRDefault="000932FC" w:rsidP="000932FC">
            <w:pPr>
              <w:spacing w:before="0" w:after="0" w:line="240" w:lineRule="auto"/>
              <w:rPr>
                <w:rFonts w:ascii="Arial" w:hAnsi="Arial" w:cs="Arial"/>
                <w:b/>
                <w:bCs/>
                <w:sz w:val="16"/>
                <w:szCs w:val="16"/>
              </w:rPr>
            </w:pPr>
            <w:r w:rsidRPr="00954D98">
              <w:rPr>
                <w:rFonts w:ascii="Arial" w:hAnsi="Arial" w:cs="Arial"/>
                <w:b/>
                <w:bCs/>
                <w:sz w:val="16"/>
                <w:szCs w:val="16"/>
              </w:rPr>
              <w:t> </w:t>
            </w:r>
          </w:p>
        </w:tc>
        <w:tc>
          <w:tcPr>
            <w:tcW w:w="538" w:type="pct"/>
            <w:tcBorders>
              <w:top w:val="single" w:sz="4" w:space="0" w:color="293F5B"/>
              <w:left w:val="nil"/>
              <w:right w:val="nil"/>
            </w:tcBorders>
            <w:noWrap/>
            <w:vAlign w:val="center"/>
            <w:hideMark/>
          </w:tcPr>
          <w:p w14:paraId="315B8C5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538" w:type="pct"/>
            <w:tcBorders>
              <w:top w:val="single" w:sz="4" w:space="0" w:color="293F5B"/>
              <w:left w:val="nil"/>
              <w:right w:val="nil"/>
            </w:tcBorders>
            <w:noWrap/>
            <w:vAlign w:val="center"/>
            <w:hideMark/>
          </w:tcPr>
          <w:p w14:paraId="2023168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538" w:type="pct"/>
            <w:tcBorders>
              <w:top w:val="single" w:sz="4" w:space="0" w:color="293F5B"/>
              <w:left w:val="nil"/>
              <w:right w:val="nil"/>
            </w:tcBorders>
            <w:noWrap/>
            <w:vAlign w:val="center"/>
            <w:hideMark/>
          </w:tcPr>
          <w:p w14:paraId="7D252D9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r>
      <w:tr w:rsidR="000932FC" w:rsidRPr="00954D98" w14:paraId="47C1D753" w14:textId="77777777" w:rsidTr="00EF2868">
        <w:trPr>
          <w:trHeight w:hRule="exact" w:val="225"/>
        </w:trPr>
        <w:tc>
          <w:tcPr>
            <w:tcW w:w="2350" w:type="pct"/>
            <w:tcBorders>
              <w:top w:val="nil"/>
              <w:left w:val="nil"/>
              <w:bottom w:val="nil"/>
              <w:right w:val="nil"/>
            </w:tcBorders>
            <w:noWrap/>
            <w:vAlign w:val="center"/>
            <w:hideMark/>
          </w:tcPr>
          <w:p w14:paraId="7D7CDFDD" w14:textId="77777777" w:rsidR="000932FC" w:rsidRPr="00954D98" w:rsidRDefault="000932FC" w:rsidP="000932FC">
            <w:pPr>
              <w:spacing w:before="0" w:after="0" w:line="240" w:lineRule="auto"/>
              <w:rPr>
                <w:rFonts w:ascii="Arial" w:hAnsi="Arial" w:cs="Arial"/>
                <w:b/>
                <w:bCs/>
                <w:sz w:val="16"/>
                <w:szCs w:val="16"/>
              </w:rPr>
            </w:pPr>
            <w:r w:rsidRPr="00954D98">
              <w:rPr>
                <w:rFonts w:ascii="Arial" w:hAnsi="Arial" w:cs="Arial"/>
                <w:b/>
                <w:bCs/>
                <w:sz w:val="16"/>
                <w:szCs w:val="16"/>
              </w:rPr>
              <w:t>Taxation receipts</w:t>
            </w:r>
          </w:p>
        </w:tc>
        <w:tc>
          <w:tcPr>
            <w:tcW w:w="519" w:type="pct"/>
            <w:tcBorders>
              <w:top w:val="nil"/>
              <w:left w:val="nil"/>
              <w:bottom w:val="single" w:sz="4" w:space="0" w:color="293F5B"/>
              <w:right w:val="nil"/>
            </w:tcBorders>
            <w:noWrap/>
            <w:vAlign w:val="center"/>
            <w:hideMark/>
          </w:tcPr>
          <w:p w14:paraId="3AA516EC"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657,844</w:t>
            </w:r>
          </w:p>
        </w:tc>
        <w:tc>
          <w:tcPr>
            <w:tcW w:w="55" w:type="pct"/>
            <w:tcBorders>
              <w:top w:val="nil"/>
              <w:left w:val="nil"/>
              <w:bottom w:val="nil"/>
              <w:right w:val="nil"/>
            </w:tcBorders>
            <w:shd w:val="clear" w:color="000000" w:fill="FFFFFF"/>
            <w:noWrap/>
            <w:vAlign w:val="center"/>
            <w:hideMark/>
          </w:tcPr>
          <w:p w14:paraId="6A6D3C77"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463" w:type="pct"/>
            <w:tcBorders>
              <w:top w:val="nil"/>
              <w:left w:val="nil"/>
              <w:bottom w:val="single" w:sz="4" w:space="0" w:color="293F5B"/>
              <w:right w:val="nil"/>
            </w:tcBorders>
            <w:shd w:val="clear" w:color="000000" w:fill="E6F2FF"/>
            <w:noWrap/>
            <w:vAlign w:val="center"/>
            <w:hideMark/>
          </w:tcPr>
          <w:p w14:paraId="7BB58E2C"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691,142</w:t>
            </w:r>
          </w:p>
        </w:tc>
        <w:tc>
          <w:tcPr>
            <w:tcW w:w="538" w:type="pct"/>
            <w:tcBorders>
              <w:top w:val="nil"/>
              <w:left w:val="nil"/>
              <w:bottom w:val="single" w:sz="4" w:space="0" w:color="293F5B"/>
              <w:right w:val="nil"/>
            </w:tcBorders>
            <w:noWrap/>
            <w:vAlign w:val="center"/>
            <w:hideMark/>
          </w:tcPr>
          <w:p w14:paraId="7F1C323B"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718,486</w:t>
            </w:r>
          </w:p>
        </w:tc>
        <w:tc>
          <w:tcPr>
            <w:tcW w:w="538" w:type="pct"/>
            <w:tcBorders>
              <w:top w:val="nil"/>
              <w:left w:val="nil"/>
              <w:bottom w:val="single" w:sz="4" w:space="0" w:color="293F5B"/>
              <w:right w:val="nil"/>
            </w:tcBorders>
            <w:noWrap/>
            <w:vAlign w:val="center"/>
            <w:hideMark/>
          </w:tcPr>
          <w:p w14:paraId="77BFF233"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742,269</w:t>
            </w:r>
          </w:p>
        </w:tc>
        <w:tc>
          <w:tcPr>
            <w:tcW w:w="538" w:type="pct"/>
            <w:tcBorders>
              <w:top w:val="nil"/>
              <w:left w:val="nil"/>
              <w:bottom w:val="single" w:sz="4" w:space="0" w:color="293F5B"/>
              <w:right w:val="nil"/>
            </w:tcBorders>
            <w:noWrap/>
            <w:vAlign w:val="center"/>
            <w:hideMark/>
          </w:tcPr>
          <w:p w14:paraId="19BB769B"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783,601</w:t>
            </w:r>
          </w:p>
        </w:tc>
      </w:tr>
      <w:tr w:rsidR="000932FC" w:rsidRPr="00954D98" w14:paraId="7178020A" w14:textId="77777777" w:rsidTr="00EF2868">
        <w:trPr>
          <w:trHeight w:hRule="exact" w:val="60"/>
        </w:trPr>
        <w:tc>
          <w:tcPr>
            <w:tcW w:w="2350" w:type="pct"/>
            <w:tcBorders>
              <w:top w:val="nil"/>
              <w:left w:val="nil"/>
              <w:bottom w:val="nil"/>
              <w:right w:val="nil"/>
            </w:tcBorders>
            <w:noWrap/>
            <w:vAlign w:val="center"/>
            <w:hideMark/>
          </w:tcPr>
          <w:p w14:paraId="726E5BC6" w14:textId="77777777" w:rsidR="000932FC" w:rsidRPr="00954D98" w:rsidRDefault="000932FC" w:rsidP="000932FC">
            <w:pPr>
              <w:spacing w:before="0" w:after="0" w:line="240" w:lineRule="auto"/>
              <w:jc w:val="right"/>
              <w:rPr>
                <w:rFonts w:ascii="Arial" w:hAnsi="Arial" w:cs="Arial"/>
                <w:b/>
                <w:bCs/>
                <w:sz w:val="16"/>
                <w:szCs w:val="16"/>
              </w:rPr>
            </w:pPr>
          </w:p>
        </w:tc>
        <w:tc>
          <w:tcPr>
            <w:tcW w:w="519" w:type="pct"/>
            <w:tcBorders>
              <w:top w:val="single" w:sz="4" w:space="0" w:color="293F5B"/>
              <w:left w:val="nil"/>
              <w:bottom w:val="nil"/>
              <w:right w:val="nil"/>
            </w:tcBorders>
            <w:noWrap/>
            <w:vAlign w:val="center"/>
            <w:hideMark/>
          </w:tcPr>
          <w:p w14:paraId="0EC3A5DB" w14:textId="77777777" w:rsidR="000932FC" w:rsidRPr="00954D98" w:rsidRDefault="000932FC" w:rsidP="000932FC">
            <w:pPr>
              <w:spacing w:before="0" w:after="0" w:line="240" w:lineRule="auto"/>
              <w:rPr>
                <w:sz w:val="20"/>
              </w:rPr>
            </w:pPr>
          </w:p>
        </w:tc>
        <w:tc>
          <w:tcPr>
            <w:tcW w:w="55" w:type="pct"/>
            <w:tcBorders>
              <w:top w:val="nil"/>
              <w:left w:val="nil"/>
              <w:bottom w:val="nil"/>
              <w:right w:val="nil"/>
            </w:tcBorders>
            <w:shd w:val="clear" w:color="000000" w:fill="FFFFFF"/>
            <w:noWrap/>
            <w:vAlign w:val="center"/>
            <w:hideMark/>
          </w:tcPr>
          <w:p w14:paraId="02BE7DD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single" w:sz="4" w:space="0" w:color="293F5B"/>
              <w:left w:val="nil"/>
              <w:bottom w:val="nil"/>
              <w:right w:val="nil"/>
            </w:tcBorders>
            <w:shd w:val="clear" w:color="000000" w:fill="E6F2FF"/>
            <w:noWrap/>
            <w:vAlign w:val="center"/>
            <w:hideMark/>
          </w:tcPr>
          <w:p w14:paraId="60EDFB7D"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 </w:t>
            </w:r>
          </w:p>
        </w:tc>
        <w:tc>
          <w:tcPr>
            <w:tcW w:w="538" w:type="pct"/>
            <w:tcBorders>
              <w:top w:val="single" w:sz="4" w:space="0" w:color="293F5B"/>
              <w:left w:val="nil"/>
              <w:bottom w:val="nil"/>
              <w:right w:val="nil"/>
            </w:tcBorders>
            <w:noWrap/>
            <w:vAlign w:val="center"/>
            <w:hideMark/>
          </w:tcPr>
          <w:p w14:paraId="24D5E393" w14:textId="77777777" w:rsidR="000932FC" w:rsidRPr="00954D98" w:rsidRDefault="000932FC" w:rsidP="000932FC">
            <w:pPr>
              <w:spacing w:before="0" w:after="0" w:line="240" w:lineRule="auto"/>
              <w:rPr>
                <w:rFonts w:ascii="Arial" w:hAnsi="Arial" w:cs="Arial"/>
                <w:sz w:val="16"/>
                <w:szCs w:val="16"/>
              </w:rPr>
            </w:pPr>
          </w:p>
        </w:tc>
        <w:tc>
          <w:tcPr>
            <w:tcW w:w="538" w:type="pct"/>
            <w:tcBorders>
              <w:top w:val="single" w:sz="4" w:space="0" w:color="293F5B"/>
              <w:left w:val="nil"/>
              <w:bottom w:val="nil"/>
              <w:right w:val="nil"/>
            </w:tcBorders>
            <w:noWrap/>
            <w:vAlign w:val="center"/>
            <w:hideMark/>
          </w:tcPr>
          <w:p w14:paraId="3C883DDE" w14:textId="77777777" w:rsidR="000932FC" w:rsidRPr="00954D98" w:rsidRDefault="000932FC" w:rsidP="000932FC">
            <w:pPr>
              <w:spacing w:before="0" w:after="0" w:line="240" w:lineRule="auto"/>
              <w:jc w:val="right"/>
              <w:rPr>
                <w:sz w:val="20"/>
              </w:rPr>
            </w:pPr>
          </w:p>
        </w:tc>
        <w:tc>
          <w:tcPr>
            <w:tcW w:w="538" w:type="pct"/>
            <w:tcBorders>
              <w:top w:val="single" w:sz="4" w:space="0" w:color="293F5B"/>
              <w:left w:val="nil"/>
              <w:bottom w:val="nil"/>
              <w:right w:val="nil"/>
            </w:tcBorders>
            <w:noWrap/>
            <w:vAlign w:val="center"/>
            <w:hideMark/>
          </w:tcPr>
          <w:p w14:paraId="51BA41B8" w14:textId="77777777" w:rsidR="000932FC" w:rsidRPr="00954D98" w:rsidRDefault="000932FC" w:rsidP="000932FC">
            <w:pPr>
              <w:spacing w:before="0" w:after="0" w:line="240" w:lineRule="auto"/>
              <w:jc w:val="right"/>
              <w:rPr>
                <w:sz w:val="20"/>
              </w:rPr>
            </w:pPr>
          </w:p>
        </w:tc>
      </w:tr>
      <w:tr w:rsidR="000932FC" w:rsidRPr="00954D98" w14:paraId="6C87F41A" w14:textId="77777777" w:rsidTr="000932FC">
        <w:trPr>
          <w:trHeight w:hRule="exact" w:val="225"/>
        </w:trPr>
        <w:tc>
          <w:tcPr>
            <w:tcW w:w="2350" w:type="pct"/>
            <w:tcBorders>
              <w:top w:val="nil"/>
              <w:left w:val="nil"/>
              <w:bottom w:val="nil"/>
              <w:right w:val="nil"/>
            </w:tcBorders>
            <w:noWrap/>
            <w:vAlign w:val="center"/>
            <w:hideMark/>
          </w:tcPr>
          <w:p w14:paraId="23F31D70"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Sales of goods and services</w:t>
            </w:r>
          </w:p>
        </w:tc>
        <w:tc>
          <w:tcPr>
            <w:tcW w:w="519" w:type="pct"/>
            <w:tcBorders>
              <w:top w:val="nil"/>
              <w:left w:val="nil"/>
              <w:bottom w:val="nil"/>
              <w:right w:val="nil"/>
            </w:tcBorders>
            <w:noWrap/>
            <w:vAlign w:val="center"/>
            <w:hideMark/>
          </w:tcPr>
          <w:p w14:paraId="40BD296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22,024</w:t>
            </w:r>
          </w:p>
        </w:tc>
        <w:tc>
          <w:tcPr>
            <w:tcW w:w="55" w:type="pct"/>
            <w:tcBorders>
              <w:top w:val="nil"/>
              <w:left w:val="nil"/>
              <w:bottom w:val="nil"/>
              <w:right w:val="nil"/>
            </w:tcBorders>
            <w:shd w:val="clear" w:color="000000" w:fill="FFFFFF"/>
            <w:noWrap/>
            <w:vAlign w:val="center"/>
            <w:hideMark/>
          </w:tcPr>
          <w:p w14:paraId="33EB2F56"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6083CFE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21,528</w:t>
            </w:r>
          </w:p>
        </w:tc>
        <w:tc>
          <w:tcPr>
            <w:tcW w:w="538" w:type="pct"/>
            <w:tcBorders>
              <w:top w:val="nil"/>
              <w:left w:val="nil"/>
              <w:bottom w:val="nil"/>
              <w:right w:val="nil"/>
            </w:tcBorders>
            <w:noWrap/>
            <w:vAlign w:val="center"/>
            <w:hideMark/>
          </w:tcPr>
          <w:p w14:paraId="3BCCC78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23,025</w:t>
            </w:r>
          </w:p>
        </w:tc>
        <w:tc>
          <w:tcPr>
            <w:tcW w:w="538" w:type="pct"/>
            <w:tcBorders>
              <w:top w:val="nil"/>
              <w:left w:val="nil"/>
              <w:bottom w:val="nil"/>
              <w:right w:val="nil"/>
            </w:tcBorders>
            <w:noWrap/>
            <w:vAlign w:val="center"/>
            <w:hideMark/>
          </w:tcPr>
          <w:p w14:paraId="3A109A9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24,545</w:t>
            </w:r>
          </w:p>
        </w:tc>
        <w:tc>
          <w:tcPr>
            <w:tcW w:w="538" w:type="pct"/>
            <w:tcBorders>
              <w:top w:val="nil"/>
              <w:left w:val="nil"/>
              <w:bottom w:val="nil"/>
              <w:right w:val="nil"/>
            </w:tcBorders>
            <w:noWrap/>
            <w:vAlign w:val="center"/>
            <w:hideMark/>
          </w:tcPr>
          <w:p w14:paraId="2A07139B"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25,546</w:t>
            </w:r>
          </w:p>
        </w:tc>
      </w:tr>
      <w:tr w:rsidR="000932FC" w:rsidRPr="00954D98" w14:paraId="63944632" w14:textId="77777777" w:rsidTr="000932FC">
        <w:trPr>
          <w:trHeight w:hRule="exact" w:val="225"/>
        </w:trPr>
        <w:tc>
          <w:tcPr>
            <w:tcW w:w="2350" w:type="pct"/>
            <w:tcBorders>
              <w:top w:val="nil"/>
              <w:left w:val="nil"/>
              <w:bottom w:val="nil"/>
              <w:right w:val="nil"/>
            </w:tcBorders>
            <w:noWrap/>
            <w:vAlign w:val="center"/>
            <w:hideMark/>
          </w:tcPr>
          <w:p w14:paraId="36AC7EA2"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Interest received</w:t>
            </w:r>
          </w:p>
        </w:tc>
        <w:tc>
          <w:tcPr>
            <w:tcW w:w="519" w:type="pct"/>
            <w:tcBorders>
              <w:top w:val="nil"/>
              <w:left w:val="nil"/>
              <w:bottom w:val="nil"/>
              <w:right w:val="nil"/>
            </w:tcBorders>
            <w:noWrap/>
            <w:vAlign w:val="center"/>
            <w:hideMark/>
          </w:tcPr>
          <w:p w14:paraId="1282E9FE"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10,545</w:t>
            </w:r>
          </w:p>
        </w:tc>
        <w:tc>
          <w:tcPr>
            <w:tcW w:w="55" w:type="pct"/>
            <w:tcBorders>
              <w:top w:val="nil"/>
              <w:left w:val="nil"/>
              <w:bottom w:val="nil"/>
              <w:right w:val="nil"/>
            </w:tcBorders>
            <w:shd w:val="clear" w:color="000000" w:fill="FFFFFF"/>
            <w:noWrap/>
            <w:vAlign w:val="center"/>
            <w:hideMark/>
          </w:tcPr>
          <w:p w14:paraId="43576048"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nil"/>
              <w:right w:val="nil"/>
            </w:tcBorders>
            <w:shd w:val="clear" w:color="000000" w:fill="E6F2FF"/>
            <w:noWrap/>
            <w:vAlign w:val="center"/>
            <w:hideMark/>
          </w:tcPr>
          <w:p w14:paraId="0A158E0A"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9,103</w:t>
            </w:r>
          </w:p>
        </w:tc>
        <w:tc>
          <w:tcPr>
            <w:tcW w:w="538" w:type="pct"/>
            <w:tcBorders>
              <w:top w:val="nil"/>
              <w:left w:val="nil"/>
              <w:bottom w:val="nil"/>
              <w:right w:val="nil"/>
            </w:tcBorders>
            <w:noWrap/>
            <w:vAlign w:val="center"/>
            <w:hideMark/>
          </w:tcPr>
          <w:p w14:paraId="77F6CDFA"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9,091</w:t>
            </w:r>
          </w:p>
        </w:tc>
        <w:tc>
          <w:tcPr>
            <w:tcW w:w="538" w:type="pct"/>
            <w:tcBorders>
              <w:top w:val="nil"/>
              <w:left w:val="nil"/>
              <w:bottom w:val="nil"/>
              <w:right w:val="nil"/>
            </w:tcBorders>
            <w:noWrap/>
            <w:vAlign w:val="center"/>
            <w:hideMark/>
          </w:tcPr>
          <w:p w14:paraId="5248E070"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9,478</w:t>
            </w:r>
          </w:p>
        </w:tc>
        <w:tc>
          <w:tcPr>
            <w:tcW w:w="538" w:type="pct"/>
            <w:tcBorders>
              <w:top w:val="nil"/>
              <w:left w:val="nil"/>
              <w:bottom w:val="nil"/>
              <w:right w:val="nil"/>
            </w:tcBorders>
            <w:noWrap/>
            <w:vAlign w:val="center"/>
            <w:hideMark/>
          </w:tcPr>
          <w:p w14:paraId="50D702D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9,841</w:t>
            </w:r>
          </w:p>
        </w:tc>
      </w:tr>
      <w:tr w:rsidR="000932FC" w:rsidRPr="00954D98" w14:paraId="76AF8AE6" w14:textId="77777777" w:rsidTr="00EF2868">
        <w:trPr>
          <w:trHeight w:hRule="exact" w:val="225"/>
        </w:trPr>
        <w:tc>
          <w:tcPr>
            <w:tcW w:w="2350" w:type="pct"/>
            <w:tcBorders>
              <w:top w:val="nil"/>
              <w:left w:val="nil"/>
              <w:bottom w:val="nil"/>
              <w:right w:val="nil"/>
            </w:tcBorders>
            <w:noWrap/>
            <w:vAlign w:val="center"/>
            <w:hideMark/>
          </w:tcPr>
          <w:p w14:paraId="4A55DB6F"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Dividends and distributions</w:t>
            </w:r>
          </w:p>
        </w:tc>
        <w:tc>
          <w:tcPr>
            <w:tcW w:w="519" w:type="pct"/>
            <w:tcBorders>
              <w:top w:val="nil"/>
              <w:left w:val="nil"/>
              <w:right w:val="nil"/>
            </w:tcBorders>
            <w:noWrap/>
            <w:vAlign w:val="center"/>
            <w:hideMark/>
          </w:tcPr>
          <w:p w14:paraId="5AD0010C"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7,262</w:t>
            </w:r>
          </w:p>
        </w:tc>
        <w:tc>
          <w:tcPr>
            <w:tcW w:w="55" w:type="pct"/>
            <w:tcBorders>
              <w:top w:val="nil"/>
              <w:left w:val="nil"/>
              <w:bottom w:val="nil"/>
              <w:right w:val="nil"/>
            </w:tcBorders>
            <w:shd w:val="clear" w:color="000000" w:fill="FFFFFF"/>
            <w:noWrap/>
            <w:vAlign w:val="center"/>
            <w:hideMark/>
          </w:tcPr>
          <w:p w14:paraId="78C50D6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right w:val="nil"/>
            </w:tcBorders>
            <w:shd w:val="clear" w:color="000000" w:fill="E6F2FF"/>
            <w:noWrap/>
            <w:vAlign w:val="center"/>
            <w:hideMark/>
          </w:tcPr>
          <w:p w14:paraId="3A9F7B9D"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7,558</w:t>
            </w:r>
          </w:p>
        </w:tc>
        <w:tc>
          <w:tcPr>
            <w:tcW w:w="538" w:type="pct"/>
            <w:tcBorders>
              <w:top w:val="nil"/>
              <w:left w:val="nil"/>
              <w:right w:val="nil"/>
            </w:tcBorders>
            <w:noWrap/>
            <w:vAlign w:val="center"/>
            <w:hideMark/>
          </w:tcPr>
          <w:p w14:paraId="1355F83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7,766</w:t>
            </w:r>
          </w:p>
        </w:tc>
        <w:tc>
          <w:tcPr>
            <w:tcW w:w="538" w:type="pct"/>
            <w:tcBorders>
              <w:top w:val="nil"/>
              <w:left w:val="nil"/>
              <w:right w:val="nil"/>
            </w:tcBorders>
            <w:noWrap/>
            <w:vAlign w:val="center"/>
            <w:hideMark/>
          </w:tcPr>
          <w:p w14:paraId="641F7EE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8,323</w:t>
            </w:r>
          </w:p>
        </w:tc>
        <w:tc>
          <w:tcPr>
            <w:tcW w:w="538" w:type="pct"/>
            <w:tcBorders>
              <w:top w:val="nil"/>
              <w:left w:val="nil"/>
              <w:right w:val="nil"/>
            </w:tcBorders>
            <w:noWrap/>
            <w:vAlign w:val="center"/>
            <w:hideMark/>
          </w:tcPr>
          <w:p w14:paraId="2754AE4D"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9,126</w:t>
            </w:r>
          </w:p>
        </w:tc>
      </w:tr>
      <w:tr w:rsidR="000932FC" w:rsidRPr="00954D98" w14:paraId="70701EC5" w14:textId="77777777" w:rsidTr="00EF2868">
        <w:trPr>
          <w:trHeight w:hRule="exact" w:val="225"/>
        </w:trPr>
        <w:tc>
          <w:tcPr>
            <w:tcW w:w="2350" w:type="pct"/>
            <w:tcBorders>
              <w:top w:val="nil"/>
              <w:left w:val="nil"/>
              <w:bottom w:val="nil"/>
              <w:right w:val="nil"/>
            </w:tcBorders>
            <w:noWrap/>
            <w:vAlign w:val="center"/>
            <w:hideMark/>
          </w:tcPr>
          <w:p w14:paraId="47708BF8" w14:textId="77777777" w:rsidR="000932FC" w:rsidRPr="00954D98" w:rsidRDefault="000932FC" w:rsidP="000932FC">
            <w:pPr>
              <w:spacing w:before="0" w:after="0" w:line="240" w:lineRule="auto"/>
              <w:rPr>
                <w:rFonts w:ascii="Arial" w:hAnsi="Arial" w:cs="Arial"/>
                <w:sz w:val="16"/>
                <w:szCs w:val="16"/>
              </w:rPr>
            </w:pPr>
            <w:r w:rsidRPr="00954D98">
              <w:rPr>
                <w:rFonts w:ascii="Arial" w:hAnsi="Arial" w:cs="Arial"/>
                <w:sz w:val="16"/>
                <w:szCs w:val="16"/>
              </w:rPr>
              <w:t>Other non-taxation receipts</w:t>
            </w:r>
          </w:p>
        </w:tc>
        <w:tc>
          <w:tcPr>
            <w:tcW w:w="519" w:type="pct"/>
            <w:tcBorders>
              <w:top w:val="nil"/>
              <w:left w:val="nil"/>
              <w:bottom w:val="single" w:sz="4" w:space="0" w:color="293F5B"/>
              <w:right w:val="nil"/>
            </w:tcBorders>
            <w:noWrap/>
            <w:vAlign w:val="center"/>
            <w:hideMark/>
          </w:tcPr>
          <w:p w14:paraId="43B69105"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19,277</w:t>
            </w:r>
          </w:p>
        </w:tc>
        <w:tc>
          <w:tcPr>
            <w:tcW w:w="55" w:type="pct"/>
            <w:tcBorders>
              <w:top w:val="nil"/>
              <w:left w:val="nil"/>
              <w:bottom w:val="nil"/>
              <w:right w:val="nil"/>
            </w:tcBorders>
            <w:shd w:val="clear" w:color="000000" w:fill="FFFFFF"/>
            <w:noWrap/>
            <w:vAlign w:val="center"/>
            <w:hideMark/>
          </w:tcPr>
          <w:p w14:paraId="4DE6442F"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 </w:t>
            </w:r>
          </w:p>
        </w:tc>
        <w:tc>
          <w:tcPr>
            <w:tcW w:w="463" w:type="pct"/>
            <w:tcBorders>
              <w:top w:val="nil"/>
              <w:left w:val="nil"/>
              <w:bottom w:val="single" w:sz="4" w:space="0" w:color="293F5B"/>
              <w:right w:val="nil"/>
            </w:tcBorders>
            <w:shd w:val="clear" w:color="000000" w:fill="E6F2FF"/>
            <w:noWrap/>
            <w:vAlign w:val="center"/>
            <w:hideMark/>
          </w:tcPr>
          <w:p w14:paraId="15D290F9"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20,460</w:t>
            </w:r>
          </w:p>
        </w:tc>
        <w:tc>
          <w:tcPr>
            <w:tcW w:w="538" w:type="pct"/>
            <w:tcBorders>
              <w:top w:val="nil"/>
              <w:left w:val="nil"/>
              <w:bottom w:val="single" w:sz="4" w:space="0" w:color="293F5B"/>
              <w:right w:val="nil"/>
            </w:tcBorders>
            <w:noWrap/>
            <w:vAlign w:val="center"/>
            <w:hideMark/>
          </w:tcPr>
          <w:p w14:paraId="4A106863"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18,662</w:t>
            </w:r>
          </w:p>
        </w:tc>
        <w:tc>
          <w:tcPr>
            <w:tcW w:w="538" w:type="pct"/>
            <w:tcBorders>
              <w:top w:val="nil"/>
              <w:left w:val="nil"/>
              <w:bottom w:val="single" w:sz="4" w:space="0" w:color="293F5B"/>
              <w:right w:val="nil"/>
            </w:tcBorders>
            <w:noWrap/>
            <w:vAlign w:val="center"/>
            <w:hideMark/>
          </w:tcPr>
          <w:p w14:paraId="72818630"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20,939</w:t>
            </w:r>
          </w:p>
        </w:tc>
        <w:tc>
          <w:tcPr>
            <w:tcW w:w="538" w:type="pct"/>
            <w:tcBorders>
              <w:top w:val="nil"/>
              <w:left w:val="nil"/>
              <w:bottom w:val="single" w:sz="4" w:space="0" w:color="293F5B"/>
              <w:right w:val="nil"/>
            </w:tcBorders>
            <w:noWrap/>
            <w:vAlign w:val="center"/>
            <w:hideMark/>
          </w:tcPr>
          <w:p w14:paraId="6E05D2AD" w14:textId="77777777" w:rsidR="000932FC" w:rsidRPr="00954D98" w:rsidRDefault="000932FC" w:rsidP="000932FC">
            <w:pPr>
              <w:spacing w:before="0" w:after="0" w:line="240" w:lineRule="auto"/>
              <w:jc w:val="right"/>
              <w:rPr>
                <w:rFonts w:ascii="Arial" w:hAnsi="Arial" w:cs="Arial"/>
                <w:sz w:val="16"/>
                <w:szCs w:val="16"/>
              </w:rPr>
            </w:pPr>
            <w:r w:rsidRPr="00954D98">
              <w:rPr>
                <w:rFonts w:ascii="Arial" w:hAnsi="Arial" w:cs="Arial"/>
                <w:sz w:val="16"/>
                <w:szCs w:val="16"/>
              </w:rPr>
              <w:t>18,810</w:t>
            </w:r>
          </w:p>
        </w:tc>
      </w:tr>
      <w:tr w:rsidR="000932FC" w:rsidRPr="00954D98" w14:paraId="7D734261" w14:textId="77777777" w:rsidTr="00EF2868">
        <w:trPr>
          <w:trHeight w:hRule="exact" w:val="225"/>
        </w:trPr>
        <w:tc>
          <w:tcPr>
            <w:tcW w:w="2350" w:type="pct"/>
            <w:tcBorders>
              <w:top w:val="nil"/>
              <w:left w:val="nil"/>
              <w:bottom w:val="nil"/>
              <w:right w:val="nil"/>
            </w:tcBorders>
            <w:noWrap/>
            <w:vAlign w:val="center"/>
            <w:hideMark/>
          </w:tcPr>
          <w:p w14:paraId="18596960" w14:textId="77777777" w:rsidR="000932FC" w:rsidRPr="00954D98" w:rsidRDefault="000932FC" w:rsidP="000932FC">
            <w:pPr>
              <w:spacing w:before="0" w:after="0" w:line="240" w:lineRule="auto"/>
              <w:rPr>
                <w:rFonts w:ascii="Arial" w:hAnsi="Arial" w:cs="Arial"/>
                <w:b/>
                <w:bCs/>
                <w:sz w:val="16"/>
                <w:szCs w:val="16"/>
              </w:rPr>
            </w:pPr>
            <w:r w:rsidRPr="00954D98">
              <w:rPr>
                <w:rFonts w:ascii="Arial" w:hAnsi="Arial" w:cs="Arial"/>
                <w:b/>
                <w:bCs/>
                <w:sz w:val="16"/>
                <w:szCs w:val="16"/>
              </w:rPr>
              <w:t>Non-taxation receipts</w:t>
            </w:r>
          </w:p>
        </w:tc>
        <w:tc>
          <w:tcPr>
            <w:tcW w:w="519" w:type="pct"/>
            <w:tcBorders>
              <w:top w:val="single" w:sz="4" w:space="0" w:color="293F5B"/>
              <w:left w:val="nil"/>
              <w:bottom w:val="single" w:sz="4" w:space="0" w:color="293F5B"/>
              <w:right w:val="nil"/>
            </w:tcBorders>
            <w:noWrap/>
            <w:vAlign w:val="center"/>
            <w:hideMark/>
          </w:tcPr>
          <w:p w14:paraId="392C3A74"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59,107</w:t>
            </w:r>
          </w:p>
        </w:tc>
        <w:tc>
          <w:tcPr>
            <w:tcW w:w="55" w:type="pct"/>
            <w:tcBorders>
              <w:top w:val="nil"/>
              <w:left w:val="nil"/>
              <w:bottom w:val="nil"/>
              <w:right w:val="nil"/>
            </w:tcBorders>
            <w:shd w:val="clear" w:color="000000" w:fill="FFFFFF"/>
            <w:noWrap/>
            <w:vAlign w:val="center"/>
            <w:hideMark/>
          </w:tcPr>
          <w:p w14:paraId="70CB3EEB"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463" w:type="pct"/>
            <w:tcBorders>
              <w:top w:val="single" w:sz="4" w:space="0" w:color="293F5B"/>
              <w:left w:val="nil"/>
              <w:bottom w:val="single" w:sz="4" w:space="0" w:color="293F5B"/>
              <w:right w:val="nil"/>
            </w:tcBorders>
            <w:shd w:val="clear" w:color="000000" w:fill="E6F2FF"/>
            <w:noWrap/>
            <w:vAlign w:val="center"/>
            <w:hideMark/>
          </w:tcPr>
          <w:p w14:paraId="4039A1DA"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58,649</w:t>
            </w:r>
          </w:p>
        </w:tc>
        <w:tc>
          <w:tcPr>
            <w:tcW w:w="538" w:type="pct"/>
            <w:tcBorders>
              <w:top w:val="single" w:sz="4" w:space="0" w:color="293F5B"/>
              <w:left w:val="nil"/>
              <w:bottom w:val="single" w:sz="4" w:space="0" w:color="293F5B"/>
              <w:right w:val="nil"/>
            </w:tcBorders>
            <w:noWrap/>
            <w:vAlign w:val="center"/>
            <w:hideMark/>
          </w:tcPr>
          <w:p w14:paraId="7E02F1FF"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58,544</w:t>
            </w:r>
          </w:p>
        </w:tc>
        <w:tc>
          <w:tcPr>
            <w:tcW w:w="538" w:type="pct"/>
            <w:tcBorders>
              <w:top w:val="single" w:sz="4" w:space="0" w:color="293F5B"/>
              <w:left w:val="nil"/>
              <w:bottom w:val="single" w:sz="4" w:space="0" w:color="293F5B"/>
              <w:right w:val="nil"/>
            </w:tcBorders>
            <w:noWrap/>
            <w:vAlign w:val="center"/>
            <w:hideMark/>
          </w:tcPr>
          <w:p w14:paraId="520AC09E"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63,285</w:t>
            </w:r>
          </w:p>
        </w:tc>
        <w:tc>
          <w:tcPr>
            <w:tcW w:w="538" w:type="pct"/>
            <w:tcBorders>
              <w:top w:val="single" w:sz="4" w:space="0" w:color="293F5B"/>
              <w:left w:val="nil"/>
              <w:bottom w:val="single" w:sz="4" w:space="0" w:color="293F5B"/>
              <w:right w:val="nil"/>
            </w:tcBorders>
            <w:noWrap/>
            <w:vAlign w:val="center"/>
            <w:hideMark/>
          </w:tcPr>
          <w:p w14:paraId="018C4658"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63,322</w:t>
            </w:r>
          </w:p>
        </w:tc>
      </w:tr>
      <w:tr w:rsidR="000932FC" w:rsidRPr="00954D98" w14:paraId="238B17B3" w14:textId="77777777" w:rsidTr="00EF2868">
        <w:trPr>
          <w:trHeight w:hRule="exact" w:val="60"/>
        </w:trPr>
        <w:tc>
          <w:tcPr>
            <w:tcW w:w="2350" w:type="pct"/>
            <w:tcBorders>
              <w:top w:val="nil"/>
              <w:left w:val="nil"/>
              <w:right w:val="nil"/>
            </w:tcBorders>
            <w:noWrap/>
            <w:vAlign w:val="center"/>
            <w:hideMark/>
          </w:tcPr>
          <w:p w14:paraId="49C68E15" w14:textId="77777777" w:rsidR="000932FC" w:rsidRPr="00954D98" w:rsidRDefault="000932FC" w:rsidP="000932FC">
            <w:pPr>
              <w:spacing w:before="0" w:after="0" w:line="240" w:lineRule="auto"/>
              <w:jc w:val="right"/>
              <w:rPr>
                <w:rFonts w:ascii="Arial" w:hAnsi="Arial" w:cs="Arial"/>
                <w:b/>
                <w:bCs/>
                <w:sz w:val="16"/>
                <w:szCs w:val="16"/>
              </w:rPr>
            </w:pPr>
          </w:p>
        </w:tc>
        <w:tc>
          <w:tcPr>
            <w:tcW w:w="519" w:type="pct"/>
            <w:tcBorders>
              <w:top w:val="single" w:sz="4" w:space="0" w:color="293F5B"/>
              <w:left w:val="nil"/>
              <w:right w:val="nil"/>
            </w:tcBorders>
            <w:noWrap/>
            <w:vAlign w:val="center"/>
            <w:hideMark/>
          </w:tcPr>
          <w:p w14:paraId="614590F8" w14:textId="77777777" w:rsidR="000932FC" w:rsidRPr="00954D98" w:rsidRDefault="000932FC" w:rsidP="000932FC">
            <w:pPr>
              <w:spacing w:before="0" w:after="0" w:line="240" w:lineRule="auto"/>
              <w:rPr>
                <w:sz w:val="20"/>
              </w:rPr>
            </w:pPr>
          </w:p>
        </w:tc>
        <w:tc>
          <w:tcPr>
            <w:tcW w:w="55" w:type="pct"/>
            <w:tcBorders>
              <w:top w:val="nil"/>
              <w:left w:val="nil"/>
              <w:right w:val="nil"/>
            </w:tcBorders>
            <w:shd w:val="clear" w:color="000000" w:fill="FFFFFF"/>
            <w:noWrap/>
            <w:vAlign w:val="center"/>
            <w:hideMark/>
          </w:tcPr>
          <w:p w14:paraId="44D77606"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463" w:type="pct"/>
            <w:tcBorders>
              <w:top w:val="single" w:sz="4" w:space="0" w:color="293F5B"/>
              <w:left w:val="nil"/>
              <w:right w:val="nil"/>
            </w:tcBorders>
            <w:shd w:val="clear" w:color="000000" w:fill="E6F2FF"/>
            <w:noWrap/>
            <w:vAlign w:val="center"/>
            <w:hideMark/>
          </w:tcPr>
          <w:p w14:paraId="18D7AEA8" w14:textId="77777777" w:rsidR="000932FC" w:rsidRPr="00954D98" w:rsidRDefault="000932FC" w:rsidP="000932FC">
            <w:pPr>
              <w:spacing w:before="0" w:after="0" w:line="240" w:lineRule="auto"/>
              <w:rPr>
                <w:rFonts w:ascii="Arial" w:hAnsi="Arial" w:cs="Arial"/>
                <w:b/>
                <w:bCs/>
                <w:sz w:val="16"/>
                <w:szCs w:val="16"/>
              </w:rPr>
            </w:pPr>
            <w:r w:rsidRPr="00954D98">
              <w:rPr>
                <w:rFonts w:ascii="Arial" w:hAnsi="Arial" w:cs="Arial"/>
                <w:b/>
                <w:bCs/>
                <w:sz w:val="16"/>
                <w:szCs w:val="16"/>
              </w:rPr>
              <w:t> </w:t>
            </w:r>
          </w:p>
        </w:tc>
        <w:tc>
          <w:tcPr>
            <w:tcW w:w="538" w:type="pct"/>
            <w:tcBorders>
              <w:top w:val="single" w:sz="4" w:space="0" w:color="293F5B"/>
              <w:left w:val="nil"/>
              <w:right w:val="nil"/>
            </w:tcBorders>
            <w:noWrap/>
            <w:vAlign w:val="center"/>
            <w:hideMark/>
          </w:tcPr>
          <w:p w14:paraId="25541AC8" w14:textId="77777777" w:rsidR="000932FC" w:rsidRPr="00954D98" w:rsidRDefault="000932FC" w:rsidP="000932FC">
            <w:pPr>
              <w:spacing w:before="0" w:after="0" w:line="240" w:lineRule="auto"/>
              <w:rPr>
                <w:rFonts w:ascii="Arial" w:hAnsi="Arial" w:cs="Arial"/>
                <w:b/>
                <w:bCs/>
                <w:sz w:val="16"/>
                <w:szCs w:val="16"/>
              </w:rPr>
            </w:pPr>
          </w:p>
        </w:tc>
        <w:tc>
          <w:tcPr>
            <w:tcW w:w="538" w:type="pct"/>
            <w:tcBorders>
              <w:top w:val="single" w:sz="4" w:space="0" w:color="293F5B"/>
              <w:left w:val="nil"/>
              <w:right w:val="nil"/>
            </w:tcBorders>
            <w:noWrap/>
            <w:vAlign w:val="center"/>
            <w:hideMark/>
          </w:tcPr>
          <w:p w14:paraId="26942387" w14:textId="77777777" w:rsidR="000932FC" w:rsidRPr="00954D98" w:rsidRDefault="000932FC" w:rsidP="000932FC">
            <w:pPr>
              <w:spacing w:before="0" w:after="0" w:line="240" w:lineRule="auto"/>
              <w:jc w:val="right"/>
              <w:rPr>
                <w:sz w:val="20"/>
              </w:rPr>
            </w:pPr>
          </w:p>
        </w:tc>
        <w:tc>
          <w:tcPr>
            <w:tcW w:w="538" w:type="pct"/>
            <w:tcBorders>
              <w:top w:val="single" w:sz="4" w:space="0" w:color="293F5B"/>
              <w:left w:val="nil"/>
              <w:right w:val="nil"/>
            </w:tcBorders>
            <w:noWrap/>
            <w:vAlign w:val="center"/>
            <w:hideMark/>
          </w:tcPr>
          <w:p w14:paraId="1C23C6B7" w14:textId="77777777" w:rsidR="000932FC" w:rsidRPr="00954D98" w:rsidRDefault="000932FC" w:rsidP="000932FC">
            <w:pPr>
              <w:spacing w:before="0" w:after="0" w:line="240" w:lineRule="auto"/>
              <w:jc w:val="right"/>
              <w:rPr>
                <w:sz w:val="20"/>
              </w:rPr>
            </w:pPr>
          </w:p>
        </w:tc>
      </w:tr>
      <w:tr w:rsidR="000932FC" w:rsidRPr="00954D98" w14:paraId="009EF53A" w14:textId="77777777" w:rsidTr="00EF2868">
        <w:trPr>
          <w:trHeight w:hRule="exact" w:val="225"/>
        </w:trPr>
        <w:tc>
          <w:tcPr>
            <w:tcW w:w="2350" w:type="pct"/>
            <w:tcBorders>
              <w:top w:val="nil"/>
              <w:left w:val="nil"/>
              <w:bottom w:val="single" w:sz="4" w:space="0" w:color="293F5B"/>
              <w:right w:val="nil"/>
            </w:tcBorders>
            <w:noWrap/>
            <w:vAlign w:val="center"/>
            <w:hideMark/>
          </w:tcPr>
          <w:p w14:paraId="2A18F0DD" w14:textId="77777777" w:rsidR="000932FC" w:rsidRPr="00954D98" w:rsidRDefault="000932FC" w:rsidP="000932FC">
            <w:pPr>
              <w:spacing w:before="0" w:after="0" w:line="240" w:lineRule="auto"/>
              <w:rPr>
                <w:rFonts w:ascii="Arial" w:hAnsi="Arial" w:cs="Arial"/>
                <w:b/>
                <w:bCs/>
                <w:sz w:val="16"/>
                <w:szCs w:val="16"/>
              </w:rPr>
            </w:pPr>
            <w:r w:rsidRPr="00954D98">
              <w:rPr>
                <w:rFonts w:ascii="Arial" w:hAnsi="Arial" w:cs="Arial"/>
                <w:b/>
                <w:bCs/>
                <w:sz w:val="16"/>
                <w:szCs w:val="16"/>
              </w:rPr>
              <w:t>Total receipts</w:t>
            </w:r>
          </w:p>
        </w:tc>
        <w:tc>
          <w:tcPr>
            <w:tcW w:w="519" w:type="pct"/>
            <w:tcBorders>
              <w:top w:val="nil"/>
              <w:left w:val="nil"/>
              <w:bottom w:val="single" w:sz="4" w:space="0" w:color="293F5B"/>
              <w:right w:val="nil"/>
            </w:tcBorders>
            <w:noWrap/>
            <w:vAlign w:val="center"/>
            <w:hideMark/>
          </w:tcPr>
          <w:p w14:paraId="19DD2907"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716,951</w:t>
            </w:r>
          </w:p>
        </w:tc>
        <w:tc>
          <w:tcPr>
            <w:tcW w:w="55" w:type="pct"/>
            <w:tcBorders>
              <w:top w:val="nil"/>
              <w:left w:val="nil"/>
              <w:bottom w:val="single" w:sz="4" w:space="0" w:color="293F5B"/>
              <w:right w:val="nil"/>
            </w:tcBorders>
            <w:shd w:val="clear" w:color="000000" w:fill="FFFFFF"/>
            <w:noWrap/>
            <w:vAlign w:val="center"/>
            <w:hideMark/>
          </w:tcPr>
          <w:p w14:paraId="547BA3BE"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463" w:type="pct"/>
            <w:tcBorders>
              <w:top w:val="nil"/>
              <w:left w:val="nil"/>
              <w:bottom w:val="single" w:sz="4" w:space="0" w:color="293F5B"/>
              <w:right w:val="nil"/>
            </w:tcBorders>
            <w:shd w:val="clear" w:color="000000" w:fill="E6F2FF"/>
            <w:noWrap/>
            <w:vAlign w:val="center"/>
            <w:hideMark/>
          </w:tcPr>
          <w:p w14:paraId="2645A4B0"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749,792</w:t>
            </w:r>
          </w:p>
        </w:tc>
        <w:tc>
          <w:tcPr>
            <w:tcW w:w="538" w:type="pct"/>
            <w:tcBorders>
              <w:top w:val="nil"/>
              <w:left w:val="nil"/>
              <w:bottom w:val="single" w:sz="4" w:space="0" w:color="293F5B"/>
              <w:right w:val="nil"/>
            </w:tcBorders>
            <w:noWrap/>
            <w:vAlign w:val="center"/>
            <w:hideMark/>
          </w:tcPr>
          <w:p w14:paraId="58CBC6A8"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777,030</w:t>
            </w:r>
          </w:p>
        </w:tc>
        <w:tc>
          <w:tcPr>
            <w:tcW w:w="538" w:type="pct"/>
            <w:tcBorders>
              <w:top w:val="nil"/>
              <w:left w:val="nil"/>
              <w:bottom w:val="single" w:sz="4" w:space="0" w:color="293F5B"/>
              <w:right w:val="nil"/>
            </w:tcBorders>
            <w:noWrap/>
            <w:vAlign w:val="center"/>
            <w:hideMark/>
          </w:tcPr>
          <w:p w14:paraId="1C910941"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805,554</w:t>
            </w:r>
          </w:p>
        </w:tc>
        <w:tc>
          <w:tcPr>
            <w:tcW w:w="538" w:type="pct"/>
            <w:tcBorders>
              <w:top w:val="nil"/>
              <w:left w:val="nil"/>
              <w:bottom w:val="single" w:sz="4" w:space="0" w:color="293F5B"/>
              <w:right w:val="nil"/>
            </w:tcBorders>
            <w:noWrap/>
            <w:vAlign w:val="center"/>
            <w:hideMark/>
          </w:tcPr>
          <w:p w14:paraId="031CBD83"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846,923</w:t>
            </w:r>
          </w:p>
        </w:tc>
      </w:tr>
      <w:tr w:rsidR="000932FC" w:rsidRPr="00954D98" w14:paraId="1864360F" w14:textId="77777777" w:rsidTr="00EF2868">
        <w:trPr>
          <w:trHeight w:hRule="exact" w:val="225"/>
        </w:trPr>
        <w:tc>
          <w:tcPr>
            <w:tcW w:w="2350" w:type="pct"/>
            <w:tcBorders>
              <w:top w:val="single" w:sz="4" w:space="0" w:color="293F5B"/>
              <w:left w:val="nil"/>
              <w:bottom w:val="nil"/>
              <w:right w:val="nil"/>
            </w:tcBorders>
            <w:noWrap/>
            <w:vAlign w:val="center"/>
            <w:hideMark/>
          </w:tcPr>
          <w:p w14:paraId="6D32731C" w14:textId="77777777" w:rsidR="000932FC" w:rsidRPr="00954D98" w:rsidRDefault="000932FC" w:rsidP="000932FC">
            <w:pPr>
              <w:spacing w:before="0" w:after="0" w:line="240" w:lineRule="auto"/>
              <w:rPr>
                <w:rFonts w:ascii="Arial" w:hAnsi="Arial" w:cs="Arial"/>
                <w:i/>
                <w:iCs/>
                <w:sz w:val="16"/>
                <w:szCs w:val="16"/>
              </w:rPr>
            </w:pPr>
            <w:r w:rsidRPr="00954D98">
              <w:rPr>
                <w:rFonts w:ascii="Arial" w:hAnsi="Arial" w:cs="Arial"/>
                <w:i/>
                <w:iCs/>
                <w:sz w:val="16"/>
                <w:szCs w:val="16"/>
              </w:rPr>
              <w:t>Memorandum:</w:t>
            </w:r>
          </w:p>
        </w:tc>
        <w:tc>
          <w:tcPr>
            <w:tcW w:w="519" w:type="pct"/>
            <w:tcBorders>
              <w:top w:val="single" w:sz="4" w:space="0" w:color="293F5B"/>
              <w:left w:val="nil"/>
              <w:bottom w:val="nil"/>
              <w:right w:val="nil"/>
            </w:tcBorders>
            <w:noWrap/>
            <w:vAlign w:val="center"/>
            <w:hideMark/>
          </w:tcPr>
          <w:p w14:paraId="4376DD1F"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55" w:type="pct"/>
            <w:tcBorders>
              <w:top w:val="single" w:sz="4" w:space="0" w:color="293F5B"/>
              <w:left w:val="nil"/>
              <w:bottom w:val="nil"/>
              <w:right w:val="nil"/>
            </w:tcBorders>
            <w:shd w:val="clear" w:color="000000" w:fill="FFFFFF"/>
            <w:noWrap/>
            <w:vAlign w:val="center"/>
            <w:hideMark/>
          </w:tcPr>
          <w:p w14:paraId="420DC0E8"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463" w:type="pct"/>
            <w:tcBorders>
              <w:top w:val="single" w:sz="4" w:space="0" w:color="293F5B"/>
              <w:left w:val="nil"/>
              <w:bottom w:val="nil"/>
              <w:right w:val="nil"/>
            </w:tcBorders>
            <w:shd w:val="clear" w:color="000000" w:fill="E6F2FF"/>
            <w:noWrap/>
            <w:vAlign w:val="center"/>
            <w:hideMark/>
          </w:tcPr>
          <w:p w14:paraId="24AE6B89" w14:textId="77777777" w:rsidR="000932FC" w:rsidRPr="00954D98" w:rsidRDefault="000932FC" w:rsidP="000932FC">
            <w:pPr>
              <w:spacing w:before="0" w:after="0" w:line="240" w:lineRule="auto"/>
              <w:rPr>
                <w:rFonts w:ascii="Arial" w:hAnsi="Arial" w:cs="Arial"/>
                <w:b/>
                <w:bCs/>
                <w:sz w:val="16"/>
                <w:szCs w:val="16"/>
              </w:rPr>
            </w:pPr>
            <w:r w:rsidRPr="00954D98">
              <w:rPr>
                <w:rFonts w:ascii="Arial" w:hAnsi="Arial" w:cs="Arial"/>
                <w:b/>
                <w:bCs/>
                <w:sz w:val="16"/>
                <w:szCs w:val="16"/>
              </w:rPr>
              <w:t> </w:t>
            </w:r>
          </w:p>
        </w:tc>
        <w:tc>
          <w:tcPr>
            <w:tcW w:w="538" w:type="pct"/>
            <w:tcBorders>
              <w:top w:val="single" w:sz="4" w:space="0" w:color="293F5B"/>
              <w:left w:val="nil"/>
              <w:bottom w:val="nil"/>
              <w:right w:val="nil"/>
            </w:tcBorders>
            <w:noWrap/>
            <w:vAlign w:val="center"/>
            <w:hideMark/>
          </w:tcPr>
          <w:p w14:paraId="526025C9"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538" w:type="pct"/>
            <w:tcBorders>
              <w:top w:val="single" w:sz="4" w:space="0" w:color="293F5B"/>
              <w:left w:val="nil"/>
              <w:bottom w:val="nil"/>
              <w:right w:val="nil"/>
            </w:tcBorders>
            <w:noWrap/>
            <w:vAlign w:val="center"/>
            <w:hideMark/>
          </w:tcPr>
          <w:p w14:paraId="4D9660A4"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 </w:t>
            </w:r>
          </w:p>
        </w:tc>
        <w:tc>
          <w:tcPr>
            <w:tcW w:w="538" w:type="pct"/>
            <w:tcBorders>
              <w:top w:val="single" w:sz="4" w:space="0" w:color="293F5B"/>
              <w:left w:val="nil"/>
              <w:bottom w:val="nil"/>
              <w:right w:val="nil"/>
            </w:tcBorders>
            <w:noWrap/>
            <w:vAlign w:val="center"/>
            <w:hideMark/>
          </w:tcPr>
          <w:p w14:paraId="1D065E81" w14:textId="77777777" w:rsidR="000932FC" w:rsidRPr="00954D98" w:rsidRDefault="000932FC" w:rsidP="000932FC">
            <w:pPr>
              <w:spacing w:before="0" w:after="0" w:line="240" w:lineRule="auto"/>
              <w:jc w:val="right"/>
              <w:rPr>
                <w:rFonts w:ascii="Arial" w:hAnsi="Arial" w:cs="Arial"/>
                <w:b/>
                <w:bCs/>
                <w:sz w:val="16"/>
                <w:szCs w:val="16"/>
              </w:rPr>
            </w:pPr>
            <w:r w:rsidRPr="00954D98">
              <w:rPr>
                <w:rFonts w:ascii="Arial" w:hAnsi="Arial" w:cs="Arial"/>
                <w:b/>
                <w:bCs/>
                <w:sz w:val="16"/>
                <w:szCs w:val="16"/>
              </w:rPr>
              <w:t> </w:t>
            </w:r>
          </w:p>
        </w:tc>
      </w:tr>
      <w:tr w:rsidR="000932FC" w:rsidRPr="00954D98" w14:paraId="3EC4C651" w14:textId="77777777" w:rsidTr="000932FC">
        <w:trPr>
          <w:trHeight w:hRule="exact" w:val="225"/>
        </w:trPr>
        <w:tc>
          <w:tcPr>
            <w:tcW w:w="2350" w:type="pct"/>
            <w:tcBorders>
              <w:top w:val="nil"/>
              <w:left w:val="nil"/>
              <w:bottom w:val="nil"/>
              <w:right w:val="nil"/>
            </w:tcBorders>
            <w:noWrap/>
            <w:vAlign w:val="center"/>
            <w:hideMark/>
          </w:tcPr>
          <w:p w14:paraId="577AA3F5" w14:textId="77777777" w:rsidR="000932FC" w:rsidRPr="00954D98" w:rsidRDefault="000932FC" w:rsidP="000932FC">
            <w:pPr>
              <w:spacing w:before="0" w:after="0" w:line="240" w:lineRule="auto"/>
              <w:ind w:firstLineChars="100" w:firstLine="160"/>
              <w:rPr>
                <w:rFonts w:ascii="Arial" w:hAnsi="Arial" w:cs="Arial"/>
                <w:i/>
                <w:iCs/>
                <w:sz w:val="16"/>
                <w:szCs w:val="16"/>
              </w:rPr>
            </w:pPr>
            <w:r w:rsidRPr="00954D98">
              <w:rPr>
                <w:rFonts w:ascii="Arial" w:hAnsi="Arial" w:cs="Arial"/>
                <w:i/>
                <w:iCs/>
                <w:sz w:val="16"/>
                <w:szCs w:val="16"/>
              </w:rPr>
              <w:t xml:space="preserve">Total excise </w:t>
            </w:r>
          </w:p>
        </w:tc>
        <w:tc>
          <w:tcPr>
            <w:tcW w:w="519" w:type="pct"/>
            <w:tcBorders>
              <w:top w:val="nil"/>
              <w:left w:val="nil"/>
              <w:bottom w:val="nil"/>
              <w:right w:val="nil"/>
            </w:tcBorders>
            <w:noWrap/>
            <w:vAlign w:val="center"/>
            <w:hideMark/>
          </w:tcPr>
          <w:p w14:paraId="16F0C4EC"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31,294</w:t>
            </w:r>
          </w:p>
        </w:tc>
        <w:tc>
          <w:tcPr>
            <w:tcW w:w="55" w:type="pct"/>
            <w:tcBorders>
              <w:top w:val="nil"/>
              <w:left w:val="nil"/>
              <w:bottom w:val="nil"/>
              <w:right w:val="nil"/>
            </w:tcBorders>
            <w:shd w:val="clear" w:color="000000" w:fill="FFFFFF"/>
            <w:noWrap/>
            <w:vAlign w:val="center"/>
            <w:hideMark/>
          </w:tcPr>
          <w:p w14:paraId="2DBF6030"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 </w:t>
            </w:r>
          </w:p>
        </w:tc>
        <w:tc>
          <w:tcPr>
            <w:tcW w:w="463" w:type="pct"/>
            <w:tcBorders>
              <w:top w:val="nil"/>
              <w:left w:val="nil"/>
              <w:bottom w:val="nil"/>
              <w:right w:val="nil"/>
            </w:tcBorders>
            <w:shd w:val="clear" w:color="000000" w:fill="E6F2FF"/>
            <w:noWrap/>
            <w:vAlign w:val="center"/>
            <w:hideMark/>
          </w:tcPr>
          <w:p w14:paraId="21D9CBBC"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31,680</w:t>
            </w:r>
          </w:p>
        </w:tc>
        <w:tc>
          <w:tcPr>
            <w:tcW w:w="538" w:type="pct"/>
            <w:tcBorders>
              <w:top w:val="nil"/>
              <w:left w:val="nil"/>
              <w:bottom w:val="nil"/>
              <w:right w:val="nil"/>
            </w:tcBorders>
            <w:noWrap/>
            <w:vAlign w:val="center"/>
            <w:hideMark/>
          </w:tcPr>
          <w:p w14:paraId="3B69AAE9"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32,900</w:t>
            </w:r>
          </w:p>
        </w:tc>
        <w:tc>
          <w:tcPr>
            <w:tcW w:w="538" w:type="pct"/>
            <w:tcBorders>
              <w:top w:val="nil"/>
              <w:left w:val="nil"/>
              <w:bottom w:val="nil"/>
              <w:right w:val="nil"/>
            </w:tcBorders>
            <w:noWrap/>
            <w:vAlign w:val="center"/>
            <w:hideMark/>
          </w:tcPr>
          <w:p w14:paraId="5FCE8EA6"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33,890</w:t>
            </w:r>
          </w:p>
        </w:tc>
        <w:tc>
          <w:tcPr>
            <w:tcW w:w="538" w:type="pct"/>
            <w:tcBorders>
              <w:top w:val="nil"/>
              <w:left w:val="nil"/>
              <w:bottom w:val="nil"/>
              <w:right w:val="nil"/>
            </w:tcBorders>
            <w:noWrap/>
            <w:vAlign w:val="center"/>
            <w:hideMark/>
          </w:tcPr>
          <w:p w14:paraId="124366A0"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34,940</w:t>
            </w:r>
          </w:p>
        </w:tc>
      </w:tr>
      <w:tr w:rsidR="000932FC" w:rsidRPr="00954D98" w14:paraId="6A6A406F" w14:textId="77777777" w:rsidTr="00EF2868">
        <w:trPr>
          <w:trHeight w:hRule="exact" w:val="225"/>
        </w:trPr>
        <w:tc>
          <w:tcPr>
            <w:tcW w:w="2350" w:type="pct"/>
            <w:tcBorders>
              <w:top w:val="nil"/>
              <w:left w:val="nil"/>
              <w:right w:val="nil"/>
            </w:tcBorders>
            <w:noWrap/>
            <w:vAlign w:val="center"/>
            <w:hideMark/>
          </w:tcPr>
          <w:p w14:paraId="1DF8E220" w14:textId="77777777" w:rsidR="000932FC" w:rsidRPr="00954D98" w:rsidRDefault="000932FC" w:rsidP="000932FC">
            <w:pPr>
              <w:spacing w:before="0" w:after="0" w:line="240" w:lineRule="auto"/>
              <w:ind w:firstLineChars="100" w:firstLine="160"/>
              <w:rPr>
                <w:rFonts w:ascii="Arial" w:hAnsi="Arial" w:cs="Arial"/>
                <w:i/>
                <w:iCs/>
                <w:sz w:val="16"/>
                <w:szCs w:val="16"/>
              </w:rPr>
            </w:pPr>
            <w:r w:rsidRPr="00954D98">
              <w:rPr>
                <w:rFonts w:ascii="Arial" w:hAnsi="Arial" w:cs="Arial"/>
                <w:i/>
                <w:iCs/>
                <w:sz w:val="16"/>
                <w:szCs w:val="16"/>
              </w:rPr>
              <w:t xml:space="preserve">Total customs duty </w:t>
            </w:r>
          </w:p>
        </w:tc>
        <w:tc>
          <w:tcPr>
            <w:tcW w:w="519" w:type="pct"/>
            <w:tcBorders>
              <w:top w:val="nil"/>
              <w:left w:val="nil"/>
              <w:right w:val="nil"/>
            </w:tcBorders>
            <w:noWrap/>
            <w:vAlign w:val="center"/>
            <w:hideMark/>
          </w:tcPr>
          <w:p w14:paraId="7007B126"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11,894</w:t>
            </w:r>
          </w:p>
        </w:tc>
        <w:tc>
          <w:tcPr>
            <w:tcW w:w="55" w:type="pct"/>
            <w:tcBorders>
              <w:top w:val="nil"/>
              <w:left w:val="nil"/>
              <w:right w:val="nil"/>
            </w:tcBorders>
            <w:shd w:val="clear" w:color="000000" w:fill="FFFFFF"/>
            <w:noWrap/>
            <w:vAlign w:val="center"/>
            <w:hideMark/>
          </w:tcPr>
          <w:p w14:paraId="7224029A"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 </w:t>
            </w:r>
          </w:p>
        </w:tc>
        <w:tc>
          <w:tcPr>
            <w:tcW w:w="463" w:type="pct"/>
            <w:tcBorders>
              <w:top w:val="nil"/>
              <w:left w:val="nil"/>
              <w:right w:val="nil"/>
            </w:tcBorders>
            <w:shd w:val="clear" w:color="000000" w:fill="E6F2FF"/>
            <w:noWrap/>
            <w:vAlign w:val="center"/>
            <w:hideMark/>
          </w:tcPr>
          <w:p w14:paraId="6A84BB43"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8,780</w:t>
            </w:r>
          </w:p>
        </w:tc>
        <w:tc>
          <w:tcPr>
            <w:tcW w:w="538" w:type="pct"/>
            <w:tcBorders>
              <w:top w:val="nil"/>
              <w:left w:val="nil"/>
              <w:right w:val="nil"/>
            </w:tcBorders>
            <w:noWrap/>
            <w:vAlign w:val="center"/>
            <w:hideMark/>
          </w:tcPr>
          <w:p w14:paraId="0110FA25"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8,830</w:t>
            </w:r>
          </w:p>
        </w:tc>
        <w:tc>
          <w:tcPr>
            <w:tcW w:w="538" w:type="pct"/>
            <w:tcBorders>
              <w:top w:val="nil"/>
              <w:left w:val="nil"/>
              <w:right w:val="nil"/>
            </w:tcBorders>
            <w:noWrap/>
            <w:vAlign w:val="center"/>
            <w:hideMark/>
          </w:tcPr>
          <w:p w14:paraId="03591A23"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8,110</w:t>
            </w:r>
          </w:p>
        </w:tc>
        <w:tc>
          <w:tcPr>
            <w:tcW w:w="538" w:type="pct"/>
            <w:tcBorders>
              <w:top w:val="nil"/>
              <w:left w:val="nil"/>
              <w:right w:val="nil"/>
            </w:tcBorders>
            <w:noWrap/>
            <w:vAlign w:val="center"/>
            <w:hideMark/>
          </w:tcPr>
          <w:p w14:paraId="0C4C6924"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7,390</w:t>
            </w:r>
          </w:p>
        </w:tc>
      </w:tr>
      <w:tr w:rsidR="000932FC" w:rsidRPr="00954D98" w14:paraId="4B12366E" w14:textId="77777777" w:rsidTr="00EF2868">
        <w:trPr>
          <w:trHeight w:hRule="exact" w:val="225"/>
        </w:trPr>
        <w:tc>
          <w:tcPr>
            <w:tcW w:w="2350" w:type="pct"/>
            <w:tcBorders>
              <w:top w:val="nil"/>
              <w:left w:val="nil"/>
              <w:bottom w:val="single" w:sz="4" w:space="0" w:color="293F5B"/>
              <w:right w:val="nil"/>
            </w:tcBorders>
            <w:noWrap/>
            <w:vAlign w:val="center"/>
            <w:hideMark/>
          </w:tcPr>
          <w:p w14:paraId="0936BF4C" w14:textId="77777777" w:rsidR="000932FC" w:rsidRPr="00954D98" w:rsidRDefault="000932FC" w:rsidP="000932FC">
            <w:pPr>
              <w:spacing w:before="0" w:after="0" w:line="240" w:lineRule="auto"/>
              <w:ind w:firstLineChars="100" w:firstLine="160"/>
              <w:rPr>
                <w:rFonts w:ascii="Arial" w:hAnsi="Arial" w:cs="Arial"/>
                <w:i/>
                <w:iCs/>
                <w:sz w:val="16"/>
                <w:szCs w:val="16"/>
              </w:rPr>
            </w:pPr>
            <w:r w:rsidRPr="00954D98">
              <w:rPr>
                <w:rFonts w:ascii="Arial" w:hAnsi="Arial" w:cs="Arial"/>
                <w:i/>
                <w:iCs/>
                <w:sz w:val="16"/>
                <w:szCs w:val="16"/>
              </w:rPr>
              <w:t>Capital gains tax(b)</w:t>
            </w:r>
          </w:p>
        </w:tc>
        <w:tc>
          <w:tcPr>
            <w:tcW w:w="519" w:type="pct"/>
            <w:tcBorders>
              <w:top w:val="nil"/>
              <w:left w:val="nil"/>
              <w:bottom w:val="single" w:sz="4" w:space="0" w:color="293F5B"/>
              <w:right w:val="nil"/>
            </w:tcBorders>
            <w:noWrap/>
            <w:vAlign w:val="center"/>
            <w:hideMark/>
          </w:tcPr>
          <w:p w14:paraId="14556B8D"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30,900</w:t>
            </w:r>
          </w:p>
        </w:tc>
        <w:tc>
          <w:tcPr>
            <w:tcW w:w="55" w:type="pct"/>
            <w:tcBorders>
              <w:top w:val="nil"/>
              <w:left w:val="nil"/>
              <w:bottom w:val="single" w:sz="4" w:space="0" w:color="293F5B"/>
              <w:right w:val="nil"/>
            </w:tcBorders>
            <w:shd w:val="clear" w:color="000000" w:fill="FFFFFF"/>
            <w:noWrap/>
            <w:vAlign w:val="center"/>
            <w:hideMark/>
          </w:tcPr>
          <w:p w14:paraId="2C0BC8C1"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 </w:t>
            </w:r>
          </w:p>
        </w:tc>
        <w:tc>
          <w:tcPr>
            <w:tcW w:w="463" w:type="pct"/>
            <w:tcBorders>
              <w:top w:val="nil"/>
              <w:left w:val="nil"/>
              <w:bottom w:val="single" w:sz="4" w:space="0" w:color="293F5B"/>
              <w:right w:val="nil"/>
            </w:tcBorders>
            <w:shd w:val="clear" w:color="000000" w:fill="E6F2FF"/>
            <w:noWrap/>
            <w:vAlign w:val="center"/>
            <w:hideMark/>
          </w:tcPr>
          <w:p w14:paraId="5B21675B"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31,500</w:t>
            </w:r>
          </w:p>
        </w:tc>
        <w:tc>
          <w:tcPr>
            <w:tcW w:w="538" w:type="pct"/>
            <w:tcBorders>
              <w:top w:val="nil"/>
              <w:left w:val="nil"/>
              <w:bottom w:val="single" w:sz="4" w:space="0" w:color="293F5B"/>
              <w:right w:val="nil"/>
            </w:tcBorders>
            <w:noWrap/>
            <w:vAlign w:val="center"/>
            <w:hideMark/>
          </w:tcPr>
          <w:p w14:paraId="2B8706B2"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30,700</w:t>
            </w:r>
          </w:p>
        </w:tc>
        <w:tc>
          <w:tcPr>
            <w:tcW w:w="538" w:type="pct"/>
            <w:tcBorders>
              <w:top w:val="nil"/>
              <w:left w:val="nil"/>
              <w:bottom w:val="single" w:sz="4" w:space="0" w:color="293F5B"/>
              <w:right w:val="nil"/>
            </w:tcBorders>
            <w:noWrap/>
            <w:vAlign w:val="center"/>
            <w:hideMark/>
          </w:tcPr>
          <w:p w14:paraId="76189F12"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31,300</w:t>
            </w:r>
          </w:p>
        </w:tc>
        <w:tc>
          <w:tcPr>
            <w:tcW w:w="538" w:type="pct"/>
            <w:tcBorders>
              <w:top w:val="nil"/>
              <w:left w:val="nil"/>
              <w:bottom w:val="single" w:sz="4" w:space="0" w:color="293F5B"/>
              <w:right w:val="nil"/>
            </w:tcBorders>
            <w:noWrap/>
            <w:vAlign w:val="center"/>
            <w:hideMark/>
          </w:tcPr>
          <w:p w14:paraId="299B6F86" w14:textId="77777777" w:rsidR="000932FC" w:rsidRPr="00954D98" w:rsidRDefault="000932FC" w:rsidP="000932FC">
            <w:pPr>
              <w:spacing w:before="0" w:after="0" w:line="240" w:lineRule="auto"/>
              <w:jc w:val="right"/>
              <w:rPr>
                <w:rFonts w:ascii="Arial" w:hAnsi="Arial" w:cs="Arial"/>
                <w:i/>
                <w:iCs/>
                <w:sz w:val="16"/>
                <w:szCs w:val="16"/>
              </w:rPr>
            </w:pPr>
            <w:r w:rsidRPr="00954D98">
              <w:rPr>
                <w:rFonts w:ascii="Arial" w:hAnsi="Arial" w:cs="Arial"/>
                <w:i/>
                <w:iCs/>
                <w:sz w:val="16"/>
                <w:szCs w:val="16"/>
              </w:rPr>
              <w:t>32,600</w:t>
            </w:r>
          </w:p>
        </w:tc>
      </w:tr>
    </w:tbl>
    <w:p w14:paraId="42CA65BC" w14:textId="3DB7F673" w:rsidR="00F1044A" w:rsidRPr="00954D98" w:rsidRDefault="00536CFF" w:rsidP="00EC04D8">
      <w:pPr>
        <w:pStyle w:val="ChartandTableFootnoteAlpha"/>
        <w:numPr>
          <w:ilvl w:val="0"/>
          <w:numId w:val="26"/>
        </w:numPr>
        <w:spacing w:line="160" w:lineRule="exact"/>
        <w:rPr>
          <w:rFonts w:eastAsiaTheme="minorHAnsi"/>
          <w:color w:val="auto"/>
        </w:rPr>
      </w:pPr>
      <w:r>
        <w:rPr>
          <w:rFonts w:eastAsiaTheme="minorHAnsi"/>
          <w:color w:val="auto"/>
        </w:rPr>
        <w:t>‘</w:t>
      </w:r>
      <w:r w:rsidR="00F1044A" w:rsidRPr="00954D98">
        <w:rPr>
          <w:rFonts w:eastAsiaTheme="minorHAnsi"/>
          <w:color w:val="auto"/>
        </w:rPr>
        <w:fldChar w:fldCharType="begin" w:fldLock="1"/>
      </w:r>
      <w:r w:rsidR="00F1044A" w:rsidRPr="00954D98">
        <w:rPr>
          <w:rFonts w:eastAsiaTheme="minorHAnsi"/>
          <w:color w:val="auto"/>
        </w:rPr>
        <w:fldChar w:fldCharType="separate"/>
      </w:r>
      <w:r w:rsidR="00F1044A" w:rsidRPr="00954D98">
        <w:rPr>
          <w:rFonts w:eastAsiaTheme="minorHAnsi"/>
          <w:color w:val="auto"/>
        </w:rPr>
        <w:fldChar w:fldCharType="end"/>
      </w:r>
      <w:r w:rsidR="00F1044A" w:rsidRPr="00954D98">
        <w:rPr>
          <w:rFonts w:eastAsiaTheme="minorHAnsi"/>
          <w:color w:val="auto"/>
        </w:rPr>
        <w:t>Other alcoholic beverages</w:t>
      </w:r>
      <w:r>
        <w:rPr>
          <w:rFonts w:eastAsiaTheme="minorHAnsi"/>
          <w:color w:val="auto"/>
        </w:rPr>
        <w:t>’</w:t>
      </w:r>
      <w:r w:rsidR="00F1044A" w:rsidRPr="00954D98">
        <w:rPr>
          <w:rFonts w:eastAsiaTheme="minorHAnsi"/>
          <w:color w:val="auto"/>
        </w:rPr>
        <w:t xml:space="preserve"> are those not exceeding 10 per cent by volume of alcohol (excluding beer, brandy and wine).</w:t>
      </w:r>
    </w:p>
    <w:p w14:paraId="69ADB2A3" w14:textId="46E3FDE8" w:rsidR="00F1044A" w:rsidRDefault="00536CFF" w:rsidP="00472BB5">
      <w:pPr>
        <w:pStyle w:val="ChartandTableFootnoteAlpha"/>
        <w:numPr>
          <w:ilvl w:val="0"/>
          <w:numId w:val="26"/>
        </w:numPr>
        <w:spacing w:before="0" w:line="160" w:lineRule="exact"/>
        <w:rPr>
          <w:color w:val="auto"/>
        </w:rPr>
      </w:pPr>
      <w:r>
        <w:rPr>
          <w:rFonts w:eastAsiaTheme="minorHAnsi"/>
          <w:color w:val="auto"/>
        </w:rPr>
        <w:t>‘</w:t>
      </w:r>
      <w:r w:rsidR="00F1044A" w:rsidRPr="00954D98">
        <w:rPr>
          <w:rFonts w:eastAsiaTheme="minorHAnsi"/>
          <w:color w:val="auto"/>
        </w:rPr>
        <w:t>Capital gains tax</w:t>
      </w:r>
      <w:r>
        <w:rPr>
          <w:rFonts w:eastAsiaTheme="minorHAnsi"/>
          <w:color w:val="auto"/>
        </w:rPr>
        <w:t>’</w:t>
      </w:r>
      <w:r w:rsidR="00F1044A" w:rsidRPr="00954D98">
        <w:rPr>
          <w:rFonts w:eastAsiaTheme="minorHAnsi"/>
          <w:color w:val="auto"/>
        </w:rPr>
        <w:t xml:space="preserve"> is part of gross other individuals, company tax and superannuation fund taxes.</w:t>
      </w:r>
      <w:r w:rsidR="00F1044A" w:rsidRPr="00954D98">
        <w:rPr>
          <w:color w:val="auto"/>
        </w:rPr>
        <w:t xml:space="preserve"> </w:t>
      </w:r>
    </w:p>
    <w:p w14:paraId="04CAFD5D" w14:textId="77777777" w:rsidR="00DA02B2" w:rsidRPr="00DA02B2" w:rsidRDefault="00DA02B2" w:rsidP="00DA02B2">
      <w:pPr>
        <w:pStyle w:val="TableLine"/>
        <w:rPr>
          <w:rFonts w:eastAsiaTheme="minorHAnsi"/>
        </w:rPr>
      </w:pPr>
    </w:p>
    <w:p w14:paraId="47AB1325" w14:textId="3CB1FBBB" w:rsidR="00F1044A" w:rsidRPr="00954D98" w:rsidRDefault="00F1044A" w:rsidP="00F1044A">
      <w:pPr>
        <w:pStyle w:val="Heading4"/>
      </w:pPr>
      <w:bookmarkStart w:id="32" w:name="_Toc148428068"/>
      <w:r w:rsidRPr="00954D98">
        <w:lastRenderedPageBreak/>
        <w:t>Receipts policy decisions over the forward estimates</w:t>
      </w:r>
      <w:bookmarkEnd w:id="32"/>
    </w:p>
    <w:p w14:paraId="6D9B5B1E" w14:textId="4B0B8800" w:rsidR="00F1044A" w:rsidRPr="00954D98" w:rsidRDefault="0043232D" w:rsidP="00F1044A">
      <w:r w:rsidRPr="00954D98">
        <w:t>P</w:t>
      </w:r>
      <w:r w:rsidR="00F1044A" w:rsidRPr="00954D98">
        <w:t xml:space="preserve">olicy decisions </w:t>
      </w:r>
      <w:r w:rsidRPr="00954D98">
        <w:t xml:space="preserve">since the 2025 PEFO </w:t>
      </w:r>
      <w:r w:rsidR="00241067" w:rsidRPr="00954D98">
        <w:t xml:space="preserve">are expected to </w:t>
      </w:r>
      <w:r w:rsidR="00D13E93" w:rsidRPr="00954D98">
        <w:t xml:space="preserve">decrease </w:t>
      </w:r>
      <w:r w:rsidR="00F1044A" w:rsidRPr="00954D98">
        <w:t xml:space="preserve">tax receipts by </w:t>
      </w:r>
      <w:r w:rsidR="00C57E2A" w:rsidRPr="00954D98">
        <w:t>$</w:t>
      </w:r>
      <w:r w:rsidR="00C430B0" w:rsidRPr="00954D98">
        <w:t>3.</w:t>
      </w:r>
      <w:r w:rsidR="00F06D9C" w:rsidRPr="00954D98">
        <w:t>7</w:t>
      </w:r>
      <w:r w:rsidR="00F1044A" w:rsidRPr="00954D98">
        <w:t xml:space="preserve"> billion over </w:t>
      </w:r>
      <w:r w:rsidR="004849F1" w:rsidRPr="00954D98">
        <w:t xml:space="preserve">the </w:t>
      </w:r>
      <w:r w:rsidR="00B5227C" w:rsidRPr="00954D98">
        <w:t>four </w:t>
      </w:r>
      <w:r w:rsidR="00F1044A" w:rsidRPr="00954D98">
        <w:t xml:space="preserve">years to </w:t>
      </w:r>
      <w:r w:rsidR="00DF16F7" w:rsidRPr="00954D98">
        <w:t>2028–29</w:t>
      </w:r>
      <w:r w:rsidR="00F1044A" w:rsidRPr="00954D98">
        <w:t xml:space="preserve">. Key tax receipts measures include: </w:t>
      </w:r>
    </w:p>
    <w:p w14:paraId="5ECE8021" w14:textId="1C290967" w:rsidR="00D13E93" w:rsidRPr="00954D98" w:rsidRDefault="00D13E93" w:rsidP="00D13E93">
      <w:pPr>
        <w:pStyle w:val="Bullet"/>
      </w:pPr>
      <w:r w:rsidRPr="00954D98">
        <w:rPr>
          <w:rStyle w:val="Emphasis"/>
        </w:rPr>
        <w:t xml:space="preserve">Superannuation </w:t>
      </w:r>
      <w:r w:rsidR="00396EE5" w:rsidRPr="00954D98">
        <w:rPr>
          <w:rStyle w:val="Emphasis"/>
        </w:rPr>
        <w:t>R</w:t>
      </w:r>
      <w:r w:rsidRPr="00954D98">
        <w:rPr>
          <w:rStyle w:val="Emphasis"/>
        </w:rPr>
        <w:t xml:space="preserve">eforms – Boosting the </w:t>
      </w:r>
      <w:proofErr w:type="gramStart"/>
      <w:r w:rsidRPr="00954D98">
        <w:rPr>
          <w:rStyle w:val="Emphasis"/>
        </w:rPr>
        <w:t>Low Income</w:t>
      </w:r>
      <w:proofErr w:type="gramEnd"/>
      <w:r w:rsidRPr="00954D98">
        <w:rPr>
          <w:rStyle w:val="Emphasis"/>
        </w:rPr>
        <w:t xml:space="preserve"> Superannuation Tax Offset and practical changes to Better Targeted Superannuation Concessions</w:t>
      </w:r>
      <w:r w:rsidRPr="00954D98">
        <w:t>. This measure is estimated to decrease receipts by $3.</w:t>
      </w:r>
      <w:r w:rsidR="00DD30B1" w:rsidRPr="00954D98">
        <w:t>8</w:t>
      </w:r>
      <w:r w:rsidR="00024A48" w:rsidRPr="00954D98">
        <w:t> </w:t>
      </w:r>
      <w:r w:rsidRPr="00954D98">
        <w:t>billion and increase payments by $475.8</w:t>
      </w:r>
      <w:r w:rsidR="00024A48" w:rsidRPr="00954D98">
        <w:t> </w:t>
      </w:r>
      <w:r w:rsidRPr="00954D98">
        <w:t xml:space="preserve">million over </w:t>
      </w:r>
      <w:r w:rsidR="006748D5" w:rsidRPr="00954D98">
        <w:t xml:space="preserve">the </w:t>
      </w:r>
      <w:r w:rsidR="00B5227C" w:rsidRPr="00954D98">
        <w:t>four </w:t>
      </w:r>
      <w:r w:rsidRPr="00954D98">
        <w:t>years to 2028</w:t>
      </w:r>
      <w:r w:rsidR="000A752E" w:rsidRPr="00954D98">
        <w:rPr>
          <w:w w:val="1"/>
        </w:rPr>
        <w:t> </w:t>
      </w:r>
      <w:r w:rsidR="000A752E" w:rsidRPr="00954D98">
        <w:t>–</w:t>
      </w:r>
      <w:r w:rsidR="000A752E" w:rsidRPr="00954D98">
        <w:rPr>
          <w:w w:val="1"/>
        </w:rPr>
        <w:t> </w:t>
      </w:r>
      <w:r w:rsidRPr="00954D98">
        <w:t>29.</w:t>
      </w:r>
    </w:p>
    <w:p w14:paraId="45535698" w14:textId="090223B1" w:rsidR="00C57E2A" w:rsidRPr="00954D98" w:rsidRDefault="004F1E46" w:rsidP="008B4B66">
      <w:pPr>
        <w:pStyle w:val="Bullet"/>
      </w:pPr>
      <w:r w:rsidRPr="00954D98">
        <w:rPr>
          <w:rStyle w:val="Emphasis"/>
        </w:rPr>
        <w:t xml:space="preserve">Migration </w:t>
      </w:r>
      <w:r w:rsidR="00E24D4A">
        <w:rPr>
          <w:rStyle w:val="Emphasis"/>
        </w:rPr>
        <w:t>–</w:t>
      </w:r>
      <w:r w:rsidRPr="00954D98">
        <w:rPr>
          <w:rStyle w:val="Emphasis"/>
        </w:rPr>
        <w:t xml:space="preserve"> </w:t>
      </w:r>
      <w:r w:rsidR="00A42658" w:rsidRPr="00954D98">
        <w:rPr>
          <w:rStyle w:val="Emphasis"/>
        </w:rPr>
        <w:t xml:space="preserve">Uplift of Visa Application Charge for student visas. </w:t>
      </w:r>
      <w:r w:rsidR="00E63CF9" w:rsidRPr="00954D98">
        <w:t>This measure is estimated to increase receipts by $740.0</w:t>
      </w:r>
      <w:r w:rsidR="00024A48" w:rsidRPr="00954D98">
        <w:t> </w:t>
      </w:r>
      <w:r w:rsidR="00E63CF9" w:rsidRPr="00954D98">
        <w:t>million and decrease GST payments to the states and territories by $20.0</w:t>
      </w:r>
      <w:r w:rsidR="00B2675E" w:rsidRPr="00954D98">
        <w:t> </w:t>
      </w:r>
      <w:r w:rsidR="00E63CF9" w:rsidRPr="00954D98">
        <w:t xml:space="preserve">million over </w:t>
      </w:r>
      <w:r w:rsidR="006748D5" w:rsidRPr="00954D98">
        <w:t xml:space="preserve">the </w:t>
      </w:r>
      <w:r w:rsidR="00B5227C" w:rsidRPr="00954D98">
        <w:t xml:space="preserve">four </w:t>
      </w:r>
      <w:r w:rsidR="00E63CF9" w:rsidRPr="00954D98">
        <w:t xml:space="preserve">years </w:t>
      </w:r>
      <w:r w:rsidR="00DD71DE" w:rsidRPr="00954D98">
        <w:t>to 2028</w:t>
      </w:r>
      <w:r w:rsidR="000A752E" w:rsidRPr="00954D98">
        <w:rPr>
          <w:w w:val="1"/>
        </w:rPr>
        <w:t> </w:t>
      </w:r>
      <w:r w:rsidR="000A752E" w:rsidRPr="00954D98">
        <w:t>–</w:t>
      </w:r>
      <w:r w:rsidR="000A752E" w:rsidRPr="00954D98">
        <w:rPr>
          <w:w w:val="1"/>
        </w:rPr>
        <w:t> </w:t>
      </w:r>
      <w:r w:rsidR="00DD71DE" w:rsidRPr="00954D98">
        <w:t>29</w:t>
      </w:r>
      <w:r w:rsidR="00E63CF9" w:rsidRPr="00954D98">
        <w:t xml:space="preserve">. </w:t>
      </w:r>
    </w:p>
    <w:p w14:paraId="57F165A8" w14:textId="048FF6D2" w:rsidR="0043232D" w:rsidRPr="00954D98" w:rsidRDefault="003D480D" w:rsidP="0043232D">
      <w:pPr>
        <w:pStyle w:val="Bullet"/>
      </w:pPr>
      <w:r w:rsidRPr="00954D98">
        <w:rPr>
          <w:rStyle w:val="Emphasis"/>
        </w:rPr>
        <w:t xml:space="preserve">OECD </w:t>
      </w:r>
      <w:r w:rsidR="004A2A1C" w:rsidRPr="00954D98">
        <w:rPr>
          <w:rStyle w:val="Emphasis"/>
        </w:rPr>
        <w:t xml:space="preserve">Crypto Asset Reporting </w:t>
      </w:r>
      <w:r w:rsidR="002846D8" w:rsidRPr="00954D98">
        <w:rPr>
          <w:rStyle w:val="Emphasis"/>
        </w:rPr>
        <w:t>F</w:t>
      </w:r>
      <w:r w:rsidR="004A2A1C" w:rsidRPr="00954D98">
        <w:rPr>
          <w:rStyle w:val="Emphasis"/>
        </w:rPr>
        <w:t>ramework</w:t>
      </w:r>
      <w:r w:rsidRPr="00954D98">
        <w:rPr>
          <w:rStyle w:val="Emphasis"/>
        </w:rPr>
        <w:t xml:space="preserve"> and domestic reporting</w:t>
      </w:r>
      <w:r w:rsidR="004A2A1C" w:rsidRPr="00954D98">
        <w:t>. This measure is estimated to</w:t>
      </w:r>
      <w:r w:rsidR="00884BE9" w:rsidRPr="00954D98">
        <w:t xml:space="preserve"> </w:t>
      </w:r>
      <w:r w:rsidR="004A2A1C" w:rsidRPr="00954D98">
        <w:t>increase receipts by $</w:t>
      </w:r>
      <w:r w:rsidR="006F2F11" w:rsidRPr="00954D98">
        <w:t>170.0</w:t>
      </w:r>
      <w:r w:rsidR="004A2A1C" w:rsidRPr="00954D98">
        <w:t xml:space="preserve"> million </w:t>
      </w:r>
      <w:r w:rsidR="00636210" w:rsidRPr="00954D98">
        <w:t xml:space="preserve">and increase payments by </w:t>
      </w:r>
      <w:r w:rsidR="005329A0" w:rsidRPr="00954D98">
        <w:t>$57.6 million</w:t>
      </w:r>
      <w:r w:rsidR="00636210" w:rsidRPr="00954D98">
        <w:t xml:space="preserve"> </w:t>
      </w:r>
      <w:r w:rsidR="004A2A1C" w:rsidRPr="00954D98">
        <w:t xml:space="preserve">over </w:t>
      </w:r>
      <w:r w:rsidR="002F54DF" w:rsidRPr="00954D98">
        <w:t xml:space="preserve">the </w:t>
      </w:r>
      <w:r w:rsidR="00B5227C" w:rsidRPr="00954D98">
        <w:t>four </w:t>
      </w:r>
      <w:r w:rsidR="004A2A1C" w:rsidRPr="00954D98">
        <w:t>years to 202</w:t>
      </w:r>
      <w:r w:rsidR="005F275F" w:rsidRPr="00954D98">
        <w:t>8</w:t>
      </w:r>
      <w:r w:rsidR="00C06B24" w:rsidRPr="00954D98">
        <w:rPr>
          <w:w w:val="1"/>
        </w:rPr>
        <w:t> </w:t>
      </w:r>
      <w:r w:rsidR="00C06B24" w:rsidRPr="00954D98">
        <w:t>–</w:t>
      </w:r>
      <w:r w:rsidR="00C06B24" w:rsidRPr="00954D98">
        <w:rPr>
          <w:w w:val="1"/>
        </w:rPr>
        <w:t> </w:t>
      </w:r>
      <w:r w:rsidR="004A2A1C" w:rsidRPr="00954D98">
        <w:t>2</w:t>
      </w:r>
      <w:r w:rsidR="005F275F" w:rsidRPr="00954D98">
        <w:t>9</w:t>
      </w:r>
      <w:r w:rsidR="00884BE9" w:rsidRPr="00954D98">
        <w:t>.</w:t>
      </w:r>
    </w:p>
    <w:p w14:paraId="42E1B28B" w14:textId="4D0553E4" w:rsidR="00B20EDE" w:rsidRPr="00954D98" w:rsidRDefault="00B20EDE" w:rsidP="003812D5">
      <w:r w:rsidRPr="00954D98">
        <w:t>Since the 2025 PEFO, policy decisions are expected to decrease non</w:t>
      </w:r>
      <w:r w:rsidR="00536CFF">
        <w:noBreakHyphen/>
      </w:r>
      <w:r w:rsidRPr="00954D98">
        <w:t>tax receipts by $0.1 billion in 2025–26 and increase non</w:t>
      </w:r>
      <w:r w:rsidR="00536CFF">
        <w:noBreakHyphen/>
      </w:r>
      <w:r w:rsidRPr="00954D98">
        <w:t>tax receipts by $2.1 billion over the four years to 2028–29. This includes the standard non</w:t>
      </w:r>
      <w:r w:rsidR="00536CFF">
        <w:noBreakHyphen/>
      </w:r>
      <w:r w:rsidRPr="00954D98">
        <w:t xml:space="preserve">tax receipt impacts of Pharmaceutical Benefits Scheme listings. </w:t>
      </w:r>
    </w:p>
    <w:p w14:paraId="1AC857AA" w14:textId="5EA5FAE2" w:rsidR="00F1044A" w:rsidRPr="00954D98" w:rsidRDefault="00F1044A" w:rsidP="00F1044A">
      <w:pPr>
        <w:rPr>
          <w:rStyle w:val="Emphasis"/>
        </w:rPr>
      </w:pPr>
      <w:r w:rsidRPr="00954D98">
        <w:t>Further details of Government policy decisions are provided in Appendix A</w:t>
      </w:r>
      <w:r w:rsidR="009A27AA" w:rsidRPr="00954D98">
        <w:t>:</w:t>
      </w:r>
      <w:r w:rsidRPr="00954D98">
        <w:rPr>
          <w:rStyle w:val="Emphasis"/>
          <w:rFonts w:eastAsia="Calibri"/>
        </w:rPr>
        <w:t xml:space="preserve"> Policy</w:t>
      </w:r>
      <w:r w:rsidR="00811CB3" w:rsidRPr="00954D98">
        <w:rPr>
          <w:rStyle w:val="Emphasis"/>
          <w:rFonts w:eastAsia="Calibri"/>
        </w:rPr>
        <w:t> </w:t>
      </w:r>
      <w:r w:rsidRPr="00954D98">
        <w:rPr>
          <w:rStyle w:val="Emphasis"/>
          <w:rFonts w:eastAsia="Calibri"/>
        </w:rPr>
        <w:t xml:space="preserve">Decisions taken since the </w:t>
      </w:r>
      <w:r w:rsidR="001B1B1A" w:rsidRPr="00954D98">
        <w:rPr>
          <w:rStyle w:val="Emphasis"/>
          <w:rFonts w:eastAsia="Calibri"/>
        </w:rPr>
        <w:t>2025</w:t>
      </w:r>
      <w:r w:rsidR="003F7CA0" w:rsidRPr="00954D98">
        <w:rPr>
          <w:rStyle w:val="Emphasis"/>
          <w:rFonts w:eastAsia="Calibri"/>
        </w:rPr>
        <w:t xml:space="preserve"> </w:t>
      </w:r>
      <w:r w:rsidR="0098618D" w:rsidRPr="00954D98">
        <w:rPr>
          <w:rStyle w:val="Emphasis"/>
          <w:rFonts w:eastAsia="Calibri"/>
        </w:rPr>
        <w:t>PEFO</w:t>
      </w:r>
      <w:r w:rsidRPr="00954D98">
        <w:rPr>
          <w:rStyle w:val="Emphasis"/>
        </w:rPr>
        <w:t>.</w:t>
      </w:r>
    </w:p>
    <w:p w14:paraId="12D7C3D1" w14:textId="0C19A300" w:rsidR="00F1044A" w:rsidRPr="00954D98" w:rsidRDefault="00F1044A" w:rsidP="00F1044A">
      <w:pPr>
        <w:pStyle w:val="Heading4"/>
      </w:pPr>
      <w:bookmarkStart w:id="33" w:name="_Toc148428069"/>
      <w:bookmarkStart w:id="34" w:name="_Hlk134019357"/>
      <w:r w:rsidRPr="00954D98">
        <w:t>Receipts parameter and other variations over the forward estimates</w:t>
      </w:r>
      <w:bookmarkEnd w:id="33"/>
    </w:p>
    <w:p w14:paraId="25567DBE" w14:textId="3EA29804" w:rsidR="004036BB" w:rsidRPr="00954D98" w:rsidRDefault="00F1044A" w:rsidP="00F1044A">
      <w:pPr>
        <w:rPr>
          <w:rFonts w:eastAsia="Calibri"/>
        </w:rPr>
      </w:pPr>
      <w:bookmarkStart w:id="35" w:name="_Hlk184818655"/>
      <w:bookmarkEnd w:id="34"/>
      <w:r w:rsidRPr="00954D98">
        <w:rPr>
          <w:rFonts w:eastAsia="Calibri"/>
        </w:rPr>
        <w:t xml:space="preserve">Parameter and other variations </w:t>
      </w:r>
      <w:bookmarkEnd w:id="35"/>
      <w:r w:rsidRPr="00954D98">
        <w:rPr>
          <w:rFonts w:eastAsia="Calibri"/>
        </w:rPr>
        <w:t xml:space="preserve">since the </w:t>
      </w:r>
      <w:r w:rsidR="001B1B1A" w:rsidRPr="00954D98">
        <w:rPr>
          <w:rFonts w:eastAsia="Calibri"/>
        </w:rPr>
        <w:t>2025 PEFO</w:t>
      </w:r>
      <w:r w:rsidRPr="00954D98">
        <w:rPr>
          <w:rFonts w:eastAsia="Calibri"/>
        </w:rPr>
        <w:t xml:space="preserve"> </w:t>
      </w:r>
      <w:r w:rsidR="000840AD" w:rsidRPr="00954D98">
        <w:rPr>
          <w:rFonts w:eastAsia="Calibri"/>
        </w:rPr>
        <w:t>are expected to increase</w:t>
      </w:r>
      <w:r w:rsidRPr="00954D98">
        <w:rPr>
          <w:rFonts w:eastAsia="Calibri"/>
        </w:rPr>
        <w:t xml:space="preserve"> total receipts by $</w:t>
      </w:r>
      <w:r w:rsidR="00CE1E3C" w:rsidRPr="00954D98">
        <w:rPr>
          <w:rFonts w:eastAsia="Calibri"/>
        </w:rPr>
        <w:t>14.6</w:t>
      </w:r>
      <w:r w:rsidRPr="00954D98">
        <w:rPr>
          <w:rFonts w:eastAsia="Calibri"/>
        </w:rPr>
        <w:t> billion</w:t>
      </w:r>
      <w:r w:rsidR="00576117" w:rsidRPr="00954D98">
        <w:rPr>
          <w:rFonts w:eastAsia="Calibri"/>
          <w:lang w:val="en-US"/>
        </w:rPr>
        <w:t xml:space="preserve"> in 2025–26</w:t>
      </w:r>
      <w:r w:rsidR="00576117" w:rsidRPr="00954D98">
        <w:rPr>
          <w:rFonts w:eastAsia="Calibri"/>
        </w:rPr>
        <w:t>;</w:t>
      </w:r>
      <w:r w:rsidRPr="00954D98">
        <w:rPr>
          <w:rFonts w:eastAsia="Calibri"/>
        </w:rPr>
        <w:t xml:space="preserve"> tax receipts </w:t>
      </w:r>
      <w:r w:rsidR="006833F9" w:rsidRPr="00954D98">
        <w:rPr>
          <w:rFonts w:eastAsia="Calibri"/>
        </w:rPr>
        <w:t>have increased</w:t>
      </w:r>
      <w:r w:rsidRPr="00954D98">
        <w:rPr>
          <w:rFonts w:eastAsia="Calibri"/>
        </w:rPr>
        <w:t xml:space="preserve"> by $</w:t>
      </w:r>
      <w:r w:rsidR="00C17EBA" w:rsidRPr="00954D98">
        <w:rPr>
          <w:rFonts w:eastAsia="Calibri"/>
        </w:rPr>
        <w:t>15.</w:t>
      </w:r>
      <w:r w:rsidR="008D2AC7" w:rsidRPr="00954D98">
        <w:rPr>
          <w:rFonts w:eastAsia="Calibri"/>
        </w:rPr>
        <w:t>1</w:t>
      </w:r>
      <w:r w:rsidRPr="00954D98">
        <w:rPr>
          <w:rFonts w:eastAsia="Calibri"/>
        </w:rPr>
        <w:t xml:space="preserve"> billion </w:t>
      </w:r>
      <w:r w:rsidR="001C45C6" w:rsidRPr="00954D98">
        <w:rPr>
          <w:rFonts w:eastAsia="Calibri"/>
        </w:rPr>
        <w:t>and</w:t>
      </w:r>
      <w:r w:rsidR="001C45C6" w:rsidRPr="00954D98">
        <w:rPr>
          <w:rFonts w:eastAsia="Calibri"/>
          <w:lang w:val="en-US"/>
        </w:rPr>
        <w:t xml:space="preserve"> non</w:t>
      </w:r>
      <w:r w:rsidR="00536CFF">
        <w:rPr>
          <w:rFonts w:eastAsia="Calibri"/>
          <w:lang w:val="en-US"/>
        </w:rPr>
        <w:noBreakHyphen/>
      </w:r>
      <w:r w:rsidR="001C45C6" w:rsidRPr="00954D98">
        <w:rPr>
          <w:rFonts w:eastAsia="Calibri"/>
          <w:lang w:val="en-US"/>
        </w:rPr>
        <w:t xml:space="preserve">tax receipts </w:t>
      </w:r>
      <w:r w:rsidR="006833F9" w:rsidRPr="00954D98">
        <w:rPr>
          <w:rFonts w:eastAsia="Calibri"/>
          <w:lang w:val="en-US"/>
        </w:rPr>
        <w:t>have decreased</w:t>
      </w:r>
      <w:r w:rsidR="001C45C6" w:rsidRPr="00954D98">
        <w:rPr>
          <w:rFonts w:eastAsia="Calibri"/>
          <w:lang w:val="en-US"/>
        </w:rPr>
        <w:t xml:space="preserve"> by $</w:t>
      </w:r>
      <w:r w:rsidR="00F801BE" w:rsidRPr="00954D98">
        <w:rPr>
          <w:rFonts w:eastAsia="Calibri"/>
          <w:lang w:val="en-US"/>
        </w:rPr>
        <w:t>0.5</w:t>
      </w:r>
      <w:r w:rsidR="001C45C6" w:rsidRPr="00954D98">
        <w:rPr>
          <w:rFonts w:eastAsia="Calibri"/>
          <w:lang w:val="en-US"/>
        </w:rPr>
        <w:t> billion</w:t>
      </w:r>
      <w:r w:rsidRPr="00954D98">
        <w:rPr>
          <w:rFonts w:eastAsia="Calibri"/>
        </w:rPr>
        <w:t xml:space="preserve">. </w:t>
      </w:r>
    </w:p>
    <w:p w14:paraId="7A7FDF18" w14:textId="25169946" w:rsidR="00F1044A" w:rsidRPr="00954D98" w:rsidRDefault="00F1044A" w:rsidP="00F1044A">
      <w:pPr>
        <w:rPr>
          <w:rFonts w:eastAsia="Calibri"/>
        </w:rPr>
      </w:pPr>
      <w:r w:rsidRPr="00954D98">
        <w:rPr>
          <w:rFonts w:eastAsia="Calibri"/>
        </w:rPr>
        <w:t xml:space="preserve">Over the four years to </w:t>
      </w:r>
      <w:r w:rsidR="00DF16F7" w:rsidRPr="00954D98">
        <w:rPr>
          <w:rFonts w:eastAsia="Calibri"/>
        </w:rPr>
        <w:t>2028–29</w:t>
      </w:r>
      <w:r w:rsidRPr="00954D98">
        <w:rPr>
          <w:rFonts w:eastAsia="Calibri"/>
        </w:rPr>
        <w:t xml:space="preserve">, total receipts </w:t>
      </w:r>
      <w:r w:rsidR="000840AD" w:rsidRPr="00954D98">
        <w:rPr>
          <w:rFonts w:eastAsia="Calibri"/>
        </w:rPr>
        <w:t xml:space="preserve">are expected to increase </w:t>
      </w:r>
      <w:r w:rsidRPr="00954D98">
        <w:rPr>
          <w:rFonts w:eastAsia="Calibri"/>
        </w:rPr>
        <w:t>by $</w:t>
      </w:r>
      <w:r w:rsidR="00E6673D" w:rsidRPr="00954D98">
        <w:rPr>
          <w:rFonts w:eastAsia="Calibri"/>
        </w:rPr>
        <w:t>41.</w:t>
      </w:r>
      <w:r w:rsidR="003702C8" w:rsidRPr="00954D98">
        <w:rPr>
          <w:rFonts w:eastAsia="Calibri"/>
        </w:rPr>
        <w:t>3</w:t>
      </w:r>
      <w:r w:rsidRPr="00954D98">
        <w:rPr>
          <w:rFonts w:eastAsia="Calibri"/>
        </w:rPr>
        <w:t xml:space="preserve"> billion </w:t>
      </w:r>
      <w:r w:rsidR="00C8504C" w:rsidRPr="00954D98">
        <w:rPr>
          <w:rFonts w:eastAsia="Calibri"/>
        </w:rPr>
        <w:t>since the 2025 PEFO</w:t>
      </w:r>
      <w:r w:rsidR="00E26EE1" w:rsidRPr="00954D98">
        <w:rPr>
          <w:rFonts w:eastAsia="Calibri"/>
        </w:rPr>
        <w:t>,</w:t>
      </w:r>
      <w:r w:rsidR="00C8504C" w:rsidRPr="00954D98">
        <w:rPr>
          <w:rFonts w:eastAsia="Calibri"/>
        </w:rPr>
        <w:t xml:space="preserve"> </w:t>
      </w:r>
      <w:r w:rsidRPr="00954D98">
        <w:rPr>
          <w:rFonts w:eastAsia="Calibri"/>
        </w:rPr>
        <w:t xml:space="preserve">due to parameter and other variations. </w:t>
      </w:r>
      <w:r w:rsidR="00D33972" w:rsidRPr="00954D98">
        <w:rPr>
          <w:rFonts w:eastAsia="Calibri"/>
        </w:rPr>
        <w:t xml:space="preserve">This reflects </w:t>
      </w:r>
      <w:r w:rsidR="00A650A0" w:rsidRPr="00954D98">
        <w:rPr>
          <w:rFonts w:eastAsia="Calibri"/>
        </w:rPr>
        <w:t xml:space="preserve">upgrades in </w:t>
      </w:r>
      <w:r w:rsidR="00750B0A" w:rsidRPr="00954D98">
        <w:rPr>
          <w:rFonts w:eastAsia="Calibri"/>
        </w:rPr>
        <w:t xml:space="preserve">personal income </w:t>
      </w:r>
      <w:r w:rsidR="00F8445A" w:rsidRPr="00954D98">
        <w:rPr>
          <w:rFonts w:eastAsia="Calibri"/>
        </w:rPr>
        <w:t>tax</w:t>
      </w:r>
      <w:r w:rsidR="009670ED" w:rsidRPr="00954D98">
        <w:rPr>
          <w:rFonts w:eastAsia="Calibri"/>
        </w:rPr>
        <w:t>,</w:t>
      </w:r>
      <w:r w:rsidR="00750B0A" w:rsidRPr="00954D98">
        <w:rPr>
          <w:rFonts w:eastAsia="Calibri"/>
        </w:rPr>
        <w:t xml:space="preserve"> superannuation fund</w:t>
      </w:r>
      <w:r w:rsidR="00F8445A" w:rsidRPr="00954D98">
        <w:rPr>
          <w:rFonts w:eastAsia="Calibri"/>
        </w:rPr>
        <w:t xml:space="preserve"> tax</w:t>
      </w:r>
      <w:r w:rsidR="002025C2" w:rsidRPr="00954D98">
        <w:rPr>
          <w:rFonts w:eastAsia="Calibri"/>
        </w:rPr>
        <w:t>es</w:t>
      </w:r>
      <w:r w:rsidR="00F90CC9" w:rsidRPr="00954D98">
        <w:rPr>
          <w:rFonts w:eastAsia="Calibri"/>
        </w:rPr>
        <w:t>, company</w:t>
      </w:r>
      <w:r w:rsidR="00750B0A" w:rsidRPr="00954D98">
        <w:rPr>
          <w:rFonts w:eastAsia="Calibri"/>
        </w:rPr>
        <w:t xml:space="preserve"> tax and GST</w:t>
      </w:r>
      <w:r w:rsidR="00E26EE1" w:rsidRPr="00954D98">
        <w:rPr>
          <w:rFonts w:eastAsia="Calibri"/>
        </w:rPr>
        <w:t>; p</w:t>
      </w:r>
      <w:r w:rsidR="00B22372" w:rsidRPr="00954D98">
        <w:rPr>
          <w:rFonts w:eastAsia="Calibri"/>
        </w:rPr>
        <w:t>artially offset</w:t>
      </w:r>
      <w:r w:rsidR="00E26EE1" w:rsidRPr="00954D98">
        <w:rPr>
          <w:rFonts w:eastAsia="Calibri"/>
        </w:rPr>
        <w:t xml:space="preserve"> by a </w:t>
      </w:r>
      <w:r w:rsidR="00B22372" w:rsidRPr="00954D98">
        <w:rPr>
          <w:rFonts w:eastAsia="Calibri"/>
        </w:rPr>
        <w:t xml:space="preserve">downgrade to tobacco excise </w:t>
      </w:r>
      <w:r w:rsidR="002448E9" w:rsidRPr="00954D98">
        <w:rPr>
          <w:rFonts w:eastAsia="Calibri"/>
        </w:rPr>
        <w:t>receipts</w:t>
      </w:r>
      <w:r w:rsidR="00D73625" w:rsidRPr="00954D98">
        <w:rPr>
          <w:rFonts w:eastAsia="Calibri"/>
        </w:rPr>
        <w:t>.</w:t>
      </w:r>
    </w:p>
    <w:p w14:paraId="74F7A75E" w14:textId="3478AB48" w:rsidR="000019A7" w:rsidRPr="00954D98" w:rsidRDefault="000019A7" w:rsidP="000019A7">
      <w:pPr>
        <w:rPr>
          <w:rStyle w:val="Heading3Char"/>
          <w:rFonts w:ascii="Book Antiqua" w:eastAsia="Calibri" w:hAnsi="Book Antiqua"/>
          <w:b w:val="0"/>
          <w:i/>
        </w:rPr>
      </w:pPr>
      <w:r w:rsidRPr="00954D98">
        <w:rPr>
          <w:rFonts w:eastAsia="Calibri"/>
          <w:lang w:val="en-US"/>
        </w:rPr>
        <w:t>Since the 2025 PEFO, parameter and other variations are expected to decrease non</w:t>
      </w:r>
      <w:r w:rsidR="00536CFF">
        <w:rPr>
          <w:rFonts w:eastAsia="Calibri"/>
          <w:lang w:val="en-US"/>
        </w:rPr>
        <w:noBreakHyphen/>
      </w:r>
      <w:r w:rsidRPr="00954D98">
        <w:rPr>
          <w:rFonts w:eastAsia="Calibri"/>
          <w:lang w:val="en-US"/>
        </w:rPr>
        <w:t>tax receipts by $0.5 billion in 2025–26 and have no material net impact on non</w:t>
      </w:r>
      <w:r w:rsidR="00536CFF">
        <w:rPr>
          <w:rFonts w:eastAsia="Calibri"/>
          <w:lang w:val="en-US"/>
        </w:rPr>
        <w:noBreakHyphen/>
      </w:r>
      <w:r w:rsidRPr="00954D98">
        <w:rPr>
          <w:rFonts w:eastAsia="Calibri"/>
          <w:lang w:val="en-US"/>
        </w:rPr>
        <w:t>tax receipts over the four years to 2028–29. Decreases in non</w:t>
      </w:r>
      <w:r w:rsidR="00536CFF">
        <w:rPr>
          <w:rFonts w:eastAsia="Calibri"/>
          <w:lang w:val="en-US"/>
        </w:rPr>
        <w:noBreakHyphen/>
      </w:r>
      <w:r w:rsidRPr="00954D98">
        <w:rPr>
          <w:rFonts w:eastAsia="Calibri"/>
          <w:lang w:val="en-US"/>
        </w:rPr>
        <w:t>tax receipts are largely driven by updated pharmaceutical pricing assumptions and changes to predicted prescription volumes, and a decrease in the expected dividends to be received from Government Business Enterprises. Broadly equivalent increases in non</w:t>
      </w:r>
      <w:r w:rsidR="00536CFF">
        <w:rPr>
          <w:rFonts w:eastAsia="Calibri"/>
          <w:lang w:val="en-US"/>
        </w:rPr>
        <w:noBreakHyphen/>
      </w:r>
      <w:r w:rsidRPr="00954D98">
        <w:rPr>
          <w:rFonts w:eastAsia="Calibri"/>
          <w:lang w:val="en-US"/>
        </w:rPr>
        <w:t>tax receipts are largely driven by an increase in state and territory contributions for blood and blood products, and a forecast increase in earnings from the Future Fund and other Australian Government Investment Funds.</w:t>
      </w:r>
    </w:p>
    <w:p w14:paraId="169EA870" w14:textId="2092A2B5" w:rsidR="00F1044A" w:rsidRPr="00954D98" w:rsidRDefault="00F1044A" w:rsidP="00F1044A">
      <w:pPr>
        <w:rPr>
          <w:rFonts w:eastAsia="Calibri"/>
        </w:rPr>
      </w:pPr>
      <w:r w:rsidRPr="00954D98">
        <w:rPr>
          <w:rFonts w:eastAsia="Calibri"/>
        </w:rPr>
        <w:t>The key economic parameters that influence tax receipts and revenue are shown in Table 3.</w:t>
      </w:r>
      <w:r w:rsidR="00B25DA7" w:rsidRPr="00954D98">
        <w:rPr>
          <w:rFonts w:eastAsia="Calibri"/>
        </w:rPr>
        <w:t>6</w:t>
      </w:r>
      <w:r w:rsidRPr="00954D98">
        <w:rPr>
          <w:rFonts w:eastAsia="Calibri"/>
        </w:rPr>
        <w:t xml:space="preserve">. </w:t>
      </w:r>
      <w:r w:rsidRPr="00954D98">
        <w:rPr>
          <w:color w:val="6D7684" w:themeColor="background2"/>
        </w:rPr>
        <w:br w:type="page"/>
      </w:r>
    </w:p>
    <w:p w14:paraId="5FB088F5" w14:textId="6C6E4716" w:rsidR="00F1044A" w:rsidRPr="00954D98" w:rsidRDefault="00F1044A" w:rsidP="00F1044A">
      <w:pPr>
        <w:pStyle w:val="TableHeading"/>
        <w:rPr>
          <w:rFonts w:asciiTheme="minorHAnsi" w:eastAsiaTheme="minorHAnsi" w:hAnsiTheme="minorHAnsi" w:cstheme="minorBidi"/>
          <w:sz w:val="22"/>
          <w:szCs w:val="22"/>
          <w:lang w:eastAsia="en-US"/>
        </w:rPr>
      </w:pPr>
      <w:r w:rsidRPr="00954D98">
        <w:lastRenderedPageBreak/>
        <w:t>Table 3.</w:t>
      </w:r>
      <w:r w:rsidR="00FD2ADD" w:rsidRPr="00954D98">
        <w:t>6</w:t>
      </w:r>
      <w:r w:rsidRPr="00954D98">
        <w:t>: Key economic parameters for tax receipts</w:t>
      </w:r>
      <w:r w:rsidRPr="00954D98">
        <w:rPr>
          <w:vertAlign w:val="superscript"/>
        </w:rPr>
        <w:t>(a)</w:t>
      </w:r>
      <w:r w:rsidRPr="00954D98">
        <w:rPr>
          <w:rFonts w:eastAsiaTheme="minorHAnsi"/>
          <w:vertAlign w:val="superscript"/>
        </w:rPr>
        <w:t xml:space="preserve"> </w:t>
      </w:r>
    </w:p>
    <w:tbl>
      <w:tblPr>
        <w:tblW w:w="5000" w:type="pct"/>
        <w:tblCellMar>
          <w:left w:w="0" w:type="dxa"/>
          <w:right w:w="28" w:type="dxa"/>
        </w:tblCellMar>
        <w:tblLook w:val="04A0" w:firstRow="1" w:lastRow="0" w:firstColumn="1" w:lastColumn="0" w:noHBand="0" w:noVBand="1"/>
      </w:tblPr>
      <w:tblGrid>
        <w:gridCol w:w="3197"/>
        <w:gridCol w:w="902"/>
        <w:gridCol w:w="902"/>
        <w:gridCol w:w="902"/>
        <w:gridCol w:w="902"/>
        <w:gridCol w:w="905"/>
      </w:tblGrid>
      <w:tr w:rsidR="00F1044A" w:rsidRPr="00954D98" w14:paraId="7712F299" w14:textId="77777777">
        <w:trPr>
          <w:trHeight w:hRule="exact" w:val="225"/>
        </w:trPr>
        <w:tc>
          <w:tcPr>
            <w:tcW w:w="2073" w:type="pct"/>
            <w:tcBorders>
              <w:top w:val="single" w:sz="4" w:space="0" w:color="293F5B"/>
              <w:left w:val="nil"/>
              <w:bottom w:val="nil"/>
              <w:right w:val="nil"/>
            </w:tcBorders>
            <w:shd w:val="clear" w:color="000000" w:fill="FFFFFF"/>
            <w:noWrap/>
            <w:vAlign w:val="bottom"/>
            <w:hideMark/>
          </w:tcPr>
          <w:p w14:paraId="128308A8" w14:textId="77777777" w:rsidR="00F1044A" w:rsidRPr="00954D98" w:rsidRDefault="00F1044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5" w:type="pct"/>
            <w:tcBorders>
              <w:top w:val="single" w:sz="4" w:space="0" w:color="293F5B"/>
              <w:left w:val="nil"/>
              <w:bottom w:val="nil"/>
              <w:right w:val="nil"/>
            </w:tcBorders>
            <w:shd w:val="clear" w:color="000000" w:fill="FFFFFF"/>
            <w:noWrap/>
            <w:vAlign w:val="center"/>
            <w:hideMark/>
          </w:tcPr>
          <w:p w14:paraId="47EFCCDA" w14:textId="77777777" w:rsidR="00F1044A" w:rsidRPr="00954D98" w:rsidRDefault="00F1044A">
            <w:pPr>
              <w:spacing w:before="0" w:after="0" w:line="240" w:lineRule="auto"/>
              <w:jc w:val="center"/>
              <w:rPr>
                <w:rFonts w:ascii="Arial" w:hAnsi="Arial" w:cs="Arial"/>
                <w:color w:val="FFFF00"/>
                <w:sz w:val="16"/>
                <w:szCs w:val="16"/>
              </w:rPr>
            </w:pPr>
            <w:r w:rsidRPr="00954D98">
              <w:rPr>
                <w:rFonts w:ascii="Arial" w:hAnsi="Arial" w:cs="Arial"/>
                <w:sz w:val="16"/>
                <w:szCs w:val="16"/>
              </w:rPr>
              <w:t>Outcome</w:t>
            </w:r>
          </w:p>
        </w:tc>
        <w:tc>
          <w:tcPr>
            <w:tcW w:w="2342" w:type="pct"/>
            <w:gridSpan w:val="4"/>
            <w:tcBorders>
              <w:top w:val="single" w:sz="4" w:space="0" w:color="293F5B"/>
              <w:left w:val="nil"/>
              <w:bottom w:val="single" w:sz="4" w:space="0" w:color="auto"/>
              <w:right w:val="nil"/>
            </w:tcBorders>
            <w:shd w:val="clear" w:color="000000" w:fill="FFFFFF"/>
            <w:noWrap/>
            <w:vAlign w:val="center"/>
            <w:hideMark/>
          </w:tcPr>
          <w:p w14:paraId="5592AD66" w14:textId="77777777" w:rsidR="00F1044A" w:rsidRPr="00954D98" w:rsidRDefault="00F1044A">
            <w:pPr>
              <w:spacing w:before="0" w:after="0" w:line="240" w:lineRule="auto"/>
              <w:jc w:val="center"/>
              <w:rPr>
                <w:rFonts w:ascii="Arial" w:hAnsi="Arial" w:cs="Arial"/>
                <w:sz w:val="16"/>
                <w:szCs w:val="16"/>
              </w:rPr>
            </w:pPr>
            <w:r w:rsidRPr="00954D98">
              <w:rPr>
                <w:rFonts w:ascii="Arial" w:hAnsi="Arial" w:cs="Arial"/>
                <w:sz w:val="16"/>
                <w:szCs w:val="16"/>
              </w:rPr>
              <w:t>Forecasts</w:t>
            </w:r>
          </w:p>
        </w:tc>
      </w:tr>
      <w:tr w:rsidR="00F1044A" w:rsidRPr="00954D98" w14:paraId="4EEF458A" w14:textId="77777777" w:rsidTr="00FD364F">
        <w:trPr>
          <w:trHeight w:hRule="exact" w:val="225"/>
        </w:trPr>
        <w:tc>
          <w:tcPr>
            <w:tcW w:w="2073" w:type="pct"/>
            <w:tcBorders>
              <w:top w:val="nil"/>
              <w:left w:val="nil"/>
              <w:bottom w:val="nil"/>
              <w:right w:val="nil"/>
            </w:tcBorders>
            <w:shd w:val="clear" w:color="000000" w:fill="FFFFFF"/>
            <w:noWrap/>
            <w:vAlign w:val="center"/>
            <w:hideMark/>
          </w:tcPr>
          <w:p w14:paraId="2CF1E1E7" w14:textId="77777777" w:rsidR="00F1044A" w:rsidRPr="00954D98" w:rsidRDefault="00F1044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5" w:type="pct"/>
            <w:tcBorders>
              <w:top w:val="single" w:sz="4" w:space="0" w:color="auto"/>
              <w:left w:val="nil"/>
              <w:bottom w:val="single" w:sz="4" w:space="0" w:color="auto"/>
              <w:right w:val="nil"/>
            </w:tcBorders>
            <w:shd w:val="clear" w:color="000000" w:fill="FFFFFF"/>
            <w:noWrap/>
            <w:vAlign w:val="bottom"/>
            <w:hideMark/>
          </w:tcPr>
          <w:p w14:paraId="56741A62" w14:textId="0759D342" w:rsidR="00F1044A" w:rsidRPr="00954D98" w:rsidRDefault="00F1044A">
            <w:pPr>
              <w:spacing w:before="0" w:after="0" w:line="240" w:lineRule="auto"/>
              <w:jc w:val="center"/>
              <w:rPr>
                <w:rFonts w:ascii="Arial" w:hAnsi="Arial" w:cs="Arial"/>
                <w:color w:val="FFFF00"/>
                <w:sz w:val="16"/>
                <w:szCs w:val="16"/>
              </w:rPr>
            </w:pPr>
            <w:r w:rsidRPr="00954D98">
              <w:rPr>
                <w:rFonts w:ascii="Arial" w:hAnsi="Arial" w:cs="Arial"/>
                <w:sz w:val="16"/>
                <w:szCs w:val="16"/>
              </w:rPr>
              <w:t>202</w:t>
            </w:r>
            <w:r w:rsidR="00E71059" w:rsidRPr="00954D98">
              <w:rPr>
                <w:rFonts w:ascii="Arial" w:hAnsi="Arial" w:cs="Arial"/>
                <w:sz w:val="16"/>
                <w:szCs w:val="16"/>
              </w:rPr>
              <w:t>4</w:t>
            </w:r>
            <w:r w:rsidRPr="00954D98">
              <w:rPr>
                <w:rFonts w:ascii="Calibri" w:hAnsi="Calibri" w:cs="Calibri"/>
                <w:sz w:val="16"/>
                <w:szCs w:val="16"/>
              </w:rPr>
              <w:t>–</w:t>
            </w:r>
            <w:r w:rsidRPr="00954D98">
              <w:rPr>
                <w:rFonts w:ascii="Arial" w:hAnsi="Arial" w:cs="Arial"/>
                <w:sz w:val="16"/>
                <w:szCs w:val="16"/>
              </w:rPr>
              <w:t>2</w:t>
            </w:r>
            <w:r w:rsidR="00E71059" w:rsidRPr="00954D98">
              <w:rPr>
                <w:rFonts w:ascii="Arial" w:hAnsi="Arial" w:cs="Arial"/>
                <w:sz w:val="16"/>
                <w:szCs w:val="16"/>
              </w:rPr>
              <w:t>5</w:t>
            </w:r>
          </w:p>
        </w:tc>
        <w:tc>
          <w:tcPr>
            <w:tcW w:w="585" w:type="pct"/>
            <w:tcBorders>
              <w:top w:val="nil"/>
              <w:left w:val="nil"/>
              <w:bottom w:val="single" w:sz="4" w:space="0" w:color="auto"/>
              <w:right w:val="nil"/>
            </w:tcBorders>
            <w:shd w:val="clear" w:color="000000" w:fill="FFFFFF"/>
            <w:noWrap/>
            <w:vAlign w:val="bottom"/>
            <w:hideMark/>
          </w:tcPr>
          <w:p w14:paraId="3F24F5AC" w14:textId="52985BE8" w:rsidR="00F1044A" w:rsidRPr="00954D98" w:rsidRDefault="00F1044A">
            <w:pPr>
              <w:spacing w:before="0" w:after="0" w:line="240" w:lineRule="auto"/>
              <w:jc w:val="center"/>
              <w:rPr>
                <w:rFonts w:ascii="Arial" w:hAnsi="Arial" w:cs="Arial"/>
                <w:color w:val="FFFF00"/>
                <w:sz w:val="16"/>
                <w:szCs w:val="16"/>
              </w:rPr>
            </w:pPr>
            <w:r w:rsidRPr="00954D98">
              <w:rPr>
                <w:rFonts w:ascii="Arial" w:hAnsi="Arial" w:cs="Arial"/>
                <w:sz w:val="16"/>
                <w:szCs w:val="16"/>
              </w:rPr>
              <w:t>202</w:t>
            </w:r>
            <w:r w:rsidR="00E71059" w:rsidRPr="00954D98">
              <w:rPr>
                <w:rFonts w:ascii="Arial" w:hAnsi="Arial" w:cs="Arial"/>
                <w:sz w:val="16"/>
                <w:szCs w:val="16"/>
              </w:rPr>
              <w:t>5</w:t>
            </w:r>
            <w:r w:rsidRPr="00954D98">
              <w:rPr>
                <w:rFonts w:ascii="Calibri" w:hAnsi="Calibri" w:cs="Calibri"/>
                <w:sz w:val="16"/>
                <w:szCs w:val="16"/>
              </w:rPr>
              <w:t>–</w:t>
            </w:r>
            <w:r w:rsidRPr="00954D98">
              <w:rPr>
                <w:rFonts w:ascii="Arial" w:hAnsi="Arial" w:cs="Arial"/>
                <w:sz w:val="16"/>
                <w:szCs w:val="16"/>
              </w:rPr>
              <w:t>2</w:t>
            </w:r>
            <w:r w:rsidR="00E71059" w:rsidRPr="00954D98">
              <w:rPr>
                <w:rFonts w:ascii="Arial" w:hAnsi="Arial" w:cs="Arial"/>
                <w:sz w:val="16"/>
                <w:szCs w:val="16"/>
              </w:rPr>
              <w:t>6</w:t>
            </w:r>
          </w:p>
        </w:tc>
        <w:tc>
          <w:tcPr>
            <w:tcW w:w="585" w:type="pct"/>
            <w:tcBorders>
              <w:top w:val="nil"/>
              <w:left w:val="nil"/>
              <w:bottom w:val="single" w:sz="4" w:space="0" w:color="auto"/>
              <w:right w:val="nil"/>
            </w:tcBorders>
            <w:shd w:val="clear" w:color="000000" w:fill="FFFFFF"/>
            <w:noWrap/>
            <w:vAlign w:val="bottom"/>
            <w:hideMark/>
          </w:tcPr>
          <w:p w14:paraId="07F199AF" w14:textId="49E7AA2C" w:rsidR="00F1044A" w:rsidRPr="00954D98" w:rsidRDefault="00F1044A">
            <w:pPr>
              <w:spacing w:before="0" w:after="0" w:line="240" w:lineRule="auto"/>
              <w:jc w:val="center"/>
              <w:rPr>
                <w:rFonts w:ascii="Arial" w:hAnsi="Arial" w:cs="Arial"/>
                <w:color w:val="FFFF00"/>
                <w:sz w:val="16"/>
                <w:szCs w:val="16"/>
              </w:rPr>
            </w:pPr>
            <w:r w:rsidRPr="00954D98">
              <w:rPr>
                <w:rFonts w:ascii="Arial" w:hAnsi="Arial" w:cs="Arial"/>
                <w:sz w:val="16"/>
                <w:szCs w:val="16"/>
              </w:rPr>
              <w:t>202</w:t>
            </w:r>
            <w:r w:rsidR="00E71059" w:rsidRPr="00954D98">
              <w:rPr>
                <w:rFonts w:ascii="Arial" w:hAnsi="Arial" w:cs="Arial"/>
                <w:sz w:val="16"/>
                <w:szCs w:val="16"/>
              </w:rPr>
              <w:t>6</w:t>
            </w:r>
            <w:r w:rsidRPr="00954D98">
              <w:rPr>
                <w:rFonts w:ascii="Calibri" w:hAnsi="Calibri" w:cs="Calibri"/>
                <w:sz w:val="16"/>
                <w:szCs w:val="16"/>
              </w:rPr>
              <w:t>–</w:t>
            </w:r>
            <w:r w:rsidRPr="00954D98">
              <w:rPr>
                <w:rFonts w:ascii="Arial" w:hAnsi="Arial" w:cs="Arial"/>
                <w:sz w:val="16"/>
                <w:szCs w:val="16"/>
              </w:rPr>
              <w:t>2</w:t>
            </w:r>
            <w:r w:rsidR="00E71059" w:rsidRPr="00954D98">
              <w:rPr>
                <w:rFonts w:ascii="Arial" w:hAnsi="Arial" w:cs="Arial"/>
                <w:sz w:val="16"/>
                <w:szCs w:val="16"/>
              </w:rPr>
              <w:t>7</w:t>
            </w:r>
          </w:p>
        </w:tc>
        <w:tc>
          <w:tcPr>
            <w:tcW w:w="585" w:type="pct"/>
            <w:tcBorders>
              <w:top w:val="nil"/>
              <w:left w:val="nil"/>
              <w:bottom w:val="single" w:sz="4" w:space="0" w:color="auto"/>
              <w:right w:val="nil"/>
            </w:tcBorders>
            <w:shd w:val="clear" w:color="000000" w:fill="FFFFFF"/>
            <w:noWrap/>
            <w:vAlign w:val="bottom"/>
            <w:hideMark/>
          </w:tcPr>
          <w:p w14:paraId="5AA18C04" w14:textId="373B506A" w:rsidR="00F1044A" w:rsidRPr="00954D98" w:rsidRDefault="00F1044A">
            <w:pPr>
              <w:spacing w:before="0" w:after="0" w:line="240" w:lineRule="auto"/>
              <w:jc w:val="center"/>
              <w:rPr>
                <w:rFonts w:ascii="Arial" w:hAnsi="Arial" w:cs="Arial"/>
                <w:color w:val="FFFF00"/>
                <w:sz w:val="16"/>
                <w:szCs w:val="16"/>
              </w:rPr>
            </w:pPr>
            <w:r w:rsidRPr="00954D98">
              <w:rPr>
                <w:rFonts w:ascii="Arial" w:hAnsi="Arial" w:cs="Arial"/>
                <w:sz w:val="16"/>
                <w:szCs w:val="16"/>
              </w:rPr>
              <w:t>202</w:t>
            </w:r>
            <w:r w:rsidR="00E71059" w:rsidRPr="00954D98">
              <w:rPr>
                <w:rFonts w:ascii="Arial" w:hAnsi="Arial" w:cs="Arial"/>
                <w:sz w:val="16"/>
                <w:szCs w:val="16"/>
              </w:rPr>
              <w:t>7</w:t>
            </w:r>
            <w:r w:rsidRPr="00954D98">
              <w:rPr>
                <w:rFonts w:ascii="Calibri" w:hAnsi="Calibri" w:cs="Calibri"/>
                <w:sz w:val="16"/>
                <w:szCs w:val="16"/>
              </w:rPr>
              <w:t>–</w:t>
            </w:r>
            <w:r w:rsidRPr="00954D98">
              <w:rPr>
                <w:rFonts w:ascii="Arial" w:hAnsi="Arial" w:cs="Arial"/>
                <w:sz w:val="16"/>
                <w:szCs w:val="16"/>
              </w:rPr>
              <w:t>2</w:t>
            </w:r>
            <w:r w:rsidR="00E71059" w:rsidRPr="00954D98">
              <w:rPr>
                <w:rFonts w:ascii="Arial" w:hAnsi="Arial" w:cs="Arial"/>
                <w:sz w:val="16"/>
                <w:szCs w:val="16"/>
              </w:rPr>
              <w:t>8</w:t>
            </w:r>
          </w:p>
        </w:tc>
        <w:tc>
          <w:tcPr>
            <w:tcW w:w="587" w:type="pct"/>
            <w:tcBorders>
              <w:top w:val="nil"/>
              <w:left w:val="nil"/>
              <w:bottom w:val="single" w:sz="4" w:space="0" w:color="auto"/>
              <w:right w:val="nil"/>
            </w:tcBorders>
            <w:shd w:val="clear" w:color="000000" w:fill="FFFFFF"/>
            <w:noWrap/>
            <w:vAlign w:val="bottom"/>
            <w:hideMark/>
          </w:tcPr>
          <w:p w14:paraId="02854D33" w14:textId="0F174F63" w:rsidR="00F1044A" w:rsidRPr="00954D98" w:rsidRDefault="00F1044A">
            <w:pPr>
              <w:spacing w:before="0" w:after="0" w:line="240" w:lineRule="auto"/>
              <w:jc w:val="center"/>
              <w:rPr>
                <w:rFonts w:ascii="Arial" w:hAnsi="Arial" w:cs="Arial"/>
                <w:sz w:val="16"/>
                <w:szCs w:val="16"/>
              </w:rPr>
            </w:pPr>
            <w:r w:rsidRPr="00954D98">
              <w:rPr>
                <w:rFonts w:ascii="Arial" w:hAnsi="Arial" w:cs="Arial"/>
                <w:sz w:val="16"/>
                <w:szCs w:val="16"/>
              </w:rPr>
              <w:t>202</w:t>
            </w:r>
            <w:r w:rsidR="00E71059" w:rsidRPr="00954D98">
              <w:rPr>
                <w:rFonts w:ascii="Arial" w:hAnsi="Arial" w:cs="Arial"/>
                <w:sz w:val="16"/>
                <w:szCs w:val="16"/>
              </w:rPr>
              <w:t>8</w:t>
            </w:r>
            <w:r w:rsidRPr="00954D98">
              <w:rPr>
                <w:rFonts w:ascii="Calibri" w:hAnsi="Calibri" w:cs="Calibri"/>
                <w:sz w:val="16"/>
                <w:szCs w:val="16"/>
              </w:rPr>
              <w:t>–</w:t>
            </w:r>
            <w:r w:rsidRPr="00954D98">
              <w:rPr>
                <w:rFonts w:ascii="Arial" w:hAnsi="Arial" w:cs="Arial"/>
                <w:sz w:val="16"/>
                <w:szCs w:val="16"/>
              </w:rPr>
              <w:t>2</w:t>
            </w:r>
            <w:r w:rsidR="00E71059" w:rsidRPr="00954D98">
              <w:rPr>
                <w:rFonts w:ascii="Arial" w:hAnsi="Arial" w:cs="Arial"/>
                <w:sz w:val="16"/>
                <w:szCs w:val="16"/>
              </w:rPr>
              <w:t>9</w:t>
            </w:r>
          </w:p>
        </w:tc>
      </w:tr>
      <w:tr w:rsidR="00F1044A" w:rsidRPr="00954D98" w14:paraId="4D550488" w14:textId="77777777" w:rsidTr="00FD364F">
        <w:trPr>
          <w:trHeight w:hRule="exact" w:val="225"/>
        </w:trPr>
        <w:tc>
          <w:tcPr>
            <w:tcW w:w="2073" w:type="pct"/>
            <w:tcBorders>
              <w:top w:val="nil"/>
              <w:left w:val="nil"/>
              <w:bottom w:val="nil"/>
              <w:right w:val="nil"/>
            </w:tcBorders>
            <w:shd w:val="clear" w:color="000000" w:fill="FFFFFF"/>
            <w:noWrap/>
            <w:vAlign w:val="center"/>
            <w:hideMark/>
          </w:tcPr>
          <w:p w14:paraId="4C4B98D3" w14:textId="77777777" w:rsidR="00F1044A" w:rsidRPr="00954D98" w:rsidRDefault="00F1044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E6F2FF"/>
            <w:noWrap/>
            <w:vAlign w:val="center"/>
            <w:hideMark/>
          </w:tcPr>
          <w:p w14:paraId="0B32B165" w14:textId="77777777" w:rsidR="00F1044A" w:rsidRPr="00954D98" w:rsidRDefault="00F1044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FFFFFF"/>
            <w:noWrap/>
            <w:vAlign w:val="center"/>
            <w:hideMark/>
          </w:tcPr>
          <w:p w14:paraId="32CC21E5" w14:textId="77777777" w:rsidR="00F1044A" w:rsidRPr="00954D98" w:rsidRDefault="00F1044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FFFFFF"/>
            <w:noWrap/>
            <w:vAlign w:val="center"/>
            <w:hideMark/>
          </w:tcPr>
          <w:p w14:paraId="5C3D1C7D" w14:textId="77777777" w:rsidR="00F1044A" w:rsidRPr="00954D98" w:rsidRDefault="00F1044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FFFFFF"/>
            <w:noWrap/>
            <w:vAlign w:val="center"/>
            <w:hideMark/>
          </w:tcPr>
          <w:p w14:paraId="2F7AE07F" w14:textId="77777777" w:rsidR="00F1044A" w:rsidRPr="00954D98" w:rsidRDefault="00F1044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7" w:type="pct"/>
            <w:tcBorders>
              <w:top w:val="nil"/>
              <w:left w:val="nil"/>
              <w:bottom w:val="nil"/>
              <w:right w:val="nil"/>
            </w:tcBorders>
            <w:shd w:val="clear" w:color="000000" w:fill="FFFFFF"/>
            <w:noWrap/>
            <w:vAlign w:val="center"/>
            <w:hideMark/>
          </w:tcPr>
          <w:p w14:paraId="18032FFF" w14:textId="77777777" w:rsidR="00F1044A" w:rsidRPr="00954D98" w:rsidRDefault="00F1044A">
            <w:pPr>
              <w:spacing w:before="0" w:after="0" w:line="240" w:lineRule="auto"/>
              <w:rPr>
                <w:rFonts w:ascii="Arial" w:hAnsi="Arial" w:cs="Arial"/>
                <w:sz w:val="16"/>
                <w:szCs w:val="16"/>
              </w:rPr>
            </w:pPr>
            <w:r w:rsidRPr="00954D98">
              <w:rPr>
                <w:rFonts w:ascii="Arial" w:hAnsi="Arial" w:cs="Arial"/>
                <w:sz w:val="16"/>
                <w:szCs w:val="16"/>
              </w:rPr>
              <w:t> </w:t>
            </w:r>
          </w:p>
        </w:tc>
      </w:tr>
      <w:tr w:rsidR="00F1044A" w:rsidRPr="00954D98" w14:paraId="032476D4" w14:textId="77777777" w:rsidTr="00FD364F">
        <w:trPr>
          <w:trHeight w:hRule="exact" w:val="225"/>
        </w:trPr>
        <w:tc>
          <w:tcPr>
            <w:tcW w:w="2073" w:type="pct"/>
            <w:tcBorders>
              <w:top w:val="nil"/>
              <w:left w:val="nil"/>
              <w:bottom w:val="nil"/>
              <w:right w:val="nil"/>
            </w:tcBorders>
            <w:shd w:val="clear" w:color="000000" w:fill="FFFFFF"/>
            <w:noWrap/>
            <w:vAlign w:val="center"/>
            <w:hideMark/>
          </w:tcPr>
          <w:p w14:paraId="519BA667" w14:textId="77777777" w:rsidR="00F1044A" w:rsidRPr="00954D98" w:rsidRDefault="00F1044A">
            <w:pPr>
              <w:spacing w:before="0" w:after="0" w:line="240" w:lineRule="auto"/>
              <w:rPr>
                <w:rFonts w:ascii="Arial" w:hAnsi="Arial" w:cs="Arial"/>
                <w:b/>
                <w:color w:val="FFFF00"/>
                <w:sz w:val="16"/>
                <w:szCs w:val="16"/>
              </w:rPr>
            </w:pPr>
            <w:r w:rsidRPr="00954D98">
              <w:rPr>
                <w:rFonts w:ascii="Arial" w:hAnsi="Arial" w:cs="Arial"/>
                <w:b/>
                <w:bCs/>
                <w:sz w:val="16"/>
                <w:szCs w:val="16"/>
              </w:rPr>
              <w:t xml:space="preserve">Revenue parameters </w:t>
            </w:r>
          </w:p>
        </w:tc>
        <w:tc>
          <w:tcPr>
            <w:tcW w:w="585" w:type="pct"/>
            <w:tcBorders>
              <w:top w:val="nil"/>
              <w:left w:val="nil"/>
              <w:bottom w:val="nil"/>
              <w:right w:val="nil"/>
            </w:tcBorders>
            <w:shd w:val="clear" w:color="000000" w:fill="E6F2FF"/>
            <w:noWrap/>
            <w:vAlign w:val="bottom"/>
          </w:tcPr>
          <w:p w14:paraId="5B4BA4D1" w14:textId="0C4D4D87" w:rsidR="00F1044A" w:rsidRPr="00954D98" w:rsidRDefault="00F1044A">
            <w:pPr>
              <w:spacing w:before="0" w:after="0" w:line="240" w:lineRule="auto"/>
              <w:rPr>
                <w:rFonts w:ascii="Arial" w:hAnsi="Arial" w:cs="Arial"/>
                <w:color w:val="FFFF00"/>
                <w:sz w:val="16"/>
                <w:szCs w:val="16"/>
              </w:rPr>
            </w:pPr>
          </w:p>
        </w:tc>
        <w:tc>
          <w:tcPr>
            <w:tcW w:w="585" w:type="pct"/>
            <w:tcBorders>
              <w:top w:val="nil"/>
              <w:left w:val="nil"/>
              <w:bottom w:val="nil"/>
              <w:right w:val="nil"/>
            </w:tcBorders>
            <w:shd w:val="clear" w:color="000000" w:fill="FFFFFF"/>
            <w:noWrap/>
            <w:vAlign w:val="center"/>
          </w:tcPr>
          <w:p w14:paraId="7FFED93D" w14:textId="0CA3EF3D" w:rsidR="00F1044A" w:rsidRPr="00954D98" w:rsidRDefault="00F1044A">
            <w:pPr>
              <w:spacing w:before="0" w:after="0" w:line="240" w:lineRule="auto"/>
              <w:rPr>
                <w:rFonts w:ascii="Arial" w:hAnsi="Arial" w:cs="Arial"/>
                <w:color w:val="FFFF00"/>
                <w:sz w:val="16"/>
                <w:szCs w:val="16"/>
              </w:rPr>
            </w:pPr>
          </w:p>
        </w:tc>
        <w:tc>
          <w:tcPr>
            <w:tcW w:w="585" w:type="pct"/>
            <w:tcBorders>
              <w:top w:val="nil"/>
              <w:left w:val="nil"/>
              <w:bottom w:val="nil"/>
              <w:right w:val="nil"/>
            </w:tcBorders>
            <w:shd w:val="clear" w:color="000000" w:fill="FFFFFF"/>
            <w:noWrap/>
            <w:vAlign w:val="center"/>
          </w:tcPr>
          <w:p w14:paraId="6EE0E7E7" w14:textId="081DBDAC" w:rsidR="00F1044A" w:rsidRPr="00954D98" w:rsidRDefault="00F1044A">
            <w:pPr>
              <w:spacing w:before="0" w:after="0" w:line="240" w:lineRule="auto"/>
              <w:rPr>
                <w:rFonts w:ascii="Arial" w:hAnsi="Arial" w:cs="Arial"/>
                <w:color w:val="FFFF00"/>
                <w:sz w:val="16"/>
                <w:szCs w:val="16"/>
              </w:rPr>
            </w:pPr>
          </w:p>
        </w:tc>
        <w:tc>
          <w:tcPr>
            <w:tcW w:w="585" w:type="pct"/>
            <w:tcBorders>
              <w:top w:val="nil"/>
              <w:left w:val="nil"/>
              <w:bottom w:val="nil"/>
              <w:right w:val="nil"/>
            </w:tcBorders>
            <w:shd w:val="clear" w:color="000000" w:fill="FFFFFF"/>
            <w:noWrap/>
            <w:vAlign w:val="center"/>
          </w:tcPr>
          <w:p w14:paraId="452D74BD" w14:textId="78022009" w:rsidR="00F1044A" w:rsidRPr="00954D98" w:rsidRDefault="00F1044A">
            <w:pPr>
              <w:spacing w:before="0" w:after="0" w:line="240" w:lineRule="auto"/>
              <w:rPr>
                <w:rFonts w:ascii="Arial" w:hAnsi="Arial" w:cs="Arial"/>
                <w:color w:val="FFFF00"/>
                <w:sz w:val="16"/>
                <w:szCs w:val="16"/>
              </w:rPr>
            </w:pPr>
          </w:p>
        </w:tc>
        <w:tc>
          <w:tcPr>
            <w:tcW w:w="587" w:type="pct"/>
            <w:tcBorders>
              <w:top w:val="nil"/>
              <w:left w:val="nil"/>
              <w:bottom w:val="nil"/>
              <w:right w:val="nil"/>
            </w:tcBorders>
            <w:shd w:val="clear" w:color="000000" w:fill="FFFFFF"/>
            <w:noWrap/>
            <w:vAlign w:val="center"/>
          </w:tcPr>
          <w:p w14:paraId="7BE45F2F" w14:textId="0493EE16" w:rsidR="00F1044A" w:rsidRPr="00954D98" w:rsidRDefault="00F1044A">
            <w:pPr>
              <w:spacing w:before="0" w:after="0" w:line="240" w:lineRule="auto"/>
              <w:rPr>
                <w:rFonts w:ascii="Arial" w:hAnsi="Arial" w:cs="Arial"/>
                <w:sz w:val="16"/>
                <w:szCs w:val="16"/>
              </w:rPr>
            </w:pPr>
          </w:p>
        </w:tc>
      </w:tr>
      <w:tr w:rsidR="00F1044A" w:rsidRPr="00954D98" w14:paraId="714E6528" w14:textId="77777777" w:rsidTr="00643477">
        <w:trPr>
          <w:trHeight w:hRule="exact" w:val="225"/>
        </w:trPr>
        <w:tc>
          <w:tcPr>
            <w:tcW w:w="2073" w:type="pct"/>
            <w:tcBorders>
              <w:top w:val="nil"/>
              <w:left w:val="nil"/>
              <w:bottom w:val="nil"/>
              <w:right w:val="nil"/>
            </w:tcBorders>
            <w:shd w:val="clear" w:color="000000" w:fill="FFFFFF"/>
            <w:noWrap/>
            <w:vAlign w:val="center"/>
            <w:hideMark/>
          </w:tcPr>
          <w:p w14:paraId="28EF5418" w14:textId="77777777" w:rsidR="00F1044A" w:rsidRPr="00954D98" w:rsidRDefault="00F1044A">
            <w:pPr>
              <w:spacing w:before="0" w:after="0" w:line="240" w:lineRule="auto"/>
              <w:ind w:left="170"/>
              <w:rPr>
                <w:rFonts w:ascii="Arial" w:hAnsi="Arial" w:cs="Arial"/>
                <w:color w:val="FFFF00"/>
                <w:sz w:val="16"/>
                <w:szCs w:val="16"/>
              </w:rPr>
            </w:pPr>
            <w:r w:rsidRPr="00954D98">
              <w:rPr>
                <w:rFonts w:ascii="Arial" w:hAnsi="Arial" w:cs="Arial"/>
                <w:sz w:val="16"/>
                <w:szCs w:val="16"/>
              </w:rPr>
              <w:t>Nominal gross domestic product</w:t>
            </w:r>
          </w:p>
        </w:tc>
        <w:tc>
          <w:tcPr>
            <w:tcW w:w="585" w:type="pct"/>
            <w:tcBorders>
              <w:top w:val="nil"/>
              <w:left w:val="nil"/>
              <w:bottom w:val="nil"/>
              <w:right w:val="nil"/>
            </w:tcBorders>
            <w:shd w:val="clear" w:color="000000" w:fill="E6F2FF"/>
            <w:noWrap/>
            <w:vAlign w:val="bottom"/>
          </w:tcPr>
          <w:p w14:paraId="0079F597" w14:textId="2B3415D5" w:rsidR="00F1044A" w:rsidRPr="00954D98" w:rsidRDefault="007C6F10">
            <w:pPr>
              <w:spacing w:before="0" w:after="0" w:line="240" w:lineRule="auto"/>
              <w:jc w:val="right"/>
              <w:rPr>
                <w:rFonts w:asciiTheme="majorHAnsi" w:hAnsiTheme="majorHAnsi" w:cstheme="majorHAnsi"/>
                <w:color w:val="FFFF00"/>
                <w:sz w:val="16"/>
                <w:szCs w:val="16"/>
              </w:rPr>
            </w:pPr>
            <w:r w:rsidRPr="00954D98">
              <w:rPr>
                <w:rFonts w:asciiTheme="majorHAnsi" w:hAnsiTheme="majorHAnsi" w:cstheme="majorHAnsi"/>
                <w:sz w:val="16"/>
                <w:szCs w:val="16"/>
              </w:rPr>
              <w:t>3.6</w:t>
            </w:r>
          </w:p>
        </w:tc>
        <w:tc>
          <w:tcPr>
            <w:tcW w:w="585" w:type="pct"/>
            <w:tcBorders>
              <w:top w:val="nil"/>
              <w:left w:val="nil"/>
              <w:bottom w:val="nil"/>
              <w:right w:val="nil"/>
            </w:tcBorders>
            <w:shd w:val="clear" w:color="000000" w:fill="FFFFFF"/>
            <w:noWrap/>
            <w:vAlign w:val="center"/>
          </w:tcPr>
          <w:p w14:paraId="61CF564E" w14:textId="12DFB551" w:rsidR="00F1044A" w:rsidRPr="00954D98" w:rsidRDefault="00FD364F">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5 1/4</w:t>
            </w:r>
          </w:p>
        </w:tc>
        <w:tc>
          <w:tcPr>
            <w:tcW w:w="585" w:type="pct"/>
            <w:tcBorders>
              <w:top w:val="nil"/>
              <w:left w:val="nil"/>
              <w:bottom w:val="nil"/>
              <w:right w:val="nil"/>
            </w:tcBorders>
            <w:shd w:val="clear" w:color="000000" w:fill="FFFFFF"/>
            <w:noWrap/>
            <w:vAlign w:val="center"/>
          </w:tcPr>
          <w:p w14:paraId="6A2ECDDE" w14:textId="2B3BA04C" w:rsidR="00F1044A" w:rsidRPr="00954D98" w:rsidRDefault="00FD364F">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3 1/4</w:t>
            </w:r>
          </w:p>
        </w:tc>
        <w:tc>
          <w:tcPr>
            <w:tcW w:w="585" w:type="pct"/>
            <w:tcBorders>
              <w:top w:val="nil"/>
              <w:left w:val="nil"/>
              <w:bottom w:val="nil"/>
              <w:right w:val="nil"/>
            </w:tcBorders>
            <w:shd w:val="clear" w:color="000000" w:fill="FFFFFF"/>
            <w:noWrap/>
            <w:vAlign w:val="center"/>
          </w:tcPr>
          <w:p w14:paraId="209CB9A8" w14:textId="29813C1B" w:rsidR="00F1044A" w:rsidRPr="00954D98" w:rsidRDefault="00FD364F">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4 3/4</w:t>
            </w:r>
          </w:p>
        </w:tc>
        <w:tc>
          <w:tcPr>
            <w:tcW w:w="587" w:type="pct"/>
            <w:tcBorders>
              <w:top w:val="nil"/>
              <w:left w:val="nil"/>
              <w:bottom w:val="nil"/>
              <w:right w:val="nil"/>
            </w:tcBorders>
            <w:shd w:val="clear" w:color="000000" w:fill="FFFFFF"/>
            <w:noWrap/>
            <w:vAlign w:val="center"/>
          </w:tcPr>
          <w:p w14:paraId="378B2D1C" w14:textId="5DEBAFFF" w:rsidR="00F1044A" w:rsidRPr="00954D98" w:rsidRDefault="00FD364F">
            <w:pPr>
              <w:spacing w:before="0" w:after="0" w:line="240" w:lineRule="auto"/>
              <w:jc w:val="right"/>
              <w:rPr>
                <w:rFonts w:asciiTheme="majorHAnsi" w:hAnsiTheme="majorHAnsi" w:cstheme="majorHAnsi"/>
                <w:sz w:val="16"/>
                <w:szCs w:val="16"/>
              </w:rPr>
            </w:pPr>
            <w:r w:rsidRPr="00954D98">
              <w:rPr>
                <w:rFonts w:asciiTheme="majorHAnsi" w:eastAsia="Calibri" w:hAnsiTheme="majorHAnsi" w:cstheme="majorHAnsi"/>
                <w:sz w:val="16"/>
                <w:szCs w:val="16"/>
              </w:rPr>
              <w:t>5 1/2</w:t>
            </w:r>
          </w:p>
        </w:tc>
      </w:tr>
      <w:tr w:rsidR="00F1044A" w:rsidRPr="00954D98" w14:paraId="6FC25DE7" w14:textId="77777777" w:rsidTr="00643477">
        <w:trPr>
          <w:trHeight w:hRule="exact" w:val="225"/>
        </w:trPr>
        <w:tc>
          <w:tcPr>
            <w:tcW w:w="2073" w:type="pct"/>
            <w:tcBorders>
              <w:top w:val="nil"/>
              <w:left w:val="nil"/>
              <w:bottom w:val="nil"/>
              <w:right w:val="nil"/>
            </w:tcBorders>
            <w:shd w:val="clear" w:color="000000" w:fill="FFFFFF"/>
            <w:noWrap/>
            <w:vAlign w:val="center"/>
            <w:hideMark/>
          </w:tcPr>
          <w:p w14:paraId="678BB580" w14:textId="53C0DB04" w:rsidR="00F1044A" w:rsidRPr="00954D98" w:rsidRDefault="00F1044A">
            <w:pPr>
              <w:spacing w:before="0" w:after="0" w:line="240" w:lineRule="auto"/>
              <w:ind w:left="340"/>
              <w:rPr>
                <w:rFonts w:ascii="Arial" w:hAnsi="Arial" w:cs="Arial"/>
                <w:color w:val="FFFF00"/>
                <w:sz w:val="16"/>
                <w:szCs w:val="16"/>
              </w:rPr>
            </w:pPr>
            <w:r w:rsidRPr="00954D98">
              <w:rPr>
                <w:rFonts w:ascii="Arial" w:hAnsi="Arial" w:cs="Arial"/>
                <w:sz w:val="16"/>
                <w:szCs w:val="16"/>
              </w:rPr>
              <w:t>Change since 202</w:t>
            </w:r>
            <w:r w:rsidR="00E71059" w:rsidRPr="00954D98">
              <w:rPr>
                <w:rFonts w:ascii="Arial" w:hAnsi="Arial" w:cs="Arial"/>
                <w:sz w:val="16"/>
                <w:szCs w:val="16"/>
              </w:rPr>
              <w:t>5</w:t>
            </w:r>
            <w:r w:rsidR="00DA22F6" w:rsidRPr="00954D98">
              <w:rPr>
                <w:rFonts w:ascii="Arial" w:hAnsi="Arial" w:cs="Arial"/>
                <w:sz w:val="16"/>
                <w:szCs w:val="16"/>
              </w:rPr>
              <w:t xml:space="preserve"> PEFO</w:t>
            </w:r>
          </w:p>
        </w:tc>
        <w:tc>
          <w:tcPr>
            <w:tcW w:w="585" w:type="pct"/>
            <w:tcBorders>
              <w:top w:val="nil"/>
              <w:left w:val="nil"/>
              <w:bottom w:val="nil"/>
              <w:right w:val="nil"/>
            </w:tcBorders>
            <w:shd w:val="clear" w:color="000000" w:fill="E6F2FF"/>
            <w:noWrap/>
            <w:vAlign w:val="bottom"/>
          </w:tcPr>
          <w:p w14:paraId="75BEE702" w14:textId="5F90FD2C"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center"/>
          </w:tcPr>
          <w:p w14:paraId="37B12D11" w14:textId="34E6E1A6" w:rsidR="00F1044A" w:rsidRPr="00954D98" w:rsidRDefault="004E1FA3">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2</w:t>
            </w:r>
          </w:p>
        </w:tc>
        <w:tc>
          <w:tcPr>
            <w:tcW w:w="585" w:type="pct"/>
            <w:tcBorders>
              <w:top w:val="nil"/>
              <w:left w:val="nil"/>
              <w:bottom w:val="nil"/>
              <w:right w:val="nil"/>
            </w:tcBorders>
            <w:shd w:val="clear" w:color="000000" w:fill="FFFFFF"/>
            <w:noWrap/>
            <w:vAlign w:val="center"/>
          </w:tcPr>
          <w:p w14:paraId="231AAA09" w14:textId="186B7A85" w:rsidR="00F1044A" w:rsidRPr="00954D98" w:rsidRDefault="004E1FA3">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-3/4</w:t>
            </w:r>
          </w:p>
        </w:tc>
        <w:tc>
          <w:tcPr>
            <w:tcW w:w="585" w:type="pct"/>
            <w:tcBorders>
              <w:top w:val="nil"/>
              <w:left w:val="nil"/>
              <w:bottom w:val="nil"/>
              <w:right w:val="nil"/>
            </w:tcBorders>
            <w:shd w:val="clear" w:color="000000" w:fill="FFFFFF"/>
            <w:noWrap/>
            <w:vAlign w:val="center"/>
          </w:tcPr>
          <w:p w14:paraId="50F9F256" w14:textId="6E47F24B" w:rsidR="00F1044A" w:rsidRPr="00954D98" w:rsidRDefault="004E1FA3">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-1/2</w:t>
            </w:r>
          </w:p>
        </w:tc>
        <w:tc>
          <w:tcPr>
            <w:tcW w:w="587" w:type="pct"/>
            <w:tcBorders>
              <w:top w:val="nil"/>
              <w:left w:val="nil"/>
              <w:bottom w:val="nil"/>
              <w:right w:val="nil"/>
            </w:tcBorders>
            <w:shd w:val="clear" w:color="000000" w:fill="FFFFFF"/>
            <w:noWrap/>
            <w:vAlign w:val="center"/>
          </w:tcPr>
          <w:p w14:paraId="1FD2A9A2" w14:textId="59270701" w:rsidR="00F1044A" w:rsidRPr="00954D98" w:rsidRDefault="004E1FA3">
            <w:pPr>
              <w:spacing w:before="0" w:after="0" w:line="240" w:lineRule="auto"/>
              <w:jc w:val="right"/>
              <w:rPr>
                <w:rFonts w:asciiTheme="majorHAnsi" w:hAnsiTheme="majorHAnsi" w:cstheme="majorHAnsi"/>
                <w:sz w:val="16"/>
                <w:szCs w:val="16"/>
              </w:rPr>
            </w:pPr>
            <w:r w:rsidRPr="00954D98">
              <w:rPr>
                <w:rFonts w:asciiTheme="majorHAnsi" w:eastAsia="Calibri" w:hAnsiTheme="majorHAnsi" w:cstheme="majorHAnsi"/>
                <w:sz w:val="16"/>
                <w:szCs w:val="16"/>
              </w:rPr>
              <w:t>0</w:t>
            </w:r>
          </w:p>
        </w:tc>
      </w:tr>
      <w:tr w:rsidR="00F1044A" w:rsidRPr="00954D98" w14:paraId="548958AA" w14:textId="77777777" w:rsidTr="00FD364F">
        <w:trPr>
          <w:trHeight w:hRule="exact" w:val="60"/>
        </w:trPr>
        <w:tc>
          <w:tcPr>
            <w:tcW w:w="2073" w:type="pct"/>
            <w:tcBorders>
              <w:top w:val="nil"/>
              <w:left w:val="nil"/>
              <w:bottom w:val="nil"/>
              <w:right w:val="nil"/>
            </w:tcBorders>
            <w:shd w:val="clear" w:color="000000" w:fill="FFFFFF"/>
            <w:noWrap/>
            <w:vAlign w:val="center"/>
            <w:hideMark/>
          </w:tcPr>
          <w:p w14:paraId="0E994DA6" w14:textId="77777777" w:rsidR="00F1044A" w:rsidRPr="00954D98" w:rsidRDefault="00F1044A">
            <w:pPr>
              <w:spacing w:before="0" w:after="0" w:line="240" w:lineRule="auto"/>
              <w:ind w:left="170"/>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E6F2FF"/>
            <w:noWrap/>
            <w:vAlign w:val="bottom"/>
          </w:tcPr>
          <w:p w14:paraId="2A448DFB" w14:textId="287CE78C"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bottom"/>
          </w:tcPr>
          <w:p w14:paraId="2307A443" w14:textId="365CCAF8" w:rsidR="00F1044A" w:rsidRPr="00954D98" w:rsidRDefault="00F1044A">
            <w:pPr>
              <w:spacing w:before="0" w:after="0" w:line="240" w:lineRule="auto"/>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bottom"/>
          </w:tcPr>
          <w:p w14:paraId="77355C27" w14:textId="54170537"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bottom"/>
          </w:tcPr>
          <w:p w14:paraId="551D3EC0" w14:textId="122FE5AD" w:rsidR="00F1044A" w:rsidRPr="00954D98" w:rsidRDefault="00F1044A">
            <w:pPr>
              <w:spacing w:before="0" w:after="0" w:line="240" w:lineRule="auto"/>
              <w:jc w:val="right"/>
              <w:rPr>
                <w:rFonts w:asciiTheme="majorHAnsi" w:hAnsiTheme="majorHAnsi" w:cstheme="majorHAnsi"/>
                <w:color w:val="FFFF00"/>
                <w:sz w:val="16"/>
                <w:szCs w:val="16"/>
              </w:rPr>
            </w:pPr>
          </w:p>
        </w:tc>
        <w:tc>
          <w:tcPr>
            <w:tcW w:w="587" w:type="pct"/>
            <w:tcBorders>
              <w:top w:val="nil"/>
              <w:left w:val="nil"/>
              <w:bottom w:val="nil"/>
              <w:right w:val="nil"/>
            </w:tcBorders>
            <w:shd w:val="clear" w:color="000000" w:fill="FFFFFF"/>
            <w:noWrap/>
            <w:vAlign w:val="bottom"/>
          </w:tcPr>
          <w:p w14:paraId="5DFD2BE2" w14:textId="528AD764" w:rsidR="00F1044A" w:rsidRPr="00954D98" w:rsidRDefault="00F1044A">
            <w:pPr>
              <w:spacing w:before="0" w:after="0" w:line="240" w:lineRule="auto"/>
              <w:jc w:val="right"/>
              <w:rPr>
                <w:rFonts w:asciiTheme="majorHAnsi" w:hAnsiTheme="majorHAnsi" w:cstheme="majorHAnsi"/>
                <w:sz w:val="16"/>
                <w:szCs w:val="16"/>
              </w:rPr>
            </w:pPr>
          </w:p>
        </w:tc>
      </w:tr>
      <w:tr w:rsidR="00F1044A" w:rsidRPr="00954D98" w14:paraId="7AF41746" w14:textId="77777777" w:rsidTr="00643477">
        <w:trPr>
          <w:trHeight w:hRule="exact" w:val="225"/>
        </w:trPr>
        <w:tc>
          <w:tcPr>
            <w:tcW w:w="2073" w:type="pct"/>
            <w:tcBorders>
              <w:top w:val="nil"/>
              <w:left w:val="nil"/>
              <w:bottom w:val="nil"/>
              <w:right w:val="nil"/>
            </w:tcBorders>
            <w:shd w:val="clear" w:color="000000" w:fill="FFFFFF"/>
            <w:noWrap/>
            <w:vAlign w:val="center"/>
            <w:hideMark/>
          </w:tcPr>
          <w:p w14:paraId="341B4A40" w14:textId="77777777" w:rsidR="00F1044A" w:rsidRPr="00954D98" w:rsidRDefault="00F1044A">
            <w:pPr>
              <w:spacing w:before="0" w:after="0" w:line="240" w:lineRule="auto"/>
              <w:ind w:left="170"/>
              <w:rPr>
                <w:rFonts w:ascii="Arial" w:hAnsi="Arial" w:cs="Arial"/>
                <w:color w:val="FFFF00"/>
                <w:sz w:val="16"/>
                <w:szCs w:val="16"/>
              </w:rPr>
            </w:pPr>
            <w:r w:rsidRPr="00954D98">
              <w:rPr>
                <w:rFonts w:ascii="Arial" w:hAnsi="Arial" w:cs="Arial"/>
                <w:sz w:val="16"/>
                <w:szCs w:val="16"/>
              </w:rPr>
              <w:t>Compensation of employees (b)</w:t>
            </w:r>
          </w:p>
        </w:tc>
        <w:tc>
          <w:tcPr>
            <w:tcW w:w="585" w:type="pct"/>
            <w:tcBorders>
              <w:top w:val="nil"/>
              <w:left w:val="nil"/>
              <w:bottom w:val="nil"/>
              <w:right w:val="nil"/>
            </w:tcBorders>
            <w:shd w:val="clear" w:color="000000" w:fill="E6F2FF"/>
            <w:noWrap/>
            <w:vAlign w:val="bottom"/>
          </w:tcPr>
          <w:p w14:paraId="15FC4096" w14:textId="2A0BC60F" w:rsidR="00F1044A" w:rsidRPr="00954D98" w:rsidRDefault="007C6F10">
            <w:pPr>
              <w:spacing w:before="0" w:after="0" w:line="240" w:lineRule="auto"/>
              <w:jc w:val="right"/>
              <w:rPr>
                <w:rFonts w:asciiTheme="majorHAnsi" w:hAnsiTheme="majorHAnsi" w:cstheme="majorHAnsi"/>
                <w:color w:val="FFFF00"/>
                <w:sz w:val="16"/>
                <w:szCs w:val="16"/>
              </w:rPr>
            </w:pPr>
            <w:r w:rsidRPr="00954D98">
              <w:rPr>
                <w:rFonts w:asciiTheme="majorHAnsi" w:hAnsiTheme="majorHAnsi" w:cstheme="majorHAnsi"/>
                <w:sz w:val="16"/>
                <w:szCs w:val="16"/>
              </w:rPr>
              <w:t>6.2</w:t>
            </w:r>
          </w:p>
        </w:tc>
        <w:tc>
          <w:tcPr>
            <w:tcW w:w="585" w:type="pct"/>
            <w:tcBorders>
              <w:top w:val="nil"/>
              <w:left w:val="nil"/>
              <w:bottom w:val="nil"/>
              <w:right w:val="nil"/>
            </w:tcBorders>
            <w:shd w:val="clear" w:color="000000" w:fill="FFFFFF"/>
            <w:noWrap/>
            <w:vAlign w:val="center"/>
          </w:tcPr>
          <w:p w14:paraId="09466AF9" w14:textId="15CA0E5B" w:rsidR="00F1044A" w:rsidRPr="00954D98" w:rsidRDefault="00AC2CA4">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5 3/4</w:t>
            </w:r>
          </w:p>
        </w:tc>
        <w:tc>
          <w:tcPr>
            <w:tcW w:w="585" w:type="pct"/>
            <w:tcBorders>
              <w:top w:val="nil"/>
              <w:left w:val="nil"/>
              <w:bottom w:val="nil"/>
              <w:right w:val="nil"/>
            </w:tcBorders>
            <w:shd w:val="clear" w:color="000000" w:fill="FFFFFF"/>
            <w:noWrap/>
            <w:vAlign w:val="center"/>
          </w:tcPr>
          <w:p w14:paraId="6D8299F0" w14:textId="03957C80" w:rsidR="00F1044A" w:rsidRPr="00954D98" w:rsidRDefault="00AC2CA4">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4 1/2</w:t>
            </w:r>
          </w:p>
        </w:tc>
        <w:tc>
          <w:tcPr>
            <w:tcW w:w="585" w:type="pct"/>
            <w:tcBorders>
              <w:top w:val="nil"/>
              <w:left w:val="nil"/>
              <w:bottom w:val="nil"/>
              <w:right w:val="nil"/>
            </w:tcBorders>
            <w:shd w:val="clear" w:color="000000" w:fill="FFFFFF"/>
            <w:noWrap/>
            <w:vAlign w:val="center"/>
          </w:tcPr>
          <w:p w14:paraId="465870F7" w14:textId="18D5D9E6" w:rsidR="00F1044A" w:rsidRPr="00954D98" w:rsidRDefault="00AC2CA4">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5</w:t>
            </w:r>
          </w:p>
        </w:tc>
        <w:tc>
          <w:tcPr>
            <w:tcW w:w="587" w:type="pct"/>
            <w:tcBorders>
              <w:top w:val="nil"/>
              <w:left w:val="nil"/>
              <w:bottom w:val="nil"/>
              <w:right w:val="nil"/>
            </w:tcBorders>
            <w:shd w:val="clear" w:color="000000" w:fill="FFFFFF"/>
            <w:noWrap/>
            <w:vAlign w:val="center"/>
          </w:tcPr>
          <w:p w14:paraId="49F29968" w14:textId="5F150426" w:rsidR="00F1044A" w:rsidRPr="00954D98" w:rsidRDefault="00AC2CA4">
            <w:pPr>
              <w:spacing w:before="0" w:after="0" w:line="240" w:lineRule="auto"/>
              <w:jc w:val="right"/>
              <w:rPr>
                <w:rFonts w:asciiTheme="majorHAnsi" w:hAnsiTheme="majorHAnsi" w:cstheme="majorHAnsi"/>
                <w:sz w:val="16"/>
                <w:szCs w:val="16"/>
              </w:rPr>
            </w:pPr>
            <w:r w:rsidRPr="00954D98">
              <w:rPr>
                <w:rFonts w:asciiTheme="majorHAnsi" w:eastAsia="Calibri" w:hAnsiTheme="majorHAnsi" w:cstheme="majorHAnsi"/>
                <w:sz w:val="16"/>
                <w:szCs w:val="16"/>
              </w:rPr>
              <w:t>5 1/2</w:t>
            </w:r>
          </w:p>
        </w:tc>
      </w:tr>
      <w:tr w:rsidR="00F1044A" w:rsidRPr="00954D98" w14:paraId="4723033B" w14:textId="77777777" w:rsidTr="00643477">
        <w:trPr>
          <w:trHeight w:hRule="exact" w:val="225"/>
        </w:trPr>
        <w:tc>
          <w:tcPr>
            <w:tcW w:w="2073" w:type="pct"/>
            <w:tcBorders>
              <w:top w:val="nil"/>
              <w:left w:val="nil"/>
              <w:bottom w:val="nil"/>
              <w:right w:val="nil"/>
            </w:tcBorders>
            <w:shd w:val="clear" w:color="000000" w:fill="FFFFFF"/>
            <w:noWrap/>
            <w:vAlign w:val="center"/>
            <w:hideMark/>
          </w:tcPr>
          <w:p w14:paraId="012DD93C" w14:textId="1266DE4E" w:rsidR="00F1044A" w:rsidRPr="00954D98" w:rsidRDefault="00F1044A">
            <w:pPr>
              <w:spacing w:before="0" w:after="0" w:line="240" w:lineRule="auto"/>
              <w:ind w:left="340"/>
              <w:rPr>
                <w:rFonts w:ascii="Arial" w:hAnsi="Arial" w:cs="Arial"/>
                <w:color w:val="FFFF00"/>
                <w:sz w:val="16"/>
                <w:szCs w:val="16"/>
              </w:rPr>
            </w:pPr>
            <w:r w:rsidRPr="00954D98">
              <w:rPr>
                <w:rFonts w:ascii="Arial" w:hAnsi="Arial" w:cs="Arial"/>
                <w:sz w:val="16"/>
                <w:szCs w:val="16"/>
              </w:rPr>
              <w:t>Change since 202</w:t>
            </w:r>
            <w:r w:rsidR="00E71059" w:rsidRPr="00954D98">
              <w:rPr>
                <w:rFonts w:ascii="Arial" w:hAnsi="Arial" w:cs="Arial"/>
                <w:sz w:val="16"/>
                <w:szCs w:val="16"/>
              </w:rPr>
              <w:t>5</w:t>
            </w:r>
            <w:r w:rsidR="00DA22F6" w:rsidRPr="00954D98">
              <w:rPr>
                <w:rFonts w:ascii="Arial" w:hAnsi="Arial" w:cs="Arial"/>
                <w:sz w:val="16"/>
                <w:szCs w:val="16"/>
              </w:rPr>
              <w:t xml:space="preserve"> PEFO</w:t>
            </w:r>
          </w:p>
        </w:tc>
        <w:tc>
          <w:tcPr>
            <w:tcW w:w="585" w:type="pct"/>
            <w:tcBorders>
              <w:top w:val="nil"/>
              <w:left w:val="nil"/>
              <w:bottom w:val="nil"/>
              <w:right w:val="nil"/>
            </w:tcBorders>
            <w:shd w:val="clear" w:color="000000" w:fill="E6F2FF"/>
            <w:noWrap/>
            <w:vAlign w:val="bottom"/>
          </w:tcPr>
          <w:p w14:paraId="56F38F90" w14:textId="003BE6FE"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center"/>
          </w:tcPr>
          <w:p w14:paraId="58D76D11" w14:textId="15196C1C" w:rsidR="00F1044A" w:rsidRPr="00954D98" w:rsidRDefault="006362E1">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1 1/4</w:t>
            </w:r>
          </w:p>
        </w:tc>
        <w:tc>
          <w:tcPr>
            <w:tcW w:w="585" w:type="pct"/>
            <w:tcBorders>
              <w:top w:val="nil"/>
              <w:left w:val="nil"/>
              <w:bottom w:val="nil"/>
              <w:right w:val="nil"/>
            </w:tcBorders>
            <w:shd w:val="clear" w:color="000000" w:fill="FFFFFF"/>
            <w:noWrap/>
            <w:vAlign w:val="center"/>
          </w:tcPr>
          <w:p w14:paraId="5B7FFDBD" w14:textId="0B551D3B" w:rsidR="00F1044A" w:rsidRPr="00954D98" w:rsidRDefault="006362E1">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1/4</w:t>
            </w:r>
          </w:p>
        </w:tc>
        <w:tc>
          <w:tcPr>
            <w:tcW w:w="585" w:type="pct"/>
            <w:tcBorders>
              <w:top w:val="nil"/>
              <w:left w:val="nil"/>
              <w:bottom w:val="nil"/>
              <w:right w:val="nil"/>
            </w:tcBorders>
            <w:shd w:val="clear" w:color="000000" w:fill="FFFFFF"/>
            <w:noWrap/>
            <w:vAlign w:val="center"/>
          </w:tcPr>
          <w:p w14:paraId="58363053" w14:textId="5B4F169B" w:rsidR="00F1044A" w:rsidRPr="00954D98" w:rsidRDefault="006362E1">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0</w:t>
            </w:r>
          </w:p>
        </w:tc>
        <w:tc>
          <w:tcPr>
            <w:tcW w:w="587" w:type="pct"/>
            <w:tcBorders>
              <w:top w:val="nil"/>
              <w:left w:val="nil"/>
              <w:bottom w:val="nil"/>
              <w:right w:val="nil"/>
            </w:tcBorders>
            <w:shd w:val="clear" w:color="000000" w:fill="FFFFFF"/>
            <w:noWrap/>
            <w:vAlign w:val="center"/>
          </w:tcPr>
          <w:p w14:paraId="31E8B2E0" w14:textId="04231EAA" w:rsidR="00F1044A" w:rsidRPr="00954D98" w:rsidRDefault="006362E1">
            <w:pPr>
              <w:spacing w:before="0" w:after="0" w:line="240" w:lineRule="auto"/>
              <w:jc w:val="right"/>
              <w:rPr>
                <w:rFonts w:asciiTheme="majorHAnsi" w:hAnsiTheme="majorHAnsi" w:cstheme="majorHAnsi"/>
                <w:sz w:val="16"/>
                <w:szCs w:val="16"/>
              </w:rPr>
            </w:pPr>
            <w:r w:rsidRPr="00954D98">
              <w:rPr>
                <w:rFonts w:asciiTheme="majorHAnsi" w:eastAsia="Calibri" w:hAnsiTheme="majorHAnsi" w:cstheme="majorHAnsi"/>
                <w:sz w:val="16"/>
                <w:szCs w:val="16"/>
              </w:rPr>
              <w:t>1/4</w:t>
            </w:r>
          </w:p>
        </w:tc>
      </w:tr>
      <w:tr w:rsidR="00F1044A" w:rsidRPr="00954D98" w14:paraId="0F2AC673" w14:textId="77777777" w:rsidTr="00FD364F">
        <w:trPr>
          <w:trHeight w:hRule="exact" w:val="60"/>
        </w:trPr>
        <w:tc>
          <w:tcPr>
            <w:tcW w:w="2073" w:type="pct"/>
            <w:tcBorders>
              <w:top w:val="nil"/>
              <w:left w:val="nil"/>
              <w:bottom w:val="nil"/>
              <w:right w:val="nil"/>
            </w:tcBorders>
            <w:shd w:val="clear" w:color="000000" w:fill="FFFFFF"/>
            <w:noWrap/>
            <w:vAlign w:val="center"/>
            <w:hideMark/>
          </w:tcPr>
          <w:p w14:paraId="253FCFB1" w14:textId="77777777" w:rsidR="00F1044A" w:rsidRPr="00954D98" w:rsidRDefault="00F1044A">
            <w:pPr>
              <w:spacing w:before="0" w:after="0" w:line="240" w:lineRule="auto"/>
              <w:ind w:left="170"/>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E6F2FF"/>
            <w:noWrap/>
            <w:vAlign w:val="bottom"/>
          </w:tcPr>
          <w:p w14:paraId="1C0F8A4D" w14:textId="0FADD437"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bottom"/>
          </w:tcPr>
          <w:p w14:paraId="1B396D03" w14:textId="1AB2F42F" w:rsidR="00F1044A" w:rsidRPr="00954D98" w:rsidRDefault="00F1044A">
            <w:pPr>
              <w:spacing w:before="0" w:after="0" w:line="240" w:lineRule="auto"/>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bottom"/>
          </w:tcPr>
          <w:p w14:paraId="0517D90C" w14:textId="5E4E7D5F"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bottom"/>
          </w:tcPr>
          <w:p w14:paraId="7EEE4360" w14:textId="042C9E9A" w:rsidR="00F1044A" w:rsidRPr="00954D98" w:rsidRDefault="00F1044A">
            <w:pPr>
              <w:spacing w:before="0" w:after="0" w:line="240" w:lineRule="auto"/>
              <w:jc w:val="right"/>
              <w:rPr>
                <w:rFonts w:asciiTheme="majorHAnsi" w:hAnsiTheme="majorHAnsi" w:cstheme="majorHAnsi"/>
                <w:color w:val="FFFF00"/>
                <w:sz w:val="16"/>
                <w:szCs w:val="16"/>
              </w:rPr>
            </w:pPr>
          </w:p>
        </w:tc>
        <w:tc>
          <w:tcPr>
            <w:tcW w:w="587" w:type="pct"/>
            <w:tcBorders>
              <w:top w:val="nil"/>
              <w:left w:val="nil"/>
              <w:bottom w:val="nil"/>
              <w:right w:val="nil"/>
            </w:tcBorders>
            <w:shd w:val="clear" w:color="000000" w:fill="FFFFFF"/>
            <w:noWrap/>
            <w:vAlign w:val="bottom"/>
          </w:tcPr>
          <w:p w14:paraId="159BA58D" w14:textId="3ECD1B70" w:rsidR="00F1044A" w:rsidRPr="00954D98" w:rsidRDefault="00F1044A">
            <w:pPr>
              <w:spacing w:before="0" w:after="0" w:line="240" w:lineRule="auto"/>
              <w:jc w:val="right"/>
              <w:rPr>
                <w:rFonts w:asciiTheme="majorHAnsi" w:hAnsiTheme="majorHAnsi" w:cstheme="majorHAnsi"/>
                <w:sz w:val="16"/>
                <w:szCs w:val="16"/>
              </w:rPr>
            </w:pPr>
          </w:p>
        </w:tc>
      </w:tr>
      <w:tr w:rsidR="00F1044A" w:rsidRPr="00954D98" w14:paraId="45323AB1" w14:textId="77777777" w:rsidTr="00643477">
        <w:trPr>
          <w:trHeight w:hRule="exact" w:val="225"/>
        </w:trPr>
        <w:tc>
          <w:tcPr>
            <w:tcW w:w="2073" w:type="pct"/>
            <w:tcBorders>
              <w:top w:val="nil"/>
              <w:left w:val="nil"/>
              <w:bottom w:val="nil"/>
              <w:right w:val="nil"/>
            </w:tcBorders>
            <w:shd w:val="clear" w:color="000000" w:fill="FFFFFF"/>
            <w:noWrap/>
            <w:vAlign w:val="center"/>
            <w:hideMark/>
          </w:tcPr>
          <w:p w14:paraId="770BF467" w14:textId="77777777" w:rsidR="00F1044A" w:rsidRPr="00954D98" w:rsidRDefault="00F1044A">
            <w:pPr>
              <w:spacing w:before="0" w:after="0" w:line="240" w:lineRule="auto"/>
              <w:ind w:left="170"/>
              <w:rPr>
                <w:rFonts w:ascii="Arial" w:hAnsi="Arial" w:cs="Arial"/>
                <w:color w:val="FFFF00"/>
                <w:sz w:val="16"/>
                <w:szCs w:val="16"/>
              </w:rPr>
            </w:pPr>
            <w:r w:rsidRPr="00954D98">
              <w:rPr>
                <w:rFonts w:ascii="Arial" w:hAnsi="Arial" w:cs="Arial"/>
                <w:sz w:val="16"/>
                <w:szCs w:val="16"/>
              </w:rPr>
              <w:t xml:space="preserve">Corporate gross operating surplus (c) </w:t>
            </w:r>
          </w:p>
        </w:tc>
        <w:tc>
          <w:tcPr>
            <w:tcW w:w="585" w:type="pct"/>
            <w:tcBorders>
              <w:top w:val="nil"/>
              <w:left w:val="nil"/>
              <w:bottom w:val="nil"/>
              <w:right w:val="nil"/>
            </w:tcBorders>
            <w:shd w:val="clear" w:color="000000" w:fill="E6F2FF"/>
            <w:noWrap/>
            <w:vAlign w:val="bottom"/>
          </w:tcPr>
          <w:p w14:paraId="20AC1053" w14:textId="445B1CF4" w:rsidR="00F1044A" w:rsidRPr="00954D98" w:rsidRDefault="007C6F10">
            <w:pPr>
              <w:spacing w:before="0" w:after="0" w:line="240" w:lineRule="auto"/>
              <w:jc w:val="right"/>
              <w:rPr>
                <w:rFonts w:asciiTheme="majorHAnsi" w:hAnsiTheme="majorHAnsi" w:cstheme="majorHAnsi"/>
                <w:color w:val="FFFF00"/>
                <w:sz w:val="16"/>
                <w:szCs w:val="16"/>
              </w:rPr>
            </w:pPr>
            <w:r w:rsidRPr="00954D98">
              <w:rPr>
                <w:rFonts w:asciiTheme="majorHAnsi" w:hAnsiTheme="majorHAnsi" w:cstheme="majorHAnsi"/>
                <w:sz w:val="16"/>
                <w:szCs w:val="16"/>
              </w:rPr>
              <w:t>-2.9</w:t>
            </w:r>
          </w:p>
        </w:tc>
        <w:tc>
          <w:tcPr>
            <w:tcW w:w="585" w:type="pct"/>
            <w:tcBorders>
              <w:top w:val="nil"/>
              <w:left w:val="nil"/>
              <w:bottom w:val="nil"/>
              <w:right w:val="nil"/>
            </w:tcBorders>
            <w:shd w:val="clear" w:color="000000" w:fill="FFFFFF"/>
            <w:noWrap/>
            <w:vAlign w:val="center"/>
          </w:tcPr>
          <w:p w14:paraId="03FB1234" w14:textId="1B20418E" w:rsidR="00F1044A" w:rsidRPr="00954D98" w:rsidRDefault="00403960">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4 1/4</w:t>
            </w:r>
          </w:p>
        </w:tc>
        <w:tc>
          <w:tcPr>
            <w:tcW w:w="585" w:type="pct"/>
            <w:tcBorders>
              <w:top w:val="nil"/>
              <w:left w:val="nil"/>
              <w:bottom w:val="nil"/>
              <w:right w:val="nil"/>
            </w:tcBorders>
            <w:shd w:val="clear" w:color="000000" w:fill="FFFFFF"/>
            <w:noWrap/>
            <w:vAlign w:val="center"/>
          </w:tcPr>
          <w:p w14:paraId="51F60465" w14:textId="3F7FAE3E" w:rsidR="00F1044A" w:rsidRPr="00954D98" w:rsidRDefault="00403960">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-1</w:t>
            </w:r>
          </w:p>
        </w:tc>
        <w:tc>
          <w:tcPr>
            <w:tcW w:w="585" w:type="pct"/>
            <w:tcBorders>
              <w:top w:val="nil"/>
              <w:left w:val="nil"/>
              <w:bottom w:val="nil"/>
              <w:right w:val="nil"/>
            </w:tcBorders>
            <w:shd w:val="clear" w:color="000000" w:fill="FFFFFF"/>
            <w:noWrap/>
            <w:vAlign w:val="center"/>
          </w:tcPr>
          <w:p w14:paraId="661376AC" w14:textId="204C4935" w:rsidR="00F1044A" w:rsidRPr="00954D98" w:rsidRDefault="00403960">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4</w:t>
            </w:r>
          </w:p>
        </w:tc>
        <w:tc>
          <w:tcPr>
            <w:tcW w:w="587" w:type="pct"/>
            <w:tcBorders>
              <w:top w:val="nil"/>
              <w:left w:val="nil"/>
              <w:bottom w:val="nil"/>
              <w:right w:val="nil"/>
            </w:tcBorders>
            <w:shd w:val="clear" w:color="000000" w:fill="FFFFFF"/>
            <w:noWrap/>
            <w:vAlign w:val="center"/>
          </w:tcPr>
          <w:p w14:paraId="13BC987A" w14:textId="29A13113" w:rsidR="00F1044A" w:rsidRPr="00954D98" w:rsidRDefault="00403960">
            <w:pPr>
              <w:spacing w:before="0" w:after="0" w:line="240" w:lineRule="auto"/>
              <w:jc w:val="right"/>
              <w:rPr>
                <w:rFonts w:asciiTheme="majorHAnsi" w:hAnsiTheme="majorHAnsi" w:cstheme="majorHAnsi"/>
                <w:sz w:val="16"/>
                <w:szCs w:val="16"/>
              </w:rPr>
            </w:pPr>
            <w:r w:rsidRPr="00954D98">
              <w:rPr>
                <w:rFonts w:asciiTheme="majorHAnsi" w:eastAsia="Calibri" w:hAnsiTheme="majorHAnsi" w:cstheme="majorHAnsi"/>
                <w:sz w:val="16"/>
                <w:szCs w:val="16"/>
              </w:rPr>
              <w:t>6 3/4</w:t>
            </w:r>
          </w:p>
        </w:tc>
      </w:tr>
      <w:tr w:rsidR="00F1044A" w:rsidRPr="00954D98" w14:paraId="10AC8612" w14:textId="77777777" w:rsidTr="00643477">
        <w:trPr>
          <w:trHeight w:hRule="exact" w:val="225"/>
        </w:trPr>
        <w:tc>
          <w:tcPr>
            <w:tcW w:w="2073" w:type="pct"/>
            <w:tcBorders>
              <w:top w:val="nil"/>
              <w:left w:val="nil"/>
              <w:bottom w:val="nil"/>
              <w:right w:val="nil"/>
            </w:tcBorders>
            <w:shd w:val="clear" w:color="000000" w:fill="FFFFFF"/>
            <w:noWrap/>
            <w:vAlign w:val="center"/>
            <w:hideMark/>
          </w:tcPr>
          <w:p w14:paraId="33025EE2" w14:textId="5141F43C" w:rsidR="00F1044A" w:rsidRPr="00954D98" w:rsidRDefault="00F1044A">
            <w:pPr>
              <w:spacing w:before="0" w:after="0" w:line="240" w:lineRule="auto"/>
              <w:ind w:left="340"/>
              <w:rPr>
                <w:rFonts w:ascii="Arial" w:hAnsi="Arial" w:cs="Arial"/>
                <w:color w:val="FFFF00"/>
                <w:sz w:val="16"/>
                <w:szCs w:val="16"/>
              </w:rPr>
            </w:pPr>
            <w:r w:rsidRPr="00954D98">
              <w:rPr>
                <w:rFonts w:ascii="Arial" w:hAnsi="Arial" w:cs="Arial"/>
                <w:sz w:val="16"/>
                <w:szCs w:val="16"/>
              </w:rPr>
              <w:t>Change since 202</w:t>
            </w:r>
            <w:r w:rsidR="00E71059" w:rsidRPr="00954D98">
              <w:rPr>
                <w:rFonts w:ascii="Arial" w:hAnsi="Arial" w:cs="Arial"/>
                <w:sz w:val="16"/>
                <w:szCs w:val="16"/>
              </w:rPr>
              <w:t>5</w:t>
            </w:r>
            <w:r w:rsidR="00DA22F6" w:rsidRPr="00954D98">
              <w:rPr>
                <w:rFonts w:ascii="Arial" w:hAnsi="Arial" w:cs="Arial"/>
                <w:sz w:val="16"/>
                <w:szCs w:val="16"/>
              </w:rPr>
              <w:t xml:space="preserve"> PEFO</w:t>
            </w:r>
          </w:p>
        </w:tc>
        <w:tc>
          <w:tcPr>
            <w:tcW w:w="585" w:type="pct"/>
            <w:tcBorders>
              <w:top w:val="nil"/>
              <w:left w:val="nil"/>
              <w:bottom w:val="nil"/>
              <w:right w:val="nil"/>
            </w:tcBorders>
            <w:shd w:val="clear" w:color="000000" w:fill="E6F2FF"/>
            <w:noWrap/>
            <w:vAlign w:val="bottom"/>
          </w:tcPr>
          <w:p w14:paraId="7CFEE1FC" w14:textId="7650D5B4"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center"/>
          </w:tcPr>
          <w:p w14:paraId="5930713D" w14:textId="14097F7A" w:rsidR="00F1044A" w:rsidRPr="00954D98" w:rsidRDefault="00D92B90">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5 1/2</w:t>
            </w:r>
          </w:p>
        </w:tc>
        <w:tc>
          <w:tcPr>
            <w:tcW w:w="585" w:type="pct"/>
            <w:tcBorders>
              <w:top w:val="nil"/>
              <w:left w:val="nil"/>
              <w:bottom w:val="nil"/>
              <w:right w:val="nil"/>
            </w:tcBorders>
            <w:shd w:val="clear" w:color="000000" w:fill="FFFFFF"/>
            <w:noWrap/>
            <w:vAlign w:val="center"/>
          </w:tcPr>
          <w:p w14:paraId="32751232" w14:textId="4B6C1701" w:rsidR="00F1044A" w:rsidRPr="00954D98" w:rsidRDefault="00D92B90">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-2 1/4</w:t>
            </w:r>
          </w:p>
        </w:tc>
        <w:tc>
          <w:tcPr>
            <w:tcW w:w="585" w:type="pct"/>
            <w:tcBorders>
              <w:top w:val="nil"/>
              <w:left w:val="nil"/>
              <w:bottom w:val="nil"/>
              <w:right w:val="nil"/>
            </w:tcBorders>
            <w:shd w:val="clear" w:color="000000" w:fill="FFFFFF"/>
            <w:noWrap/>
            <w:vAlign w:val="center"/>
          </w:tcPr>
          <w:p w14:paraId="5047C442" w14:textId="0CBB573C" w:rsidR="00F1044A" w:rsidRPr="00954D98" w:rsidRDefault="00D92B90">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-1 1/2</w:t>
            </w:r>
          </w:p>
        </w:tc>
        <w:tc>
          <w:tcPr>
            <w:tcW w:w="587" w:type="pct"/>
            <w:tcBorders>
              <w:top w:val="nil"/>
              <w:left w:val="nil"/>
              <w:bottom w:val="nil"/>
              <w:right w:val="nil"/>
            </w:tcBorders>
            <w:shd w:val="clear" w:color="000000" w:fill="FFFFFF"/>
            <w:noWrap/>
            <w:vAlign w:val="center"/>
          </w:tcPr>
          <w:p w14:paraId="6C40E560" w14:textId="0A0E526C" w:rsidR="00F1044A" w:rsidRPr="00954D98" w:rsidRDefault="00D92B90">
            <w:pPr>
              <w:spacing w:before="0" w:after="0" w:line="240" w:lineRule="auto"/>
              <w:jc w:val="right"/>
              <w:rPr>
                <w:rFonts w:asciiTheme="majorHAnsi" w:hAnsiTheme="majorHAnsi" w:cstheme="majorHAnsi"/>
                <w:sz w:val="16"/>
                <w:szCs w:val="16"/>
              </w:rPr>
            </w:pPr>
            <w:r w:rsidRPr="00954D98">
              <w:rPr>
                <w:rFonts w:asciiTheme="majorHAnsi" w:eastAsia="Calibri" w:hAnsiTheme="majorHAnsi" w:cstheme="majorHAnsi"/>
                <w:sz w:val="16"/>
                <w:szCs w:val="16"/>
              </w:rPr>
              <w:t>3/4</w:t>
            </w:r>
          </w:p>
        </w:tc>
      </w:tr>
      <w:tr w:rsidR="00F1044A" w:rsidRPr="00954D98" w14:paraId="63572E6D" w14:textId="77777777" w:rsidTr="00FD364F">
        <w:trPr>
          <w:trHeight w:hRule="exact" w:val="60"/>
        </w:trPr>
        <w:tc>
          <w:tcPr>
            <w:tcW w:w="2073" w:type="pct"/>
            <w:tcBorders>
              <w:top w:val="nil"/>
              <w:left w:val="nil"/>
              <w:bottom w:val="nil"/>
              <w:right w:val="nil"/>
            </w:tcBorders>
            <w:shd w:val="clear" w:color="000000" w:fill="FFFFFF"/>
            <w:noWrap/>
            <w:vAlign w:val="center"/>
            <w:hideMark/>
          </w:tcPr>
          <w:p w14:paraId="45A00D1F" w14:textId="77777777" w:rsidR="00F1044A" w:rsidRPr="00954D98" w:rsidRDefault="00F1044A">
            <w:pPr>
              <w:spacing w:before="0" w:after="0" w:line="240" w:lineRule="auto"/>
              <w:ind w:left="170"/>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E6F2FF"/>
            <w:noWrap/>
            <w:vAlign w:val="bottom"/>
          </w:tcPr>
          <w:p w14:paraId="28243B06" w14:textId="4E8D1246"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bottom"/>
          </w:tcPr>
          <w:p w14:paraId="10F92A14" w14:textId="1502DECD" w:rsidR="00F1044A" w:rsidRPr="00954D98" w:rsidRDefault="00F1044A">
            <w:pPr>
              <w:spacing w:before="0" w:after="0" w:line="240" w:lineRule="auto"/>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bottom"/>
          </w:tcPr>
          <w:p w14:paraId="41CFED06" w14:textId="2A2A1579"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bottom"/>
          </w:tcPr>
          <w:p w14:paraId="60C4DC04" w14:textId="2B8682DF" w:rsidR="00F1044A" w:rsidRPr="00954D98" w:rsidRDefault="00F1044A">
            <w:pPr>
              <w:spacing w:before="0" w:after="0" w:line="240" w:lineRule="auto"/>
              <w:jc w:val="right"/>
              <w:rPr>
                <w:rFonts w:asciiTheme="majorHAnsi" w:hAnsiTheme="majorHAnsi" w:cstheme="majorHAnsi"/>
                <w:color w:val="FFFF00"/>
                <w:sz w:val="16"/>
                <w:szCs w:val="16"/>
              </w:rPr>
            </w:pPr>
          </w:p>
        </w:tc>
        <w:tc>
          <w:tcPr>
            <w:tcW w:w="587" w:type="pct"/>
            <w:tcBorders>
              <w:top w:val="nil"/>
              <w:left w:val="nil"/>
              <w:bottom w:val="nil"/>
              <w:right w:val="nil"/>
            </w:tcBorders>
            <w:shd w:val="clear" w:color="000000" w:fill="FFFFFF"/>
            <w:noWrap/>
            <w:vAlign w:val="bottom"/>
          </w:tcPr>
          <w:p w14:paraId="7B396150" w14:textId="62577C87" w:rsidR="00F1044A" w:rsidRPr="00954D98" w:rsidRDefault="00F1044A">
            <w:pPr>
              <w:spacing w:before="0" w:after="0" w:line="240" w:lineRule="auto"/>
              <w:jc w:val="right"/>
              <w:rPr>
                <w:rFonts w:asciiTheme="majorHAnsi" w:hAnsiTheme="majorHAnsi" w:cstheme="majorHAnsi"/>
                <w:sz w:val="16"/>
                <w:szCs w:val="16"/>
              </w:rPr>
            </w:pPr>
          </w:p>
        </w:tc>
      </w:tr>
      <w:tr w:rsidR="00F1044A" w:rsidRPr="00954D98" w14:paraId="1BC7477E" w14:textId="77777777" w:rsidTr="00643477">
        <w:trPr>
          <w:trHeight w:hRule="exact" w:val="225"/>
        </w:trPr>
        <w:tc>
          <w:tcPr>
            <w:tcW w:w="2073" w:type="pct"/>
            <w:tcBorders>
              <w:top w:val="nil"/>
              <w:left w:val="nil"/>
              <w:bottom w:val="nil"/>
              <w:right w:val="nil"/>
            </w:tcBorders>
            <w:shd w:val="clear" w:color="000000" w:fill="FFFFFF"/>
            <w:noWrap/>
            <w:vAlign w:val="center"/>
            <w:hideMark/>
          </w:tcPr>
          <w:p w14:paraId="229CE8E3" w14:textId="77777777" w:rsidR="00F1044A" w:rsidRPr="00954D98" w:rsidRDefault="00F1044A">
            <w:pPr>
              <w:spacing w:before="0" w:after="0" w:line="240" w:lineRule="auto"/>
              <w:ind w:left="170"/>
              <w:rPr>
                <w:rFonts w:ascii="Arial" w:hAnsi="Arial" w:cs="Arial"/>
                <w:color w:val="FFFF00"/>
                <w:sz w:val="16"/>
                <w:szCs w:val="16"/>
              </w:rPr>
            </w:pPr>
            <w:r w:rsidRPr="00954D98">
              <w:rPr>
                <w:rFonts w:ascii="Arial" w:hAnsi="Arial" w:cs="Arial"/>
                <w:sz w:val="16"/>
                <w:szCs w:val="16"/>
              </w:rPr>
              <w:t>Non</w:t>
            </w:r>
            <w:r w:rsidRPr="00954D98">
              <w:rPr>
                <w:rFonts w:ascii="Arial" w:hAnsi="Arial" w:cs="Arial"/>
                <w:sz w:val="16"/>
                <w:szCs w:val="16"/>
              </w:rPr>
              <w:noBreakHyphen/>
              <w:t>farm gross mixed income</w:t>
            </w:r>
          </w:p>
        </w:tc>
        <w:tc>
          <w:tcPr>
            <w:tcW w:w="585" w:type="pct"/>
            <w:tcBorders>
              <w:top w:val="nil"/>
              <w:left w:val="nil"/>
              <w:bottom w:val="nil"/>
              <w:right w:val="nil"/>
            </w:tcBorders>
            <w:shd w:val="clear" w:color="000000" w:fill="E6F2FF"/>
            <w:noWrap/>
            <w:vAlign w:val="bottom"/>
          </w:tcPr>
          <w:p w14:paraId="789F0568" w14:textId="4FC34240" w:rsidR="00F1044A" w:rsidRPr="00954D98" w:rsidRDefault="007C6F10">
            <w:pPr>
              <w:spacing w:before="0" w:after="0" w:line="240" w:lineRule="auto"/>
              <w:jc w:val="right"/>
              <w:rPr>
                <w:rFonts w:asciiTheme="majorHAnsi" w:hAnsiTheme="majorHAnsi" w:cstheme="majorHAnsi"/>
                <w:color w:val="FFFF00"/>
                <w:sz w:val="16"/>
                <w:szCs w:val="16"/>
              </w:rPr>
            </w:pPr>
            <w:r w:rsidRPr="00954D98">
              <w:rPr>
                <w:rFonts w:asciiTheme="majorHAnsi" w:hAnsiTheme="majorHAnsi" w:cstheme="majorHAnsi"/>
                <w:sz w:val="16"/>
                <w:szCs w:val="16"/>
              </w:rPr>
              <w:t>0.9</w:t>
            </w:r>
          </w:p>
        </w:tc>
        <w:tc>
          <w:tcPr>
            <w:tcW w:w="585" w:type="pct"/>
            <w:tcBorders>
              <w:top w:val="nil"/>
              <w:left w:val="nil"/>
              <w:bottom w:val="nil"/>
              <w:right w:val="nil"/>
            </w:tcBorders>
            <w:shd w:val="clear" w:color="000000" w:fill="FFFFFF"/>
            <w:noWrap/>
            <w:vAlign w:val="center"/>
          </w:tcPr>
          <w:p w14:paraId="079F68C9" w14:textId="26A192A8" w:rsidR="00F1044A" w:rsidRPr="00954D98" w:rsidRDefault="005E1612">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5 1/2</w:t>
            </w:r>
          </w:p>
        </w:tc>
        <w:tc>
          <w:tcPr>
            <w:tcW w:w="585" w:type="pct"/>
            <w:tcBorders>
              <w:top w:val="nil"/>
              <w:left w:val="nil"/>
              <w:bottom w:val="nil"/>
              <w:right w:val="nil"/>
            </w:tcBorders>
            <w:shd w:val="clear" w:color="000000" w:fill="FFFFFF"/>
            <w:noWrap/>
            <w:vAlign w:val="center"/>
          </w:tcPr>
          <w:p w14:paraId="0983A032" w14:textId="1F83F9F2" w:rsidR="00F1044A" w:rsidRPr="00954D98" w:rsidRDefault="005E1612">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6 3/4</w:t>
            </w:r>
          </w:p>
        </w:tc>
        <w:tc>
          <w:tcPr>
            <w:tcW w:w="585" w:type="pct"/>
            <w:tcBorders>
              <w:top w:val="nil"/>
              <w:left w:val="nil"/>
              <w:bottom w:val="nil"/>
              <w:right w:val="nil"/>
            </w:tcBorders>
            <w:shd w:val="clear" w:color="000000" w:fill="FFFFFF"/>
            <w:noWrap/>
            <w:vAlign w:val="center"/>
          </w:tcPr>
          <w:p w14:paraId="19A541FC" w14:textId="25187442" w:rsidR="00F1044A" w:rsidRPr="00954D98" w:rsidRDefault="005E1612">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6 1/2</w:t>
            </w:r>
          </w:p>
        </w:tc>
        <w:tc>
          <w:tcPr>
            <w:tcW w:w="587" w:type="pct"/>
            <w:tcBorders>
              <w:top w:val="nil"/>
              <w:left w:val="nil"/>
              <w:bottom w:val="nil"/>
              <w:right w:val="nil"/>
            </w:tcBorders>
            <w:shd w:val="clear" w:color="000000" w:fill="FFFFFF"/>
            <w:noWrap/>
            <w:vAlign w:val="center"/>
          </w:tcPr>
          <w:p w14:paraId="73E10D47" w14:textId="3630DC6C" w:rsidR="00F1044A" w:rsidRPr="00954D98" w:rsidRDefault="005E1612">
            <w:pPr>
              <w:spacing w:before="0" w:after="0" w:line="240" w:lineRule="auto"/>
              <w:jc w:val="right"/>
              <w:rPr>
                <w:rFonts w:asciiTheme="majorHAnsi" w:hAnsiTheme="majorHAnsi" w:cstheme="majorHAnsi"/>
                <w:sz w:val="16"/>
                <w:szCs w:val="16"/>
              </w:rPr>
            </w:pPr>
            <w:r w:rsidRPr="00954D98">
              <w:rPr>
                <w:rFonts w:asciiTheme="majorHAnsi" w:eastAsia="Calibri" w:hAnsiTheme="majorHAnsi" w:cstheme="majorHAnsi"/>
                <w:sz w:val="16"/>
                <w:szCs w:val="16"/>
              </w:rPr>
              <w:t>6 3/4</w:t>
            </w:r>
          </w:p>
        </w:tc>
      </w:tr>
      <w:tr w:rsidR="00F1044A" w:rsidRPr="00954D98" w14:paraId="56EAA264" w14:textId="77777777" w:rsidTr="00643477">
        <w:trPr>
          <w:trHeight w:hRule="exact" w:val="225"/>
        </w:trPr>
        <w:tc>
          <w:tcPr>
            <w:tcW w:w="2073" w:type="pct"/>
            <w:tcBorders>
              <w:top w:val="nil"/>
              <w:left w:val="nil"/>
              <w:bottom w:val="nil"/>
              <w:right w:val="nil"/>
            </w:tcBorders>
            <w:shd w:val="clear" w:color="000000" w:fill="FFFFFF"/>
            <w:noWrap/>
            <w:vAlign w:val="center"/>
            <w:hideMark/>
          </w:tcPr>
          <w:p w14:paraId="470E796D" w14:textId="14627191" w:rsidR="00F1044A" w:rsidRPr="00954D98" w:rsidRDefault="00F1044A">
            <w:pPr>
              <w:spacing w:before="0" w:after="0" w:line="240" w:lineRule="auto"/>
              <w:ind w:left="340"/>
              <w:rPr>
                <w:rFonts w:ascii="Arial" w:hAnsi="Arial" w:cs="Arial"/>
                <w:color w:val="FFFF00"/>
                <w:sz w:val="16"/>
                <w:szCs w:val="16"/>
              </w:rPr>
            </w:pPr>
            <w:r w:rsidRPr="00954D98">
              <w:rPr>
                <w:rFonts w:ascii="Arial" w:hAnsi="Arial" w:cs="Arial"/>
                <w:sz w:val="16"/>
                <w:szCs w:val="16"/>
              </w:rPr>
              <w:t>Change since 202</w:t>
            </w:r>
            <w:r w:rsidR="00E71059" w:rsidRPr="00954D98">
              <w:rPr>
                <w:rFonts w:ascii="Arial" w:hAnsi="Arial" w:cs="Arial"/>
                <w:sz w:val="16"/>
                <w:szCs w:val="16"/>
              </w:rPr>
              <w:t>5</w:t>
            </w:r>
            <w:r w:rsidR="00DA22F6" w:rsidRPr="00954D98">
              <w:rPr>
                <w:rFonts w:ascii="Arial" w:hAnsi="Arial" w:cs="Arial"/>
                <w:sz w:val="16"/>
                <w:szCs w:val="16"/>
              </w:rPr>
              <w:t xml:space="preserve"> PEFO</w:t>
            </w:r>
          </w:p>
        </w:tc>
        <w:tc>
          <w:tcPr>
            <w:tcW w:w="585" w:type="pct"/>
            <w:tcBorders>
              <w:top w:val="nil"/>
              <w:left w:val="nil"/>
              <w:bottom w:val="nil"/>
              <w:right w:val="nil"/>
            </w:tcBorders>
            <w:shd w:val="clear" w:color="000000" w:fill="E6F2FF"/>
            <w:noWrap/>
            <w:vAlign w:val="bottom"/>
          </w:tcPr>
          <w:p w14:paraId="11551D79" w14:textId="26A96789"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center"/>
          </w:tcPr>
          <w:p w14:paraId="09585A64" w14:textId="3C2F9FB3" w:rsidR="00F1044A" w:rsidRPr="00954D98" w:rsidRDefault="00FA5998">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-2 3/4</w:t>
            </w:r>
          </w:p>
        </w:tc>
        <w:tc>
          <w:tcPr>
            <w:tcW w:w="585" w:type="pct"/>
            <w:tcBorders>
              <w:top w:val="nil"/>
              <w:left w:val="nil"/>
              <w:bottom w:val="nil"/>
              <w:right w:val="nil"/>
            </w:tcBorders>
            <w:shd w:val="clear" w:color="000000" w:fill="FFFFFF"/>
            <w:noWrap/>
            <w:vAlign w:val="center"/>
          </w:tcPr>
          <w:p w14:paraId="1D9060FB" w14:textId="0A0E751D" w:rsidR="00F1044A" w:rsidRPr="00954D98" w:rsidRDefault="00FA5998">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-1/2</w:t>
            </w:r>
          </w:p>
        </w:tc>
        <w:tc>
          <w:tcPr>
            <w:tcW w:w="585" w:type="pct"/>
            <w:tcBorders>
              <w:top w:val="nil"/>
              <w:left w:val="nil"/>
              <w:bottom w:val="nil"/>
              <w:right w:val="nil"/>
            </w:tcBorders>
            <w:shd w:val="clear" w:color="000000" w:fill="FFFFFF"/>
            <w:noWrap/>
            <w:vAlign w:val="center"/>
          </w:tcPr>
          <w:p w14:paraId="46E54EEE" w14:textId="67AFA044" w:rsidR="00F1044A" w:rsidRPr="00954D98" w:rsidRDefault="00FA5998">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-3/4</w:t>
            </w:r>
          </w:p>
        </w:tc>
        <w:tc>
          <w:tcPr>
            <w:tcW w:w="587" w:type="pct"/>
            <w:tcBorders>
              <w:top w:val="nil"/>
              <w:left w:val="nil"/>
              <w:bottom w:val="nil"/>
              <w:right w:val="nil"/>
            </w:tcBorders>
            <w:shd w:val="clear" w:color="000000" w:fill="FFFFFF"/>
            <w:noWrap/>
            <w:vAlign w:val="center"/>
          </w:tcPr>
          <w:p w14:paraId="6611E0D1" w14:textId="57A43C86" w:rsidR="00F1044A" w:rsidRPr="00954D98" w:rsidRDefault="00FA5998">
            <w:pPr>
              <w:spacing w:before="0" w:after="0" w:line="240" w:lineRule="auto"/>
              <w:jc w:val="right"/>
              <w:rPr>
                <w:rFonts w:asciiTheme="majorHAnsi" w:hAnsiTheme="majorHAnsi" w:cstheme="majorHAnsi"/>
                <w:sz w:val="16"/>
                <w:szCs w:val="16"/>
              </w:rPr>
            </w:pPr>
            <w:r w:rsidRPr="00954D98">
              <w:rPr>
                <w:rFonts w:asciiTheme="majorHAnsi" w:eastAsia="Calibri" w:hAnsiTheme="majorHAnsi" w:cstheme="majorHAnsi"/>
                <w:sz w:val="16"/>
                <w:szCs w:val="16"/>
              </w:rPr>
              <w:t>1/4</w:t>
            </w:r>
          </w:p>
        </w:tc>
      </w:tr>
      <w:tr w:rsidR="00F1044A" w:rsidRPr="00954D98" w14:paraId="269DAC1A" w14:textId="77777777" w:rsidTr="00FD364F">
        <w:trPr>
          <w:trHeight w:hRule="exact" w:val="60"/>
        </w:trPr>
        <w:tc>
          <w:tcPr>
            <w:tcW w:w="2073" w:type="pct"/>
            <w:tcBorders>
              <w:top w:val="nil"/>
              <w:left w:val="nil"/>
              <w:bottom w:val="nil"/>
              <w:right w:val="nil"/>
            </w:tcBorders>
            <w:shd w:val="clear" w:color="000000" w:fill="FFFFFF"/>
            <w:noWrap/>
            <w:vAlign w:val="center"/>
            <w:hideMark/>
          </w:tcPr>
          <w:p w14:paraId="0264C8D3" w14:textId="77777777" w:rsidR="00F1044A" w:rsidRPr="00954D98" w:rsidRDefault="00F1044A">
            <w:pPr>
              <w:spacing w:before="0" w:after="0" w:line="240" w:lineRule="auto"/>
              <w:ind w:left="170"/>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E6F2FF"/>
            <w:noWrap/>
            <w:vAlign w:val="bottom"/>
          </w:tcPr>
          <w:p w14:paraId="6F78E8BE" w14:textId="0DDA777A"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bottom"/>
          </w:tcPr>
          <w:p w14:paraId="0C85B3AB" w14:textId="11263633" w:rsidR="00F1044A" w:rsidRPr="00954D98" w:rsidRDefault="00F1044A">
            <w:pPr>
              <w:spacing w:before="0" w:after="0" w:line="240" w:lineRule="auto"/>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bottom"/>
          </w:tcPr>
          <w:p w14:paraId="004A6E3B" w14:textId="01FA02D2"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bottom"/>
          </w:tcPr>
          <w:p w14:paraId="42738F5F" w14:textId="6F4ADFEB" w:rsidR="00F1044A" w:rsidRPr="00954D98" w:rsidRDefault="00F1044A">
            <w:pPr>
              <w:spacing w:before="0" w:after="0" w:line="240" w:lineRule="auto"/>
              <w:jc w:val="right"/>
              <w:rPr>
                <w:rFonts w:asciiTheme="majorHAnsi" w:hAnsiTheme="majorHAnsi" w:cstheme="majorHAnsi"/>
                <w:color w:val="FFFF00"/>
                <w:sz w:val="16"/>
                <w:szCs w:val="16"/>
              </w:rPr>
            </w:pPr>
          </w:p>
        </w:tc>
        <w:tc>
          <w:tcPr>
            <w:tcW w:w="587" w:type="pct"/>
            <w:tcBorders>
              <w:top w:val="nil"/>
              <w:left w:val="nil"/>
              <w:bottom w:val="nil"/>
              <w:right w:val="nil"/>
            </w:tcBorders>
            <w:shd w:val="clear" w:color="000000" w:fill="FFFFFF"/>
            <w:noWrap/>
            <w:vAlign w:val="bottom"/>
          </w:tcPr>
          <w:p w14:paraId="6650035B" w14:textId="267D2BF7" w:rsidR="00F1044A" w:rsidRPr="00954D98" w:rsidRDefault="00F1044A">
            <w:pPr>
              <w:spacing w:before="0" w:after="0" w:line="240" w:lineRule="auto"/>
              <w:jc w:val="right"/>
              <w:rPr>
                <w:rFonts w:asciiTheme="majorHAnsi" w:hAnsiTheme="majorHAnsi" w:cstheme="majorHAnsi"/>
                <w:sz w:val="16"/>
                <w:szCs w:val="16"/>
              </w:rPr>
            </w:pPr>
          </w:p>
        </w:tc>
      </w:tr>
      <w:tr w:rsidR="00F1044A" w:rsidRPr="00954D98" w14:paraId="2694C7A4" w14:textId="77777777" w:rsidTr="00643477">
        <w:trPr>
          <w:trHeight w:hRule="exact" w:val="225"/>
        </w:trPr>
        <w:tc>
          <w:tcPr>
            <w:tcW w:w="2073" w:type="pct"/>
            <w:tcBorders>
              <w:top w:val="nil"/>
              <w:left w:val="nil"/>
              <w:bottom w:val="nil"/>
              <w:right w:val="nil"/>
            </w:tcBorders>
            <w:shd w:val="clear" w:color="000000" w:fill="FFFFFF"/>
            <w:noWrap/>
            <w:vAlign w:val="center"/>
            <w:hideMark/>
          </w:tcPr>
          <w:p w14:paraId="09E02675" w14:textId="77777777" w:rsidR="00F1044A" w:rsidRPr="00954D98" w:rsidRDefault="00F1044A">
            <w:pPr>
              <w:spacing w:before="0" w:after="0" w:line="240" w:lineRule="auto"/>
              <w:ind w:left="170"/>
              <w:rPr>
                <w:rFonts w:ascii="Arial" w:hAnsi="Arial" w:cs="Arial"/>
                <w:color w:val="FFFF00"/>
                <w:sz w:val="16"/>
                <w:szCs w:val="16"/>
              </w:rPr>
            </w:pPr>
            <w:r w:rsidRPr="00954D98">
              <w:rPr>
                <w:rFonts w:ascii="Arial" w:hAnsi="Arial" w:cs="Arial"/>
                <w:sz w:val="16"/>
                <w:szCs w:val="16"/>
              </w:rPr>
              <w:t>Property income (d)</w:t>
            </w:r>
          </w:p>
        </w:tc>
        <w:tc>
          <w:tcPr>
            <w:tcW w:w="585" w:type="pct"/>
            <w:tcBorders>
              <w:top w:val="nil"/>
              <w:left w:val="nil"/>
              <w:bottom w:val="nil"/>
              <w:right w:val="nil"/>
            </w:tcBorders>
            <w:shd w:val="clear" w:color="000000" w:fill="E6F2FF"/>
            <w:noWrap/>
            <w:vAlign w:val="bottom"/>
          </w:tcPr>
          <w:p w14:paraId="77301524" w14:textId="7F243F82" w:rsidR="00F1044A" w:rsidRPr="00954D98" w:rsidRDefault="007C6F10">
            <w:pPr>
              <w:spacing w:before="0" w:after="0" w:line="240" w:lineRule="auto"/>
              <w:jc w:val="right"/>
              <w:rPr>
                <w:rFonts w:asciiTheme="majorHAnsi" w:hAnsiTheme="majorHAnsi" w:cstheme="majorHAnsi"/>
                <w:color w:val="FFFF00"/>
                <w:sz w:val="16"/>
                <w:szCs w:val="16"/>
              </w:rPr>
            </w:pPr>
            <w:r w:rsidRPr="00954D98">
              <w:rPr>
                <w:rFonts w:asciiTheme="majorHAnsi" w:hAnsiTheme="majorHAnsi" w:cstheme="majorHAnsi"/>
                <w:sz w:val="16"/>
                <w:szCs w:val="16"/>
              </w:rPr>
              <w:t>8.4</w:t>
            </w:r>
          </w:p>
        </w:tc>
        <w:tc>
          <w:tcPr>
            <w:tcW w:w="585" w:type="pct"/>
            <w:tcBorders>
              <w:top w:val="nil"/>
              <w:left w:val="nil"/>
              <w:bottom w:val="nil"/>
              <w:right w:val="nil"/>
            </w:tcBorders>
            <w:shd w:val="clear" w:color="000000" w:fill="FFFFFF"/>
            <w:noWrap/>
            <w:vAlign w:val="center"/>
          </w:tcPr>
          <w:p w14:paraId="0AA80097" w14:textId="6D2B23DD" w:rsidR="00F1044A" w:rsidRPr="00954D98" w:rsidRDefault="00D44FE6">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2 3/4</w:t>
            </w:r>
          </w:p>
        </w:tc>
        <w:tc>
          <w:tcPr>
            <w:tcW w:w="585" w:type="pct"/>
            <w:tcBorders>
              <w:top w:val="nil"/>
              <w:left w:val="nil"/>
              <w:bottom w:val="nil"/>
              <w:right w:val="nil"/>
            </w:tcBorders>
            <w:shd w:val="clear" w:color="000000" w:fill="FFFFFF"/>
            <w:noWrap/>
            <w:vAlign w:val="center"/>
          </w:tcPr>
          <w:p w14:paraId="6A2B53BB" w14:textId="2B0BBC9D" w:rsidR="00F1044A" w:rsidRPr="00954D98" w:rsidRDefault="00D44FE6">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5</w:t>
            </w:r>
          </w:p>
        </w:tc>
        <w:tc>
          <w:tcPr>
            <w:tcW w:w="585" w:type="pct"/>
            <w:tcBorders>
              <w:top w:val="nil"/>
              <w:left w:val="nil"/>
              <w:bottom w:val="nil"/>
              <w:right w:val="nil"/>
            </w:tcBorders>
            <w:shd w:val="clear" w:color="000000" w:fill="FFFFFF"/>
            <w:noWrap/>
            <w:vAlign w:val="center"/>
          </w:tcPr>
          <w:p w14:paraId="1B381397" w14:textId="7C4F9917" w:rsidR="00F1044A" w:rsidRPr="00954D98" w:rsidRDefault="00D44FE6">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5 3/4</w:t>
            </w:r>
          </w:p>
        </w:tc>
        <w:tc>
          <w:tcPr>
            <w:tcW w:w="587" w:type="pct"/>
            <w:tcBorders>
              <w:top w:val="nil"/>
              <w:left w:val="nil"/>
              <w:bottom w:val="nil"/>
              <w:right w:val="nil"/>
            </w:tcBorders>
            <w:shd w:val="clear" w:color="000000" w:fill="FFFFFF"/>
            <w:noWrap/>
            <w:vAlign w:val="center"/>
          </w:tcPr>
          <w:p w14:paraId="5154357C" w14:textId="14B10131" w:rsidR="00F1044A" w:rsidRPr="00954D98" w:rsidRDefault="00D44FE6">
            <w:pPr>
              <w:spacing w:before="0" w:after="0" w:line="240" w:lineRule="auto"/>
              <w:jc w:val="right"/>
              <w:rPr>
                <w:rFonts w:asciiTheme="majorHAnsi" w:hAnsiTheme="majorHAnsi" w:cstheme="majorHAnsi"/>
                <w:sz w:val="16"/>
                <w:szCs w:val="16"/>
              </w:rPr>
            </w:pPr>
            <w:r w:rsidRPr="00954D98">
              <w:rPr>
                <w:rFonts w:asciiTheme="majorHAnsi" w:eastAsia="Calibri" w:hAnsiTheme="majorHAnsi" w:cstheme="majorHAnsi"/>
                <w:sz w:val="16"/>
                <w:szCs w:val="16"/>
              </w:rPr>
              <w:t>6</w:t>
            </w:r>
          </w:p>
        </w:tc>
      </w:tr>
      <w:tr w:rsidR="00F1044A" w:rsidRPr="00954D98" w14:paraId="2552C8A7" w14:textId="77777777" w:rsidTr="00643477">
        <w:trPr>
          <w:trHeight w:hRule="exact" w:val="225"/>
        </w:trPr>
        <w:tc>
          <w:tcPr>
            <w:tcW w:w="2073" w:type="pct"/>
            <w:tcBorders>
              <w:top w:val="nil"/>
              <w:left w:val="nil"/>
              <w:bottom w:val="nil"/>
              <w:right w:val="nil"/>
            </w:tcBorders>
            <w:shd w:val="clear" w:color="000000" w:fill="FFFFFF"/>
            <w:noWrap/>
            <w:vAlign w:val="center"/>
            <w:hideMark/>
          </w:tcPr>
          <w:p w14:paraId="34BBA024" w14:textId="4B5D9B95" w:rsidR="00F1044A" w:rsidRPr="00954D98" w:rsidRDefault="00F1044A">
            <w:pPr>
              <w:spacing w:before="0" w:after="0" w:line="240" w:lineRule="auto"/>
              <w:ind w:left="340"/>
              <w:rPr>
                <w:rFonts w:ascii="Arial" w:hAnsi="Arial" w:cs="Arial"/>
                <w:color w:val="FFFF00"/>
                <w:sz w:val="16"/>
                <w:szCs w:val="16"/>
              </w:rPr>
            </w:pPr>
            <w:r w:rsidRPr="00954D98">
              <w:rPr>
                <w:rFonts w:ascii="Arial" w:hAnsi="Arial" w:cs="Arial"/>
                <w:sz w:val="16"/>
                <w:szCs w:val="16"/>
              </w:rPr>
              <w:t>Change since 202</w:t>
            </w:r>
            <w:r w:rsidR="00E71059" w:rsidRPr="00954D98">
              <w:rPr>
                <w:rFonts w:ascii="Arial" w:hAnsi="Arial" w:cs="Arial"/>
                <w:sz w:val="16"/>
                <w:szCs w:val="16"/>
              </w:rPr>
              <w:t>5</w:t>
            </w:r>
            <w:r w:rsidR="00DA22F6" w:rsidRPr="00954D98">
              <w:rPr>
                <w:rFonts w:ascii="Arial" w:hAnsi="Arial" w:cs="Arial"/>
                <w:sz w:val="16"/>
                <w:szCs w:val="16"/>
              </w:rPr>
              <w:t xml:space="preserve"> PEFO</w:t>
            </w:r>
          </w:p>
        </w:tc>
        <w:tc>
          <w:tcPr>
            <w:tcW w:w="585" w:type="pct"/>
            <w:tcBorders>
              <w:top w:val="nil"/>
              <w:left w:val="nil"/>
              <w:bottom w:val="nil"/>
              <w:right w:val="nil"/>
            </w:tcBorders>
            <w:shd w:val="clear" w:color="000000" w:fill="E6F2FF"/>
            <w:noWrap/>
            <w:vAlign w:val="bottom"/>
          </w:tcPr>
          <w:p w14:paraId="1CFB5C72" w14:textId="3672645B"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center"/>
          </w:tcPr>
          <w:p w14:paraId="7216534F" w14:textId="52D64C69" w:rsidR="00F1044A" w:rsidRPr="00954D98" w:rsidRDefault="000A3F72">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1/2</w:t>
            </w:r>
          </w:p>
        </w:tc>
        <w:tc>
          <w:tcPr>
            <w:tcW w:w="585" w:type="pct"/>
            <w:tcBorders>
              <w:top w:val="nil"/>
              <w:left w:val="nil"/>
              <w:bottom w:val="nil"/>
              <w:right w:val="nil"/>
            </w:tcBorders>
            <w:shd w:val="clear" w:color="000000" w:fill="FFFFFF"/>
            <w:noWrap/>
            <w:vAlign w:val="center"/>
          </w:tcPr>
          <w:p w14:paraId="5D86EBFE" w14:textId="023E410C" w:rsidR="00F1044A" w:rsidRPr="00954D98" w:rsidRDefault="000A3F72">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1</w:t>
            </w:r>
          </w:p>
        </w:tc>
        <w:tc>
          <w:tcPr>
            <w:tcW w:w="585" w:type="pct"/>
            <w:tcBorders>
              <w:top w:val="nil"/>
              <w:left w:val="nil"/>
              <w:bottom w:val="nil"/>
              <w:right w:val="nil"/>
            </w:tcBorders>
            <w:shd w:val="clear" w:color="000000" w:fill="FFFFFF"/>
            <w:noWrap/>
            <w:vAlign w:val="center"/>
          </w:tcPr>
          <w:p w14:paraId="1C185780" w14:textId="2952283A" w:rsidR="00F1044A" w:rsidRPr="00954D98" w:rsidRDefault="000A3F72">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3/4</w:t>
            </w:r>
          </w:p>
        </w:tc>
        <w:tc>
          <w:tcPr>
            <w:tcW w:w="587" w:type="pct"/>
            <w:tcBorders>
              <w:top w:val="nil"/>
              <w:left w:val="nil"/>
              <w:bottom w:val="nil"/>
              <w:right w:val="nil"/>
            </w:tcBorders>
            <w:shd w:val="clear" w:color="000000" w:fill="FFFFFF"/>
            <w:noWrap/>
            <w:vAlign w:val="center"/>
          </w:tcPr>
          <w:p w14:paraId="6CE19660" w14:textId="4FDDFBC2" w:rsidR="00F1044A" w:rsidRPr="00954D98" w:rsidRDefault="000A3F72">
            <w:pPr>
              <w:spacing w:before="0" w:after="0" w:line="240" w:lineRule="auto"/>
              <w:jc w:val="right"/>
              <w:rPr>
                <w:rFonts w:asciiTheme="majorHAnsi" w:hAnsiTheme="majorHAnsi" w:cstheme="majorHAnsi"/>
                <w:sz w:val="16"/>
                <w:szCs w:val="16"/>
              </w:rPr>
            </w:pPr>
            <w:r w:rsidRPr="00954D98">
              <w:rPr>
                <w:rFonts w:asciiTheme="majorHAnsi" w:eastAsia="Calibri" w:hAnsiTheme="majorHAnsi" w:cstheme="majorHAnsi"/>
                <w:sz w:val="16"/>
                <w:szCs w:val="16"/>
              </w:rPr>
              <w:t>1</w:t>
            </w:r>
          </w:p>
        </w:tc>
      </w:tr>
      <w:tr w:rsidR="00F1044A" w:rsidRPr="00954D98" w14:paraId="7CDD2F0C" w14:textId="77777777" w:rsidTr="00FD364F">
        <w:trPr>
          <w:trHeight w:hRule="exact" w:val="60"/>
        </w:trPr>
        <w:tc>
          <w:tcPr>
            <w:tcW w:w="2073" w:type="pct"/>
            <w:tcBorders>
              <w:top w:val="nil"/>
              <w:left w:val="nil"/>
              <w:bottom w:val="nil"/>
              <w:right w:val="nil"/>
            </w:tcBorders>
            <w:shd w:val="clear" w:color="000000" w:fill="FFFFFF"/>
            <w:noWrap/>
            <w:vAlign w:val="center"/>
            <w:hideMark/>
          </w:tcPr>
          <w:p w14:paraId="73E8782B" w14:textId="77777777" w:rsidR="00F1044A" w:rsidRPr="00954D98" w:rsidRDefault="00F1044A">
            <w:pPr>
              <w:spacing w:before="0" w:after="0" w:line="240" w:lineRule="auto"/>
              <w:ind w:left="170"/>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E6F2FF"/>
            <w:noWrap/>
            <w:vAlign w:val="bottom"/>
          </w:tcPr>
          <w:p w14:paraId="38571118" w14:textId="31D35A58"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bottom"/>
          </w:tcPr>
          <w:p w14:paraId="7F3788C7" w14:textId="143DB5BE" w:rsidR="00F1044A" w:rsidRPr="00954D98" w:rsidRDefault="00F1044A">
            <w:pPr>
              <w:spacing w:before="0" w:after="0" w:line="240" w:lineRule="auto"/>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bottom"/>
          </w:tcPr>
          <w:p w14:paraId="108729F0" w14:textId="1E71F059"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nil"/>
              <w:right w:val="nil"/>
            </w:tcBorders>
            <w:shd w:val="clear" w:color="000000" w:fill="FFFFFF"/>
            <w:noWrap/>
            <w:vAlign w:val="bottom"/>
          </w:tcPr>
          <w:p w14:paraId="2C60A88A" w14:textId="141E5443" w:rsidR="00F1044A" w:rsidRPr="00954D98" w:rsidRDefault="00F1044A">
            <w:pPr>
              <w:spacing w:before="0" w:after="0" w:line="240" w:lineRule="auto"/>
              <w:jc w:val="right"/>
              <w:rPr>
                <w:rFonts w:asciiTheme="majorHAnsi" w:hAnsiTheme="majorHAnsi" w:cstheme="majorHAnsi"/>
                <w:color w:val="FFFF00"/>
                <w:sz w:val="16"/>
                <w:szCs w:val="16"/>
              </w:rPr>
            </w:pPr>
          </w:p>
        </w:tc>
        <w:tc>
          <w:tcPr>
            <w:tcW w:w="587" w:type="pct"/>
            <w:tcBorders>
              <w:top w:val="nil"/>
              <w:left w:val="nil"/>
              <w:bottom w:val="nil"/>
              <w:right w:val="nil"/>
            </w:tcBorders>
            <w:shd w:val="clear" w:color="000000" w:fill="FFFFFF"/>
            <w:noWrap/>
            <w:vAlign w:val="bottom"/>
          </w:tcPr>
          <w:p w14:paraId="132E937F" w14:textId="6A933E37" w:rsidR="00F1044A" w:rsidRPr="00954D98" w:rsidRDefault="00F1044A">
            <w:pPr>
              <w:spacing w:before="0" w:after="0" w:line="240" w:lineRule="auto"/>
              <w:jc w:val="right"/>
              <w:rPr>
                <w:rFonts w:asciiTheme="majorHAnsi" w:hAnsiTheme="majorHAnsi" w:cstheme="majorHAnsi"/>
                <w:sz w:val="16"/>
                <w:szCs w:val="16"/>
              </w:rPr>
            </w:pPr>
          </w:p>
        </w:tc>
      </w:tr>
      <w:tr w:rsidR="00F1044A" w:rsidRPr="00954D98" w14:paraId="756C9884" w14:textId="77777777" w:rsidTr="00643477">
        <w:trPr>
          <w:trHeight w:hRule="exact" w:val="225"/>
        </w:trPr>
        <w:tc>
          <w:tcPr>
            <w:tcW w:w="2073" w:type="pct"/>
            <w:tcBorders>
              <w:top w:val="nil"/>
              <w:left w:val="nil"/>
              <w:bottom w:val="nil"/>
              <w:right w:val="nil"/>
            </w:tcBorders>
            <w:shd w:val="clear" w:color="000000" w:fill="FFFFFF"/>
            <w:noWrap/>
            <w:vAlign w:val="center"/>
            <w:hideMark/>
          </w:tcPr>
          <w:p w14:paraId="4C62DD3D" w14:textId="77777777" w:rsidR="00F1044A" w:rsidRPr="00954D98" w:rsidRDefault="00F1044A">
            <w:pPr>
              <w:spacing w:before="0" w:after="0" w:line="240" w:lineRule="auto"/>
              <w:ind w:left="170"/>
              <w:rPr>
                <w:rFonts w:ascii="Arial" w:hAnsi="Arial" w:cs="Arial"/>
                <w:color w:val="FFFF00"/>
                <w:sz w:val="16"/>
                <w:szCs w:val="16"/>
              </w:rPr>
            </w:pPr>
            <w:r w:rsidRPr="00954D98">
              <w:rPr>
                <w:rFonts w:ascii="Arial" w:hAnsi="Arial" w:cs="Arial"/>
                <w:sz w:val="16"/>
                <w:szCs w:val="16"/>
              </w:rPr>
              <w:t>Consumption subject to GST</w:t>
            </w:r>
          </w:p>
        </w:tc>
        <w:tc>
          <w:tcPr>
            <w:tcW w:w="585" w:type="pct"/>
            <w:tcBorders>
              <w:top w:val="nil"/>
              <w:left w:val="nil"/>
              <w:bottom w:val="nil"/>
              <w:right w:val="nil"/>
            </w:tcBorders>
            <w:shd w:val="clear" w:color="000000" w:fill="E6F2FF"/>
            <w:noWrap/>
            <w:vAlign w:val="bottom"/>
          </w:tcPr>
          <w:p w14:paraId="07CE4CFF" w14:textId="3B8ED0FE" w:rsidR="00F1044A" w:rsidRPr="00954D98" w:rsidRDefault="008C19E8">
            <w:pPr>
              <w:spacing w:before="0" w:after="0" w:line="240" w:lineRule="auto"/>
              <w:jc w:val="right"/>
              <w:rPr>
                <w:rFonts w:asciiTheme="majorHAnsi" w:hAnsiTheme="majorHAnsi" w:cstheme="majorHAnsi"/>
                <w:color w:val="FFFF00"/>
                <w:sz w:val="16"/>
                <w:szCs w:val="16"/>
              </w:rPr>
            </w:pPr>
            <w:r w:rsidRPr="00954D98">
              <w:rPr>
                <w:rFonts w:asciiTheme="majorHAnsi" w:hAnsiTheme="majorHAnsi" w:cstheme="majorHAnsi"/>
                <w:sz w:val="16"/>
                <w:szCs w:val="16"/>
              </w:rPr>
              <w:t>2.3</w:t>
            </w:r>
          </w:p>
        </w:tc>
        <w:tc>
          <w:tcPr>
            <w:tcW w:w="585" w:type="pct"/>
            <w:tcBorders>
              <w:top w:val="nil"/>
              <w:left w:val="nil"/>
              <w:bottom w:val="nil"/>
              <w:right w:val="nil"/>
            </w:tcBorders>
            <w:shd w:val="clear" w:color="000000" w:fill="FFFFFF"/>
            <w:noWrap/>
            <w:vAlign w:val="center"/>
          </w:tcPr>
          <w:p w14:paraId="106C9254" w14:textId="04951B7C" w:rsidR="00F1044A" w:rsidRPr="00954D98" w:rsidRDefault="00404E69">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5</w:t>
            </w:r>
          </w:p>
        </w:tc>
        <w:tc>
          <w:tcPr>
            <w:tcW w:w="585" w:type="pct"/>
            <w:tcBorders>
              <w:top w:val="nil"/>
              <w:left w:val="nil"/>
              <w:bottom w:val="nil"/>
              <w:right w:val="nil"/>
            </w:tcBorders>
            <w:shd w:val="clear" w:color="000000" w:fill="FFFFFF"/>
            <w:noWrap/>
            <w:vAlign w:val="center"/>
          </w:tcPr>
          <w:p w14:paraId="30366321" w14:textId="674C223C" w:rsidR="00F1044A" w:rsidRPr="00954D98" w:rsidRDefault="00404E69">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5 1/4</w:t>
            </w:r>
          </w:p>
        </w:tc>
        <w:tc>
          <w:tcPr>
            <w:tcW w:w="585" w:type="pct"/>
            <w:tcBorders>
              <w:top w:val="nil"/>
              <w:left w:val="nil"/>
              <w:bottom w:val="nil"/>
              <w:right w:val="nil"/>
            </w:tcBorders>
            <w:shd w:val="clear" w:color="000000" w:fill="FFFFFF"/>
            <w:noWrap/>
            <w:vAlign w:val="center"/>
          </w:tcPr>
          <w:p w14:paraId="3185AED3" w14:textId="6ECA4EDB" w:rsidR="00F1044A" w:rsidRPr="00954D98" w:rsidRDefault="00404E69">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5 1/4</w:t>
            </w:r>
          </w:p>
        </w:tc>
        <w:tc>
          <w:tcPr>
            <w:tcW w:w="587" w:type="pct"/>
            <w:tcBorders>
              <w:top w:val="nil"/>
              <w:left w:val="nil"/>
              <w:bottom w:val="nil"/>
              <w:right w:val="nil"/>
            </w:tcBorders>
            <w:shd w:val="clear" w:color="000000" w:fill="FFFFFF"/>
            <w:noWrap/>
            <w:vAlign w:val="center"/>
          </w:tcPr>
          <w:p w14:paraId="70909337" w14:textId="62401973" w:rsidR="00F1044A" w:rsidRPr="00954D98" w:rsidRDefault="00404E69">
            <w:pPr>
              <w:spacing w:before="0" w:after="0" w:line="240" w:lineRule="auto"/>
              <w:jc w:val="right"/>
              <w:rPr>
                <w:rFonts w:asciiTheme="majorHAnsi" w:hAnsiTheme="majorHAnsi" w:cstheme="majorHAnsi"/>
                <w:sz w:val="16"/>
                <w:szCs w:val="16"/>
              </w:rPr>
            </w:pPr>
            <w:r w:rsidRPr="00954D98">
              <w:rPr>
                <w:rFonts w:asciiTheme="majorHAnsi" w:eastAsia="Calibri" w:hAnsiTheme="majorHAnsi" w:cstheme="majorHAnsi"/>
                <w:sz w:val="16"/>
                <w:szCs w:val="16"/>
              </w:rPr>
              <w:t>5 1/2</w:t>
            </w:r>
          </w:p>
        </w:tc>
      </w:tr>
      <w:tr w:rsidR="00F1044A" w:rsidRPr="00954D98" w14:paraId="5289D679" w14:textId="77777777" w:rsidTr="00643477">
        <w:trPr>
          <w:trHeight w:hRule="exact" w:val="225"/>
        </w:trPr>
        <w:tc>
          <w:tcPr>
            <w:tcW w:w="2073" w:type="pct"/>
            <w:tcBorders>
              <w:top w:val="nil"/>
              <w:left w:val="nil"/>
              <w:bottom w:val="single" w:sz="4" w:space="0" w:color="293F5B"/>
              <w:right w:val="nil"/>
            </w:tcBorders>
            <w:shd w:val="clear" w:color="000000" w:fill="FFFFFF"/>
            <w:noWrap/>
            <w:vAlign w:val="center"/>
            <w:hideMark/>
          </w:tcPr>
          <w:p w14:paraId="622403C0" w14:textId="24C5E1D3" w:rsidR="00F1044A" w:rsidRPr="00954D98" w:rsidRDefault="00F1044A">
            <w:pPr>
              <w:spacing w:before="0" w:after="0" w:line="240" w:lineRule="auto"/>
              <w:ind w:left="340"/>
              <w:rPr>
                <w:rFonts w:ascii="Arial" w:hAnsi="Arial" w:cs="Arial"/>
                <w:color w:val="FFFF00"/>
                <w:sz w:val="16"/>
                <w:szCs w:val="16"/>
              </w:rPr>
            </w:pPr>
            <w:r w:rsidRPr="00954D98">
              <w:rPr>
                <w:rFonts w:ascii="Arial" w:hAnsi="Arial" w:cs="Arial"/>
                <w:sz w:val="16"/>
                <w:szCs w:val="16"/>
              </w:rPr>
              <w:t>Change since 202</w:t>
            </w:r>
            <w:r w:rsidR="00E71059" w:rsidRPr="00954D98">
              <w:rPr>
                <w:rFonts w:ascii="Arial" w:hAnsi="Arial" w:cs="Arial"/>
                <w:sz w:val="16"/>
                <w:szCs w:val="16"/>
              </w:rPr>
              <w:t>5</w:t>
            </w:r>
            <w:r w:rsidR="00DA22F6" w:rsidRPr="00954D98">
              <w:rPr>
                <w:rFonts w:ascii="Arial" w:hAnsi="Arial" w:cs="Arial"/>
                <w:sz w:val="16"/>
                <w:szCs w:val="16"/>
              </w:rPr>
              <w:t xml:space="preserve"> PEFO</w:t>
            </w:r>
          </w:p>
        </w:tc>
        <w:tc>
          <w:tcPr>
            <w:tcW w:w="585" w:type="pct"/>
            <w:tcBorders>
              <w:top w:val="nil"/>
              <w:left w:val="nil"/>
              <w:bottom w:val="single" w:sz="4" w:space="0" w:color="293F5B"/>
              <w:right w:val="nil"/>
            </w:tcBorders>
            <w:shd w:val="clear" w:color="000000" w:fill="E6F2FF"/>
            <w:noWrap/>
            <w:vAlign w:val="bottom"/>
          </w:tcPr>
          <w:p w14:paraId="1AB0CA13" w14:textId="536D6A92" w:rsidR="00F1044A" w:rsidRPr="00954D98" w:rsidRDefault="00F1044A">
            <w:pPr>
              <w:spacing w:before="0" w:after="0" w:line="240" w:lineRule="auto"/>
              <w:jc w:val="right"/>
              <w:rPr>
                <w:rFonts w:asciiTheme="majorHAnsi" w:hAnsiTheme="majorHAnsi" w:cstheme="majorHAnsi"/>
                <w:color w:val="FFFF00"/>
                <w:sz w:val="16"/>
                <w:szCs w:val="16"/>
              </w:rPr>
            </w:pPr>
          </w:p>
        </w:tc>
        <w:tc>
          <w:tcPr>
            <w:tcW w:w="585" w:type="pct"/>
            <w:tcBorders>
              <w:top w:val="nil"/>
              <w:left w:val="nil"/>
              <w:bottom w:val="single" w:sz="4" w:space="0" w:color="auto"/>
              <w:right w:val="nil"/>
            </w:tcBorders>
            <w:shd w:val="clear" w:color="000000" w:fill="FFFFFF"/>
            <w:noWrap/>
            <w:vAlign w:val="center"/>
          </w:tcPr>
          <w:p w14:paraId="0B44EEE8" w14:textId="47C9F05E" w:rsidR="00F1044A" w:rsidRPr="00954D98" w:rsidRDefault="009D26DF">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0</w:t>
            </w:r>
          </w:p>
        </w:tc>
        <w:tc>
          <w:tcPr>
            <w:tcW w:w="585" w:type="pct"/>
            <w:tcBorders>
              <w:top w:val="nil"/>
              <w:left w:val="nil"/>
              <w:bottom w:val="single" w:sz="4" w:space="0" w:color="auto"/>
              <w:right w:val="nil"/>
            </w:tcBorders>
            <w:shd w:val="clear" w:color="000000" w:fill="FFFFFF"/>
            <w:noWrap/>
            <w:vAlign w:val="center"/>
          </w:tcPr>
          <w:p w14:paraId="6E8DF001" w14:textId="29170EFB" w:rsidR="00F1044A" w:rsidRPr="00954D98" w:rsidRDefault="009D26DF">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1</w:t>
            </w:r>
          </w:p>
        </w:tc>
        <w:tc>
          <w:tcPr>
            <w:tcW w:w="585" w:type="pct"/>
            <w:tcBorders>
              <w:top w:val="nil"/>
              <w:left w:val="nil"/>
              <w:bottom w:val="single" w:sz="4" w:space="0" w:color="auto"/>
              <w:right w:val="nil"/>
            </w:tcBorders>
            <w:shd w:val="clear" w:color="000000" w:fill="FFFFFF"/>
            <w:noWrap/>
            <w:vAlign w:val="center"/>
          </w:tcPr>
          <w:p w14:paraId="563D3945" w14:textId="74A67BF0" w:rsidR="00F1044A" w:rsidRPr="00954D98" w:rsidRDefault="009D26DF">
            <w:pPr>
              <w:spacing w:before="0" w:after="0" w:line="240" w:lineRule="auto"/>
              <w:jc w:val="right"/>
              <w:rPr>
                <w:rFonts w:asciiTheme="majorHAnsi" w:hAnsiTheme="majorHAnsi" w:cstheme="majorHAnsi"/>
                <w:color w:val="FFFF00"/>
                <w:sz w:val="16"/>
                <w:szCs w:val="16"/>
              </w:rPr>
            </w:pPr>
            <w:r w:rsidRPr="00954D98">
              <w:rPr>
                <w:rFonts w:asciiTheme="majorHAnsi" w:eastAsia="Calibri" w:hAnsiTheme="majorHAnsi" w:cstheme="majorHAnsi"/>
                <w:sz w:val="16"/>
                <w:szCs w:val="16"/>
              </w:rPr>
              <w:t>1/4</w:t>
            </w:r>
          </w:p>
        </w:tc>
        <w:tc>
          <w:tcPr>
            <w:tcW w:w="587" w:type="pct"/>
            <w:tcBorders>
              <w:top w:val="nil"/>
              <w:left w:val="nil"/>
              <w:bottom w:val="single" w:sz="4" w:space="0" w:color="auto"/>
              <w:right w:val="nil"/>
            </w:tcBorders>
            <w:shd w:val="clear" w:color="000000" w:fill="FFFFFF"/>
            <w:noWrap/>
            <w:vAlign w:val="center"/>
          </w:tcPr>
          <w:p w14:paraId="05CADCEB" w14:textId="31ED8E57" w:rsidR="00F1044A" w:rsidRPr="00954D98" w:rsidRDefault="009D26DF">
            <w:pPr>
              <w:spacing w:before="0" w:after="0" w:line="240" w:lineRule="auto"/>
              <w:jc w:val="right"/>
              <w:rPr>
                <w:rFonts w:asciiTheme="majorHAnsi" w:hAnsiTheme="majorHAnsi" w:cstheme="majorHAnsi"/>
                <w:sz w:val="16"/>
                <w:szCs w:val="16"/>
              </w:rPr>
            </w:pPr>
            <w:r w:rsidRPr="00954D98">
              <w:rPr>
                <w:rFonts w:asciiTheme="majorHAnsi" w:eastAsia="Calibri" w:hAnsiTheme="majorHAnsi" w:cstheme="majorHAnsi"/>
                <w:sz w:val="16"/>
                <w:szCs w:val="16"/>
              </w:rPr>
              <w:t>1</w:t>
            </w:r>
          </w:p>
        </w:tc>
      </w:tr>
    </w:tbl>
    <w:p w14:paraId="0CF5B527" w14:textId="13EAF756" w:rsidR="00F1044A" w:rsidRPr="00954D98" w:rsidRDefault="00F1044A" w:rsidP="00F1044A">
      <w:pPr>
        <w:pStyle w:val="ChartandTableFootnoteAlpha"/>
        <w:numPr>
          <w:ilvl w:val="0"/>
          <w:numId w:val="34"/>
        </w:numPr>
        <w:rPr>
          <w:rFonts w:eastAsiaTheme="minorEastAsia"/>
          <w:color w:val="auto"/>
        </w:rPr>
      </w:pPr>
      <w:r w:rsidRPr="00954D98">
        <w:rPr>
          <w:rFonts w:eastAsiaTheme="minorEastAsia"/>
          <w:color w:val="auto"/>
        </w:rPr>
        <w:t>Current prices, per</w:t>
      </w:r>
      <w:r w:rsidR="00564063" w:rsidRPr="00954D98">
        <w:rPr>
          <w:rFonts w:eastAsiaTheme="minorEastAsia"/>
          <w:color w:val="auto"/>
        </w:rPr>
        <w:t xml:space="preserve"> cent</w:t>
      </w:r>
      <w:r w:rsidRPr="00954D98">
        <w:rPr>
          <w:rFonts w:eastAsiaTheme="minorEastAsia"/>
          <w:color w:val="auto"/>
        </w:rPr>
        <w:t xml:space="preserve"> change on previous year. Changes since </w:t>
      </w:r>
      <w:r w:rsidR="0090262D" w:rsidRPr="00954D98">
        <w:rPr>
          <w:rFonts w:eastAsiaTheme="minorEastAsia"/>
          <w:color w:val="auto"/>
        </w:rPr>
        <w:t xml:space="preserve">PEFO </w:t>
      </w:r>
      <w:r w:rsidRPr="00954D98">
        <w:rPr>
          <w:rFonts w:eastAsiaTheme="minorEastAsia"/>
          <w:color w:val="auto"/>
        </w:rPr>
        <w:t>are percentage points.</w:t>
      </w:r>
      <w:r w:rsidR="00C41A35" w:rsidRPr="00954D98">
        <w:rPr>
          <w:rFonts w:eastAsiaTheme="minorEastAsia"/>
          <w:color w:val="auto"/>
        </w:rPr>
        <w:t xml:space="preserve"> The economic parameters used to prepare the 2025 PEFO were unchanged from those presented at the 2025–26 Budget.</w:t>
      </w:r>
    </w:p>
    <w:p w14:paraId="493360CD" w14:textId="77777777" w:rsidR="00F1044A" w:rsidRPr="00954D98" w:rsidRDefault="00F1044A" w:rsidP="00F1044A">
      <w:pPr>
        <w:pStyle w:val="ChartandTableFootnoteAlpha"/>
        <w:numPr>
          <w:ilvl w:val="0"/>
          <w:numId w:val="34"/>
        </w:numPr>
        <w:rPr>
          <w:rFonts w:eastAsiaTheme="minorEastAsia"/>
          <w:color w:val="auto"/>
        </w:rPr>
      </w:pPr>
      <w:r w:rsidRPr="00954D98">
        <w:rPr>
          <w:rFonts w:eastAsiaTheme="minorEastAsia"/>
          <w:color w:val="auto"/>
        </w:rPr>
        <w:t>Compensation of employees measures total remuneration earned by employees.</w:t>
      </w:r>
    </w:p>
    <w:p w14:paraId="531564D3" w14:textId="77777777" w:rsidR="00F1044A" w:rsidRPr="00954D98" w:rsidRDefault="00F1044A" w:rsidP="00F1044A">
      <w:pPr>
        <w:pStyle w:val="ChartandTableFootnoteAlpha"/>
        <w:rPr>
          <w:rFonts w:eastAsiaTheme="minorEastAsia"/>
          <w:color w:val="auto"/>
        </w:rPr>
      </w:pPr>
      <w:r w:rsidRPr="00954D98">
        <w:rPr>
          <w:rFonts w:eastAsiaTheme="minorEastAsia"/>
          <w:color w:val="auto"/>
        </w:rPr>
        <w:t>Corporate gross operating surplus is an Australian System of National Accounts measure of company profits, gross of depreciation.</w:t>
      </w:r>
    </w:p>
    <w:p w14:paraId="76C9D003" w14:textId="77777777" w:rsidR="00F1044A" w:rsidRPr="00954D98" w:rsidRDefault="00F1044A" w:rsidP="00F1044A">
      <w:pPr>
        <w:pStyle w:val="ChartandTableFootnoteAlpha"/>
        <w:rPr>
          <w:rFonts w:eastAsiaTheme="minorHAnsi"/>
          <w:color w:val="auto"/>
        </w:rPr>
      </w:pPr>
      <w:r w:rsidRPr="00954D98">
        <w:rPr>
          <w:rFonts w:eastAsiaTheme="minorHAnsi"/>
          <w:color w:val="auto"/>
        </w:rPr>
        <w:t>Property income measures income derived from rent, dividends and interest.</w:t>
      </w:r>
    </w:p>
    <w:p w14:paraId="373DE95E" w14:textId="3381C0FA" w:rsidR="00F1044A" w:rsidRPr="00954D98" w:rsidRDefault="00F1044A" w:rsidP="00F1044A">
      <w:pPr>
        <w:pStyle w:val="ChartandTableFootnote"/>
        <w:rPr>
          <w:rFonts w:eastAsiaTheme="minorHAnsi"/>
          <w:color w:val="auto"/>
        </w:rPr>
      </w:pPr>
      <w:r w:rsidRPr="00954D98">
        <w:rPr>
          <w:rFonts w:eastAsiaTheme="minorHAnsi"/>
          <w:color w:val="auto"/>
        </w:rPr>
        <w:t xml:space="preserve">Source: </w:t>
      </w:r>
      <w:r w:rsidRPr="00954D98">
        <w:rPr>
          <w:rFonts w:eastAsiaTheme="minorHAnsi"/>
          <w:color w:val="auto"/>
        </w:rPr>
        <w:tab/>
        <w:t>ABS Australian National Accounts: National Income, Expenditure and Product; and Treasury.</w:t>
      </w:r>
      <w:r w:rsidRPr="00954D98">
        <w:rPr>
          <w:color w:val="auto"/>
        </w:rPr>
        <w:t xml:space="preserve"> </w:t>
      </w:r>
    </w:p>
    <w:p w14:paraId="5D2E92BD" w14:textId="77777777" w:rsidR="00F1044A" w:rsidRPr="00954D98" w:rsidRDefault="00F1044A" w:rsidP="00F1044A">
      <w:pPr>
        <w:pStyle w:val="TableLine"/>
      </w:pPr>
    </w:p>
    <w:p w14:paraId="5EC04376" w14:textId="2555ECE8" w:rsidR="00F1044A" w:rsidRPr="00954D98" w:rsidRDefault="007F396A" w:rsidP="00F1044A">
      <w:pPr>
        <w:rPr>
          <w:rFonts w:eastAsia="Calibri"/>
        </w:rPr>
      </w:pPr>
      <w:bookmarkStart w:id="36" w:name="_Toc134093764"/>
      <w:bookmarkStart w:id="37" w:name="_Toc148428070"/>
      <w:r w:rsidRPr="00954D98">
        <w:rPr>
          <w:rFonts w:eastAsia="Calibri"/>
        </w:rPr>
        <w:t>Compared to the 2025</w:t>
      </w:r>
      <w:r w:rsidR="00BF649A" w:rsidRPr="00954D98">
        <w:rPr>
          <w:rFonts w:eastAsia="Calibri"/>
        </w:rPr>
        <w:t xml:space="preserve"> </w:t>
      </w:r>
      <w:r w:rsidR="0033020D" w:rsidRPr="00954D98">
        <w:rPr>
          <w:rFonts w:eastAsia="Calibri"/>
        </w:rPr>
        <w:t>PEFO</w:t>
      </w:r>
      <w:r w:rsidR="00F1044A" w:rsidRPr="00954D98">
        <w:rPr>
          <w:rFonts w:eastAsia="Calibri"/>
        </w:rPr>
        <w:t>, personal income tax receipts</w:t>
      </w:r>
      <w:r w:rsidR="00AA7760" w:rsidRPr="00954D98">
        <w:rPr>
          <w:rFonts w:eastAsia="Calibri"/>
        </w:rPr>
        <w:t xml:space="preserve"> </w:t>
      </w:r>
      <w:r w:rsidR="00F56E96" w:rsidRPr="00954D98">
        <w:rPr>
          <w:rFonts w:eastAsia="Calibri"/>
        </w:rPr>
        <w:t>excluding policy decisions,</w:t>
      </w:r>
      <w:r w:rsidR="00F1044A" w:rsidRPr="00954D98">
        <w:rPr>
          <w:rFonts w:eastAsia="Calibri"/>
        </w:rPr>
        <w:t xml:space="preserve"> have been revised up by $</w:t>
      </w:r>
      <w:r w:rsidR="00241C9D" w:rsidRPr="00954D98">
        <w:rPr>
          <w:rFonts w:eastAsia="Calibri"/>
        </w:rPr>
        <w:t>8.</w:t>
      </w:r>
      <w:r w:rsidR="0023409B" w:rsidRPr="00954D98">
        <w:rPr>
          <w:rFonts w:eastAsia="Calibri"/>
        </w:rPr>
        <w:t>7</w:t>
      </w:r>
      <w:r w:rsidR="00F1044A" w:rsidRPr="00954D98">
        <w:rPr>
          <w:rFonts w:eastAsia="Calibri"/>
        </w:rPr>
        <w:t xml:space="preserve"> billion in </w:t>
      </w:r>
      <w:r w:rsidR="00EF2048" w:rsidRPr="00954D98">
        <w:rPr>
          <w:rFonts w:eastAsia="Calibri"/>
        </w:rPr>
        <w:t>2025–26</w:t>
      </w:r>
      <w:r w:rsidR="00F1044A" w:rsidRPr="00954D98">
        <w:rPr>
          <w:rFonts w:eastAsia="Calibri"/>
        </w:rPr>
        <w:t xml:space="preserve"> and </w:t>
      </w:r>
      <w:r w:rsidR="007F256C" w:rsidRPr="00954D98">
        <w:rPr>
          <w:rFonts w:eastAsia="Calibri"/>
        </w:rPr>
        <w:t xml:space="preserve">by </w:t>
      </w:r>
      <w:r w:rsidR="00F1044A" w:rsidRPr="00954D98">
        <w:rPr>
          <w:rFonts w:eastAsia="Calibri"/>
        </w:rPr>
        <w:t>$</w:t>
      </w:r>
      <w:r w:rsidR="00CA0CEF" w:rsidRPr="00954D98">
        <w:rPr>
          <w:rFonts w:eastAsia="Calibri"/>
        </w:rPr>
        <w:t>23.</w:t>
      </w:r>
      <w:r w:rsidR="00FB4247" w:rsidRPr="00954D98">
        <w:rPr>
          <w:rFonts w:eastAsia="Calibri"/>
        </w:rPr>
        <w:t>2</w:t>
      </w:r>
      <w:r w:rsidR="00133787" w:rsidRPr="00954D98">
        <w:rPr>
          <w:rFonts w:eastAsia="Calibri"/>
        </w:rPr>
        <w:t> </w:t>
      </w:r>
      <w:r w:rsidR="00F1044A" w:rsidRPr="00954D98">
        <w:rPr>
          <w:rFonts w:eastAsia="Calibri"/>
        </w:rPr>
        <w:t>billion over the four years to</w:t>
      </w:r>
      <w:r w:rsidR="009D4EBD" w:rsidRPr="00954D98">
        <w:rPr>
          <w:rFonts w:eastAsia="Calibri"/>
        </w:rPr>
        <w:t xml:space="preserve"> </w:t>
      </w:r>
      <w:r w:rsidR="00DF16F7" w:rsidRPr="00954D98">
        <w:rPr>
          <w:rFonts w:eastAsia="Calibri"/>
        </w:rPr>
        <w:t>2028</w:t>
      </w:r>
      <w:r w:rsidR="004F4CB0" w:rsidRPr="00954D98">
        <w:rPr>
          <w:rFonts w:eastAsia="Calibri"/>
          <w:w w:val="1"/>
        </w:rPr>
        <w:t> </w:t>
      </w:r>
      <w:r w:rsidR="00582260" w:rsidRPr="00954D98">
        <w:rPr>
          <w:rFonts w:eastAsia="Calibri"/>
        </w:rPr>
        <w:t>–</w:t>
      </w:r>
      <w:r w:rsidR="004F4CB0" w:rsidRPr="00954D98">
        <w:rPr>
          <w:rFonts w:eastAsia="Calibri"/>
          <w:w w:val="1"/>
        </w:rPr>
        <w:t> </w:t>
      </w:r>
      <w:r w:rsidR="00DF16F7" w:rsidRPr="00954D98">
        <w:rPr>
          <w:rFonts w:eastAsia="Calibri"/>
        </w:rPr>
        <w:t>29</w:t>
      </w:r>
      <w:r w:rsidR="00F1044A" w:rsidRPr="00954D98">
        <w:rPr>
          <w:rFonts w:eastAsia="Calibri"/>
        </w:rPr>
        <w:t>. Income tax withholding has been revised up by $</w:t>
      </w:r>
      <w:r w:rsidR="006C71B2" w:rsidRPr="00954D98">
        <w:rPr>
          <w:rFonts w:eastAsia="Calibri"/>
        </w:rPr>
        <w:t>1.9</w:t>
      </w:r>
      <w:r w:rsidR="00F1044A" w:rsidRPr="00954D98">
        <w:rPr>
          <w:rFonts w:eastAsia="Calibri"/>
        </w:rPr>
        <w:t xml:space="preserve"> billion in </w:t>
      </w:r>
      <w:r w:rsidR="00EF2048" w:rsidRPr="00954D98">
        <w:rPr>
          <w:rFonts w:eastAsia="Calibri"/>
        </w:rPr>
        <w:t>2025–26</w:t>
      </w:r>
      <w:r w:rsidR="00F1044A" w:rsidRPr="00954D98">
        <w:rPr>
          <w:rFonts w:eastAsia="Calibri"/>
        </w:rPr>
        <w:t xml:space="preserve"> and $</w:t>
      </w:r>
      <w:r w:rsidR="007571AB" w:rsidRPr="00954D98">
        <w:rPr>
          <w:rFonts w:eastAsia="Calibri"/>
        </w:rPr>
        <w:t>4.</w:t>
      </w:r>
      <w:r w:rsidR="009E24DF" w:rsidRPr="00954D98">
        <w:rPr>
          <w:rFonts w:eastAsia="Calibri"/>
        </w:rPr>
        <w:t>8</w:t>
      </w:r>
      <w:r w:rsidR="004F4CB0" w:rsidRPr="00954D98">
        <w:rPr>
          <w:rFonts w:eastAsia="Calibri"/>
        </w:rPr>
        <w:t> </w:t>
      </w:r>
      <w:r w:rsidR="00F1044A" w:rsidRPr="00954D98">
        <w:rPr>
          <w:rFonts w:eastAsia="Calibri"/>
        </w:rPr>
        <w:t xml:space="preserve">billion over the four years to </w:t>
      </w:r>
      <w:r w:rsidR="00DF16F7" w:rsidRPr="00954D98">
        <w:rPr>
          <w:rFonts w:eastAsia="Calibri"/>
        </w:rPr>
        <w:t>2028–29</w:t>
      </w:r>
      <w:r w:rsidR="00AC63D1" w:rsidRPr="00954D98">
        <w:rPr>
          <w:rFonts w:eastAsia="Calibri"/>
        </w:rPr>
        <w:t>,</w:t>
      </w:r>
      <w:r w:rsidR="00F1044A" w:rsidRPr="00954D98">
        <w:rPr>
          <w:rFonts w:eastAsia="Calibri"/>
        </w:rPr>
        <w:t xml:space="preserve"> reflecting </w:t>
      </w:r>
      <w:r w:rsidR="003602ED" w:rsidRPr="00954D98">
        <w:rPr>
          <w:rFonts w:eastAsia="Calibri"/>
        </w:rPr>
        <w:t>higher wages</w:t>
      </w:r>
      <w:r w:rsidR="00F1044A" w:rsidRPr="00954D98">
        <w:rPr>
          <w:rFonts w:eastAsia="Calibri"/>
        </w:rPr>
        <w:t>. Net other individuals (gross other individuals less refunds) receipts have been revised up by $</w:t>
      </w:r>
      <w:r w:rsidR="00564CCF" w:rsidRPr="00954D98">
        <w:rPr>
          <w:rFonts w:eastAsia="Calibri"/>
        </w:rPr>
        <w:t>6.7</w:t>
      </w:r>
      <w:r w:rsidR="003C0CC3" w:rsidRPr="00954D98">
        <w:rPr>
          <w:rFonts w:eastAsia="Calibri"/>
        </w:rPr>
        <w:t> </w:t>
      </w:r>
      <w:r w:rsidR="00F1044A" w:rsidRPr="00954D98">
        <w:rPr>
          <w:rFonts w:eastAsia="Calibri"/>
        </w:rPr>
        <w:t xml:space="preserve">billion in </w:t>
      </w:r>
      <w:r w:rsidR="00EF2048" w:rsidRPr="00954D98">
        <w:rPr>
          <w:rFonts w:eastAsia="Calibri"/>
        </w:rPr>
        <w:t>2025</w:t>
      </w:r>
      <w:r w:rsidR="009D6D85" w:rsidRPr="00954D98">
        <w:rPr>
          <w:rFonts w:eastAsia="Calibri"/>
          <w:w w:val="1"/>
        </w:rPr>
        <w:t> </w:t>
      </w:r>
      <w:r w:rsidR="00EF2048" w:rsidRPr="00954D98">
        <w:rPr>
          <w:rFonts w:eastAsia="Calibri"/>
        </w:rPr>
        <w:t>–</w:t>
      </w:r>
      <w:r w:rsidR="009D6D85" w:rsidRPr="00954D98">
        <w:rPr>
          <w:rFonts w:eastAsia="Calibri"/>
          <w:w w:val="1"/>
        </w:rPr>
        <w:t> </w:t>
      </w:r>
      <w:r w:rsidR="00EF2048" w:rsidRPr="00954D98">
        <w:rPr>
          <w:rFonts w:eastAsia="Calibri"/>
        </w:rPr>
        <w:t>26</w:t>
      </w:r>
      <w:r w:rsidR="00F1044A" w:rsidRPr="00954D98">
        <w:rPr>
          <w:rFonts w:eastAsia="Calibri"/>
        </w:rPr>
        <w:t xml:space="preserve"> and $</w:t>
      </w:r>
      <w:r w:rsidR="00364ECD" w:rsidRPr="00954D98">
        <w:rPr>
          <w:rFonts w:eastAsia="Calibri"/>
        </w:rPr>
        <w:t>18.</w:t>
      </w:r>
      <w:r w:rsidR="003A4DEE" w:rsidRPr="00954D98">
        <w:rPr>
          <w:rFonts w:eastAsia="Calibri"/>
        </w:rPr>
        <w:t>4</w:t>
      </w:r>
      <w:r w:rsidR="00F1044A" w:rsidRPr="00954D98">
        <w:rPr>
          <w:rFonts w:eastAsia="Calibri"/>
        </w:rPr>
        <w:t xml:space="preserve"> billion over the four years to </w:t>
      </w:r>
      <w:r w:rsidR="00DF16F7" w:rsidRPr="00954D98">
        <w:rPr>
          <w:rFonts w:eastAsia="Calibri"/>
        </w:rPr>
        <w:t>2028–29</w:t>
      </w:r>
      <w:r w:rsidR="00AA53A4" w:rsidRPr="00954D98">
        <w:rPr>
          <w:rFonts w:eastAsia="Calibri"/>
        </w:rPr>
        <w:t>,</w:t>
      </w:r>
      <w:r w:rsidR="00FE1BA1" w:rsidRPr="00954D98">
        <w:rPr>
          <w:rFonts w:eastAsia="Calibri"/>
        </w:rPr>
        <w:t xml:space="preserve"> due to </w:t>
      </w:r>
      <w:r w:rsidR="009419FF" w:rsidRPr="00954D98">
        <w:rPr>
          <w:rFonts w:eastAsia="Calibri"/>
        </w:rPr>
        <w:t xml:space="preserve">strong </w:t>
      </w:r>
      <w:r w:rsidR="008152BD" w:rsidRPr="00954D98">
        <w:rPr>
          <w:rFonts w:eastAsia="Calibri"/>
        </w:rPr>
        <w:t xml:space="preserve">tax </w:t>
      </w:r>
      <w:r w:rsidR="009419FF" w:rsidRPr="00954D98">
        <w:rPr>
          <w:rFonts w:eastAsia="Calibri"/>
        </w:rPr>
        <w:t>collections</w:t>
      </w:r>
      <w:r w:rsidR="00D3090E" w:rsidRPr="00954D98">
        <w:rPr>
          <w:rFonts w:eastAsia="Calibri"/>
        </w:rPr>
        <w:t xml:space="preserve"> </w:t>
      </w:r>
      <w:r w:rsidR="000773F0">
        <w:rPr>
          <w:rFonts w:eastAsia="Calibri"/>
        </w:rPr>
        <w:t>–</w:t>
      </w:r>
      <w:r w:rsidR="009419FF" w:rsidRPr="00954D98">
        <w:rPr>
          <w:rFonts w:eastAsia="Calibri"/>
        </w:rPr>
        <w:t>particularly pay</w:t>
      </w:r>
      <w:r w:rsidR="00536CFF">
        <w:rPr>
          <w:rFonts w:eastAsia="Calibri"/>
        </w:rPr>
        <w:noBreakHyphen/>
      </w:r>
      <w:r w:rsidR="009419FF" w:rsidRPr="00954D98">
        <w:rPr>
          <w:rFonts w:eastAsia="Calibri"/>
        </w:rPr>
        <w:t>as</w:t>
      </w:r>
      <w:r w:rsidR="00536CFF">
        <w:rPr>
          <w:rFonts w:eastAsia="Calibri"/>
        </w:rPr>
        <w:noBreakHyphen/>
      </w:r>
      <w:r w:rsidR="009419FF" w:rsidRPr="00954D98">
        <w:rPr>
          <w:rFonts w:eastAsia="Calibri"/>
        </w:rPr>
        <w:t>you</w:t>
      </w:r>
      <w:r w:rsidR="00536CFF">
        <w:rPr>
          <w:rFonts w:eastAsia="Calibri"/>
        </w:rPr>
        <w:noBreakHyphen/>
      </w:r>
      <w:r w:rsidR="009419FF" w:rsidRPr="00954D98">
        <w:rPr>
          <w:rFonts w:eastAsia="Calibri"/>
        </w:rPr>
        <w:t>go instalments</w:t>
      </w:r>
      <w:r w:rsidR="00D3090E" w:rsidRPr="00954D98">
        <w:rPr>
          <w:rFonts w:eastAsia="Calibri"/>
        </w:rPr>
        <w:t xml:space="preserve"> </w:t>
      </w:r>
      <w:r w:rsidR="004E4212" w:rsidRPr="00954D98">
        <w:rPr>
          <w:rFonts w:eastAsia="Calibri"/>
        </w:rPr>
        <w:t>–</w:t>
      </w:r>
      <w:r w:rsidR="00D3090E" w:rsidRPr="00954D98">
        <w:rPr>
          <w:rFonts w:eastAsia="Calibri"/>
        </w:rPr>
        <w:t xml:space="preserve"> </w:t>
      </w:r>
      <w:r w:rsidR="009419FF" w:rsidRPr="00954D98">
        <w:rPr>
          <w:rFonts w:eastAsia="Calibri"/>
        </w:rPr>
        <w:t>higher</w:t>
      </w:r>
      <w:r w:rsidR="00FE1BA1" w:rsidRPr="00954D98">
        <w:rPr>
          <w:rFonts w:eastAsia="Calibri"/>
        </w:rPr>
        <w:t xml:space="preserve"> capital gains</w:t>
      </w:r>
      <w:r w:rsidR="008C7848" w:rsidRPr="00954D98">
        <w:rPr>
          <w:rFonts w:eastAsia="Calibri"/>
        </w:rPr>
        <w:t>,</w:t>
      </w:r>
      <w:r w:rsidR="00FE1BA1" w:rsidRPr="00954D98">
        <w:rPr>
          <w:rFonts w:eastAsia="Calibri"/>
        </w:rPr>
        <w:t xml:space="preserve"> and </w:t>
      </w:r>
      <w:r w:rsidR="00F74260" w:rsidRPr="00954D98">
        <w:rPr>
          <w:rFonts w:eastAsia="Calibri"/>
        </w:rPr>
        <w:t xml:space="preserve">increased </w:t>
      </w:r>
      <w:r w:rsidR="00FE1BA1" w:rsidRPr="00954D98">
        <w:rPr>
          <w:rFonts w:eastAsia="Calibri"/>
        </w:rPr>
        <w:t>savings income.</w:t>
      </w:r>
    </w:p>
    <w:p w14:paraId="10E8E7CD" w14:textId="371F4AFE" w:rsidR="00F1044A" w:rsidRPr="00954D98" w:rsidRDefault="00A6406B" w:rsidP="00F1044A">
      <w:pPr>
        <w:rPr>
          <w:rFonts w:eastAsia="Calibri"/>
        </w:rPr>
      </w:pPr>
      <w:r w:rsidRPr="00954D98">
        <w:rPr>
          <w:rFonts w:eastAsia="Calibri"/>
        </w:rPr>
        <w:t>Company</w:t>
      </w:r>
      <w:r w:rsidR="00F1044A" w:rsidRPr="00954D98">
        <w:rPr>
          <w:rFonts w:eastAsia="Calibri"/>
        </w:rPr>
        <w:t xml:space="preserve"> tax receipts</w:t>
      </w:r>
      <w:r w:rsidR="00D939A9" w:rsidRPr="00954D98">
        <w:rPr>
          <w:rFonts w:eastAsia="Calibri"/>
        </w:rPr>
        <w:t xml:space="preserve"> </w:t>
      </w:r>
      <w:r w:rsidR="00F1044A" w:rsidRPr="00954D98">
        <w:rPr>
          <w:rFonts w:eastAsia="Calibri"/>
        </w:rPr>
        <w:t xml:space="preserve">have been revised </w:t>
      </w:r>
      <w:r w:rsidR="001D5848" w:rsidRPr="00954D98">
        <w:rPr>
          <w:rFonts w:eastAsia="Calibri"/>
        </w:rPr>
        <w:t>up</w:t>
      </w:r>
      <w:r w:rsidR="00F1044A" w:rsidRPr="00954D98">
        <w:rPr>
          <w:rFonts w:eastAsia="Calibri"/>
        </w:rPr>
        <w:t xml:space="preserve"> by $</w:t>
      </w:r>
      <w:r w:rsidR="00841190" w:rsidRPr="00954D98">
        <w:rPr>
          <w:rFonts w:eastAsia="Calibri"/>
        </w:rPr>
        <w:t>4.3</w:t>
      </w:r>
      <w:r w:rsidR="003C0CC3" w:rsidRPr="00954D98">
        <w:rPr>
          <w:rFonts w:eastAsia="Calibri"/>
        </w:rPr>
        <w:t> </w:t>
      </w:r>
      <w:r w:rsidR="00F1044A" w:rsidRPr="00954D98">
        <w:rPr>
          <w:rFonts w:eastAsia="Calibri"/>
        </w:rPr>
        <w:t xml:space="preserve">billion in </w:t>
      </w:r>
      <w:r w:rsidR="00EF2048" w:rsidRPr="00954D98">
        <w:rPr>
          <w:rFonts w:eastAsia="Calibri"/>
        </w:rPr>
        <w:t>2025–26</w:t>
      </w:r>
      <w:r w:rsidR="00F1044A" w:rsidRPr="00954D98">
        <w:rPr>
          <w:rFonts w:eastAsia="Calibri"/>
        </w:rPr>
        <w:t xml:space="preserve"> and </w:t>
      </w:r>
      <w:r w:rsidR="007F256C" w:rsidRPr="00954D98">
        <w:rPr>
          <w:rFonts w:eastAsia="Calibri"/>
        </w:rPr>
        <w:t xml:space="preserve">by </w:t>
      </w:r>
      <w:r w:rsidR="00F1044A" w:rsidRPr="00954D98">
        <w:rPr>
          <w:rFonts w:eastAsia="Calibri"/>
        </w:rPr>
        <w:t>$</w:t>
      </w:r>
      <w:r w:rsidR="008C5728" w:rsidRPr="00954D98">
        <w:rPr>
          <w:rFonts w:eastAsia="Calibri"/>
        </w:rPr>
        <w:t>1</w:t>
      </w:r>
      <w:r w:rsidR="00EF71F2" w:rsidRPr="00954D98">
        <w:rPr>
          <w:rFonts w:eastAsia="Calibri"/>
        </w:rPr>
        <w:t>2</w:t>
      </w:r>
      <w:r w:rsidR="008C5728" w:rsidRPr="00954D98">
        <w:rPr>
          <w:rFonts w:eastAsia="Calibri"/>
        </w:rPr>
        <w:t>.8</w:t>
      </w:r>
      <w:r w:rsidR="00F1044A" w:rsidRPr="00954D98">
        <w:rPr>
          <w:rFonts w:eastAsia="Calibri"/>
        </w:rPr>
        <w:t> billion over the four years to 202</w:t>
      </w:r>
      <w:r w:rsidR="008617CB" w:rsidRPr="00954D98">
        <w:rPr>
          <w:rFonts w:eastAsia="Calibri"/>
        </w:rPr>
        <w:t>8</w:t>
      </w:r>
      <w:r w:rsidR="00F1044A" w:rsidRPr="00954D98">
        <w:rPr>
          <w:rFonts w:eastAsia="Calibri"/>
        </w:rPr>
        <w:t>–2</w:t>
      </w:r>
      <w:r w:rsidR="008617CB" w:rsidRPr="00954D98">
        <w:rPr>
          <w:rFonts w:eastAsia="Calibri"/>
        </w:rPr>
        <w:t>9</w:t>
      </w:r>
      <w:r w:rsidR="00AA53A4" w:rsidRPr="00954D98">
        <w:rPr>
          <w:rFonts w:eastAsia="Calibri"/>
        </w:rPr>
        <w:t>,</w:t>
      </w:r>
      <w:r w:rsidR="00F40D24" w:rsidRPr="00954D98">
        <w:rPr>
          <w:rFonts w:eastAsia="Calibri"/>
        </w:rPr>
        <w:t xml:space="preserve"> driven by stronger</w:t>
      </w:r>
      <w:r w:rsidR="002D1A35" w:rsidRPr="00954D98">
        <w:rPr>
          <w:rFonts w:eastAsia="Calibri"/>
        </w:rPr>
        <w:t xml:space="preserve"> corporate profits</w:t>
      </w:r>
      <w:r w:rsidR="00F1044A" w:rsidRPr="00954D98">
        <w:rPr>
          <w:rFonts w:eastAsia="Calibri"/>
        </w:rPr>
        <w:t xml:space="preserve">. The </w:t>
      </w:r>
      <w:r w:rsidR="00AC72FC" w:rsidRPr="00954D98">
        <w:rPr>
          <w:rFonts w:eastAsia="Calibri"/>
        </w:rPr>
        <w:t>improved outlook for</w:t>
      </w:r>
      <w:r w:rsidR="002D1A35" w:rsidRPr="00954D98">
        <w:rPr>
          <w:rFonts w:eastAsia="Calibri"/>
        </w:rPr>
        <w:t xml:space="preserve"> profits is </w:t>
      </w:r>
      <w:r w:rsidR="00237C80" w:rsidRPr="00954D98">
        <w:rPr>
          <w:rFonts w:eastAsia="Calibri"/>
        </w:rPr>
        <w:t>due to both</w:t>
      </w:r>
      <w:r w:rsidR="002D1A35" w:rsidRPr="00954D98">
        <w:rPr>
          <w:rFonts w:eastAsia="Calibri"/>
        </w:rPr>
        <w:t xml:space="preserve"> non</w:t>
      </w:r>
      <w:r w:rsidR="00536CFF">
        <w:rPr>
          <w:rFonts w:eastAsia="Calibri"/>
        </w:rPr>
        <w:noBreakHyphen/>
      </w:r>
      <w:r w:rsidR="002D1A35" w:rsidRPr="00954D98">
        <w:rPr>
          <w:rFonts w:eastAsia="Calibri"/>
        </w:rPr>
        <w:t>mining profits flowing from higher nominal</w:t>
      </w:r>
      <w:r w:rsidR="00BA3337" w:rsidRPr="00954D98">
        <w:rPr>
          <w:rFonts w:eastAsia="Calibri"/>
        </w:rPr>
        <w:t xml:space="preserve"> private sector activity</w:t>
      </w:r>
      <w:r w:rsidR="002D1A35" w:rsidRPr="00954D98">
        <w:rPr>
          <w:rFonts w:eastAsia="Calibri"/>
        </w:rPr>
        <w:t xml:space="preserve"> </w:t>
      </w:r>
      <w:r w:rsidR="008C5BBF" w:rsidRPr="00954D98">
        <w:rPr>
          <w:rFonts w:eastAsia="Calibri"/>
        </w:rPr>
        <w:t>and</w:t>
      </w:r>
      <w:r w:rsidR="002D1A35" w:rsidRPr="00954D98">
        <w:rPr>
          <w:rFonts w:eastAsia="Calibri"/>
        </w:rPr>
        <w:t xml:space="preserve"> a near</w:t>
      </w:r>
      <w:r w:rsidR="00536CFF">
        <w:rPr>
          <w:rFonts w:eastAsia="Calibri"/>
        </w:rPr>
        <w:noBreakHyphen/>
      </w:r>
      <w:r w:rsidR="002D1A35" w:rsidRPr="00954D98">
        <w:rPr>
          <w:rFonts w:eastAsia="Calibri"/>
        </w:rPr>
        <w:t>term increase in mining profits reflecting higher bulk commodity and gold prices.</w:t>
      </w:r>
    </w:p>
    <w:p w14:paraId="52116675" w14:textId="7A13FAE0" w:rsidR="00F1044A" w:rsidRPr="00954D98" w:rsidRDefault="00440128" w:rsidP="00F1044A">
      <w:pPr>
        <w:rPr>
          <w:rFonts w:eastAsia="Calibri"/>
        </w:rPr>
      </w:pPr>
      <w:r w:rsidRPr="00954D98">
        <w:rPr>
          <w:rFonts w:eastAsia="Calibri"/>
        </w:rPr>
        <w:t>Superannuation</w:t>
      </w:r>
      <w:r w:rsidR="00F1044A" w:rsidRPr="00954D98">
        <w:rPr>
          <w:rFonts w:eastAsia="Calibri"/>
        </w:rPr>
        <w:t xml:space="preserve"> fund tax receipts</w:t>
      </w:r>
      <w:r w:rsidR="003A24B6" w:rsidRPr="00954D98">
        <w:rPr>
          <w:rFonts w:eastAsia="Calibri"/>
        </w:rPr>
        <w:t xml:space="preserve"> </w:t>
      </w:r>
      <w:r w:rsidR="00F1044A" w:rsidRPr="00954D98">
        <w:rPr>
          <w:rFonts w:eastAsia="Calibri"/>
        </w:rPr>
        <w:t>have been revised</w:t>
      </w:r>
      <w:r w:rsidR="00D250CB" w:rsidRPr="00954D98">
        <w:rPr>
          <w:rFonts w:eastAsia="Calibri"/>
        </w:rPr>
        <w:t xml:space="preserve"> </w:t>
      </w:r>
      <w:r w:rsidR="00F1044A" w:rsidRPr="00954D98">
        <w:rPr>
          <w:rFonts w:eastAsia="Calibri"/>
        </w:rPr>
        <w:t>u</w:t>
      </w:r>
      <w:r w:rsidR="00D250CB" w:rsidRPr="00954D98">
        <w:rPr>
          <w:rFonts w:eastAsia="Calibri"/>
        </w:rPr>
        <w:t>p</w:t>
      </w:r>
      <w:r w:rsidR="00F1044A" w:rsidRPr="00954D98">
        <w:rPr>
          <w:rFonts w:eastAsia="Calibri"/>
        </w:rPr>
        <w:t xml:space="preserve"> by $</w:t>
      </w:r>
      <w:r w:rsidR="00D3665B" w:rsidRPr="00954D98">
        <w:rPr>
          <w:rFonts w:eastAsia="Calibri"/>
        </w:rPr>
        <w:t>4.3</w:t>
      </w:r>
      <w:r w:rsidR="00F1044A" w:rsidRPr="00954D98">
        <w:rPr>
          <w:rFonts w:eastAsia="Calibri"/>
        </w:rPr>
        <w:t xml:space="preserve"> billion in </w:t>
      </w:r>
      <w:r w:rsidR="00EF2048" w:rsidRPr="00954D98">
        <w:rPr>
          <w:rFonts w:eastAsia="Calibri"/>
        </w:rPr>
        <w:t>2025–26</w:t>
      </w:r>
      <w:r w:rsidR="00F1044A" w:rsidRPr="00954D98">
        <w:rPr>
          <w:rFonts w:eastAsia="Calibri"/>
        </w:rPr>
        <w:t xml:space="preserve"> and </w:t>
      </w:r>
      <w:r w:rsidR="00B40389" w:rsidRPr="00954D98">
        <w:rPr>
          <w:rFonts w:eastAsia="Calibri"/>
        </w:rPr>
        <w:t>by</w:t>
      </w:r>
      <w:r w:rsidR="00F1044A" w:rsidRPr="00954D98">
        <w:rPr>
          <w:rFonts w:eastAsia="Calibri"/>
        </w:rPr>
        <w:t xml:space="preserve"> $</w:t>
      </w:r>
      <w:r w:rsidR="000B1520" w:rsidRPr="00954D98">
        <w:rPr>
          <w:rFonts w:eastAsia="Calibri"/>
        </w:rPr>
        <w:t>10.1</w:t>
      </w:r>
      <w:r w:rsidR="00F1044A" w:rsidRPr="00954D98">
        <w:rPr>
          <w:rFonts w:eastAsia="Calibri"/>
        </w:rPr>
        <w:t> billion over the four years to 202</w:t>
      </w:r>
      <w:r w:rsidR="005026D6" w:rsidRPr="00954D98">
        <w:rPr>
          <w:rFonts w:eastAsia="Calibri"/>
        </w:rPr>
        <w:t>8</w:t>
      </w:r>
      <w:r w:rsidR="00F1044A" w:rsidRPr="00954D98">
        <w:rPr>
          <w:rFonts w:eastAsia="Calibri"/>
        </w:rPr>
        <w:t>–2</w:t>
      </w:r>
      <w:r w:rsidR="005026D6" w:rsidRPr="00954D98">
        <w:rPr>
          <w:rFonts w:eastAsia="Calibri"/>
        </w:rPr>
        <w:t>9</w:t>
      </w:r>
      <w:r w:rsidR="00F1044A" w:rsidRPr="00954D98">
        <w:rPr>
          <w:rFonts w:eastAsia="Calibri"/>
        </w:rPr>
        <w:t xml:space="preserve">. The upward revision </w:t>
      </w:r>
      <w:r w:rsidR="0006030B" w:rsidRPr="00954D98">
        <w:rPr>
          <w:rFonts w:eastAsia="Calibri"/>
        </w:rPr>
        <w:t>reflect</w:t>
      </w:r>
      <w:r w:rsidR="000B1520" w:rsidRPr="00954D98">
        <w:rPr>
          <w:rFonts w:eastAsia="Calibri"/>
        </w:rPr>
        <w:t xml:space="preserve">s </w:t>
      </w:r>
      <w:r w:rsidR="004F081D" w:rsidRPr="00954D98">
        <w:rPr>
          <w:rFonts w:eastAsia="Calibri"/>
        </w:rPr>
        <w:t xml:space="preserve">higher </w:t>
      </w:r>
      <w:r w:rsidR="008958CE" w:rsidRPr="00954D98">
        <w:rPr>
          <w:rFonts w:eastAsia="Calibri"/>
        </w:rPr>
        <w:t xml:space="preserve">superannuation contributions (from higher wages) and </w:t>
      </w:r>
      <w:r w:rsidR="003478F2" w:rsidRPr="00954D98">
        <w:rPr>
          <w:rFonts w:eastAsia="Calibri"/>
        </w:rPr>
        <w:t xml:space="preserve">tax from </w:t>
      </w:r>
      <w:r w:rsidR="00AC32C3" w:rsidRPr="00954D98">
        <w:rPr>
          <w:rFonts w:eastAsia="Calibri"/>
        </w:rPr>
        <w:t xml:space="preserve">investment </w:t>
      </w:r>
      <w:r w:rsidR="003478F2" w:rsidRPr="00954D98">
        <w:rPr>
          <w:rFonts w:eastAsia="Calibri"/>
        </w:rPr>
        <w:t>earnings</w:t>
      </w:r>
      <w:r w:rsidR="00104A3F" w:rsidRPr="00954D98">
        <w:rPr>
          <w:rFonts w:eastAsia="Calibri"/>
        </w:rPr>
        <w:t>.</w:t>
      </w:r>
    </w:p>
    <w:p w14:paraId="00947F2F" w14:textId="203D8034" w:rsidR="00F1044A" w:rsidRPr="00954D98" w:rsidRDefault="000014A3" w:rsidP="00F1044A">
      <w:pPr>
        <w:rPr>
          <w:rFonts w:eastAsia="Calibri"/>
        </w:rPr>
      </w:pPr>
      <w:r w:rsidRPr="00954D98">
        <w:rPr>
          <w:rFonts w:eastAsia="Calibri"/>
        </w:rPr>
        <w:t>Fringe</w:t>
      </w:r>
      <w:r w:rsidR="00F1044A" w:rsidRPr="00954D98">
        <w:rPr>
          <w:rFonts w:eastAsia="Calibri"/>
        </w:rPr>
        <w:t xml:space="preserve"> benefits tax receipts</w:t>
      </w:r>
      <w:r w:rsidR="00AC32C3" w:rsidRPr="00954D98">
        <w:rPr>
          <w:rFonts w:eastAsia="Calibri"/>
        </w:rPr>
        <w:t xml:space="preserve"> </w:t>
      </w:r>
      <w:r w:rsidR="00F1044A" w:rsidRPr="00954D98">
        <w:rPr>
          <w:rFonts w:eastAsia="Calibri"/>
        </w:rPr>
        <w:t xml:space="preserve">have been </w:t>
      </w:r>
      <w:r w:rsidR="00BF7C1C" w:rsidRPr="00954D98">
        <w:rPr>
          <w:rFonts w:eastAsia="Calibri"/>
        </w:rPr>
        <w:t>upgraded</w:t>
      </w:r>
      <w:r w:rsidR="00F1044A" w:rsidRPr="00954D98">
        <w:rPr>
          <w:rFonts w:eastAsia="Calibri"/>
        </w:rPr>
        <w:t xml:space="preserve"> by $</w:t>
      </w:r>
      <w:r w:rsidR="00ED368B" w:rsidRPr="00954D98">
        <w:rPr>
          <w:rFonts w:eastAsia="Calibri"/>
        </w:rPr>
        <w:t>0.2</w:t>
      </w:r>
      <w:r w:rsidR="003C0CC3" w:rsidRPr="00954D98">
        <w:rPr>
          <w:rFonts w:eastAsia="Calibri"/>
        </w:rPr>
        <w:t> </w:t>
      </w:r>
      <w:r w:rsidR="00F1044A" w:rsidRPr="00954D98">
        <w:rPr>
          <w:rFonts w:eastAsia="Calibri"/>
        </w:rPr>
        <w:t xml:space="preserve">billion in </w:t>
      </w:r>
      <w:r w:rsidR="00EF2048" w:rsidRPr="00954D98">
        <w:rPr>
          <w:rFonts w:eastAsia="Calibri"/>
        </w:rPr>
        <w:t>2025–26</w:t>
      </w:r>
      <w:r w:rsidR="00F1044A" w:rsidRPr="00954D98">
        <w:rPr>
          <w:rFonts w:eastAsia="Calibri"/>
        </w:rPr>
        <w:t xml:space="preserve"> and $</w:t>
      </w:r>
      <w:r w:rsidR="0033518B" w:rsidRPr="00954D98">
        <w:rPr>
          <w:rFonts w:eastAsia="Calibri"/>
        </w:rPr>
        <w:t>1</w:t>
      </w:r>
      <w:r w:rsidR="00E97FEC" w:rsidRPr="00954D98">
        <w:rPr>
          <w:rFonts w:eastAsia="Calibri"/>
        </w:rPr>
        <w:t>.2</w:t>
      </w:r>
      <w:r w:rsidR="00F1044A" w:rsidRPr="00954D98">
        <w:rPr>
          <w:rFonts w:eastAsia="Calibri"/>
        </w:rPr>
        <w:t> billion over the four years to 202</w:t>
      </w:r>
      <w:r w:rsidR="00E97FEC" w:rsidRPr="00954D98">
        <w:rPr>
          <w:rFonts w:eastAsia="Calibri"/>
        </w:rPr>
        <w:t>8</w:t>
      </w:r>
      <w:r w:rsidR="00F1044A" w:rsidRPr="00954D98">
        <w:rPr>
          <w:rFonts w:eastAsia="Calibri"/>
        </w:rPr>
        <w:t>–2</w:t>
      </w:r>
      <w:r w:rsidR="00E97FEC" w:rsidRPr="00954D98">
        <w:rPr>
          <w:rFonts w:eastAsia="Calibri"/>
        </w:rPr>
        <w:t>9</w:t>
      </w:r>
      <w:r w:rsidR="00F1044A" w:rsidRPr="00954D98">
        <w:rPr>
          <w:rFonts w:eastAsia="Calibri"/>
        </w:rPr>
        <w:t xml:space="preserve">, reflecting </w:t>
      </w:r>
      <w:r w:rsidR="00D27BDE" w:rsidRPr="00954D98">
        <w:rPr>
          <w:rFonts w:eastAsia="Calibri"/>
        </w:rPr>
        <w:t>strength in current</w:t>
      </w:r>
      <w:r w:rsidR="00536CFF">
        <w:rPr>
          <w:rFonts w:eastAsia="Calibri"/>
        </w:rPr>
        <w:noBreakHyphen/>
      </w:r>
      <w:r w:rsidR="00D27BDE" w:rsidRPr="00954D98">
        <w:rPr>
          <w:rFonts w:eastAsia="Calibri"/>
        </w:rPr>
        <w:t>year collections</w:t>
      </w:r>
      <w:r w:rsidR="00821EDB" w:rsidRPr="00954D98">
        <w:rPr>
          <w:rFonts w:eastAsia="Calibri"/>
        </w:rPr>
        <w:t xml:space="preserve"> and higher compensation of employees</w:t>
      </w:r>
      <w:r w:rsidR="00F1044A" w:rsidRPr="00954D98">
        <w:rPr>
          <w:rFonts w:eastAsia="Calibri"/>
        </w:rPr>
        <w:t>.</w:t>
      </w:r>
    </w:p>
    <w:p w14:paraId="5BDFD808" w14:textId="50A5CA09" w:rsidR="00F1044A" w:rsidRPr="00954D98" w:rsidRDefault="00AE6681" w:rsidP="00F1044A">
      <w:pPr>
        <w:rPr>
          <w:rFonts w:eastAsia="Calibri"/>
        </w:rPr>
      </w:pPr>
      <w:r w:rsidRPr="00954D98">
        <w:rPr>
          <w:rFonts w:eastAsia="Calibri"/>
        </w:rPr>
        <w:lastRenderedPageBreak/>
        <w:t>Petroleum</w:t>
      </w:r>
      <w:r w:rsidR="00F1044A" w:rsidRPr="00954D98">
        <w:rPr>
          <w:rFonts w:eastAsia="Calibri"/>
        </w:rPr>
        <w:t xml:space="preserve"> resource rent tax receipts have been revised down by $</w:t>
      </w:r>
      <w:r w:rsidR="00905D2E" w:rsidRPr="00954D98">
        <w:rPr>
          <w:rFonts w:eastAsia="Calibri"/>
        </w:rPr>
        <w:t>0</w:t>
      </w:r>
      <w:r w:rsidR="00D74DB8" w:rsidRPr="00954D98">
        <w:rPr>
          <w:rFonts w:eastAsia="Calibri"/>
        </w:rPr>
        <w:t>.5</w:t>
      </w:r>
      <w:r w:rsidR="00F1044A" w:rsidRPr="00954D98">
        <w:rPr>
          <w:rFonts w:eastAsia="Calibri"/>
        </w:rPr>
        <w:t xml:space="preserve"> billion in </w:t>
      </w:r>
      <w:r w:rsidR="00EF2048" w:rsidRPr="00954D98">
        <w:rPr>
          <w:rFonts w:eastAsia="Calibri"/>
        </w:rPr>
        <w:t>2025–26</w:t>
      </w:r>
      <w:r w:rsidR="00F1044A" w:rsidRPr="00954D98">
        <w:rPr>
          <w:rFonts w:eastAsia="Calibri"/>
        </w:rPr>
        <w:t xml:space="preserve"> and </w:t>
      </w:r>
      <w:r w:rsidR="00B40389" w:rsidRPr="00954D98">
        <w:rPr>
          <w:rFonts w:eastAsia="Calibri"/>
        </w:rPr>
        <w:t>by</w:t>
      </w:r>
      <w:r w:rsidR="00F1044A" w:rsidRPr="00954D98">
        <w:rPr>
          <w:rFonts w:eastAsia="Calibri"/>
        </w:rPr>
        <w:t xml:space="preserve"> $</w:t>
      </w:r>
      <w:r w:rsidR="002802D5" w:rsidRPr="00954D98">
        <w:rPr>
          <w:rFonts w:eastAsia="Calibri"/>
        </w:rPr>
        <w:t>1.5</w:t>
      </w:r>
      <w:r w:rsidR="00F1044A" w:rsidRPr="00954D98">
        <w:rPr>
          <w:rFonts w:eastAsia="Calibri"/>
        </w:rPr>
        <w:t> billion over the four years to 202</w:t>
      </w:r>
      <w:r w:rsidR="0006030B" w:rsidRPr="00954D98">
        <w:rPr>
          <w:rFonts w:eastAsia="Calibri"/>
        </w:rPr>
        <w:t>8</w:t>
      </w:r>
      <w:r w:rsidR="00F1044A" w:rsidRPr="00954D98">
        <w:rPr>
          <w:rFonts w:eastAsia="Calibri"/>
        </w:rPr>
        <w:t>–</w:t>
      </w:r>
      <w:r w:rsidR="002802D5" w:rsidRPr="00954D98">
        <w:rPr>
          <w:rFonts w:eastAsia="Calibri"/>
        </w:rPr>
        <w:t>2</w:t>
      </w:r>
      <w:r w:rsidR="0006030B" w:rsidRPr="00954D98">
        <w:rPr>
          <w:rFonts w:eastAsia="Calibri"/>
        </w:rPr>
        <w:t>9</w:t>
      </w:r>
      <w:r w:rsidR="00F1044A" w:rsidRPr="00954D98">
        <w:rPr>
          <w:rFonts w:eastAsia="Calibri"/>
        </w:rPr>
        <w:t xml:space="preserve">. </w:t>
      </w:r>
      <w:r w:rsidR="00EA3D1E" w:rsidRPr="00954D98">
        <w:rPr>
          <w:rFonts w:eastAsia="Calibri"/>
        </w:rPr>
        <w:t xml:space="preserve">This </w:t>
      </w:r>
      <w:r w:rsidR="00F1044A" w:rsidRPr="00954D98">
        <w:rPr>
          <w:rFonts w:eastAsia="Calibri"/>
        </w:rPr>
        <w:t>downgrade</w:t>
      </w:r>
      <w:bookmarkStart w:id="38" w:name="_Hlk149229257"/>
      <w:r w:rsidR="00A05F7B" w:rsidRPr="00954D98">
        <w:t xml:space="preserve"> </w:t>
      </w:r>
      <w:r w:rsidR="00A05F7B" w:rsidRPr="00954D98">
        <w:rPr>
          <w:rFonts w:eastAsia="Calibri"/>
        </w:rPr>
        <w:t xml:space="preserve">reflects a lower assumed oil price and an increase in </w:t>
      </w:r>
      <w:r w:rsidR="00363CE0" w:rsidRPr="00954D98">
        <w:rPr>
          <w:rFonts w:eastAsia="Calibri"/>
        </w:rPr>
        <w:t xml:space="preserve">credits for </w:t>
      </w:r>
      <w:r w:rsidR="00A05F7B" w:rsidRPr="00954D98">
        <w:rPr>
          <w:rFonts w:eastAsia="Calibri"/>
        </w:rPr>
        <w:t>decommissioning expenditure</w:t>
      </w:r>
      <w:r w:rsidR="00AA1A57" w:rsidRPr="00954D98">
        <w:rPr>
          <w:rFonts w:eastAsia="Calibri"/>
        </w:rPr>
        <w:t xml:space="preserve"> incurred by projects no longer producing</w:t>
      </w:r>
      <w:r w:rsidR="00A05F7B" w:rsidRPr="00954D98">
        <w:rPr>
          <w:rFonts w:eastAsia="Calibri"/>
        </w:rPr>
        <w:t>.</w:t>
      </w:r>
    </w:p>
    <w:bookmarkEnd w:id="38"/>
    <w:p w14:paraId="356FA052" w14:textId="54088F87" w:rsidR="00F1044A" w:rsidRPr="00954D98" w:rsidRDefault="008C0D7B" w:rsidP="001E5CC1">
      <w:pPr>
        <w:rPr>
          <w:rFonts w:eastAsia="Calibri"/>
        </w:rPr>
      </w:pPr>
      <w:r w:rsidRPr="00954D98">
        <w:rPr>
          <w:rFonts w:eastAsia="Calibri"/>
        </w:rPr>
        <w:t>Total</w:t>
      </w:r>
      <w:r w:rsidR="00F1044A" w:rsidRPr="00954D98">
        <w:rPr>
          <w:rFonts w:eastAsia="Calibri"/>
        </w:rPr>
        <w:t xml:space="preserve"> excise and customs duty receipts</w:t>
      </w:r>
      <w:r w:rsidR="00701673" w:rsidRPr="00954D98">
        <w:rPr>
          <w:rFonts w:eastAsia="Calibri"/>
        </w:rPr>
        <w:t xml:space="preserve"> </w:t>
      </w:r>
      <w:r w:rsidR="00F1044A" w:rsidRPr="00954D98">
        <w:rPr>
          <w:rFonts w:eastAsia="Calibri"/>
        </w:rPr>
        <w:t xml:space="preserve">have been </w:t>
      </w:r>
      <w:r w:rsidR="00141247" w:rsidRPr="00954D98">
        <w:rPr>
          <w:rFonts w:eastAsia="Calibri"/>
        </w:rPr>
        <w:t>downgraded</w:t>
      </w:r>
      <w:r w:rsidR="0006030B" w:rsidRPr="00954D98">
        <w:rPr>
          <w:rFonts w:eastAsia="Calibri"/>
        </w:rPr>
        <w:t xml:space="preserve"> </w:t>
      </w:r>
      <w:r w:rsidR="00F1044A" w:rsidRPr="00954D98">
        <w:rPr>
          <w:rFonts w:eastAsia="Calibri"/>
        </w:rPr>
        <w:t>by $</w:t>
      </w:r>
      <w:r w:rsidR="00163185" w:rsidRPr="00954D98">
        <w:rPr>
          <w:rFonts w:eastAsia="Calibri"/>
        </w:rPr>
        <w:t>3.3</w:t>
      </w:r>
      <w:r w:rsidR="00F1044A" w:rsidRPr="00954D98">
        <w:rPr>
          <w:rFonts w:eastAsia="Calibri"/>
        </w:rPr>
        <w:t xml:space="preserve"> billion in </w:t>
      </w:r>
      <w:r w:rsidR="00EF2048" w:rsidRPr="00954D98">
        <w:rPr>
          <w:rFonts w:eastAsia="Calibri"/>
        </w:rPr>
        <w:t>2025–26</w:t>
      </w:r>
      <w:r w:rsidR="00F1044A" w:rsidRPr="00954D98">
        <w:rPr>
          <w:rFonts w:eastAsia="Calibri"/>
        </w:rPr>
        <w:t xml:space="preserve"> and </w:t>
      </w:r>
      <w:r w:rsidR="00A666FC" w:rsidRPr="00954D98">
        <w:rPr>
          <w:rFonts w:eastAsia="Calibri"/>
        </w:rPr>
        <w:t>by</w:t>
      </w:r>
      <w:r w:rsidR="00F1044A" w:rsidRPr="00954D98">
        <w:rPr>
          <w:rFonts w:eastAsia="Calibri"/>
        </w:rPr>
        <w:t xml:space="preserve"> $</w:t>
      </w:r>
      <w:r w:rsidR="002220DA" w:rsidRPr="00954D98">
        <w:rPr>
          <w:rFonts w:eastAsia="Calibri"/>
        </w:rPr>
        <w:t>13.1</w:t>
      </w:r>
      <w:r w:rsidR="00F1044A" w:rsidRPr="00954D98">
        <w:rPr>
          <w:rFonts w:eastAsia="Calibri"/>
        </w:rPr>
        <w:t> billion over the four years to 202</w:t>
      </w:r>
      <w:r w:rsidR="002220DA" w:rsidRPr="00954D98">
        <w:rPr>
          <w:rFonts w:eastAsia="Calibri"/>
        </w:rPr>
        <w:t>8</w:t>
      </w:r>
      <w:r w:rsidR="00F1044A" w:rsidRPr="00954D98">
        <w:rPr>
          <w:rFonts w:eastAsia="Calibri"/>
        </w:rPr>
        <w:t>–2</w:t>
      </w:r>
      <w:r w:rsidR="002220DA" w:rsidRPr="00954D98">
        <w:rPr>
          <w:rFonts w:eastAsia="Calibri"/>
        </w:rPr>
        <w:t>9</w:t>
      </w:r>
      <w:r w:rsidR="00F1044A" w:rsidRPr="00954D98">
        <w:rPr>
          <w:rFonts w:eastAsia="Calibri"/>
        </w:rPr>
        <w:t xml:space="preserve">. This </w:t>
      </w:r>
      <w:r w:rsidR="00914D27" w:rsidRPr="00954D98">
        <w:rPr>
          <w:rFonts w:eastAsia="Calibri"/>
        </w:rPr>
        <w:t>is</w:t>
      </w:r>
      <w:r w:rsidR="00F1044A" w:rsidRPr="00954D98">
        <w:rPr>
          <w:rFonts w:eastAsia="Calibri"/>
        </w:rPr>
        <w:t xml:space="preserve"> largely </w:t>
      </w:r>
      <w:r w:rsidR="00914D27" w:rsidRPr="00954D98">
        <w:rPr>
          <w:rFonts w:eastAsia="Calibri"/>
        </w:rPr>
        <w:t>due to</w:t>
      </w:r>
      <w:r w:rsidR="001E5CC1" w:rsidRPr="00954D98">
        <w:rPr>
          <w:rFonts w:eastAsia="Calibri"/>
        </w:rPr>
        <w:t xml:space="preserve"> lower tobacco excise receipts, which have been downgraded by $</w:t>
      </w:r>
      <w:r w:rsidR="00A07548" w:rsidRPr="00954D98">
        <w:rPr>
          <w:rFonts w:eastAsia="Calibri"/>
        </w:rPr>
        <w:t>1.6</w:t>
      </w:r>
      <w:r w:rsidR="00990D9C" w:rsidRPr="00954D98">
        <w:rPr>
          <w:rFonts w:eastAsia="Calibri"/>
        </w:rPr>
        <w:t> </w:t>
      </w:r>
      <w:r w:rsidR="001E5CC1" w:rsidRPr="00954D98">
        <w:rPr>
          <w:rFonts w:eastAsia="Calibri"/>
        </w:rPr>
        <w:t>billion in 202</w:t>
      </w:r>
      <w:r w:rsidR="00A07548" w:rsidRPr="00954D98">
        <w:rPr>
          <w:rFonts w:eastAsia="Calibri"/>
        </w:rPr>
        <w:t>5</w:t>
      </w:r>
      <w:r w:rsidR="001E5CC1" w:rsidRPr="00954D98">
        <w:rPr>
          <w:rFonts w:eastAsia="Calibri"/>
        </w:rPr>
        <w:t>–2</w:t>
      </w:r>
      <w:r w:rsidR="00A07548" w:rsidRPr="00954D98">
        <w:rPr>
          <w:rFonts w:eastAsia="Calibri"/>
        </w:rPr>
        <w:t>6</w:t>
      </w:r>
      <w:r w:rsidR="001E5CC1" w:rsidRPr="00954D98">
        <w:rPr>
          <w:rFonts w:eastAsia="Calibri"/>
        </w:rPr>
        <w:t xml:space="preserve"> and $</w:t>
      </w:r>
      <w:r w:rsidR="00585408" w:rsidRPr="00954D98">
        <w:rPr>
          <w:rFonts w:eastAsia="Calibri"/>
        </w:rPr>
        <w:t>8.</w:t>
      </w:r>
      <w:r w:rsidR="00C576B5" w:rsidRPr="00954D98">
        <w:rPr>
          <w:rFonts w:eastAsia="Calibri"/>
        </w:rPr>
        <w:t>2</w:t>
      </w:r>
      <w:r w:rsidR="00D47DB0" w:rsidRPr="00954D98">
        <w:rPr>
          <w:rFonts w:eastAsia="Calibri"/>
        </w:rPr>
        <w:t> </w:t>
      </w:r>
      <w:r w:rsidR="001E5CC1" w:rsidRPr="00954D98">
        <w:rPr>
          <w:rFonts w:eastAsia="Calibri"/>
        </w:rPr>
        <w:t>billion over the four years to 202</w:t>
      </w:r>
      <w:r w:rsidR="00585408" w:rsidRPr="00954D98">
        <w:rPr>
          <w:rFonts w:eastAsia="Calibri"/>
        </w:rPr>
        <w:t>8</w:t>
      </w:r>
      <w:r w:rsidR="001E5CC1" w:rsidRPr="00954D98">
        <w:rPr>
          <w:rFonts w:eastAsia="Calibri"/>
        </w:rPr>
        <w:t>–2</w:t>
      </w:r>
      <w:r w:rsidR="00585408" w:rsidRPr="00954D98">
        <w:rPr>
          <w:rFonts w:eastAsia="Calibri"/>
        </w:rPr>
        <w:t>9</w:t>
      </w:r>
      <w:r w:rsidR="001E5CC1" w:rsidRPr="00954D98">
        <w:rPr>
          <w:rFonts w:eastAsia="Calibri"/>
        </w:rPr>
        <w:t>, owing to lower</w:t>
      </w:r>
      <w:r w:rsidR="00536CFF">
        <w:rPr>
          <w:rFonts w:eastAsia="Calibri"/>
        </w:rPr>
        <w:noBreakHyphen/>
      </w:r>
      <w:r w:rsidR="001E5CC1" w:rsidRPr="00954D98">
        <w:rPr>
          <w:rFonts w:eastAsia="Calibri"/>
        </w:rPr>
        <w:t>than</w:t>
      </w:r>
      <w:r w:rsidR="00536CFF">
        <w:rPr>
          <w:rFonts w:eastAsia="Calibri"/>
        </w:rPr>
        <w:noBreakHyphen/>
      </w:r>
      <w:r w:rsidR="001E5CC1" w:rsidRPr="00954D98">
        <w:rPr>
          <w:rFonts w:eastAsia="Calibri"/>
        </w:rPr>
        <w:t xml:space="preserve">expected tobacco excise collections </w:t>
      </w:r>
      <w:r w:rsidR="004C0573" w:rsidRPr="00954D98">
        <w:rPr>
          <w:rFonts w:eastAsia="Calibri"/>
        </w:rPr>
        <w:t>to date</w:t>
      </w:r>
      <w:r w:rsidR="009342A4" w:rsidRPr="00954D98">
        <w:rPr>
          <w:rFonts w:eastAsia="Calibri"/>
        </w:rPr>
        <w:t xml:space="preserve">. </w:t>
      </w:r>
      <w:r w:rsidR="009342A4" w:rsidRPr="00954D98">
        <w:t xml:space="preserve">This </w:t>
      </w:r>
      <w:r w:rsidR="00DC4C77" w:rsidRPr="00954D98">
        <w:rPr>
          <w:rFonts w:eastAsia="Calibri"/>
        </w:rPr>
        <w:t>reflects</w:t>
      </w:r>
      <w:r w:rsidR="004903CF" w:rsidRPr="00954D98">
        <w:rPr>
          <w:rFonts w:eastAsia="Calibri"/>
        </w:rPr>
        <w:t xml:space="preserve"> </w:t>
      </w:r>
      <w:r w:rsidR="001E5CC1" w:rsidRPr="00954D98">
        <w:rPr>
          <w:rFonts w:eastAsia="Calibri"/>
        </w:rPr>
        <w:t xml:space="preserve">the </w:t>
      </w:r>
      <w:r w:rsidR="00583FE8" w:rsidRPr="00954D98">
        <w:rPr>
          <w:rFonts w:eastAsia="Calibri"/>
        </w:rPr>
        <w:t>persistent</w:t>
      </w:r>
      <w:r w:rsidR="009A5695" w:rsidRPr="00954D98">
        <w:rPr>
          <w:rFonts w:eastAsia="Calibri"/>
        </w:rPr>
        <w:t xml:space="preserve"> and</w:t>
      </w:r>
      <w:r w:rsidR="004903CF" w:rsidRPr="00954D98">
        <w:rPr>
          <w:rFonts w:eastAsia="Calibri"/>
        </w:rPr>
        <w:t xml:space="preserve"> significant decline in </w:t>
      </w:r>
      <w:r w:rsidR="00DA603C" w:rsidRPr="00954D98">
        <w:rPr>
          <w:rFonts w:eastAsia="Calibri"/>
        </w:rPr>
        <w:t xml:space="preserve">legal </w:t>
      </w:r>
      <w:r w:rsidR="001E5CC1" w:rsidRPr="00954D98">
        <w:rPr>
          <w:rFonts w:eastAsia="Calibri"/>
        </w:rPr>
        <w:t>tobacco consumption.</w:t>
      </w:r>
      <w:r w:rsidR="00E13317" w:rsidRPr="00954D98">
        <w:rPr>
          <w:rFonts w:eastAsia="Calibri"/>
        </w:rPr>
        <w:t xml:space="preserve"> </w:t>
      </w:r>
      <w:r w:rsidR="006F586E" w:rsidRPr="00954D98">
        <w:rPr>
          <w:rFonts w:eastAsia="Calibri"/>
        </w:rPr>
        <w:t>A</w:t>
      </w:r>
      <w:r w:rsidR="00F627B5" w:rsidRPr="00954D98">
        <w:rPr>
          <w:rFonts w:eastAsia="Calibri"/>
        </w:rPr>
        <w:t> </w:t>
      </w:r>
      <w:r w:rsidR="006F586E" w:rsidRPr="00954D98">
        <w:rPr>
          <w:rFonts w:eastAsia="Calibri"/>
        </w:rPr>
        <w:t>w</w:t>
      </w:r>
      <w:r w:rsidR="000B75A9" w:rsidRPr="00954D98">
        <w:rPr>
          <w:rFonts w:eastAsia="Calibri"/>
        </w:rPr>
        <w:t>eaker</w:t>
      </w:r>
      <w:r w:rsidR="001E5CC1" w:rsidRPr="00954D98">
        <w:rPr>
          <w:rFonts w:eastAsia="Calibri"/>
        </w:rPr>
        <w:t xml:space="preserve"> outlook</w:t>
      </w:r>
      <w:r w:rsidR="0092483D" w:rsidRPr="00954D98">
        <w:rPr>
          <w:rFonts w:eastAsia="Calibri"/>
        </w:rPr>
        <w:t xml:space="preserve"> </w:t>
      </w:r>
      <w:r w:rsidR="006F586E" w:rsidRPr="00954D98">
        <w:rPr>
          <w:rFonts w:eastAsia="Calibri"/>
        </w:rPr>
        <w:t>for</w:t>
      </w:r>
      <w:r w:rsidR="00E13317" w:rsidRPr="00954D98">
        <w:rPr>
          <w:rFonts w:eastAsia="Calibri"/>
        </w:rPr>
        <w:t xml:space="preserve"> </w:t>
      </w:r>
      <w:r w:rsidR="0092483D" w:rsidRPr="00954D98">
        <w:rPr>
          <w:rFonts w:eastAsia="Calibri"/>
        </w:rPr>
        <w:t>alcohol</w:t>
      </w:r>
      <w:r w:rsidR="009C1CCE" w:rsidRPr="00954D98">
        <w:rPr>
          <w:rFonts w:eastAsia="Calibri"/>
        </w:rPr>
        <w:t xml:space="preserve"> </w:t>
      </w:r>
      <w:r w:rsidR="00E13317" w:rsidRPr="00954D98">
        <w:rPr>
          <w:rFonts w:eastAsia="Calibri"/>
        </w:rPr>
        <w:t>and fuel</w:t>
      </w:r>
      <w:r w:rsidR="0092483D" w:rsidRPr="00954D98">
        <w:rPr>
          <w:rFonts w:eastAsia="Calibri"/>
        </w:rPr>
        <w:t xml:space="preserve"> </w:t>
      </w:r>
      <w:r w:rsidR="003B144C" w:rsidRPr="00954D98">
        <w:rPr>
          <w:rFonts w:eastAsia="Calibri"/>
        </w:rPr>
        <w:t>excise</w:t>
      </w:r>
      <w:r w:rsidR="0092483D" w:rsidRPr="00954D98">
        <w:rPr>
          <w:rFonts w:eastAsia="Calibri"/>
        </w:rPr>
        <w:t xml:space="preserve"> </w:t>
      </w:r>
      <w:r w:rsidR="002A47EB" w:rsidRPr="00954D98">
        <w:rPr>
          <w:rFonts w:eastAsia="Calibri"/>
        </w:rPr>
        <w:t xml:space="preserve">receipts </w:t>
      </w:r>
      <w:r w:rsidR="0092483D" w:rsidRPr="00954D98">
        <w:rPr>
          <w:rFonts w:eastAsia="Calibri"/>
        </w:rPr>
        <w:t>also contribute</w:t>
      </w:r>
      <w:r w:rsidR="00BF1A6F" w:rsidRPr="00954D98">
        <w:rPr>
          <w:rFonts w:eastAsia="Calibri"/>
        </w:rPr>
        <w:t>s</w:t>
      </w:r>
      <w:r w:rsidR="0092483D" w:rsidRPr="00954D98">
        <w:rPr>
          <w:rFonts w:eastAsia="Calibri"/>
        </w:rPr>
        <w:t xml:space="preserve"> to the </w:t>
      </w:r>
      <w:r w:rsidR="00C368E8" w:rsidRPr="00954D98">
        <w:rPr>
          <w:rFonts w:eastAsia="Calibri"/>
        </w:rPr>
        <w:t>downgrade</w:t>
      </w:r>
      <w:r w:rsidR="00326DA3" w:rsidRPr="00954D98">
        <w:rPr>
          <w:rFonts w:eastAsia="Calibri"/>
        </w:rPr>
        <w:t>.</w:t>
      </w:r>
      <w:r w:rsidR="00E13317" w:rsidRPr="00954D98">
        <w:rPr>
          <w:rFonts w:eastAsia="Calibri"/>
        </w:rPr>
        <w:t xml:space="preserve"> </w:t>
      </w:r>
    </w:p>
    <w:p w14:paraId="166640EF" w14:textId="56E2C3DC" w:rsidR="00F1044A" w:rsidRPr="00954D98" w:rsidRDefault="00F1044A" w:rsidP="00F1044A">
      <w:pPr>
        <w:rPr>
          <w:rFonts w:eastAsia="Calibri"/>
        </w:rPr>
      </w:pPr>
      <w:r w:rsidRPr="00954D98">
        <w:rPr>
          <w:rFonts w:eastAsia="Calibri"/>
        </w:rPr>
        <w:t>GST receipts</w:t>
      </w:r>
      <w:r w:rsidR="00CC233A" w:rsidRPr="00954D98">
        <w:rPr>
          <w:rFonts w:eastAsia="Calibri"/>
        </w:rPr>
        <w:t xml:space="preserve"> </w:t>
      </w:r>
      <w:r w:rsidRPr="00954D98">
        <w:rPr>
          <w:rFonts w:eastAsia="Calibri"/>
        </w:rPr>
        <w:t xml:space="preserve">have been </w:t>
      </w:r>
      <w:r w:rsidR="00F67ED5" w:rsidRPr="00954D98">
        <w:rPr>
          <w:rFonts w:eastAsia="Calibri"/>
        </w:rPr>
        <w:t xml:space="preserve">upgraded </w:t>
      </w:r>
      <w:r w:rsidRPr="00954D98">
        <w:rPr>
          <w:rFonts w:eastAsia="Calibri"/>
        </w:rPr>
        <w:t>by $</w:t>
      </w:r>
      <w:r w:rsidR="00F67ED5" w:rsidRPr="00954D98">
        <w:rPr>
          <w:rFonts w:eastAsia="Calibri"/>
        </w:rPr>
        <w:t>1.4</w:t>
      </w:r>
      <w:r w:rsidRPr="00954D98">
        <w:rPr>
          <w:rFonts w:eastAsia="Calibri"/>
        </w:rPr>
        <w:t xml:space="preserve"> billion in </w:t>
      </w:r>
      <w:r w:rsidR="00EF2048" w:rsidRPr="00954D98">
        <w:rPr>
          <w:rFonts w:eastAsia="Calibri"/>
        </w:rPr>
        <w:t>2025–26</w:t>
      </w:r>
      <w:r w:rsidRPr="00954D98">
        <w:rPr>
          <w:rFonts w:eastAsia="Calibri"/>
        </w:rPr>
        <w:t xml:space="preserve"> and </w:t>
      </w:r>
      <w:r w:rsidR="00BF1A6F" w:rsidRPr="00954D98">
        <w:rPr>
          <w:rFonts w:eastAsia="Calibri"/>
        </w:rPr>
        <w:t>by</w:t>
      </w:r>
      <w:r w:rsidRPr="00954D98">
        <w:rPr>
          <w:rFonts w:eastAsia="Calibri"/>
        </w:rPr>
        <w:t xml:space="preserve"> $</w:t>
      </w:r>
      <w:r w:rsidR="00943F66" w:rsidRPr="00954D98">
        <w:rPr>
          <w:rFonts w:eastAsia="Calibri"/>
        </w:rPr>
        <w:t>8.9</w:t>
      </w:r>
      <w:r w:rsidRPr="00954D98">
        <w:rPr>
          <w:rFonts w:eastAsia="Calibri"/>
        </w:rPr>
        <w:t xml:space="preserve"> billion over the four years to </w:t>
      </w:r>
      <w:r w:rsidR="00DF16F7" w:rsidRPr="00954D98">
        <w:rPr>
          <w:rFonts w:eastAsia="Calibri"/>
        </w:rPr>
        <w:t>2028–29</w:t>
      </w:r>
      <w:r w:rsidRPr="00954D98">
        <w:rPr>
          <w:rFonts w:eastAsia="Calibri"/>
        </w:rPr>
        <w:t xml:space="preserve">. This reflects </w:t>
      </w:r>
      <w:r w:rsidR="00B51D98" w:rsidRPr="00954D98">
        <w:rPr>
          <w:rFonts w:eastAsia="Calibri"/>
        </w:rPr>
        <w:t>stronger current year collections supported by higher nominal consumption growth across the forward estimates.</w:t>
      </w:r>
    </w:p>
    <w:p w14:paraId="04459F39" w14:textId="62FE0F0E" w:rsidR="00F1044A" w:rsidRPr="00954D98" w:rsidRDefault="00F1044A" w:rsidP="00AE6D6A">
      <w:pPr>
        <w:pStyle w:val="Heading3"/>
      </w:pPr>
      <w:r w:rsidRPr="00954D98">
        <w:t xml:space="preserve">Payments estimates </w:t>
      </w:r>
    </w:p>
    <w:bookmarkEnd w:id="36"/>
    <w:bookmarkEnd w:id="37"/>
    <w:p w14:paraId="4FF7AAA0" w14:textId="30F68D3E" w:rsidR="005540A5" w:rsidRPr="00954D98" w:rsidRDefault="005540A5" w:rsidP="00F1044A">
      <w:r w:rsidRPr="00954D98">
        <w:t xml:space="preserve">Since the 2025 PEFO, total payments have increased by </w:t>
      </w:r>
      <w:r w:rsidRPr="00954D98">
        <w:rPr>
          <w:rFonts w:eastAsia="Calibri"/>
        </w:rPr>
        <w:t xml:space="preserve">$9.0 billion </w:t>
      </w:r>
      <w:r w:rsidRPr="00954D98">
        <w:t xml:space="preserve">in 2025–26 and by </w:t>
      </w:r>
      <w:r w:rsidRPr="00954D98">
        <w:rPr>
          <w:rFonts w:eastAsia="Calibri"/>
        </w:rPr>
        <w:t xml:space="preserve">$31.3 billion </w:t>
      </w:r>
      <w:r w:rsidRPr="00954D98">
        <w:t xml:space="preserve">over </w:t>
      </w:r>
      <w:r w:rsidR="001A1DF7" w:rsidRPr="00954D98">
        <w:t>the</w:t>
      </w:r>
      <w:r w:rsidRPr="00954D98">
        <w:t xml:space="preserve"> four years to 2028–29. Real payments growth </w:t>
      </w:r>
      <w:r w:rsidRPr="00954D98">
        <w:rPr>
          <w:szCs w:val="19"/>
        </w:rPr>
        <w:t xml:space="preserve">is expected to </w:t>
      </w:r>
      <w:r w:rsidR="0076349F" w:rsidRPr="00954D98">
        <w:t>average 1.7 per cent over the seven years to 2028</w:t>
      </w:r>
      <w:r w:rsidR="00DA1A5C" w:rsidRPr="00954D98">
        <w:t>–</w:t>
      </w:r>
      <w:r w:rsidR="0076349F" w:rsidRPr="00954D98">
        <w:t>29 and</w:t>
      </w:r>
      <w:r w:rsidRPr="00954D98">
        <w:rPr>
          <w:szCs w:val="19"/>
        </w:rPr>
        <w:t xml:space="preserve"> 2.1 per cent </w:t>
      </w:r>
      <w:r w:rsidR="004A62E8" w:rsidRPr="00954D98">
        <w:t>over the four years to 2028</w:t>
      </w:r>
      <w:r w:rsidR="00286B6A" w:rsidRPr="00954D98">
        <w:t>–</w:t>
      </w:r>
      <w:r w:rsidR="004A62E8" w:rsidRPr="00954D98">
        <w:t>29</w:t>
      </w:r>
      <w:r w:rsidRPr="00954D98">
        <w:t xml:space="preserve">. </w:t>
      </w:r>
    </w:p>
    <w:p w14:paraId="7D0BE2B9" w14:textId="552E194F" w:rsidR="00F1044A" w:rsidRPr="00954D98" w:rsidRDefault="00F1044A" w:rsidP="00F1044A">
      <w:pPr>
        <w:pStyle w:val="Heading4"/>
      </w:pPr>
      <w:bookmarkStart w:id="39" w:name="_Toc148428071"/>
      <w:r w:rsidRPr="00954D98">
        <w:t>Payment policy decisions over the forward estimates</w:t>
      </w:r>
      <w:bookmarkEnd w:id="39"/>
    </w:p>
    <w:p w14:paraId="2E3DEA06" w14:textId="77777777" w:rsidR="005623CC" w:rsidRPr="00954D98" w:rsidRDefault="005623CC" w:rsidP="005623CC">
      <w:r w:rsidRPr="00954D98">
        <w:t xml:space="preserve">New policy decisions since the 2025 PEFO have increased total payments by $1.8 billion in 2025–26 and decreased total payments by $3.8 billion over the four years to 2028–29. </w:t>
      </w:r>
    </w:p>
    <w:p w14:paraId="68C8003A" w14:textId="77777777" w:rsidR="00E34F80" w:rsidRPr="00954D98" w:rsidRDefault="00E34F80" w:rsidP="00375902">
      <w:r w:rsidRPr="00954D98">
        <w:t>Major policy decisions since the 2025 PEFO that have decreased payments over the four years to 2028–29 include:</w:t>
      </w:r>
    </w:p>
    <w:p w14:paraId="21D4EF37" w14:textId="4C45EECB" w:rsidR="004A5838" w:rsidRPr="00954D98" w:rsidRDefault="004A5838" w:rsidP="004A5838">
      <w:pPr>
        <w:pStyle w:val="Bullet"/>
      </w:pPr>
      <w:r w:rsidRPr="00954D98">
        <w:t>reducing spending on external labour and other non</w:t>
      </w:r>
      <w:r w:rsidR="00536CFF">
        <w:noBreakHyphen/>
      </w:r>
      <w:r w:rsidRPr="00954D98">
        <w:t xml:space="preserve">wage expenses like travel, hospitality and property, which is expected to decrease payments by $6.8 billion over </w:t>
      </w:r>
      <w:r w:rsidRPr="00954D98">
        <w:rPr>
          <w:szCs w:val="19"/>
        </w:rPr>
        <w:t>the four years to 2028–29</w:t>
      </w:r>
      <w:r w:rsidRPr="00954D98">
        <w:t>, delivering and expanding on the Government</w:t>
      </w:r>
      <w:r w:rsidR="00536CFF">
        <w:t>’</w:t>
      </w:r>
      <w:r w:rsidRPr="00954D98">
        <w:t>s election commitment made during the 2025 federal election.</w:t>
      </w:r>
    </w:p>
    <w:p w14:paraId="00E9D8B1" w14:textId="77777777" w:rsidR="004A5838" w:rsidRPr="00954D98" w:rsidRDefault="004A5838" w:rsidP="004A5838">
      <w:pPr>
        <w:pStyle w:val="Bullet"/>
      </w:pPr>
      <w:r w:rsidRPr="00954D98">
        <w:t>ensuring support under the Cheaper Home Batteries program is aligned with contemporary battery technologies and household needs</w:t>
      </w:r>
      <w:r w:rsidRPr="00954D98">
        <w:rPr>
          <w:lang w:val="en-US"/>
        </w:rPr>
        <w:t xml:space="preserve"> while continuing to provide cheaper batteries for consumers</w:t>
      </w:r>
      <w:r w:rsidRPr="00954D98">
        <w:t xml:space="preserve">, which is expected to decrease payments by $6.7 billion over </w:t>
      </w:r>
      <w:r w:rsidRPr="00954D98">
        <w:rPr>
          <w:szCs w:val="19"/>
        </w:rPr>
        <w:t>the four years to 2028–29</w:t>
      </w:r>
      <w:r w:rsidRPr="00954D98">
        <w:t>.</w:t>
      </w:r>
    </w:p>
    <w:p w14:paraId="262AAB42" w14:textId="77777777" w:rsidR="004A5838" w:rsidRPr="00954D98" w:rsidRDefault="004A5838" w:rsidP="004A5838">
      <w:pPr>
        <w:pStyle w:val="Bullet"/>
      </w:pPr>
      <w:bookmarkStart w:id="40" w:name="_Hlk142559525"/>
      <w:r w:rsidRPr="00954D98">
        <w:t>returning to the practice of updating the social security deeming rates on financial assets to reflect market returns</w:t>
      </w:r>
      <w:bookmarkEnd w:id="40"/>
      <w:r w:rsidRPr="00954D98">
        <w:t xml:space="preserve">, which is expected to decrease payments by $1.9 billion over </w:t>
      </w:r>
      <w:r w:rsidRPr="00954D98">
        <w:rPr>
          <w:szCs w:val="19"/>
        </w:rPr>
        <w:t>the four years to 2028–29</w:t>
      </w:r>
      <w:r w:rsidRPr="00954D98">
        <w:t>.</w:t>
      </w:r>
    </w:p>
    <w:p w14:paraId="4DF8DC38" w14:textId="77777777" w:rsidR="004A5838" w:rsidRPr="00954D98" w:rsidRDefault="004A5838" w:rsidP="004A5838">
      <w:pPr>
        <w:pStyle w:val="Bullet"/>
      </w:pPr>
      <w:r w:rsidRPr="00954D98">
        <w:t xml:space="preserve">reprofiling Housing Australia Future Fund disbursements and funding to align with the delivery model, </w:t>
      </w:r>
      <w:r w:rsidRPr="00954D98">
        <w:rPr>
          <w:szCs w:val="19"/>
        </w:rPr>
        <w:t xml:space="preserve">which combined with additional support is expected to increase payments by $4.4 billion over the life of Round 3 but </w:t>
      </w:r>
      <w:r w:rsidRPr="00954D98">
        <w:t xml:space="preserve">is expected to decrease payments by $742.6 million over </w:t>
      </w:r>
      <w:r w:rsidRPr="00954D98">
        <w:rPr>
          <w:szCs w:val="19"/>
        </w:rPr>
        <w:t>the four years to 2028–29</w:t>
      </w:r>
      <w:r w:rsidRPr="00954D98">
        <w:t>.</w:t>
      </w:r>
    </w:p>
    <w:p w14:paraId="5F251C22" w14:textId="7C3B7536" w:rsidR="004A5838" w:rsidRPr="00954D98" w:rsidRDefault="004A5838" w:rsidP="004A5838">
      <w:pPr>
        <w:pStyle w:val="Bullet"/>
      </w:pPr>
      <w:r w:rsidRPr="00954D98" w:rsidDel="00573EF7">
        <w:lastRenderedPageBreak/>
        <w:t>strengthening program integrity across the Veterans</w:t>
      </w:r>
      <w:r w:rsidR="00536CFF">
        <w:t>’</w:t>
      </w:r>
      <w:r w:rsidRPr="00954D98" w:rsidDel="00573EF7">
        <w:t xml:space="preserve"> Affairs portfolio by reducing </w:t>
      </w:r>
      <w:bookmarkStart w:id="41" w:name="_Hlk176878576"/>
      <w:r w:rsidRPr="00954D98" w:rsidDel="00573EF7">
        <w:t>service provider and advocate </w:t>
      </w:r>
      <w:bookmarkEnd w:id="41"/>
      <w:r w:rsidRPr="00954D98">
        <w:t>non</w:t>
      </w:r>
      <w:r w:rsidR="00536CFF">
        <w:noBreakHyphen/>
      </w:r>
      <w:r w:rsidRPr="00954D98" w:rsidDel="00573EF7">
        <w:t>compliance and fraud, which is expected to decrease payments by $678.</w:t>
      </w:r>
      <w:r w:rsidRPr="00954D98">
        <w:t>4</w:t>
      </w:r>
      <w:r w:rsidRPr="00954D98" w:rsidDel="00573EF7">
        <w:t xml:space="preserve"> million over </w:t>
      </w:r>
      <w:r w:rsidRPr="00954D98">
        <w:rPr>
          <w:szCs w:val="19"/>
        </w:rPr>
        <w:t>the four years to 2028–29</w:t>
      </w:r>
      <w:r w:rsidRPr="00954D98" w:rsidDel="00573EF7">
        <w:t>.</w:t>
      </w:r>
    </w:p>
    <w:p w14:paraId="2DB526F5" w14:textId="77777777" w:rsidR="004A5838" w:rsidRPr="00954D98" w:rsidDel="00573EF7" w:rsidRDefault="004A5838" w:rsidP="004A5838">
      <w:pPr>
        <w:pStyle w:val="Bullet"/>
      </w:pPr>
      <w:r w:rsidRPr="00954D98">
        <w:t xml:space="preserve">reprioritising funding across the Climate Change, Energy, the Environment and Water portfolio to deliver on key Government priorities, which is expected to decrease payments by $534.4 million over </w:t>
      </w:r>
      <w:r w:rsidRPr="00954D98">
        <w:rPr>
          <w:szCs w:val="19"/>
        </w:rPr>
        <w:t>the four years to 2028–29</w:t>
      </w:r>
      <w:r w:rsidRPr="00954D98">
        <w:t>.</w:t>
      </w:r>
    </w:p>
    <w:p w14:paraId="403E3E98" w14:textId="77777777" w:rsidR="001B3724" w:rsidRPr="00954D98" w:rsidRDefault="001B3724" w:rsidP="004F49C0">
      <w:r w:rsidRPr="00954D98">
        <w:t>Major policy decisions since the 2025 PEFO that have increased payments over the four years to 2028–29 include:</w:t>
      </w:r>
    </w:p>
    <w:p w14:paraId="6EB21CEA" w14:textId="6BFC67EA" w:rsidR="00866E69" w:rsidRPr="00954D98" w:rsidRDefault="00866E69" w:rsidP="00AF41A3">
      <w:pPr>
        <w:pStyle w:val="Bullet"/>
        <w:spacing w:before="200" w:after="120"/>
      </w:pPr>
      <w:r w:rsidRPr="00954D98">
        <w:t>funding for new and amended listings on the Pharmaceutical Benefits Scheme and Life</w:t>
      </w:r>
      <w:r w:rsidR="0049139F" w:rsidRPr="00954D98">
        <w:t> </w:t>
      </w:r>
      <w:r w:rsidRPr="00954D98">
        <w:t xml:space="preserve">Saving Drugs program, which is expected to increase payments by $1.8 billion over </w:t>
      </w:r>
      <w:r w:rsidRPr="00954D98">
        <w:rPr>
          <w:szCs w:val="19"/>
        </w:rPr>
        <w:t>the four years to 2028–29</w:t>
      </w:r>
      <w:r w:rsidRPr="00954D98">
        <w:t>.</w:t>
      </w:r>
    </w:p>
    <w:p w14:paraId="420C2AA1" w14:textId="4E947EEE" w:rsidR="00866E69" w:rsidRPr="00954D98" w:rsidRDefault="00866E69" w:rsidP="00AF41A3">
      <w:pPr>
        <w:pStyle w:val="Bullet"/>
        <w:spacing w:before="200" w:after="120"/>
      </w:pPr>
      <w:r w:rsidRPr="00954D98">
        <w:t xml:space="preserve">funding to provide more free mental health services and grow the mental health workforce, which is expected to increase payments by $1.1 billion over </w:t>
      </w:r>
      <w:r w:rsidRPr="00954D98">
        <w:rPr>
          <w:szCs w:val="19"/>
        </w:rPr>
        <w:t>the four years to 2028–29</w:t>
      </w:r>
      <w:r w:rsidRPr="00954D98">
        <w:t>, delivering on the Government</w:t>
      </w:r>
      <w:r w:rsidR="00536CFF">
        <w:t>’</w:t>
      </w:r>
      <w:r w:rsidRPr="00954D98">
        <w:t>s election commitment made during the 2025</w:t>
      </w:r>
      <w:r w:rsidR="00E9462F" w:rsidRPr="00954D98">
        <w:t> </w:t>
      </w:r>
      <w:r w:rsidRPr="00954D98">
        <w:t>federal election.</w:t>
      </w:r>
    </w:p>
    <w:p w14:paraId="67CC326F" w14:textId="4447C482" w:rsidR="00866E69" w:rsidRPr="00954D98" w:rsidRDefault="00866E69" w:rsidP="00AF41A3">
      <w:pPr>
        <w:pStyle w:val="Bullet"/>
        <w:spacing w:before="200" w:after="120"/>
      </w:pPr>
      <w:r w:rsidRPr="00954D98">
        <w:t>funding to prioritise prevention, treatment and rehabilitation services to support the long</w:t>
      </w:r>
      <w:r w:rsidR="00536CFF">
        <w:noBreakHyphen/>
      </w:r>
      <w:r w:rsidRPr="00954D98">
        <w:t xml:space="preserve">term health and wellbeing of veterans and serving members, which is expected to increase payments by $739.2 million over </w:t>
      </w:r>
      <w:r w:rsidRPr="00954D98">
        <w:rPr>
          <w:szCs w:val="19"/>
        </w:rPr>
        <w:t>the four years to 2028–29</w:t>
      </w:r>
      <w:r w:rsidRPr="00954D98">
        <w:t>.</w:t>
      </w:r>
    </w:p>
    <w:p w14:paraId="1FB7C543" w14:textId="77777777" w:rsidR="00866E69" w:rsidRPr="00954D98" w:rsidRDefault="00866E69" w:rsidP="00AF41A3">
      <w:pPr>
        <w:pStyle w:val="Bullet"/>
        <w:spacing w:before="200" w:after="120"/>
      </w:pPr>
      <w:r w:rsidRPr="00954D98">
        <w:t xml:space="preserve">funding to ensure the viability and quality of aged care and support a growing number of older Australians to remain in their homes as they age, which is expected to increase payments by $692.2 million over </w:t>
      </w:r>
      <w:r w:rsidRPr="00954D98">
        <w:rPr>
          <w:szCs w:val="19"/>
        </w:rPr>
        <w:t>the four years to 2028–29</w:t>
      </w:r>
      <w:r w:rsidRPr="00954D98">
        <w:t>.</w:t>
      </w:r>
    </w:p>
    <w:p w14:paraId="68175542" w14:textId="08543676" w:rsidR="00866E69" w:rsidRPr="00954D98" w:rsidRDefault="00866E69" w:rsidP="00AF41A3">
      <w:pPr>
        <w:pStyle w:val="Bullet"/>
        <w:spacing w:before="200" w:after="120"/>
      </w:pPr>
      <w:r w:rsidRPr="00954D98">
        <w:t xml:space="preserve">funding for major and local community infrastructure projects across Australia, which is expected to increase payments by $618.6 million over </w:t>
      </w:r>
      <w:r w:rsidRPr="00954D98">
        <w:rPr>
          <w:szCs w:val="19"/>
        </w:rPr>
        <w:t>the four years to 2028–29</w:t>
      </w:r>
      <w:r w:rsidRPr="00954D98">
        <w:t>, including delivering on the Government</w:t>
      </w:r>
      <w:r w:rsidR="00536CFF">
        <w:t>’</w:t>
      </w:r>
      <w:r w:rsidRPr="00954D98">
        <w:t>s election commitment made during the 2025</w:t>
      </w:r>
      <w:r w:rsidR="008D352F" w:rsidRPr="00954D98">
        <w:t> </w:t>
      </w:r>
      <w:r w:rsidRPr="00954D98">
        <w:t>federal election.</w:t>
      </w:r>
    </w:p>
    <w:p w14:paraId="622EAE79" w14:textId="77777777" w:rsidR="00866E69" w:rsidRPr="00954D98" w:rsidRDefault="00866E69" w:rsidP="00AF41A3">
      <w:pPr>
        <w:pStyle w:val="Bullet"/>
        <w:spacing w:before="200" w:after="120"/>
      </w:pPr>
      <w:r w:rsidRPr="00954D98">
        <w:t xml:space="preserve">funding for road and rail infrastructure priorities to support productivity and jobs, which is expected to increase payments by $573.8 million over </w:t>
      </w:r>
      <w:r w:rsidRPr="00954D98">
        <w:rPr>
          <w:szCs w:val="19"/>
        </w:rPr>
        <w:t>the four years to 2028–29</w:t>
      </w:r>
      <w:r w:rsidRPr="00954D98">
        <w:t>.</w:t>
      </w:r>
    </w:p>
    <w:p w14:paraId="33E84E92" w14:textId="7A32C48A" w:rsidR="00866E69" w:rsidRPr="00954D98" w:rsidRDefault="00866E69" w:rsidP="00AF41A3">
      <w:pPr>
        <w:pStyle w:val="Bullet"/>
        <w:spacing w:before="200" w:after="120"/>
      </w:pPr>
      <w:r w:rsidRPr="00954D98">
        <w:t xml:space="preserve">funding to enable first home buyers to get into housing sooner, which is expected to increase payments by $519.1 million over </w:t>
      </w:r>
      <w:r w:rsidRPr="00954D98">
        <w:rPr>
          <w:szCs w:val="19"/>
        </w:rPr>
        <w:t>the four years to 2028–29</w:t>
      </w:r>
      <w:r w:rsidRPr="00954D98">
        <w:t>, delivering on the Government</w:t>
      </w:r>
      <w:r w:rsidR="00536CFF">
        <w:t>’</w:t>
      </w:r>
      <w:r w:rsidRPr="00954D98">
        <w:t>s election commitment made during the 2025 federal election.</w:t>
      </w:r>
    </w:p>
    <w:p w14:paraId="721AFF1E" w14:textId="1DAE7B18" w:rsidR="00866E69" w:rsidRPr="00954D98" w:rsidRDefault="00866E69" w:rsidP="00AF41A3">
      <w:pPr>
        <w:pStyle w:val="Bullet"/>
        <w:spacing w:before="200" w:after="120"/>
      </w:pPr>
      <w:r w:rsidRPr="00954D98">
        <w:t>funding to support Australian industries and protect local jobs, including to maintain the operation of Glencore</w:t>
      </w:r>
      <w:r w:rsidR="00536CFF">
        <w:t>’</w:t>
      </w:r>
      <w:r w:rsidRPr="00954D98">
        <w:t xml:space="preserve">s Mount Isa copper smelter and Townsville copper refinery and support the Whyalla steelworks during administration, which is expected to increase payments by $491.4 million over </w:t>
      </w:r>
      <w:r w:rsidRPr="00954D98">
        <w:rPr>
          <w:szCs w:val="19"/>
        </w:rPr>
        <w:t>the four years to 2028–29</w:t>
      </w:r>
      <w:r w:rsidRPr="00954D98">
        <w:t>.</w:t>
      </w:r>
    </w:p>
    <w:p w14:paraId="10BA1810" w14:textId="77777777" w:rsidR="00866E69" w:rsidRPr="00954D98" w:rsidRDefault="00866E69" w:rsidP="00AF41A3">
      <w:pPr>
        <w:pStyle w:val="Bullet"/>
        <w:spacing w:before="200" w:after="120"/>
      </w:pPr>
      <w:r w:rsidRPr="00954D98">
        <w:t xml:space="preserve">funding to </w:t>
      </w:r>
      <w:r w:rsidRPr="00954D98">
        <w:rPr>
          <w:lang w:val="en-US"/>
        </w:rPr>
        <w:t>build a stronger, fairer and more sustainable superannuation system</w:t>
      </w:r>
      <w:r w:rsidRPr="00954D98">
        <w:t xml:space="preserve"> including by boosting the </w:t>
      </w:r>
      <w:proofErr w:type="gramStart"/>
      <w:r w:rsidRPr="00954D98">
        <w:t>Low Income</w:t>
      </w:r>
      <w:proofErr w:type="gramEnd"/>
      <w:r w:rsidRPr="00954D98">
        <w:t xml:space="preserve"> Superannuation Tax Offset to support low income earners to build their retirement savings, which is expected to increase payments by $475.8 million over </w:t>
      </w:r>
      <w:r w:rsidRPr="00954D98">
        <w:rPr>
          <w:szCs w:val="19"/>
        </w:rPr>
        <w:t>the four years to 2028–29</w:t>
      </w:r>
      <w:r w:rsidRPr="00954D98">
        <w:t>.</w:t>
      </w:r>
    </w:p>
    <w:p w14:paraId="75C4179C" w14:textId="7BF36F32" w:rsidR="00F1044A" w:rsidRPr="00954D98" w:rsidRDefault="00F1044A" w:rsidP="00F1044A">
      <w:pPr>
        <w:pStyle w:val="Heading4"/>
      </w:pPr>
      <w:r w:rsidRPr="00954D98">
        <w:lastRenderedPageBreak/>
        <w:t xml:space="preserve">Payment parameter and other variations over the forward estimates </w:t>
      </w:r>
    </w:p>
    <w:p w14:paraId="6921AD39" w14:textId="1792862A" w:rsidR="00BA6599" w:rsidRPr="00954D98" w:rsidRDefault="00BA6599" w:rsidP="00BA6599">
      <w:pPr>
        <w:keepNext/>
        <w:keepLines/>
      </w:pPr>
      <w:r w:rsidRPr="00954D98">
        <w:t>Parameter and other variations since the 2025 PEFO have increased payments by $7.3 billion in 2025</w:t>
      </w:r>
      <w:r w:rsidR="00881606" w:rsidRPr="00954D98">
        <w:rPr>
          <w:w w:val="1"/>
        </w:rPr>
        <w:t> </w:t>
      </w:r>
      <w:r w:rsidR="00881606" w:rsidRPr="00954D98">
        <w:t>–</w:t>
      </w:r>
      <w:r w:rsidR="00881606" w:rsidRPr="00954D98">
        <w:rPr>
          <w:w w:val="1"/>
        </w:rPr>
        <w:t> </w:t>
      </w:r>
      <w:r w:rsidRPr="00954D98">
        <w:t xml:space="preserve">26 and $35.1 billion over </w:t>
      </w:r>
      <w:r w:rsidRPr="00954D98">
        <w:rPr>
          <w:szCs w:val="19"/>
        </w:rPr>
        <w:t>the four years to 2028–29</w:t>
      </w:r>
      <w:r w:rsidRPr="00954D98">
        <w:t xml:space="preserve">. </w:t>
      </w:r>
    </w:p>
    <w:p w14:paraId="4BFF4BA2" w14:textId="77777777" w:rsidR="00BA6599" w:rsidRPr="00954D98" w:rsidRDefault="00BA6599" w:rsidP="00BA6599">
      <w:pPr>
        <w:keepLines/>
      </w:pPr>
      <w:r w:rsidRPr="00954D98">
        <w:t xml:space="preserve">This is primarily driven by higher estimated payments for the Cheaper Home Batteries program, higher GST entitlements for payments to the states and territories and payments under the Disaster Recovery Funding Arrangements. These increases are partially offset by lower estimated payments for the Fuel Tax Credits Scheme and the Commonwealth Debt Management program. </w:t>
      </w:r>
    </w:p>
    <w:p w14:paraId="708C5901" w14:textId="5B6B78ED" w:rsidR="00F1044A" w:rsidRPr="00954D98" w:rsidRDefault="00F1044A" w:rsidP="00F1044A">
      <w:r w:rsidRPr="00954D98">
        <w:t xml:space="preserve">Major increases in payments from parameter and other variations since the </w:t>
      </w:r>
      <w:r w:rsidR="001B1B1A" w:rsidRPr="00954D98">
        <w:t>2025</w:t>
      </w:r>
      <w:r w:rsidR="00001B7A">
        <w:t> </w:t>
      </w:r>
      <w:r w:rsidR="001B1B1A" w:rsidRPr="00954D98">
        <w:t>PEFO</w:t>
      </w:r>
      <w:r w:rsidRPr="00954D98">
        <w:t xml:space="preserve"> include: </w:t>
      </w:r>
    </w:p>
    <w:p w14:paraId="011B4F81" w14:textId="410C8834" w:rsidR="00712FA8" w:rsidRPr="00954D98" w:rsidRDefault="00712FA8" w:rsidP="005777E2">
      <w:pPr>
        <w:pStyle w:val="Bullet"/>
        <w:spacing w:before="200" w:after="120"/>
      </w:pPr>
      <w:r w:rsidRPr="00954D98">
        <w:t>payments related to the Cheaper Home Batteries program, which are expected to increase by $3.4 billion in 2025</w:t>
      </w:r>
      <w:r w:rsidR="00F961DB" w:rsidRPr="00954D98">
        <w:t>–</w:t>
      </w:r>
      <w:r w:rsidRPr="00954D98">
        <w:t>26 and $11.6 billion over the four years to 2028</w:t>
      </w:r>
      <w:r w:rsidR="00B22CAF" w:rsidRPr="00954D98">
        <w:rPr>
          <w:w w:val="1"/>
        </w:rPr>
        <w:t> </w:t>
      </w:r>
      <w:r w:rsidR="00B22CAF" w:rsidRPr="00954D98">
        <w:t>–</w:t>
      </w:r>
      <w:r w:rsidR="00B22CAF" w:rsidRPr="00954D98">
        <w:rPr>
          <w:w w:val="1"/>
        </w:rPr>
        <w:t> </w:t>
      </w:r>
      <w:r w:rsidRPr="00954D98">
        <w:t>29, largely reflecting higher demand for household batteries under the program. This is partially offset by the Government</w:t>
      </w:r>
      <w:r w:rsidR="00536CFF">
        <w:t>’</w:t>
      </w:r>
      <w:r w:rsidRPr="00954D98">
        <w:t xml:space="preserve">s changes under the </w:t>
      </w:r>
      <w:r w:rsidRPr="00954D98">
        <w:rPr>
          <w:i/>
          <w:iCs/>
        </w:rPr>
        <w:t>Sustaining the Cheaper Home Batteries Program</w:t>
      </w:r>
      <w:r w:rsidRPr="00954D98">
        <w:t xml:space="preserve"> measure, which results in a revised total cost for the program of $7.2 billion over the four years to 2028</w:t>
      </w:r>
      <w:r w:rsidR="00B42F4E" w:rsidRPr="00954D98">
        <w:rPr>
          <w:w w:val="1"/>
        </w:rPr>
        <w:t> </w:t>
      </w:r>
      <w:r w:rsidR="00B42F4E" w:rsidRPr="00954D98">
        <w:t>–</w:t>
      </w:r>
      <w:r w:rsidR="00B42F4E" w:rsidRPr="00954D98">
        <w:rPr>
          <w:w w:val="1"/>
        </w:rPr>
        <w:t> </w:t>
      </w:r>
      <w:r w:rsidRPr="00954D98">
        <w:t>29.</w:t>
      </w:r>
    </w:p>
    <w:p w14:paraId="0FC5C6BB" w14:textId="15766E7D" w:rsidR="00712FA8" w:rsidRPr="00954D98" w:rsidRDefault="00712FA8" w:rsidP="005777E2">
      <w:pPr>
        <w:pStyle w:val="Bullet"/>
        <w:spacing w:before="200" w:after="120"/>
      </w:pPr>
      <w:r w:rsidRPr="00954D98">
        <w:t>GST</w:t>
      </w:r>
      <w:r w:rsidR="00536CFF">
        <w:noBreakHyphen/>
      </w:r>
      <w:r w:rsidR="00E20571" w:rsidRPr="00954D98">
        <w:t>related payments</w:t>
      </w:r>
      <w:r w:rsidRPr="00954D98">
        <w:t xml:space="preserve"> to the states and territories, which are expected to increase by $2.5 billion in 2025</w:t>
      </w:r>
      <w:r w:rsidR="00F961DB" w:rsidRPr="00954D98">
        <w:t>–</w:t>
      </w:r>
      <w:r w:rsidRPr="00954D98">
        <w:t>26 and $10.4 billion over the four years to 2028</w:t>
      </w:r>
      <w:r w:rsidR="00F4505F" w:rsidRPr="00954D98">
        <w:rPr>
          <w:w w:val="1"/>
        </w:rPr>
        <w:t> </w:t>
      </w:r>
      <w:r w:rsidR="00F4505F" w:rsidRPr="00954D98">
        <w:t>–</w:t>
      </w:r>
      <w:r w:rsidR="00F4505F" w:rsidRPr="00954D98">
        <w:rPr>
          <w:w w:val="1"/>
        </w:rPr>
        <w:t> </w:t>
      </w:r>
      <w:r w:rsidRPr="00954D98">
        <w:t>29, and are largely offset by an increase in GST receipts.</w:t>
      </w:r>
    </w:p>
    <w:p w14:paraId="3165B69F" w14:textId="45FB45BD" w:rsidR="00712FA8" w:rsidRPr="00954D98" w:rsidRDefault="00712FA8" w:rsidP="005777E2">
      <w:pPr>
        <w:pStyle w:val="Bullet"/>
        <w:spacing w:before="200" w:after="120"/>
      </w:pPr>
      <w:r w:rsidRPr="00954D98">
        <w:t>payments related to the National Partnership Payments – Natural Disaster Relief program, which are expected to increase by $3.1 billion in 2025</w:t>
      </w:r>
      <w:r w:rsidR="00F961DB" w:rsidRPr="00954D98">
        <w:t>–</w:t>
      </w:r>
      <w:r w:rsidRPr="00954D98">
        <w:t>26 and $6.3 billion over the four years to 2028</w:t>
      </w:r>
      <w:r w:rsidR="000B1619" w:rsidRPr="00954D98">
        <w:rPr>
          <w:w w:val="1"/>
        </w:rPr>
        <w:t> </w:t>
      </w:r>
      <w:r w:rsidR="000B1619" w:rsidRPr="00954D98">
        <w:t>–</w:t>
      </w:r>
      <w:r w:rsidR="000B1619" w:rsidRPr="00954D98">
        <w:rPr>
          <w:w w:val="1"/>
        </w:rPr>
        <w:t> </w:t>
      </w:r>
      <w:r w:rsidRPr="00954D98">
        <w:t>29, largely reflecting updated estimates for future expenditure on past disaster events.</w:t>
      </w:r>
    </w:p>
    <w:p w14:paraId="261BCA11" w14:textId="35A58FFB" w:rsidR="00712FA8" w:rsidRPr="00954D98" w:rsidRDefault="00712FA8" w:rsidP="005777E2">
      <w:pPr>
        <w:pStyle w:val="Bullet"/>
        <w:spacing w:before="200" w:after="120"/>
      </w:pPr>
      <w:r w:rsidRPr="00954D98">
        <w:t>payments related to the Support for Seniors program, which are expected to increase by $326.4 million in 2025</w:t>
      </w:r>
      <w:r w:rsidR="00F961DB" w:rsidRPr="00954D98">
        <w:t>–</w:t>
      </w:r>
      <w:r w:rsidRPr="00954D98">
        <w:t>26 and $3.0 billion over the four years to 2028</w:t>
      </w:r>
      <w:r w:rsidR="0004388C" w:rsidRPr="00954D98">
        <w:rPr>
          <w:w w:val="1"/>
        </w:rPr>
        <w:t> </w:t>
      </w:r>
      <w:r w:rsidR="0004388C" w:rsidRPr="00954D98">
        <w:t>–</w:t>
      </w:r>
      <w:r w:rsidR="0004388C" w:rsidRPr="00954D98">
        <w:rPr>
          <w:w w:val="1"/>
        </w:rPr>
        <w:t> </w:t>
      </w:r>
      <w:r w:rsidRPr="00954D98">
        <w:t>29, largely reflecting a higher</w:t>
      </w:r>
      <w:r w:rsidR="00536CFF">
        <w:noBreakHyphen/>
      </w:r>
      <w:r w:rsidRPr="00954D98">
        <w:t>than</w:t>
      </w:r>
      <w:r w:rsidR="00536CFF">
        <w:noBreakHyphen/>
      </w:r>
      <w:r w:rsidRPr="00954D98">
        <w:t>projected rate of indexation and increased recipient numbers for the Age Pension.</w:t>
      </w:r>
    </w:p>
    <w:p w14:paraId="1323B745" w14:textId="5462593B" w:rsidR="00712FA8" w:rsidRPr="00954D98" w:rsidRDefault="00712FA8" w:rsidP="005777E2">
      <w:pPr>
        <w:pStyle w:val="Bullet"/>
        <w:spacing w:before="200" w:after="120"/>
      </w:pPr>
      <w:r w:rsidRPr="00954D98">
        <w:t>payments related to the NDIS, which are expected to increase by $1.1 billion in 2025</w:t>
      </w:r>
      <w:r w:rsidR="00A9505C" w:rsidRPr="00954D98">
        <w:rPr>
          <w:w w:val="1"/>
        </w:rPr>
        <w:t> </w:t>
      </w:r>
      <w:r w:rsidR="00A9505C" w:rsidRPr="00954D98">
        <w:t>–</w:t>
      </w:r>
      <w:r w:rsidR="00A9505C" w:rsidRPr="00954D98">
        <w:rPr>
          <w:w w:val="1"/>
        </w:rPr>
        <w:t> </w:t>
      </w:r>
      <w:r w:rsidRPr="00954D98">
        <w:t>26 and $2.3 billion over the four years to 2028</w:t>
      </w:r>
      <w:r w:rsidR="00456C99" w:rsidRPr="00954D98">
        <w:rPr>
          <w:w w:val="1"/>
        </w:rPr>
        <w:t> </w:t>
      </w:r>
      <w:r w:rsidR="00456C99" w:rsidRPr="00954D98">
        <w:t>–</w:t>
      </w:r>
      <w:r w:rsidR="00456C99" w:rsidRPr="00954D98">
        <w:rPr>
          <w:w w:val="1"/>
        </w:rPr>
        <w:t> </w:t>
      </w:r>
      <w:r w:rsidRPr="00954D98">
        <w:t>29, largely reflecting revised projections from the NDIS Actuary in the 2024</w:t>
      </w:r>
      <w:r w:rsidR="00456C99" w:rsidRPr="00954D98">
        <w:rPr>
          <w:w w:val="1"/>
        </w:rPr>
        <w:t> </w:t>
      </w:r>
      <w:r w:rsidR="00456C99" w:rsidRPr="00954D98">
        <w:t>–</w:t>
      </w:r>
      <w:r w:rsidR="00456C99" w:rsidRPr="00954D98">
        <w:rPr>
          <w:w w:val="1"/>
        </w:rPr>
        <w:t> </w:t>
      </w:r>
      <w:r w:rsidRPr="00954D98">
        <w:t>25 Annual Financial Sustainability Report.</w:t>
      </w:r>
    </w:p>
    <w:p w14:paraId="5C3AA007" w14:textId="06DEC4DD" w:rsidR="00712FA8" w:rsidRPr="00954D98" w:rsidRDefault="00712FA8" w:rsidP="005777E2">
      <w:pPr>
        <w:pStyle w:val="Bullet"/>
        <w:spacing w:before="200" w:after="120"/>
      </w:pPr>
      <w:r w:rsidRPr="00954D98">
        <w:t>payments related to the Defence Force Superannuation Benefits program, which are expected to increase by $501.0 million in 2025</w:t>
      </w:r>
      <w:r w:rsidR="00A648CD" w:rsidRPr="00954D98">
        <w:rPr>
          <w:w w:val="1"/>
        </w:rPr>
        <w:t> </w:t>
      </w:r>
      <w:r w:rsidR="00A648CD" w:rsidRPr="00954D98">
        <w:t>–</w:t>
      </w:r>
      <w:r w:rsidR="00A648CD" w:rsidRPr="00954D98">
        <w:rPr>
          <w:w w:val="1"/>
        </w:rPr>
        <w:t> </w:t>
      </w:r>
      <w:r w:rsidRPr="00954D98">
        <w:t>26 and $2.1 billion over the four years to 2028</w:t>
      </w:r>
      <w:r w:rsidR="00481ED8" w:rsidRPr="00954D98">
        <w:rPr>
          <w:w w:val="1"/>
        </w:rPr>
        <w:t> </w:t>
      </w:r>
      <w:r w:rsidR="00481ED8" w:rsidRPr="00954D98">
        <w:t>–</w:t>
      </w:r>
      <w:r w:rsidR="00481ED8" w:rsidRPr="00954D98">
        <w:rPr>
          <w:w w:val="1"/>
        </w:rPr>
        <w:t> </w:t>
      </w:r>
      <w:r w:rsidRPr="00954D98">
        <w:t xml:space="preserve">29, largely reflecting revised valuation of the unfunded liability for the military superannuation schemes by the Australian Government Actuary. </w:t>
      </w:r>
    </w:p>
    <w:p w14:paraId="501A1973" w14:textId="4E56070F" w:rsidR="00712FA8" w:rsidRPr="00954D98" w:rsidRDefault="00712FA8" w:rsidP="005777E2">
      <w:pPr>
        <w:pStyle w:val="Bullet"/>
        <w:spacing w:before="200" w:after="120"/>
      </w:pPr>
      <w:r w:rsidRPr="00954D98">
        <w:t>payments related to the Child Care Subsidy program, which are expected to decrease by $149.1 million in 2025</w:t>
      </w:r>
      <w:r w:rsidR="00266B57" w:rsidRPr="00954D98">
        <w:rPr>
          <w:w w:val="1"/>
        </w:rPr>
        <w:t> </w:t>
      </w:r>
      <w:r w:rsidR="00266B57" w:rsidRPr="00954D98">
        <w:t>–</w:t>
      </w:r>
      <w:r w:rsidR="00266B57" w:rsidRPr="00954D98">
        <w:rPr>
          <w:w w:val="1"/>
        </w:rPr>
        <w:t> </w:t>
      </w:r>
      <w:r w:rsidRPr="00954D98">
        <w:t>26 and increase by $2.0 billion over the four years to 2028</w:t>
      </w:r>
      <w:r w:rsidR="00266B57" w:rsidRPr="00954D98">
        <w:rPr>
          <w:w w:val="1"/>
        </w:rPr>
        <w:t> </w:t>
      </w:r>
      <w:r w:rsidR="00266B57" w:rsidRPr="00954D98">
        <w:t>–</w:t>
      </w:r>
      <w:r w:rsidR="00266B57" w:rsidRPr="00954D98">
        <w:rPr>
          <w:w w:val="1"/>
        </w:rPr>
        <w:t> </w:t>
      </w:r>
      <w:r w:rsidRPr="00954D98">
        <w:t>29, largely reflecting higher</w:t>
      </w:r>
      <w:r w:rsidR="00536CFF">
        <w:noBreakHyphen/>
      </w:r>
      <w:r w:rsidRPr="00954D98">
        <w:t>than</w:t>
      </w:r>
      <w:r w:rsidR="00536CFF">
        <w:noBreakHyphen/>
      </w:r>
      <w:r w:rsidRPr="00954D98">
        <w:t>estimated child care use by families. This is partially offset by higher</w:t>
      </w:r>
      <w:r w:rsidR="00536CFF">
        <w:noBreakHyphen/>
      </w:r>
      <w:r w:rsidRPr="00954D98">
        <w:t>than</w:t>
      </w:r>
      <w:r w:rsidR="00536CFF">
        <w:noBreakHyphen/>
      </w:r>
      <w:r w:rsidRPr="00954D98">
        <w:t>expected family taxable incomes which reduces families</w:t>
      </w:r>
      <w:r w:rsidR="00536CFF">
        <w:t>’</w:t>
      </w:r>
      <w:r w:rsidRPr="00954D98">
        <w:t xml:space="preserve"> Child Care Subsidy entitlement. </w:t>
      </w:r>
    </w:p>
    <w:p w14:paraId="144F3E53" w14:textId="4785A2F4" w:rsidR="00712FA8" w:rsidRPr="00954D98" w:rsidRDefault="00712FA8" w:rsidP="00712FA8">
      <w:pPr>
        <w:pStyle w:val="Bullet"/>
      </w:pPr>
      <w:r w:rsidRPr="00954D98">
        <w:lastRenderedPageBreak/>
        <w:t>payments related to non</w:t>
      </w:r>
      <w:r w:rsidR="00536CFF">
        <w:noBreakHyphen/>
      </w:r>
      <w:r w:rsidRPr="00954D98">
        <w:t>government schools, which are expected to increase by $505.0 million in 2025</w:t>
      </w:r>
      <w:r w:rsidR="004D7EAE" w:rsidRPr="00954D98">
        <w:rPr>
          <w:w w:val="1"/>
        </w:rPr>
        <w:t> </w:t>
      </w:r>
      <w:r w:rsidR="004D7EAE" w:rsidRPr="00954D98">
        <w:t>–</w:t>
      </w:r>
      <w:r w:rsidR="004D7EAE" w:rsidRPr="00954D98">
        <w:rPr>
          <w:w w:val="1"/>
        </w:rPr>
        <w:t> </w:t>
      </w:r>
      <w:r w:rsidRPr="00954D98">
        <w:t>26 and by $1.7 billion over the four years to 2028</w:t>
      </w:r>
      <w:r w:rsidR="00266B57" w:rsidRPr="00954D98">
        <w:rPr>
          <w:w w:val="1"/>
        </w:rPr>
        <w:t> </w:t>
      </w:r>
      <w:r w:rsidR="00266B57" w:rsidRPr="00954D98">
        <w:t>–</w:t>
      </w:r>
      <w:r w:rsidR="00266B57" w:rsidRPr="00954D98">
        <w:rPr>
          <w:w w:val="1"/>
        </w:rPr>
        <w:t> </w:t>
      </w:r>
      <w:r w:rsidRPr="00954D98">
        <w:t>29, largely reflecting an increase in non</w:t>
      </w:r>
      <w:r w:rsidR="00536CFF">
        <w:noBreakHyphen/>
      </w:r>
      <w:r w:rsidRPr="00954D98">
        <w:t>government school enrolments, and an increase in the number of students with a disability eligible to attract a higher level of funding.</w:t>
      </w:r>
    </w:p>
    <w:p w14:paraId="3F16BF0F" w14:textId="1B468D6F" w:rsidR="00712FA8" w:rsidRPr="00954D98" w:rsidRDefault="00712FA8" w:rsidP="00712FA8">
      <w:pPr>
        <w:pStyle w:val="Bullet"/>
      </w:pPr>
      <w:r w:rsidRPr="00954D98">
        <w:t>payments related to the Financial Support for Carers program, which are expected to increase by $248.8 million in 2025</w:t>
      </w:r>
      <w:r w:rsidR="004D7EAE" w:rsidRPr="00954D98">
        <w:rPr>
          <w:w w:val="1"/>
        </w:rPr>
        <w:t> </w:t>
      </w:r>
      <w:r w:rsidR="004D7EAE" w:rsidRPr="00954D98">
        <w:t>–</w:t>
      </w:r>
      <w:r w:rsidR="004D7EAE" w:rsidRPr="00954D98">
        <w:rPr>
          <w:w w:val="1"/>
        </w:rPr>
        <w:t> </w:t>
      </w:r>
      <w:r w:rsidRPr="00954D98">
        <w:t>26 and by $1.6 billion over the four years to 2028</w:t>
      </w:r>
      <w:r w:rsidR="0047408F" w:rsidRPr="00954D98">
        <w:rPr>
          <w:w w:val="1"/>
        </w:rPr>
        <w:t> </w:t>
      </w:r>
      <w:r w:rsidR="0047408F" w:rsidRPr="00954D98">
        <w:t>–</w:t>
      </w:r>
      <w:r w:rsidR="0047408F" w:rsidRPr="00954D98">
        <w:rPr>
          <w:w w:val="1"/>
        </w:rPr>
        <w:t> </w:t>
      </w:r>
      <w:r w:rsidRPr="00954D98">
        <w:t>29, largely reflecting higher</w:t>
      </w:r>
      <w:r w:rsidR="00536CFF">
        <w:noBreakHyphen/>
      </w:r>
      <w:r w:rsidRPr="00954D98">
        <w:t>than</w:t>
      </w:r>
      <w:r w:rsidR="00536CFF">
        <w:noBreakHyphen/>
      </w:r>
      <w:r w:rsidRPr="00954D98">
        <w:t xml:space="preserve">expected recipient numbers. </w:t>
      </w:r>
    </w:p>
    <w:p w14:paraId="66AC722C" w14:textId="6E44F6EB" w:rsidR="00712FA8" w:rsidRPr="00954D98" w:rsidRDefault="00712FA8" w:rsidP="00712FA8">
      <w:pPr>
        <w:pStyle w:val="Bullet"/>
      </w:pPr>
      <w:r w:rsidRPr="00954D98">
        <w:t xml:space="preserve">payments related to the Military Rehabilitation Compensation Acts </w:t>
      </w:r>
      <w:r w:rsidR="00E24D4A">
        <w:t>–</w:t>
      </w:r>
      <w:r w:rsidRPr="00954D98">
        <w:t xml:space="preserve"> Health and Other Care Services program, which are expected to increase by $72.9 million in 2025</w:t>
      </w:r>
      <w:r w:rsidR="0047408F" w:rsidRPr="00954D98">
        <w:rPr>
          <w:w w:val="1"/>
        </w:rPr>
        <w:t> </w:t>
      </w:r>
      <w:r w:rsidR="0047408F" w:rsidRPr="00954D98">
        <w:t>–</w:t>
      </w:r>
      <w:r w:rsidR="0047408F" w:rsidRPr="00954D98">
        <w:rPr>
          <w:w w:val="1"/>
        </w:rPr>
        <w:t> </w:t>
      </w:r>
      <w:r w:rsidRPr="00954D98">
        <w:t>26 and $1.2 billion over the four years to 2028</w:t>
      </w:r>
      <w:r w:rsidR="00B64A1C" w:rsidRPr="00954D98">
        <w:t>–</w:t>
      </w:r>
      <w:r w:rsidRPr="00954D98">
        <w:t>29, largely reflecting increases in eligible recipients in part as a flow on result of the Government</w:t>
      </w:r>
      <w:r w:rsidR="00536CFF">
        <w:t>’</w:t>
      </w:r>
      <w:r w:rsidRPr="00954D98">
        <w:t>s efforts to clear the claims backlog, and the value of average medical benefits provided under the program.</w:t>
      </w:r>
    </w:p>
    <w:p w14:paraId="69D72FEF" w14:textId="023C2F5C" w:rsidR="00E00D80" w:rsidRPr="00954D98" w:rsidRDefault="00F1044A" w:rsidP="000303DA">
      <w:r w:rsidRPr="00954D98">
        <w:t xml:space="preserve">Major decreases in payments from parameter and other variations since the </w:t>
      </w:r>
      <w:r w:rsidR="001B1B1A" w:rsidRPr="00954D98">
        <w:t>2025</w:t>
      </w:r>
      <w:r w:rsidR="005777E2">
        <w:t> </w:t>
      </w:r>
      <w:r w:rsidR="001B1B1A" w:rsidRPr="00954D98">
        <w:t>PEFO</w:t>
      </w:r>
      <w:r w:rsidRPr="00954D98">
        <w:t xml:space="preserve"> include:</w:t>
      </w:r>
    </w:p>
    <w:p w14:paraId="56AE3C8B" w14:textId="5DF26C50" w:rsidR="008674BB" w:rsidRPr="00954D98" w:rsidRDefault="008674BB" w:rsidP="008674BB">
      <w:pPr>
        <w:pStyle w:val="Bullet"/>
      </w:pPr>
      <w:r w:rsidRPr="00954D98">
        <w:t>payments related to the Fuel Tax Credits Scheme program, which are expected to decrease by $768.4 million in 2025</w:t>
      </w:r>
      <w:r w:rsidR="00B37DD7" w:rsidRPr="00954D98">
        <w:rPr>
          <w:w w:val="1"/>
        </w:rPr>
        <w:t> </w:t>
      </w:r>
      <w:r w:rsidR="00B37DD7" w:rsidRPr="00954D98">
        <w:t>–</w:t>
      </w:r>
      <w:r w:rsidR="00B37DD7" w:rsidRPr="00954D98">
        <w:rPr>
          <w:w w:val="1"/>
        </w:rPr>
        <w:t> </w:t>
      </w:r>
      <w:r w:rsidRPr="00954D98">
        <w:t>26 and by $3.4 billion over the four years to 2028</w:t>
      </w:r>
      <w:r w:rsidR="00B37DD7" w:rsidRPr="00954D98">
        <w:rPr>
          <w:w w:val="1"/>
        </w:rPr>
        <w:t> </w:t>
      </w:r>
      <w:r w:rsidR="00B37DD7" w:rsidRPr="00954D98">
        <w:t>–</w:t>
      </w:r>
      <w:r w:rsidR="00B37DD7" w:rsidRPr="00954D98">
        <w:rPr>
          <w:w w:val="1"/>
        </w:rPr>
        <w:t> </w:t>
      </w:r>
      <w:r w:rsidRPr="00954D98">
        <w:t>29, largely reflecting lower</w:t>
      </w:r>
      <w:r w:rsidR="00536CFF">
        <w:noBreakHyphen/>
      </w:r>
      <w:r w:rsidRPr="00954D98">
        <w:t>than</w:t>
      </w:r>
      <w:r w:rsidR="00536CFF">
        <w:noBreakHyphen/>
      </w:r>
      <w:r w:rsidRPr="00954D98">
        <w:t xml:space="preserve">expected Fuel Tax Credit claims. </w:t>
      </w:r>
    </w:p>
    <w:p w14:paraId="75559768" w14:textId="20335E60" w:rsidR="008674BB" w:rsidRPr="00954D98" w:rsidRDefault="008674BB" w:rsidP="008674BB">
      <w:pPr>
        <w:pStyle w:val="Bullet"/>
      </w:pPr>
      <w:r w:rsidRPr="00954D98">
        <w:t>payments related to the Commonwealth Debt Management program, which are expected to decrease by $816.0 million in 2025</w:t>
      </w:r>
      <w:r w:rsidR="00B40BE1" w:rsidRPr="00954D98">
        <w:rPr>
          <w:w w:val="1"/>
        </w:rPr>
        <w:t> </w:t>
      </w:r>
      <w:r w:rsidR="00B40BE1" w:rsidRPr="00954D98">
        <w:t>–</w:t>
      </w:r>
      <w:r w:rsidR="00B40BE1" w:rsidRPr="00954D98">
        <w:rPr>
          <w:w w:val="1"/>
        </w:rPr>
        <w:t> </w:t>
      </w:r>
      <w:r w:rsidRPr="00954D98">
        <w:t>26 and by $1.7 billion over the four years to 2028</w:t>
      </w:r>
      <w:r w:rsidR="00B40BE1" w:rsidRPr="00954D98">
        <w:rPr>
          <w:w w:val="1"/>
        </w:rPr>
        <w:t> </w:t>
      </w:r>
      <w:r w:rsidR="00B40BE1" w:rsidRPr="00954D98">
        <w:t>–</w:t>
      </w:r>
      <w:r w:rsidR="00B40BE1" w:rsidRPr="00954D98">
        <w:rPr>
          <w:w w:val="1"/>
        </w:rPr>
        <w:t> </w:t>
      </w:r>
      <w:r w:rsidRPr="00954D98">
        <w:t>29, largely reflecting lower levels of Australian Government Securities (AGS) on</w:t>
      </w:r>
      <w:r w:rsidR="005777E2">
        <w:t> </w:t>
      </w:r>
      <w:r w:rsidRPr="00954D98">
        <w:t>issue.</w:t>
      </w:r>
    </w:p>
    <w:p w14:paraId="6F9E54BC" w14:textId="4D6FEDF5" w:rsidR="008674BB" w:rsidRPr="00954D98" w:rsidRDefault="008674BB" w:rsidP="008674BB">
      <w:pPr>
        <w:pStyle w:val="Bullet"/>
      </w:pPr>
      <w:r w:rsidRPr="00954D98">
        <w:t>payments related to the Aged Care Services program, which are expected to decrease by $133.1 million in 2025</w:t>
      </w:r>
      <w:r w:rsidR="009339F3" w:rsidRPr="00954D98">
        <w:rPr>
          <w:w w:val="1"/>
        </w:rPr>
        <w:t> </w:t>
      </w:r>
      <w:r w:rsidR="009339F3" w:rsidRPr="00954D98">
        <w:t>–</w:t>
      </w:r>
      <w:r w:rsidR="009339F3" w:rsidRPr="00954D98">
        <w:rPr>
          <w:w w:val="1"/>
        </w:rPr>
        <w:t> </w:t>
      </w:r>
      <w:r w:rsidRPr="00954D98">
        <w:t>26 and by $1.3 billion over the four years to 2028</w:t>
      </w:r>
      <w:r w:rsidR="009339F3" w:rsidRPr="00954D98">
        <w:rPr>
          <w:w w:val="1"/>
        </w:rPr>
        <w:t> </w:t>
      </w:r>
      <w:r w:rsidR="009339F3" w:rsidRPr="00954D98">
        <w:t>–</w:t>
      </w:r>
      <w:r w:rsidR="009339F3" w:rsidRPr="00954D98">
        <w:rPr>
          <w:w w:val="1"/>
        </w:rPr>
        <w:t> </w:t>
      </w:r>
      <w:r w:rsidRPr="00954D98">
        <w:t xml:space="preserve">29, largely reflecting updates to the Australian National Aged Care Classification funding model recommended by the Independent Health and Aged Care Pricing Authority. This is partially offset by increases to the Hotelling Supplement rate. Delays to the commencement of the new </w:t>
      </w:r>
      <w:r w:rsidRPr="00954D98">
        <w:rPr>
          <w:i/>
          <w:iCs/>
        </w:rPr>
        <w:t xml:space="preserve">Aged Care Act 2024 </w:t>
      </w:r>
      <w:r w:rsidRPr="00954D98">
        <w:t>have also resulted in a relatively lower increase to payments under the program.</w:t>
      </w:r>
    </w:p>
    <w:p w14:paraId="07FA7514" w14:textId="214E72C3" w:rsidR="00F1044A" w:rsidRPr="00954D98" w:rsidRDefault="00F1044A" w:rsidP="005B6295">
      <w:pPr>
        <w:rPr>
          <w:rStyle w:val="Heading3Char"/>
          <w:rFonts w:ascii="Book Antiqua" w:hAnsi="Book Antiqua"/>
          <w:b w:val="0"/>
        </w:rPr>
      </w:pPr>
      <w:r w:rsidRPr="00954D98">
        <w:t xml:space="preserve">Consistent with past budgets, the underlying cash balance has been improved by regular draw down of the conservative bias allowance. Details of this draw down are provided at Appendix B: </w:t>
      </w:r>
      <w:r w:rsidRPr="00954D98">
        <w:rPr>
          <w:rStyle w:val="Emphasis"/>
        </w:rPr>
        <w:t>Supplementary expenses table and the Contingency Reserve.</w:t>
      </w:r>
    </w:p>
    <w:p w14:paraId="2E6A2343" w14:textId="7DABDD08" w:rsidR="00F1044A" w:rsidRPr="00954D98" w:rsidRDefault="00F1044A" w:rsidP="00F1044A">
      <w:pPr>
        <w:pStyle w:val="Heading3"/>
      </w:pPr>
      <w:bookmarkStart w:id="42" w:name="_Toc117356562"/>
      <w:bookmarkStart w:id="43" w:name="_Toc134093765"/>
      <w:bookmarkStart w:id="44" w:name="_Toc148428073"/>
      <w:r w:rsidRPr="00954D98">
        <w:rPr>
          <w:rStyle w:val="Heading3Char"/>
        </w:rPr>
        <w:t xml:space="preserve">Headline </w:t>
      </w:r>
      <w:r w:rsidRPr="005777E2">
        <w:rPr>
          <w:rStyle w:val="Heading3Char"/>
          <w:b/>
        </w:rPr>
        <w:t>cash</w:t>
      </w:r>
      <w:r w:rsidRPr="00954D98">
        <w:rPr>
          <w:rStyle w:val="Heading3Char"/>
        </w:rPr>
        <w:t xml:space="preserve"> balance estimates</w:t>
      </w:r>
      <w:bookmarkEnd w:id="42"/>
      <w:bookmarkEnd w:id="43"/>
      <w:bookmarkEnd w:id="44"/>
      <w:r w:rsidRPr="00954D98">
        <w:rPr>
          <w:rStyle w:val="Heading3Char"/>
        </w:rPr>
        <w:t xml:space="preserve"> </w:t>
      </w:r>
    </w:p>
    <w:p w14:paraId="48AFBA31" w14:textId="70BF3145" w:rsidR="00E01162" w:rsidRPr="00954D98" w:rsidRDefault="00F1044A" w:rsidP="00C666CF">
      <w:r w:rsidRPr="00954D98">
        <w:t>The headline cash balance adjusts the underlying cash balance to include net cash flows from investments in financial assets for policy purposes (IFAPPs). This includes Specialist Investment Vehicles which invest in projects that deliver public value and a financial return to taxpayers. For example, Clean Energy Finance Corporation (CEFC) loans and equity investments impact the headline cash</w:t>
      </w:r>
      <w:r w:rsidR="00E01162" w:rsidRPr="00954D98">
        <w:t xml:space="preserve"> </w:t>
      </w:r>
      <w:r w:rsidRPr="00954D98">
        <w:t>balance but not the underlying cash balance. Table</w:t>
      </w:r>
      <w:r w:rsidR="006173D9" w:rsidRPr="00954D98">
        <w:t> </w:t>
      </w:r>
      <w:r w:rsidRPr="00954D98">
        <w:t>3.</w:t>
      </w:r>
      <w:r w:rsidR="00B1089C" w:rsidRPr="00954D98">
        <w:t>7</w:t>
      </w:r>
      <w:r w:rsidR="00E01162" w:rsidRPr="00954D98">
        <w:t xml:space="preserve"> details differences between the underlying and headline cash balance estimates. </w:t>
      </w:r>
    </w:p>
    <w:p w14:paraId="1886D2A1" w14:textId="2716D62F" w:rsidR="00E01162" w:rsidRPr="00954D98" w:rsidRDefault="00E01162" w:rsidP="00C666CF">
      <w:r w:rsidRPr="00954D98">
        <w:lastRenderedPageBreak/>
        <w:t>A headline cash deficit of $</w:t>
      </w:r>
      <w:r w:rsidR="00637F1E" w:rsidRPr="00954D98">
        <w:t>58.6</w:t>
      </w:r>
      <w:r w:rsidR="00D47DB0" w:rsidRPr="00954D98">
        <w:t> </w:t>
      </w:r>
      <w:r w:rsidRPr="00954D98">
        <w:t>billion (</w:t>
      </w:r>
      <w:r w:rsidR="00637F1E" w:rsidRPr="00954D98">
        <w:t>2.0</w:t>
      </w:r>
      <w:r w:rsidR="00D47DB0" w:rsidRPr="00954D98">
        <w:t> </w:t>
      </w:r>
      <w:r w:rsidRPr="00954D98">
        <w:t>per</w:t>
      </w:r>
      <w:r w:rsidR="00D47DB0" w:rsidRPr="00954D98">
        <w:t> </w:t>
      </w:r>
      <w:r w:rsidRPr="00954D98">
        <w:t>cent of GDP) is estimated in 2025–26, compared to an estimated deficit of $</w:t>
      </w:r>
      <w:r w:rsidR="00637F1E" w:rsidRPr="00954D98">
        <w:t>65.2</w:t>
      </w:r>
      <w:r w:rsidR="00D47DB0" w:rsidRPr="00954D98">
        <w:t> </w:t>
      </w:r>
      <w:r w:rsidRPr="00954D98">
        <w:t xml:space="preserve">billion at </w:t>
      </w:r>
      <w:r w:rsidR="00EF0C45" w:rsidRPr="00954D98">
        <w:t>the 2025 PEFO</w:t>
      </w:r>
      <w:r w:rsidRPr="00954D98">
        <w:t>. The improvement is predominantly driven by the improvement</w:t>
      </w:r>
      <w:r w:rsidR="00ED46AB" w:rsidRPr="00954D98">
        <w:t xml:space="preserve"> </w:t>
      </w:r>
      <w:r w:rsidRPr="00954D98">
        <w:t xml:space="preserve">in the underlying cash balance. The headline cash balance </w:t>
      </w:r>
      <w:r w:rsidR="0006670D" w:rsidRPr="00954D98">
        <w:t>decreases to an estimated deficit of $62.7 billion (2.1 per cent of GDP) in 2026</w:t>
      </w:r>
      <w:r w:rsidR="005A7D51" w:rsidRPr="00954D98">
        <w:rPr>
          <w:w w:val="1"/>
        </w:rPr>
        <w:t> </w:t>
      </w:r>
      <w:r w:rsidR="0006670D" w:rsidRPr="00954D98">
        <w:t>–</w:t>
      </w:r>
      <w:r w:rsidR="005A7D51" w:rsidRPr="00954D98">
        <w:rPr>
          <w:w w:val="1"/>
        </w:rPr>
        <w:t> </w:t>
      </w:r>
      <w:r w:rsidR="0006670D" w:rsidRPr="00954D98">
        <w:t xml:space="preserve">27, before </w:t>
      </w:r>
      <w:r w:rsidRPr="00954D98">
        <w:t>moderat</w:t>
      </w:r>
      <w:r w:rsidR="0006670D" w:rsidRPr="00954D98">
        <w:t>ing</w:t>
      </w:r>
      <w:r w:rsidRPr="00954D98">
        <w:t xml:space="preserve"> to a deficit of $</w:t>
      </w:r>
      <w:r w:rsidR="00FF2AE1" w:rsidRPr="00954D98">
        <w:t>57.5</w:t>
      </w:r>
      <w:r w:rsidR="00D47DB0" w:rsidRPr="00954D98">
        <w:t> </w:t>
      </w:r>
      <w:r w:rsidRPr="00954D98">
        <w:t>billion (</w:t>
      </w:r>
      <w:r w:rsidR="00FF2AE1" w:rsidRPr="00954D98">
        <w:t>1.7</w:t>
      </w:r>
      <w:r w:rsidR="00D47DB0" w:rsidRPr="00954D98">
        <w:t> </w:t>
      </w:r>
      <w:r w:rsidRPr="00954D98">
        <w:t>per</w:t>
      </w:r>
      <w:r w:rsidR="00D47DB0" w:rsidRPr="00954D98">
        <w:t> </w:t>
      </w:r>
      <w:r w:rsidRPr="00954D98">
        <w:t>cent of GDP) in 2028–29.</w:t>
      </w:r>
    </w:p>
    <w:p w14:paraId="08A689AA" w14:textId="590912C8" w:rsidR="00217BBA" w:rsidRPr="00954D98" w:rsidRDefault="00217BBA" w:rsidP="00095610">
      <w:bookmarkStart w:id="45" w:name="_Hlk215669935"/>
      <w:r w:rsidRPr="00954D98">
        <w:t>Estimated net cas</w:t>
      </w:r>
      <w:r w:rsidR="009A2102" w:rsidRPr="00954D98">
        <w:t>h outflows for IFAPP</w:t>
      </w:r>
      <w:r w:rsidR="001626AD" w:rsidRPr="00954D98">
        <w:t>s</w:t>
      </w:r>
      <w:r w:rsidR="009A2102" w:rsidRPr="00954D98">
        <w:t xml:space="preserve"> </w:t>
      </w:r>
      <w:r w:rsidR="001626AD" w:rsidRPr="00954D98">
        <w:t>increased by $</w:t>
      </w:r>
      <w:r w:rsidR="009B5D1D" w:rsidRPr="00954D98">
        <w:t>9.0</w:t>
      </w:r>
      <w:r w:rsidR="00E23314" w:rsidRPr="00954D98">
        <w:t xml:space="preserve"> billion over the four years to 2028</w:t>
      </w:r>
      <w:r w:rsidR="0090752D" w:rsidRPr="00954D98">
        <w:rPr>
          <w:w w:val="1"/>
        </w:rPr>
        <w:t> </w:t>
      </w:r>
      <w:r w:rsidR="0090752D" w:rsidRPr="00954D98">
        <w:t>–</w:t>
      </w:r>
      <w:r w:rsidR="0090752D" w:rsidRPr="00954D98">
        <w:rPr>
          <w:w w:val="1"/>
        </w:rPr>
        <w:t> </w:t>
      </w:r>
      <w:r w:rsidR="00E23314" w:rsidRPr="00954D98">
        <w:t>29 compared to the 2025 PEFO.</w:t>
      </w:r>
    </w:p>
    <w:p w14:paraId="2DFDDCF6" w14:textId="630E2877" w:rsidR="00095610" w:rsidRPr="00954D98" w:rsidRDefault="00095610" w:rsidP="001D40B0">
      <w:pPr>
        <w:keepNext/>
        <w:tabs>
          <w:tab w:val="left" w:pos="2977"/>
        </w:tabs>
      </w:pPr>
      <w:r w:rsidRPr="00954D98">
        <w:t xml:space="preserve">Policy decisions </w:t>
      </w:r>
      <w:r w:rsidR="00737CAA" w:rsidRPr="00954D98">
        <w:t xml:space="preserve">contributing to the </w:t>
      </w:r>
      <w:r w:rsidR="00C468A3" w:rsidRPr="00954D98">
        <w:t>increase in net cash outflows include</w:t>
      </w:r>
      <w:r w:rsidRPr="00954D98">
        <w:t>:</w:t>
      </w:r>
    </w:p>
    <w:p w14:paraId="4CA71E19" w14:textId="3025DD48" w:rsidR="00DF6FEB" w:rsidRPr="00954D98" w:rsidRDefault="007410FC" w:rsidP="001D40B0">
      <w:pPr>
        <w:pStyle w:val="Bullet"/>
        <w:keepNext/>
      </w:pPr>
      <w:r w:rsidRPr="00954D98">
        <w:t xml:space="preserve">An additional </w:t>
      </w:r>
      <w:r w:rsidR="00DF6FEB" w:rsidRPr="00954D98">
        <w:t>$</w:t>
      </w:r>
      <w:r w:rsidR="00742A62" w:rsidRPr="00954D98">
        <w:t>2.6</w:t>
      </w:r>
      <w:r w:rsidR="00EE443E" w:rsidRPr="00954D98">
        <w:t> </w:t>
      </w:r>
      <w:r w:rsidR="00DF6FEB" w:rsidRPr="00954D98">
        <w:t xml:space="preserve">billion in concessional loans </w:t>
      </w:r>
      <w:r w:rsidR="00F37001" w:rsidRPr="00954D98">
        <w:t>to community housing providers</w:t>
      </w:r>
      <w:r w:rsidR="00F4480A" w:rsidRPr="00954D98">
        <w:t>,</w:t>
      </w:r>
      <w:r w:rsidR="00F37001" w:rsidRPr="00954D98">
        <w:t xml:space="preserve"> </w:t>
      </w:r>
      <w:r w:rsidR="00A20C65" w:rsidRPr="00954D98">
        <w:t>to support delivery of more than 21,000 social and affordable homes through Round</w:t>
      </w:r>
      <w:r w:rsidR="000E672B">
        <w:t> </w:t>
      </w:r>
      <w:r w:rsidR="00A20C65" w:rsidRPr="00954D98">
        <w:t>3 of </w:t>
      </w:r>
      <w:bookmarkStart w:id="46" w:name="_Hlk215518883"/>
      <w:r w:rsidR="00A20C65" w:rsidRPr="00954D98">
        <w:t xml:space="preserve">the Housing Australia Future </w:t>
      </w:r>
      <w:bookmarkEnd w:id="46"/>
      <w:r w:rsidR="00F4480A" w:rsidRPr="00954D98">
        <w:t>Fund</w:t>
      </w:r>
      <w:r w:rsidR="00DF6FEB" w:rsidRPr="00954D98">
        <w:t>. Further information can be found in the 2025</w:t>
      </w:r>
      <w:r w:rsidR="00940ABD" w:rsidRPr="00954D98">
        <w:rPr>
          <w:w w:val="1"/>
        </w:rPr>
        <w:t> </w:t>
      </w:r>
      <w:r w:rsidR="00940ABD" w:rsidRPr="00954D98">
        <w:t>–</w:t>
      </w:r>
      <w:r w:rsidR="00940ABD" w:rsidRPr="00954D98">
        <w:rPr>
          <w:w w:val="1"/>
        </w:rPr>
        <w:t> </w:t>
      </w:r>
      <w:r w:rsidR="00DF6FEB" w:rsidRPr="00954D98">
        <w:t>26</w:t>
      </w:r>
      <w:r w:rsidR="00940ABD" w:rsidRPr="00954D98">
        <w:t> </w:t>
      </w:r>
      <w:r w:rsidR="00DF6FEB" w:rsidRPr="00954D98">
        <w:t xml:space="preserve">MYEFO measure </w:t>
      </w:r>
      <w:r w:rsidR="00621151" w:rsidRPr="00954D98">
        <w:rPr>
          <w:i/>
        </w:rPr>
        <w:t>Housing Australia Future Fund Round</w:t>
      </w:r>
      <w:r w:rsidR="00AF2E87" w:rsidRPr="00954D98">
        <w:rPr>
          <w:i/>
        </w:rPr>
        <w:t xml:space="preserve"> 3</w:t>
      </w:r>
      <w:r w:rsidR="00DF6FEB" w:rsidRPr="00954D98">
        <w:t>.</w:t>
      </w:r>
    </w:p>
    <w:bookmarkEnd w:id="45"/>
    <w:p w14:paraId="2953970B" w14:textId="75E36461" w:rsidR="00DB0B4C" w:rsidRPr="00954D98" w:rsidRDefault="00DB0B4C" w:rsidP="00DB0B4C">
      <w:pPr>
        <w:pStyle w:val="Bullet"/>
      </w:pPr>
      <w:r w:rsidRPr="00954D98">
        <w:t xml:space="preserve">$2.0 billion in </w:t>
      </w:r>
      <w:r w:rsidR="00572F1F" w:rsidRPr="00954D98">
        <w:t>concessional</w:t>
      </w:r>
      <w:r w:rsidR="006B61D5" w:rsidRPr="00954D98">
        <w:t xml:space="preserve"> loans</w:t>
      </w:r>
      <w:r w:rsidR="00DC303A" w:rsidRPr="00954D98">
        <w:t>,</w:t>
      </w:r>
      <w:r w:rsidR="00572F1F" w:rsidRPr="00954D98">
        <w:t xml:space="preserve"> </w:t>
      </w:r>
      <w:r w:rsidR="006A6FD4" w:rsidRPr="00954D98">
        <w:t>expected over three years from 2026</w:t>
      </w:r>
      <w:r w:rsidR="0096362B" w:rsidRPr="00954D98">
        <w:t>–</w:t>
      </w:r>
      <w:r w:rsidR="0096362B" w:rsidRPr="00954D98">
        <w:rPr>
          <w:w w:val="1"/>
        </w:rPr>
        <w:t> </w:t>
      </w:r>
      <w:r w:rsidR="006A6FD4" w:rsidRPr="00954D98">
        <w:t>27</w:t>
      </w:r>
      <w:r w:rsidR="00DC303A" w:rsidRPr="00954D98">
        <w:t>,</w:t>
      </w:r>
      <w:r w:rsidR="00572F1F" w:rsidRPr="00954D98">
        <w:t xml:space="preserve"> to support states, territories and industry to </w:t>
      </w:r>
      <w:r w:rsidR="0081541E" w:rsidRPr="00954D98">
        <w:t xml:space="preserve">deliver </w:t>
      </w:r>
      <w:r w:rsidR="00572F1F" w:rsidRPr="00954D98">
        <w:t>up to 100,000 new, well</w:t>
      </w:r>
      <w:r w:rsidR="00536CFF">
        <w:noBreakHyphen/>
      </w:r>
      <w:r w:rsidR="00572F1F" w:rsidRPr="00954D98">
        <w:t xml:space="preserve">located dwellings </w:t>
      </w:r>
      <w:r w:rsidR="00FA53F0" w:rsidRPr="00954D98">
        <w:t xml:space="preserve">reserved </w:t>
      </w:r>
      <w:r w:rsidR="00572F1F" w:rsidRPr="00954D98">
        <w:t xml:space="preserve">for sale to first home </w:t>
      </w:r>
      <w:r w:rsidRPr="00954D98">
        <w:t>buyers. An additional $6.0</w:t>
      </w:r>
      <w:r w:rsidR="00427D5F" w:rsidRPr="00954D98">
        <w:t> </w:t>
      </w:r>
      <w:r w:rsidRPr="00954D98">
        <w:t xml:space="preserve">billion in </w:t>
      </w:r>
      <w:r w:rsidR="00572F1F" w:rsidRPr="00954D98">
        <w:t>concessional</w:t>
      </w:r>
      <w:r w:rsidRPr="00954D98">
        <w:t xml:space="preserve"> loans will be provided beyond 2028</w:t>
      </w:r>
      <w:r w:rsidR="00427D5F" w:rsidRPr="00954D98">
        <w:rPr>
          <w:w w:val="1"/>
        </w:rPr>
        <w:t> </w:t>
      </w:r>
      <w:r w:rsidR="00427D5F" w:rsidRPr="00954D98">
        <w:t>–</w:t>
      </w:r>
      <w:r w:rsidR="00427D5F" w:rsidRPr="00954D98">
        <w:rPr>
          <w:w w:val="1"/>
        </w:rPr>
        <w:t> </w:t>
      </w:r>
      <w:r w:rsidRPr="00954D98">
        <w:t>29. Further information can be found in the 2025</w:t>
      </w:r>
      <w:r w:rsidR="008E139E" w:rsidRPr="00954D98">
        <w:rPr>
          <w:w w:val="1"/>
        </w:rPr>
        <w:t> </w:t>
      </w:r>
      <w:r w:rsidR="008E139E" w:rsidRPr="00954D98">
        <w:t>–</w:t>
      </w:r>
      <w:r w:rsidR="008E139E" w:rsidRPr="00954D98">
        <w:rPr>
          <w:w w:val="1"/>
        </w:rPr>
        <w:t> </w:t>
      </w:r>
      <w:r w:rsidRPr="00954D98">
        <w:t>26</w:t>
      </w:r>
      <w:r w:rsidR="00940ABD" w:rsidRPr="00954D98">
        <w:t> </w:t>
      </w:r>
      <w:r w:rsidRPr="00954D98">
        <w:t xml:space="preserve">MYEFO measure </w:t>
      </w:r>
      <w:r w:rsidR="00E35E5B" w:rsidRPr="00954D98">
        <w:rPr>
          <w:i/>
        </w:rPr>
        <w:t>Support for Homebuyers</w:t>
      </w:r>
      <w:r w:rsidRPr="00954D98">
        <w:t>.</w:t>
      </w:r>
    </w:p>
    <w:p w14:paraId="203E8908" w14:textId="2A046C0D" w:rsidR="008615B5" w:rsidRPr="00954D98" w:rsidRDefault="004A2551" w:rsidP="00A83D68">
      <w:pPr>
        <w:pStyle w:val="Bullet"/>
      </w:pPr>
      <w:r w:rsidRPr="00954D98">
        <w:t>$1.0 billion</w:t>
      </w:r>
      <w:r w:rsidR="00781DD4" w:rsidRPr="00954D98">
        <w:t xml:space="preserve"> for the Regional Investment Corporation to deliver new concessional loans to farm business</w:t>
      </w:r>
      <w:r w:rsidR="00917DAD" w:rsidRPr="00954D98">
        <w:t>es</w:t>
      </w:r>
      <w:r w:rsidR="00781DD4" w:rsidRPr="00954D98">
        <w:t xml:space="preserve"> and drought</w:t>
      </w:r>
      <w:r w:rsidR="00536CFF">
        <w:noBreakHyphen/>
      </w:r>
      <w:r w:rsidR="00781DD4" w:rsidRPr="00954D98">
        <w:t>affected farm</w:t>
      </w:r>
      <w:r w:rsidR="00536CFF">
        <w:noBreakHyphen/>
      </w:r>
      <w:r w:rsidR="00781DD4" w:rsidRPr="00954D98">
        <w:t>related businesses and a broadened loan scope to include assistance for improving climate resilience, boosting sector productivity and supporting agriculture to be part of Australia</w:t>
      </w:r>
      <w:r w:rsidR="00536CFF">
        <w:t>’</w:t>
      </w:r>
      <w:r w:rsidR="00781DD4" w:rsidRPr="00954D98">
        <w:t>s net zero transition</w:t>
      </w:r>
      <w:r w:rsidRPr="00954D98">
        <w:t>. Further information can be found in the 2025</w:t>
      </w:r>
      <w:r w:rsidR="004F5687" w:rsidRPr="00954D98">
        <w:rPr>
          <w:w w:val="1"/>
        </w:rPr>
        <w:t> </w:t>
      </w:r>
      <w:r w:rsidR="004F5687" w:rsidRPr="00954D98">
        <w:t>–</w:t>
      </w:r>
      <w:r w:rsidR="004F5687" w:rsidRPr="00954D98">
        <w:rPr>
          <w:w w:val="1"/>
        </w:rPr>
        <w:t> </w:t>
      </w:r>
      <w:r w:rsidRPr="00954D98">
        <w:t>26</w:t>
      </w:r>
      <w:r w:rsidR="008E5655" w:rsidRPr="00954D98">
        <w:t> </w:t>
      </w:r>
      <w:r w:rsidRPr="00954D98">
        <w:t xml:space="preserve">MYEFO measure </w:t>
      </w:r>
      <w:r w:rsidR="00556DCF" w:rsidRPr="00954D98">
        <w:rPr>
          <w:i/>
        </w:rPr>
        <w:t>Future</w:t>
      </w:r>
      <w:r w:rsidR="004600E5" w:rsidRPr="00954D98">
        <w:rPr>
          <w:i/>
        </w:rPr>
        <w:t xml:space="preserve"> of the </w:t>
      </w:r>
      <w:r w:rsidR="00556DCF" w:rsidRPr="00954D98">
        <w:rPr>
          <w:i/>
        </w:rPr>
        <w:t>Regional Investment Corporation</w:t>
      </w:r>
      <w:r w:rsidR="00A83D68" w:rsidRPr="00954D98">
        <w:t>.</w:t>
      </w:r>
    </w:p>
    <w:p w14:paraId="26E27F34" w14:textId="346CEE28" w:rsidR="0057255A" w:rsidRPr="00954D98" w:rsidRDefault="0057255A" w:rsidP="0057255A">
      <w:r w:rsidRPr="00954D98">
        <w:t>Parameter and other variations contributing to the increase in net cash outflows for IFAPPs include:</w:t>
      </w:r>
    </w:p>
    <w:p w14:paraId="5A36C4BB" w14:textId="76897349" w:rsidR="0057255A" w:rsidRPr="00954D98" w:rsidRDefault="0057255A" w:rsidP="0057255A">
      <w:pPr>
        <w:pStyle w:val="Bullet"/>
      </w:pPr>
      <w:r w:rsidRPr="00954D98">
        <w:t>$735.8 million in additional investing cash flows across the forward estimates on Export</w:t>
      </w:r>
      <w:r w:rsidR="00AF0BF1" w:rsidRPr="00954D98">
        <w:t> </w:t>
      </w:r>
      <w:r w:rsidRPr="00954D98">
        <w:t>Finance Australia</w:t>
      </w:r>
      <w:r w:rsidR="00536CFF">
        <w:t>’</w:t>
      </w:r>
      <w:r w:rsidRPr="00954D98">
        <w:t>s National Interest Account</w:t>
      </w:r>
      <w:r w:rsidR="00201C4F" w:rsidRPr="00954D98">
        <w:t xml:space="preserve"> including the Critical Minerals Facility</w:t>
      </w:r>
      <w:r w:rsidRPr="00954D98">
        <w:t>, reflecting revisions to the timing of capital investments.</w:t>
      </w:r>
    </w:p>
    <w:p w14:paraId="6AEDE842" w14:textId="5766E099" w:rsidR="0057255A" w:rsidRPr="00954D98" w:rsidRDefault="0057255A">
      <w:pPr>
        <w:pStyle w:val="Bullet"/>
      </w:pPr>
      <w:r w:rsidRPr="00954D98">
        <w:t xml:space="preserve">$611.8 million in additional net loan drawdowns on the </w:t>
      </w:r>
      <w:r w:rsidR="00917DAD" w:rsidRPr="00954D98">
        <w:t>$4 billion</w:t>
      </w:r>
      <w:r w:rsidRPr="00954D98">
        <w:t xml:space="preserve"> line of credit provided to </w:t>
      </w:r>
      <w:r w:rsidR="00BE7B97" w:rsidRPr="00954D98">
        <w:t xml:space="preserve">support </w:t>
      </w:r>
      <w:r w:rsidRPr="00954D98">
        <w:t xml:space="preserve">the Housing Australia Affordable Housing Bond Aggregator. </w:t>
      </w:r>
    </w:p>
    <w:p w14:paraId="034EDE81" w14:textId="7ADAB978" w:rsidR="0057255A" w:rsidRPr="00954D98" w:rsidRDefault="0057255A" w:rsidP="00BD14C4">
      <w:pPr>
        <w:pStyle w:val="Bullet"/>
      </w:pPr>
      <w:r w:rsidRPr="00954D98">
        <w:t>$501.6 million in additional outflows over the forward estimates for the Australian Business Securitisation Fund, reflecting updated estimates for the pipeline of proposals</w:t>
      </w:r>
      <w:r w:rsidR="00B70B7F" w:rsidRPr="00954D98">
        <w:t>.</w:t>
      </w:r>
    </w:p>
    <w:p w14:paraId="6E0C746B" w14:textId="77777777" w:rsidR="00230095" w:rsidRDefault="00230095" w:rsidP="000A135C">
      <w:pPr>
        <w:pStyle w:val="SingleParagraph"/>
      </w:pPr>
      <w:r>
        <w:br w:type="page"/>
      </w:r>
    </w:p>
    <w:p w14:paraId="69DD00E7" w14:textId="6C114838" w:rsidR="00095610" w:rsidRPr="00954D98" w:rsidRDefault="0057255A" w:rsidP="00095610">
      <w:r w:rsidRPr="00954D98">
        <w:lastRenderedPageBreak/>
        <w:t xml:space="preserve">The increase in net cash outflows for IFAPPs was partially offset by </w:t>
      </w:r>
      <w:proofErr w:type="gramStart"/>
      <w:r w:rsidRPr="00954D98">
        <w:t>a number of</w:t>
      </w:r>
      <w:proofErr w:type="gramEnd"/>
      <w:r w:rsidRPr="00954D98">
        <w:t xml:space="preserve"> parameter and other variations, including</w:t>
      </w:r>
      <w:r w:rsidR="00095610" w:rsidRPr="00954D98">
        <w:t>:</w:t>
      </w:r>
    </w:p>
    <w:p w14:paraId="7EEAD818" w14:textId="0DE9B311" w:rsidR="000E7627" w:rsidRPr="00954D98" w:rsidRDefault="000E7627" w:rsidP="000E7627">
      <w:pPr>
        <w:pStyle w:val="Bullet"/>
      </w:pPr>
      <w:r w:rsidRPr="00954D98">
        <w:t>$3.</w:t>
      </w:r>
      <w:r w:rsidR="008F7269" w:rsidRPr="00954D98">
        <w:t>5</w:t>
      </w:r>
      <w:r w:rsidR="008E5655" w:rsidRPr="00954D98">
        <w:t> </w:t>
      </w:r>
      <w:r w:rsidRPr="00954D98">
        <w:t xml:space="preserve">billion in lower investments by the </w:t>
      </w:r>
      <w:r w:rsidR="00A847B2" w:rsidRPr="00954D98">
        <w:t>CEFC</w:t>
      </w:r>
      <w:r w:rsidR="001B46C1" w:rsidRPr="00954D98">
        <w:t xml:space="preserve"> over the forward estimates</w:t>
      </w:r>
      <w:r w:rsidRPr="00954D98">
        <w:t xml:space="preserve">, reflecting revised timeframes for capital deployment across Rewiring the Nation as well as other </w:t>
      </w:r>
      <w:r w:rsidR="00F26EDE" w:rsidRPr="00954D98">
        <w:t xml:space="preserve">CEFC </w:t>
      </w:r>
      <w:r w:rsidRPr="00954D98">
        <w:t>activities.</w:t>
      </w:r>
    </w:p>
    <w:p w14:paraId="172C594F" w14:textId="40429DD0" w:rsidR="00A847B2" w:rsidRPr="00954D98" w:rsidRDefault="00A847B2" w:rsidP="00A847B2">
      <w:pPr>
        <w:pStyle w:val="Bullet"/>
      </w:pPr>
      <w:r w:rsidRPr="00954D98">
        <w:t>$793.2</w:t>
      </w:r>
      <w:r w:rsidR="008E5655" w:rsidRPr="00954D98">
        <w:t> </w:t>
      </w:r>
      <w:r w:rsidRPr="00954D98">
        <w:t xml:space="preserve">million in lower investments by the </w:t>
      </w:r>
      <w:r w:rsidR="003C6EF6" w:rsidRPr="00954D98">
        <w:t>Northern Australia Infrastructure Facility (</w:t>
      </w:r>
      <w:r w:rsidRPr="00954D98">
        <w:t>NAIF</w:t>
      </w:r>
      <w:r w:rsidR="003C6EF6" w:rsidRPr="00954D98">
        <w:t>)</w:t>
      </w:r>
      <w:r w:rsidR="001B46C1" w:rsidRPr="00954D98">
        <w:t xml:space="preserve"> over the forward estimates</w:t>
      </w:r>
      <w:r w:rsidRPr="00954D98">
        <w:t xml:space="preserve">, reflecting </w:t>
      </w:r>
      <w:r w:rsidR="002E17A7" w:rsidRPr="00954D98">
        <w:t xml:space="preserve">a reduction in </w:t>
      </w:r>
      <w:r w:rsidR="00E75B0C" w:rsidRPr="00954D98">
        <w:t>expected</w:t>
      </w:r>
      <w:r w:rsidR="002E17A7" w:rsidRPr="00954D98">
        <w:t xml:space="preserve"> loan commitments</w:t>
      </w:r>
      <w:r w:rsidRPr="00954D98">
        <w:rPr>
          <w:i/>
          <w:iCs/>
        </w:rPr>
        <w:t>.</w:t>
      </w:r>
    </w:p>
    <w:p w14:paraId="018368F7" w14:textId="401CA24F" w:rsidR="005B22A7" w:rsidRPr="00954D98" w:rsidRDefault="005B22A7" w:rsidP="000A135C">
      <w:pPr>
        <w:pStyle w:val="SingleParagraph"/>
      </w:pPr>
      <w:r w:rsidRPr="00954D98">
        <w:br w:type="page"/>
      </w:r>
    </w:p>
    <w:p w14:paraId="2A9E9C41" w14:textId="140D1947" w:rsidR="00731295" w:rsidRPr="00954D98" w:rsidRDefault="00F1044A" w:rsidP="00731295">
      <w:pPr>
        <w:pStyle w:val="TableHeading"/>
        <w:rPr>
          <w:rFonts w:asciiTheme="minorHAnsi" w:eastAsiaTheme="minorHAnsi" w:hAnsiTheme="minorHAnsi" w:cstheme="minorBidi"/>
          <w:sz w:val="22"/>
          <w:szCs w:val="22"/>
          <w:lang w:eastAsia="en-US"/>
        </w:rPr>
      </w:pPr>
      <w:r w:rsidRPr="00954D98">
        <w:lastRenderedPageBreak/>
        <w:t>Table 3.</w:t>
      </w:r>
      <w:r w:rsidR="00F736A7" w:rsidRPr="00954D98">
        <w:t>7</w:t>
      </w:r>
      <w:r w:rsidRPr="00954D98">
        <w:t>: Reconciliation of general government sector underlying and headline cash balance estimates</w:t>
      </w:r>
    </w:p>
    <w:tbl>
      <w:tblPr>
        <w:tblW w:w="5000" w:type="pct"/>
        <w:tblCellMar>
          <w:left w:w="0" w:type="dxa"/>
          <w:right w:w="28" w:type="dxa"/>
        </w:tblCellMar>
        <w:tblLook w:val="04A0" w:firstRow="1" w:lastRow="0" w:firstColumn="1" w:lastColumn="0" w:noHBand="0" w:noVBand="1"/>
      </w:tblPr>
      <w:tblGrid>
        <w:gridCol w:w="3723"/>
        <w:gridCol w:w="771"/>
        <w:gridCol w:w="771"/>
        <w:gridCol w:w="771"/>
        <w:gridCol w:w="771"/>
        <w:gridCol w:w="120"/>
        <w:gridCol w:w="783"/>
      </w:tblGrid>
      <w:tr w:rsidR="00DB5205" w:rsidRPr="00954D98" w14:paraId="5F5CEBD2" w14:textId="77777777" w:rsidTr="00DB5205">
        <w:trPr>
          <w:trHeight w:hRule="exact" w:val="225"/>
        </w:trPr>
        <w:tc>
          <w:tcPr>
            <w:tcW w:w="2414" w:type="pct"/>
            <w:tcBorders>
              <w:top w:val="single" w:sz="4" w:space="0" w:color="293F5B"/>
              <w:left w:val="nil"/>
              <w:bottom w:val="nil"/>
              <w:right w:val="nil"/>
            </w:tcBorders>
            <w:shd w:val="clear" w:color="000000" w:fill="FFFFFF"/>
            <w:noWrap/>
            <w:vAlign w:val="bottom"/>
            <w:hideMark/>
          </w:tcPr>
          <w:p w14:paraId="21DD40AF"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2000" w:type="pct"/>
            <w:gridSpan w:val="4"/>
            <w:tcBorders>
              <w:top w:val="single" w:sz="4" w:space="0" w:color="293F5B"/>
              <w:left w:val="nil"/>
              <w:bottom w:val="single" w:sz="4" w:space="0" w:color="293F5B"/>
              <w:right w:val="nil"/>
            </w:tcBorders>
            <w:shd w:val="clear" w:color="000000" w:fill="FFFFFF"/>
            <w:noWrap/>
            <w:vAlign w:val="bottom"/>
            <w:hideMark/>
          </w:tcPr>
          <w:p w14:paraId="40072F99" w14:textId="77777777" w:rsidR="00DB5205" w:rsidRPr="00954D98" w:rsidRDefault="00DB5205" w:rsidP="00DB5205">
            <w:pPr>
              <w:spacing w:before="0" w:after="0" w:line="240" w:lineRule="auto"/>
              <w:jc w:val="center"/>
              <w:rPr>
                <w:rFonts w:ascii="Arial" w:hAnsi="Arial" w:cs="Arial"/>
                <w:color w:val="FFFF00"/>
                <w:sz w:val="16"/>
                <w:szCs w:val="16"/>
              </w:rPr>
            </w:pPr>
            <w:r w:rsidRPr="00954D98">
              <w:rPr>
                <w:rFonts w:ascii="Arial" w:hAnsi="Arial" w:cs="Arial"/>
                <w:sz w:val="16"/>
                <w:szCs w:val="16"/>
              </w:rPr>
              <w:t>Estimates</w:t>
            </w:r>
          </w:p>
        </w:tc>
        <w:tc>
          <w:tcPr>
            <w:tcW w:w="78" w:type="pct"/>
            <w:tcBorders>
              <w:top w:val="single" w:sz="4" w:space="0" w:color="293F5B"/>
              <w:left w:val="nil"/>
              <w:bottom w:val="nil"/>
              <w:right w:val="nil"/>
            </w:tcBorders>
            <w:shd w:val="clear" w:color="000000" w:fill="FFFFFF"/>
            <w:noWrap/>
            <w:vAlign w:val="bottom"/>
            <w:hideMark/>
          </w:tcPr>
          <w:p w14:paraId="6EB9D8FF"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single" w:sz="4" w:space="0" w:color="293F5B"/>
              <w:left w:val="nil"/>
              <w:bottom w:val="single" w:sz="4" w:space="0" w:color="293F5B"/>
              <w:right w:val="nil"/>
            </w:tcBorders>
            <w:shd w:val="clear" w:color="000000" w:fill="FFFFFF"/>
            <w:noWrap/>
            <w:vAlign w:val="bottom"/>
            <w:hideMark/>
          </w:tcPr>
          <w:p w14:paraId="6AC6955C" w14:textId="77777777" w:rsidR="00DB5205" w:rsidRPr="00954D98" w:rsidRDefault="00DB5205" w:rsidP="00DB5205">
            <w:pPr>
              <w:spacing w:before="0" w:after="0" w:line="240" w:lineRule="auto"/>
              <w:rPr>
                <w:rFonts w:ascii="Arial" w:hAnsi="Arial" w:cs="Arial"/>
                <w:sz w:val="16"/>
                <w:szCs w:val="16"/>
              </w:rPr>
            </w:pPr>
            <w:r w:rsidRPr="00954D98">
              <w:rPr>
                <w:rFonts w:ascii="Arial" w:hAnsi="Arial" w:cs="Arial"/>
                <w:sz w:val="16"/>
                <w:szCs w:val="16"/>
              </w:rPr>
              <w:t> </w:t>
            </w:r>
          </w:p>
        </w:tc>
      </w:tr>
      <w:tr w:rsidR="00DB5205" w:rsidRPr="00954D98" w14:paraId="7E35C6A0"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0ACFCBCE"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E6F2FF"/>
            <w:noWrap/>
            <w:vAlign w:val="center"/>
            <w:hideMark/>
          </w:tcPr>
          <w:p w14:paraId="60CA629E"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2025-26</w:t>
            </w:r>
          </w:p>
        </w:tc>
        <w:tc>
          <w:tcPr>
            <w:tcW w:w="500" w:type="pct"/>
            <w:tcBorders>
              <w:top w:val="nil"/>
              <w:left w:val="nil"/>
              <w:bottom w:val="nil"/>
              <w:right w:val="nil"/>
            </w:tcBorders>
            <w:shd w:val="clear" w:color="000000" w:fill="FFFFFF"/>
            <w:noWrap/>
            <w:vAlign w:val="center"/>
            <w:hideMark/>
          </w:tcPr>
          <w:p w14:paraId="4F363DDC"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2026-27</w:t>
            </w:r>
          </w:p>
        </w:tc>
        <w:tc>
          <w:tcPr>
            <w:tcW w:w="500" w:type="pct"/>
            <w:tcBorders>
              <w:top w:val="nil"/>
              <w:left w:val="nil"/>
              <w:bottom w:val="nil"/>
              <w:right w:val="nil"/>
            </w:tcBorders>
            <w:shd w:val="clear" w:color="000000" w:fill="FFFFFF"/>
            <w:noWrap/>
            <w:vAlign w:val="center"/>
            <w:hideMark/>
          </w:tcPr>
          <w:p w14:paraId="6EF0016D"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2027-28</w:t>
            </w:r>
          </w:p>
        </w:tc>
        <w:tc>
          <w:tcPr>
            <w:tcW w:w="500" w:type="pct"/>
            <w:tcBorders>
              <w:top w:val="nil"/>
              <w:left w:val="nil"/>
              <w:bottom w:val="nil"/>
              <w:right w:val="nil"/>
            </w:tcBorders>
            <w:shd w:val="clear" w:color="000000" w:fill="FFFFFF"/>
            <w:noWrap/>
            <w:vAlign w:val="center"/>
            <w:hideMark/>
          </w:tcPr>
          <w:p w14:paraId="0873B101"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2028-29</w:t>
            </w:r>
          </w:p>
        </w:tc>
        <w:tc>
          <w:tcPr>
            <w:tcW w:w="78" w:type="pct"/>
            <w:tcBorders>
              <w:top w:val="nil"/>
              <w:left w:val="nil"/>
              <w:bottom w:val="nil"/>
              <w:right w:val="nil"/>
            </w:tcBorders>
            <w:shd w:val="clear" w:color="000000" w:fill="FFFFFF"/>
            <w:noWrap/>
            <w:vAlign w:val="bottom"/>
            <w:hideMark/>
          </w:tcPr>
          <w:p w14:paraId="595A3752"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75093B53"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Total</w:t>
            </w:r>
          </w:p>
        </w:tc>
      </w:tr>
      <w:tr w:rsidR="002C4687" w:rsidRPr="00954D98" w14:paraId="1EBBA2EE" w14:textId="77777777" w:rsidTr="00DB5205">
        <w:trPr>
          <w:trHeight w:val="225"/>
        </w:trPr>
        <w:tc>
          <w:tcPr>
            <w:tcW w:w="2414" w:type="pct"/>
            <w:tcBorders>
              <w:top w:val="nil"/>
              <w:left w:val="nil"/>
              <w:bottom w:val="nil"/>
              <w:right w:val="nil"/>
            </w:tcBorders>
            <w:shd w:val="clear" w:color="000000" w:fill="FFFFFF"/>
            <w:noWrap/>
            <w:vAlign w:val="bottom"/>
            <w:hideMark/>
          </w:tcPr>
          <w:p w14:paraId="7011E27B"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single" w:sz="4" w:space="0" w:color="293F5B"/>
              <w:right w:val="nil"/>
            </w:tcBorders>
            <w:shd w:val="clear" w:color="000000" w:fill="E6F2FF"/>
            <w:noWrap/>
            <w:vAlign w:val="bottom"/>
            <w:hideMark/>
          </w:tcPr>
          <w:p w14:paraId="792A7A59"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00" w:type="pct"/>
            <w:tcBorders>
              <w:top w:val="nil"/>
              <w:left w:val="nil"/>
              <w:bottom w:val="single" w:sz="4" w:space="0" w:color="293F5B"/>
              <w:right w:val="nil"/>
            </w:tcBorders>
            <w:shd w:val="clear" w:color="000000" w:fill="FFFFFF"/>
            <w:noWrap/>
            <w:vAlign w:val="bottom"/>
            <w:hideMark/>
          </w:tcPr>
          <w:p w14:paraId="6DA4974C"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00" w:type="pct"/>
            <w:tcBorders>
              <w:top w:val="nil"/>
              <w:left w:val="nil"/>
              <w:bottom w:val="single" w:sz="4" w:space="0" w:color="293F5B"/>
              <w:right w:val="nil"/>
            </w:tcBorders>
            <w:shd w:val="clear" w:color="000000" w:fill="FFFFFF"/>
            <w:noWrap/>
            <w:vAlign w:val="bottom"/>
            <w:hideMark/>
          </w:tcPr>
          <w:p w14:paraId="5E4D3F42"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00" w:type="pct"/>
            <w:tcBorders>
              <w:top w:val="nil"/>
              <w:left w:val="nil"/>
              <w:bottom w:val="single" w:sz="4" w:space="0" w:color="293F5B"/>
              <w:right w:val="nil"/>
            </w:tcBorders>
            <w:shd w:val="clear" w:color="000000" w:fill="FFFFFF"/>
            <w:noWrap/>
            <w:vAlign w:val="bottom"/>
            <w:hideMark/>
          </w:tcPr>
          <w:p w14:paraId="5480C288"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78" w:type="pct"/>
            <w:tcBorders>
              <w:top w:val="nil"/>
              <w:left w:val="nil"/>
              <w:bottom w:val="nil"/>
              <w:right w:val="nil"/>
            </w:tcBorders>
            <w:shd w:val="clear" w:color="000000" w:fill="FFFFFF"/>
            <w:noWrap/>
            <w:vAlign w:val="bottom"/>
            <w:hideMark/>
          </w:tcPr>
          <w:p w14:paraId="6AB3C966"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single" w:sz="4" w:space="0" w:color="293F5B"/>
              <w:right w:val="nil"/>
            </w:tcBorders>
            <w:shd w:val="clear" w:color="000000" w:fill="FFFFFF"/>
            <w:noWrap/>
            <w:vAlign w:val="bottom"/>
            <w:hideMark/>
          </w:tcPr>
          <w:p w14:paraId="0E4240C6"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$m</w:t>
            </w:r>
          </w:p>
        </w:tc>
      </w:tr>
      <w:tr w:rsidR="00DB5205" w:rsidRPr="00954D98" w14:paraId="0CBFF555"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1F664461" w14:textId="77777777" w:rsidR="00DB5205" w:rsidRPr="00954D98" w:rsidRDefault="00DB5205" w:rsidP="00DB5205">
            <w:pPr>
              <w:spacing w:before="0" w:after="0" w:line="240" w:lineRule="auto"/>
              <w:rPr>
                <w:rFonts w:ascii="Arial" w:hAnsi="Arial" w:cs="Arial"/>
                <w:b/>
                <w:bCs/>
                <w:color w:val="FFFF00"/>
                <w:sz w:val="16"/>
                <w:szCs w:val="16"/>
              </w:rPr>
            </w:pPr>
            <w:r w:rsidRPr="00954D98">
              <w:rPr>
                <w:rFonts w:ascii="Arial" w:hAnsi="Arial" w:cs="Arial"/>
                <w:b/>
                <w:bCs/>
                <w:sz w:val="16"/>
                <w:szCs w:val="16"/>
              </w:rPr>
              <w:t>2025-26 MYEFO underlying cash balance</w:t>
            </w:r>
          </w:p>
        </w:tc>
        <w:tc>
          <w:tcPr>
            <w:tcW w:w="500" w:type="pct"/>
            <w:tcBorders>
              <w:top w:val="nil"/>
              <w:left w:val="nil"/>
              <w:bottom w:val="nil"/>
              <w:right w:val="nil"/>
            </w:tcBorders>
            <w:shd w:val="clear" w:color="000000" w:fill="E6F2FF"/>
            <w:noWrap/>
            <w:vAlign w:val="bottom"/>
            <w:hideMark/>
          </w:tcPr>
          <w:p w14:paraId="3159EE64" w14:textId="77777777" w:rsidR="00DB5205" w:rsidRPr="00954D98" w:rsidRDefault="00DB5205" w:rsidP="00DB5205">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-36,764</w:t>
            </w:r>
          </w:p>
        </w:tc>
        <w:tc>
          <w:tcPr>
            <w:tcW w:w="500" w:type="pct"/>
            <w:tcBorders>
              <w:top w:val="nil"/>
              <w:left w:val="nil"/>
              <w:bottom w:val="nil"/>
              <w:right w:val="nil"/>
            </w:tcBorders>
            <w:shd w:val="clear" w:color="000000" w:fill="FFFFFF"/>
            <w:noWrap/>
            <w:vAlign w:val="bottom"/>
            <w:hideMark/>
          </w:tcPr>
          <w:p w14:paraId="621B5229" w14:textId="77777777" w:rsidR="00DB5205" w:rsidRPr="00954D98" w:rsidRDefault="00DB5205" w:rsidP="00DB5205">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-34,303</w:t>
            </w:r>
          </w:p>
        </w:tc>
        <w:tc>
          <w:tcPr>
            <w:tcW w:w="500" w:type="pct"/>
            <w:tcBorders>
              <w:top w:val="nil"/>
              <w:left w:val="nil"/>
              <w:bottom w:val="nil"/>
              <w:right w:val="nil"/>
            </w:tcBorders>
            <w:shd w:val="clear" w:color="000000" w:fill="FFFFFF"/>
            <w:noWrap/>
            <w:vAlign w:val="bottom"/>
            <w:hideMark/>
          </w:tcPr>
          <w:p w14:paraId="4D2BD4F2" w14:textId="77777777" w:rsidR="00DB5205" w:rsidRPr="00954D98" w:rsidRDefault="00DB5205" w:rsidP="00DB5205">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-36,189</w:t>
            </w:r>
          </w:p>
        </w:tc>
        <w:tc>
          <w:tcPr>
            <w:tcW w:w="500" w:type="pct"/>
            <w:tcBorders>
              <w:top w:val="nil"/>
              <w:left w:val="nil"/>
              <w:bottom w:val="nil"/>
              <w:right w:val="nil"/>
            </w:tcBorders>
            <w:shd w:val="clear" w:color="000000" w:fill="FFFFFF"/>
            <w:noWrap/>
            <w:vAlign w:val="bottom"/>
            <w:hideMark/>
          </w:tcPr>
          <w:p w14:paraId="259530E4" w14:textId="77777777" w:rsidR="00DB5205" w:rsidRPr="00954D98" w:rsidRDefault="00DB5205" w:rsidP="00DB5205">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-35,993</w:t>
            </w:r>
          </w:p>
        </w:tc>
        <w:tc>
          <w:tcPr>
            <w:tcW w:w="78" w:type="pct"/>
            <w:tcBorders>
              <w:top w:val="nil"/>
              <w:left w:val="nil"/>
              <w:bottom w:val="nil"/>
              <w:right w:val="nil"/>
            </w:tcBorders>
            <w:shd w:val="clear" w:color="000000" w:fill="FFFFFF"/>
            <w:noWrap/>
            <w:vAlign w:val="bottom"/>
            <w:hideMark/>
          </w:tcPr>
          <w:p w14:paraId="678160A9" w14:textId="77777777" w:rsidR="00DB5205" w:rsidRPr="00954D98" w:rsidRDefault="00DB5205" w:rsidP="00DB5205">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08" w:type="pct"/>
            <w:tcBorders>
              <w:top w:val="nil"/>
              <w:left w:val="nil"/>
              <w:bottom w:val="nil"/>
              <w:right w:val="nil"/>
            </w:tcBorders>
            <w:shd w:val="clear" w:color="000000" w:fill="FFFFFF"/>
            <w:noWrap/>
            <w:vAlign w:val="bottom"/>
            <w:hideMark/>
          </w:tcPr>
          <w:p w14:paraId="69661852" w14:textId="77777777" w:rsidR="00DB5205" w:rsidRPr="00954D98" w:rsidRDefault="00DB5205" w:rsidP="00DB5205">
            <w:pPr>
              <w:spacing w:before="0" w:after="0" w:line="240" w:lineRule="auto"/>
              <w:jc w:val="right"/>
              <w:rPr>
                <w:rFonts w:ascii="Arial" w:hAnsi="Arial" w:cs="Arial"/>
                <w:b/>
                <w:bCs/>
                <w:sz w:val="16"/>
                <w:szCs w:val="16"/>
              </w:rPr>
            </w:pPr>
            <w:r w:rsidRPr="00954D98">
              <w:rPr>
                <w:rFonts w:ascii="Arial" w:hAnsi="Arial" w:cs="Arial"/>
                <w:b/>
                <w:bCs/>
                <w:sz w:val="16"/>
                <w:szCs w:val="16"/>
              </w:rPr>
              <w:t>-143,248</w:t>
            </w:r>
          </w:p>
        </w:tc>
      </w:tr>
      <w:tr w:rsidR="00DB5205" w:rsidRPr="00954D98" w14:paraId="4753ABA1" w14:textId="77777777" w:rsidTr="00DB5205">
        <w:trPr>
          <w:trHeight w:hRule="exact" w:val="60"/>
        </w:trPr>
        <w:tc>
          <w:tcPr>
            <w:tcW w:w="2414" w:type="pct"/>
            <w:tcBorders>
              <w:top w:val="nil"/>
              <w:left w:val="nil"/>
              <w:bottom w:val="nil"/>
              <w:right w:val="nil"/>
            </w:tcBorders>
            <w:shd w:val="clear" w:color="000000" w:fill="FFFFFF"/>
            <w:noWrap/>
            <w:vAlign w:val="bottom"/>
            <w:hideMark/>
          </w:tcPr>
          <w:p w14:paraId="3B3374CD" w14:textId="77777777" w:rsidR="00DB5205" w:rsidRPr="00954D98" w:rsidRDefault="00DB5205" w:rsidP="00DB5205">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00" w:type="pct"/>
            <w:tcBorders>
              <w:top w:val="nil"/>
              <w:left w:val="nil"/>
              <w:bottom w:val="nil"/>
              <w:right w:val="nil"/>
            </w:tcBorders>
            <w:shd w:val="clear" w:color="000000" w:fill="E6F2FF"/>
            <w:noWrap/>
            <w:vAlign w:val="bottom"/>
            <w:hideMark/>
          </w:tcPr>
          <w:p w14:paraId="4014BBC8" w14:textId="77777777" w:rsidR="00DB5205" w:rsidRPr="00954D98" w:rsidRDefault="00DB5205" w:rsidP="00DB5205">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00" w:type="pct"/>
            <w:tcBorders>
              <w:top w:val="nil"/>
              <w:left w:val="nil"/>
              <w:bottom w:val="nil"/>
              <w:right w:val="nil"/>
            </w:tcBorders>
            <w:shd w:val="clear" w:color="000000" w:fill="FFFFFF"/>
            <w:noWrap/>
            <w:vAlign w:val="bottom"/>
            <w:hideMark/>
          </w:tcPr>
          <w:p w14:paraId="7674C34A" w14:textId="77777777" w:rsidR="00DB5205" w:rsidRPr="00954D98" w:rsidRDefault="00DB5205" w:rsidP="00DB5205">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00" w:type="pct"/>
            <w:tcBorders>
              <w:top w:val="nil"/>
              <w:left w:val="nil"/>
              <w:bottom w:val="nil"/>
              <w:right w:val="nil"/>
            </w:tcBorders>
            <w:shd w:val="clear" w:color="000000" w:fill="FFFFFF"/>
            <w:noWrap/>
            <w:vAlign w:val="bottom"/>
            <w:hideMark/>
          </w:tcPr>
          <w:p w14:paraId="7874F3B4" w14:textId="77777777" w:rsidR="00DB5205" w:rsidRPr="00954D98" w:rsidRDefault="00DB5205" w:rsidP="00DB5205">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00" w:type="pct"/>
            <w:tcBorders>
              <w:top w:val="nil"/>
              <w:left w:val="nil"/>
              <w:bottom w:val="nil"/>
              <w:right w:val="nil"/>
            </w:tcBorders>
            <w:shd w:val="clear" w:color="000000" w:fill="FFFFFF"/>
            <w:noWrap/>
            <w:vAlign w:val="bottom"/>
            <w:hideMark/>
          </w:tcPr>
          <w:p w14:paraId="39B62A1D" w14:textId="77777777" w:rsidR="00DB5205" w:rsidRPr="00954D98" w:rsidRDefault="00DB5205" w:rsidP="00DB5205">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78" w:type="pct"/>
            <w:tcBorders>
              <w:top w:val="nil"/>
              <w:left w:val="nil"/>
              <w:bottom w:val="nil"/>
              <w:right w:val="nil"/>
            </w:tcBorders>
            <w:shd w:val="clear" w:color="000000" w:fill="FFFFFF"/>
            <w:noWrap/>
            <w:vAlign w:val="bottom"/>
            <w:hideMark/>
          </w:tcPr>
          <w:p w14:paraId="1C7A7FC4" w14:textId="77777777" w:rsidR="00DB5205" w:rsidRPr="00954D98" w:rsidRDefault="00DB5205" w:rsidP="00DB5205">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08" w:type="pct"/>
            <w:tcBorders>
              <w:top w:val="nil"/>
              <w:left w:val="nil"/>
              <w:bottom w:val="nil"/>
              <w:right w:val="nil"/>
            </w:tcBorders>
            <w:shd w:val="clear" w:color="000000" w:fill="FFFFFF"/>
            <w:noWrap/>
            <w:vAlign w:val="bottom"/>
            <w:hideMark/>
          </w:tcPr>
          <w:p w14:paraId="228444E4" w14:textId="77777777" w:rsidR="00DB5205" w:rsidRPr="00954D98" w:rsidRDefault="00DB5205" w:rsidP="00DB5205">
            <w:pPr>
              <w:spacing w:before="0" w:after="0" w:line="240" w:lineRule="auto"/>
              <w:rPr>
                <w:rFonts w:ascii="Arial" w:hAnsi="Arial" w:cs="Arial"/>
                <w:b/>
                <w:bCs/>
                <w:sz w:val="16"/>
                <w:szCs w:val="16"/>
              </w:rPr>
            </w:pPr>
            <w:r w:rsidRPr="00954D98">
              <w:rPr>
                <w:rFonts w:ascii="Arial" w:hAnsi="Arial" w:cs="Arial"/>
                <w:b/>
                <w:bCs/>
                <w:sz w:val="16"/>
                <w:szCs w:val="16"/>
              </w:rPr>
              <w:t> </w:t>
            </w:r>
          </w:p>
        </w:tc>
      </w:tr>
      <w:tr w:rsidR="00DB5205" w:rsidRPr="00954D98" w14:paraId="7D7DABF0"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6FEC204B" w14:textId="77777777" w:rsidR="00DB5205" w:rsidRPr="00954D98" w:rsidRDefault="00DB5205" w:rsidP="00DB5205">
            <w:pPr>
              <w:spacing w:before="0" w:after="0" w:line="240" w:lineRule="auto"/>
              <w:rPr>
                <w:rFonts w:ascii="Arial" w:hAnsi="Arial" w:cs="Arial"/>
                <w:b/>
                <w:bCs/>
                <w:color w:val="FFFF00"/>
                <w:sz w:val="16"/>
                <w:szCs w:val="16"/>
              </w:rPr>
            </w:pPr>
            <w:proofErr w:type="gramStart"/>
            <w:r w:rsidRPr="00954D98">
              <w:rPr>
                <w:rFonts w:ascii="Arial" w:hAnsi="Arial" w:cs="Arial"/>
                <w:b/>
                <w:bCs/>
                <w:i/>
                <w:iCs/>
                <w:sz w:val="16"/>
                <w:szCs w:val="16"/>
              </w:rPr>
              <w:t>plus</w:t>
            </w:r>
            <w:proofErr w:type="gramEnd"/>
            <w:r w:rsidRPr="00954D98">
              <w:rPr>
                <w:rFonts w:ascii="Arial" w:hAnsi="Arial" w:cs="Arial"/>
                <w:b/>
                <w:bCs/>
                <w:sz w:val="16"/>
                <w:szCs w:val="16"/>
              </w:rPr>
              <w:t xml:space="preserve"> Net cash flows from investments in</w:t>
            </w:r>
          </w:p>
        </w:tc>
        <w:tc>
          <w:tcPr>
            <w:tcW w:w="500" w:type="pct"/>
            <w:tcBorders>
              <w:top w:val="nil"/>
              <w:left w:val="nil"/>
              <w:bottom w:val="nil"/>
              <w:right w:val="nil"/>
            </w:tcBorders>
            <w:shd w:val="clear" w:color="000000" w:fill="E6F2FF"/>
            <w:noWrap/>
            <w:vAlign w:val="bottom"/>
            <w:hideMark/>
          </w:tcPr>
          <w:p w14:paraId="509FD129"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1E27EBBC"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7C8B5CF7"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097A6F7D"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78" w:type="pct"/>
            <w:tcBorders>
              <w:top w:val="nil"/>
              <w:left w:val="nil"/>
              <w:bottom w:val="nil"/>
              <w:right w:val="nil"/>
            </w:tcBorders>
            <w:shd w:val="clear" w:color="000000" w:fill="FFFFFF"/>
            <w:noWrap/>
            <w:vAlign w:val="bottom"/>
            <w:hideMark/>
          </w:tcPr>
          <w:p w14:paraId="3913B659"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4447470E" w14:textId="77777777" w:rsidR="00DB5205" w:rsidRPr="00954D98" w:rsidRDefault="00DB5205" w:rsidP="00DB5205">
            <w:pPr>
              <w:spacing w:before="0" w:after="0" w:line="240" w:lineRule="auto"/>
              <w:rPr>
                <w:rFonts w:ascii="Arial" w:hAnsi="Arial" w:cs="Arial"/>
                <w:sz w:val="16"/>
                <w:szCs w:val="16"/>
              </w:rPr>
            </w:pPr>
            <w:r w:rsidRPr="00954D98">
              <w:rPr>
                <w:rFonts w:ascii="Arial" w:hAnsi="Arial" w:cs="Arial"/>
                <w:sz w:val="16"/>
                <w:szCs w:val="16"/>
              </w:rPr>
              <w:t> </w:t>
            </w:r>
          </w:p>
        </w:tc>
      </w:tr>
      <w:tr w:rsidR="00DB5205" w:rsidRPr="00954D98" w14:paraId="4BD63F4E"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593A1DCE" w14:textId="77777777" w:rsidR="00DB5205" w:rsidRPr="00954D98" w:rsidRDefault="00DB5205" w:rsidP="00DB5205">
            <w:pPr>
              <w:spacing w:before="0" w:after="0" w:line="240" w:lineRule="auto"/>
              <w:ind w:firstLineChars="100" w:firstLine="161"/>
              <w:rPr>
                <w:rFonts w:ascii="Arial" w:hAnsi="Arial" w:cs="Arial"/>
                <w:b/>
                <w:bCs/>
                <w:color w:val="FFFF00"/>
                <w:sz w:val="16"/>
                <w:szCs w:val="16"/>
              </w:rPr>
            </w:pPr>
            <w:r w:rsidRPr="00954D98">
              <w:rPr>
                <w:rFonts w:ascii="Arial" w:hAnsi="Arial" w:cs="Arial"/>
                <w:b/>
                <w:bCs/>
                <w:sz w:val="16"/>
                <w:szCs w:val="16"/>
              </w:rPr>
              <w:t xml:space="preserve"> financial assets for policy purposes(a)</w:t>
            </w:r>
          </w:p>
        </w:tc>
        <w:tc>
          <w:tcPr>
            <w:tcW w:w="500" w:type="pct"/>
            <w:tcBorders>
              <w:top w:val="nil"/>
              <w:left w:val="nil"/>
              <w:bottom w:val="nil"/>
              <w:right w:val="nil"/>
            </w:tcBorders>
            <w:shd w:val="clear" w:color="000000" w:fill="E6F2FF"/>
            <w:noWrap/>
            <w:vAlign w:val="bottom"/>
            <w:hideMark/>
          </w:tcPr>
          <w:p w14:paraId="25965F59"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14D4A84F"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3D49A369"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4D0EBC46"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78" w:type="pct"/>
            <w:tcBorders>
              <w:top w:val="nil"/>
              <w:left w:val="nil"/>
              <w:bottom w:val="nil"/>
              <w:right w:val="nil"/>
            </w:tcBorders>
            <w:shd w:val="clear" w:color="000000" w:fill="FFFFFF"/>
            <w:noWrap/>
            <w:vAlign w:val="bottom"/>
            <w:hideMark/>
          </w:tcPr>
          <w:p w14:paraId="4959AE0F"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10774D1E" w14:textId="77777777" w:rsidR="00DB5205" w:rsidRPr="00954D98" w:rsidRDefault="00DB5205" w:rsidP="00DB5205">
            <w:pPr>
              <w:spacing w:before="0" w:after="0" w:line="240" w:lineRule="auto"/>
              <w:rPr>
                <w:rFonts w:ascii="Arial" w:hAnsi="Arial" w:cs="Arial"/>
                <w:sz w:val="16"/>
                <w:szCs w:val="16"/>
              </w:rPr>
            </w:pPr>
            <w:r w:rsidRPr="00954D98">
              <w:rPr>
                <w:rFonts w:ascii="Arial" w:hAnsi="Arial" w:cs="Arial"/>
                <w:sz w:val="16"/>
                <w:szCs w:val="16"/>
              </w:rPr>
              <w:t> </w:t>
            </w:r>
          </w:p>
        </w:tc>
      </w:tr>
      <w:tr w:rsidR="00DB5205" w:rsidRPr="00954D98" w14:paraId="21A214EE"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75477125"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Student loans</w:t>
            </w:r>
          </w:p>
        </w:tc>
        <w:tc>
          <w:tcPr>
            <w:tcW w:w="500" w:type="pct"/>
            <w:tcBorders>
              <w:top w:val="nil"/>
              <w:left w:val="nil"/>
              <w:bottom w:val="nil"/>
              <w:right w:val="nil"/>
            </w:tcBorders>
            <w:shd w:val="clear" w:color="000000" w:fill="E6F2FF"/>
            <w:noWrap/>
            <w:vAlign w:val="bottom"/>
            <w:hideMark/>
          </w:tcPr>
          <w:p w14:paraId="50CC822A"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-4,804</w:t>
            </w:r>
          </w:p>
        </w:tc>
        <w:tc>
          <w:tcPr>
            <w:tcW w:w="500" w:type="pct"/>
            <w:tcBorders>
              <w:top w:val="nil"/>
              <w:left w:val="nil"/>
              <w:bottom w:val="nil"/>
              <w:right w:val="nil"/>
            </w:tcBorders>
            <w:shd w:val="clear" w:color="000000" w:fill="FFFFFF"/>
            <w:noWrap/>
            <w:vAlign w:val="bottom"/>
            <w:hideMark/>
          </w:tcPr>
          <w:p w14:paraId="50AA6A7C"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-5,231</w:t>
            </w:r>
          </w:p>
        </w:tc>
        <w:tc>
          <w:tcPr>
            <w:tcW w:w="500" w:type="pct"/>
            <w:tcBorders>
              <w:top w:val="nil"/>
              <w:left w:val="nil"/>
              <w:bottom w:val="nil"/>
              <w:right w:val="nil"/>
            </w:tcBorders>
            <w:shd w:val="clear" w:color="000000" w:fill="FFFFFF"/>
            <w:noWrap/>
            <w:vAlign w:val="bottom"/>
            <w:hideMark/>
          </w:tcPr>
          <w:p w14:paraId="34C40019"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-5,751</w:t>
            </w:r>
          </w:p>
        </w:tc>
        <w:tc>
          <w:tcPr>
            <w:tcW w:w="500" w:type="pct"/>
            <w:tcBorders>
              <w:top w:val="nil"/>
              <w:left w:val="nil"/>
              <w:bottom w:val="nil"/>
              <w:right w:val="nil"/>
            </w:tcBorders>
            <w:shd w:val="clear" w:color="000000" w:fill="FFFFFF"/>
            <w:noWrap/>
            <w:vAlign w:val="bottom"/>
            <w:hideMark/>
          </w:tcPr>
          <w:p w14:paraId="5E448BE2"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-6,199</w:t>
            </w:r>
          </w:p>
        </w:tc>
        <w:tc>
          <w:tcPr>
            <w:tcW w:w="78" w:type="pct"/>
            <w:tcBorders>
              <w:top w:val="nil"/>
              <w:left w:val="nil"/>
              <w:bottom w:val="nil"/>
              <w:right w:val="nil"/>
            </w:tcBorders>
            <w:shd w:val="clear" w:color="000000" w:fill="FFFFFF"/>
            <w:noWrap/>
            <w:vAlign w:val="bottom"/>
            <w:hideMark/>
          </w:tcPr>
          <w:p w14:paraId="06B73DEA"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3ECEE132"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-21,986</w:t>
            </w:r>
          </w:p>
        </w:tc>
      </w:tr>
      <w:tr w:rsidR="00DB5205" w:rsidRPr="00954D98" w14:paraId="1F8DF68E"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6209B92A"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NBN Investment</w:t>
            </w:r>
          </w:p>
        </w:tc>
        <w:tc>
          <w:tcPr>
            <w:tcW w:w="500" w:type="pct"/>
            <w:tcBorders>
              <w:top w:val="nil"/>
              <w:left w:val="nil"/>
              <w:bottom w:val="nil"/>
              <w:right w:val="nil"/>
            </w:tcBorders>
            <w:shd w:val="clear" w:color="000000" w:fill="E6F2FF"/>
            <w:noWrap/>
            <w:vAlign w:val="bottom"/>
            <w:hideMark/>
          </w:tcPr>
          <w:p w14:paraId="2A115DC5"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-1,337</w:t>
            </w:r>
          </w:p>
        </w:tc>
        <w:tc>
          <w:tcPr>
            <w:tcW w:w="500" w:type="pct"/>
            <w:tcBorders>
              <w:top w:val="nil"/>
              <w:left w:val="nil"/>
              <w:bottom w:val="nil"/>
              <w:right w:val="nil"/>
            </w:tcBorders>
            <w:shd w:val="clear" w:color="000000" w:fill="FFFFFF"/>
            <w:noWrap/>
            <w:vAlign w:val="bottom"/>
            <w:hideMark/>
          </w:tcPr>
          <w:p w14:paraId="77471C6A"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-186</w:t>
            </w:r>
          </w:p>
        </w:tc>
        <w:tc>
          <w:tcPr>
            <w:tcW w:w="500" w:type="pct"/>
            <w:tcBorders>
              <w:top w:val="nil"/>
              <w:left w:val="nil"/>
              <w:bottom w:val="nil"/>
              <w:right w:val="nil"/>
            </w:tcBorders>
            <w:shd w:val="clear" w:color="000000" w:fill="FFFFFF"/>
            <w:noWrap/>
            <w:vAlign w:val="bottom"/>
            <w:hideMark/>
          </w:tcPr>
          <w:p w14:paraId="7E1A0424"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0</w:t>
            </w:r>
          </w:p>
        </w:tc>
        <w:tc>
          <w:tcPr>
            <w:tcW w:w="500" w:type="pct"/>
            <w:tcBorders>
              <w:top w:val="nil"/>
              <w:left w:val="nil"/>
              <w:bottom w:val="nil"/>
              <w:right w:val="nil"/>
            </w:tcBorders>
            <w:shd w:val="clear" w:color="000000" w:fill="FFFFFF"/>
            <w:noWrap/>
            <w:vAlign w:val="bottom"/>
            <w:hideMark/>
          </w:tcPr>
          <w:p w14:paraId="471DE02C"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0</w:t>
            </w:r>
          </w:p>
        </w:tc>
        <w:tc>
          <w:tcPr>
            <w:tcW w:w="78" w:type="pct"/>
            <w:tcBorders>
              <w:top w:val="nil"/>
              <w:left w:val="nil"/>
              <w:bottom w:val="nil"/>
              <w:right w:val="nil"/>
            </w:tcBorders>
            <w:shd w:val="clear" w:color="000000" w:fill="FFFFFF"/>
            <w:noWrap/>
            <w:vAlign w:val="bottom"/>
            <w:hideMark/>
          </w:tcPr>
          <w:p w14:paraId="602DE501"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5BB73C37"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-1,523</w:t>
            </w:r>
          </w:p>
        </w:tc>
      </w:tr>
      <w:tr w:rsidR="00DB5205" w:rsidRPr="00954D98" w14:paraId="6B3AA519"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243860A2"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Snowy Hydro Limited loan</w:t>
            </w:r>
          </w:p>
        </w:tc>
        <w:tc>
          <w:tcPr>
            <w:tcW w:w="500" w:type="pct"/>
            <w:tcBorders>
              <w:top w:val="nil"/>
              <w:left w:val="nil"/>
              <w:bottom w:val="nil"/>
              <w:right w:val="nil"/>
            </w:tcBorders>
            <w:shd w:val="clear" w:color="000000" w:fill="E6F2FF"/>
            <w:noWrap/>
            <w:vAlign w:val="bottom"/>
            <w:hideMark/>
          </w:tcPr>
          <w:p w14:paraId="21DFDF6D"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-1,450</w:t>
            </w:r>
          </w:p>
        </w:tc>
        <w:tc>
          <w:tcPr>
            <w:tcW w:w="500" w:type="pct"/>
            <w:tcBorders>
              <w:top w:val="nil"/>
              <w:left w:val="nil"/>
              <w:bottom w:val="nil"/>
              <w:right w:val="nil"/>
            </w:tcBorders>
            <w:shd w:val="clear" w:color="000000" w:fill="FFFFFF"/>
            <w:noWrap/>
            <w:vAlign w:val="bottom"/>
            <w:hideMark/>
          </w:tcPr>
          <w:p w14:paraId="248B1165"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-1,450</w:t>
            </w:r>
          </w:p>
        </w:tc>
        <w:tc>
          <w:tcPr>
            <w:tcW w:w="500" w:type="pct"/>
            <w:tcBorders>
              <w:top w:val="nil"/>
              <w:left w:val="nil"/>
              <w:bottom w:val="nil"/>
              <w:right w:val="nil"/>
            </w:tcBorders>
            <w:shd w:val="clear" w:color="000000" w:fill="FFFFFF"/>
            <w:noWrap/>
            <w:vAlign w:val="bottom"/>
            <w:hideMark/>
          </w:tcPr>
          <w:p w14:paraId="06271D65"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-1,450</w:t>
            </w:r>
          </w:p>
        </w:tc>
        <w:tc>
          <w:tcPr>
            <w:tcW w:w="500" w:type="pct"/>
            <w:tcBorders>
              <w:top w:val="nil"/>
              <w:left w:val="nil"/>
              <w:bottom w:val="nil"/>
              <w:right w:val="nil"/>
            </w:tcBorders>
            <w:shd w:val="clear" w:color="000000" w:fill="FFFFFF"/>
            <w:noWrap/>
            <w:vAlign w:val="bottom"/>
            <w:hideMark/>
          </w:tcPr>
          <w:p w14:paraId="259F6D08"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0</w:t>
            </w:r>
          </w:p>
        </w:tc>
        <w:tc>
          <w:tcPr>
            <w:tcW w:w="78" w:type="pct"/>
            <w:tcBorders>
              <w:top w:val="nil"/>
              <w:left w:val="nil"/>
              <w:bottom w:val="nil"/>
              <w:right w:val="nil"/>
            </w:tcBorders>
            <w:shd w:val="clear" w:color="000000" w:fill="FFFFFF"/>
            <w:noWrap/>
            <w:vAlign w:val="bottom"/>
            <w:hideMark/>
          </w:tcPr>
          <w:p w14:paraId="70268E5D"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12308A69"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-4,350</w:t>
            </w:r>
          </w:p>
        </w:tc>
      </w:tr>
      <w:tr w:rsidR="00DB5205" w:rsidRPr="00954D98" w14:paraId="5E88652A"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43DCB0CF"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Snowy Hydro Limited investment</w:t>
            </w:r>
          </w:p>
        </w:tc>
        <w:tc>
          <w:tcPr>
            <w:tcW w:w="500" w:type="pct"/>
            <w:tcBorders>
              <w:top w:val="nil"/>
              <w:left w:val="nil"/>
              <w:bottom w:val="nil"/>
              <w:right w:val="nil"/>
            </w:tcBorders>
            <w:shd w:val="clear" w:color="000000" w:fill="E6F2FF"/>
            <w:noWrap/>
            <w:vAlign w:val="bottom"/>
            <w:hideMark/>
          </w:tcPr>
          <w:p w14:paraId="0477D171"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-975</w:t>
            </w:r>
          </w:p>
        </w:tc>
        <w:tc>
          <w:tcPr>
            <w:tcW w:w="500" w:type="pct"/>
            <w:tcBorders>
              <w:top w:val="nil"/>
              <w:left w:val="nil"/>
              <w:bottom w:val="nil"/>
              <w:right w:val="nil"/>
            </w:tcBorders>
            <w:shd w:val="clear" w:color="000000" w:fill="FFFFFF"/>
            <w:noWrap/>
            <w:vAlign w:val="bottom"/>
            <w:hideMark/>
          </w:tcPr>
          <w:p w14:paraId="03AA802C"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0</w:t>
            </w:r>
          </w:p>
        </w:tc>
        <w:tc>
          <w:tcPr>
            <w:tcW w:w="500" w:type="pct"/>
            <w:tcBorders>
              <w:top w:val="nil"/>
              <w:left w:val="nil"/>
              <w:bottom w:val="nil"/>
              <w:right w:val="nil"/>
            </w:tcBorders>
            <w:shd w:val="clear" w:color="000000" w:fill="FFFFFF"/>
            <w:noWrap/>
            <w:vAlign w:val="bottom"/>
            <w:hideMark/>
          </w:tcPr>
          <w:p w14:paraId="3F03BA3A"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0</w:t>
            </w:r>
          </w:p>
        </w:tc>
        <w:tc>
          <w:tcPr>
            <w:tcW w:w="500" w:type="pct"/>
            <w:tcBorders>
              <w:top w:val="nil"/>
              <w:left w:val="nil"/>
              <w:bottom w:val="nil"/>
              <w:right w:val="nil"/>
            </w:tcBorders>
            <w:shd w:val="clear" w:color="000000" w:fill="FFFFFF"/>
            <w:noWrap/>
            <w:vAlign w:val="bottom"/>
            <w:hideMark/>
          </w:tcPr>
          <w:p w14:paraId="0D0C1D4A"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0</w:t>
            </w:r>
          </w:p>
        </w:tc>
        <w:tc>
          <w:tcPr>
            <w:tcW w:w="78" w:type="pct"/>
            <w:tcBorders>
              <w:top w:val="nil"/>
              <w:left w:val="nil"/>
              <w:bottom w:val="nil"/>
              <w:right w:val="nil"/>
            </w:tcBorders>
            <w:shd w:val="clear" w:color="000000" w:fill="FFFFFF"/>
            <w:noWrap/>
            <w:vAlign w:val="bottom"/>
            <w:hideMark/>
          </w:tcPr>
          <w:p w14:paraId="24CC47AC"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4BE65645"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-975</w:t>
            </w:r>
          </w:p>
        </w:tc>
      </w:tr>
      <w:tr w:rsidR="00DB5205" w:rsidRPr="00954D98" w14:paraId="46E7929D"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319DDCC4"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Australian apprenticeship support loans</w:t>
            </w:r>
          </w:p>
        </w:tc>
        <w:tc>
          <w:tcPr>
            <w:tcW w:w="500" w:type="pct"/>
            <w:tcBorders>
              <w:top w:val="nil"/>
              <w:left w:val="nil"/>
              <w:bottom w:val="nil"/>
              <w:right w:val="nil"/>
            </w:tcBorders>
            <w:shd w:val="clear" w:color="000000" w:fill="E6F2FF"/>
            <w:noWrap/>
            <w:vAlign w:val="bottom"/>
            <w:hideMark/>
          </w:tcPr>
          <w:p w14:paraId="102B233F"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-133</w:t>
            </w:r>
          </w:p>
        </w:tc>
        <w:tc>
          <w:tcPr>
            <w:tcW w:w="500" w:type="pct"/>
            <w:tcBorders>
              <w:top w:val="nil"/>
              <w:left w:val="nil"/>
              <w:bottom w:val="nil"/>
              <w:right w:val="nil"/>
            </w:tcBorders>
            <w:shd w:val="clear" w:color="000000" w:fill="FFFFFF"/>
            <w:noWrap/>
            <w:vAlign w:val="bottom"/>
            <w:hideMark/>
          </w:tcPr>
          <w:p w14:paraId="61F3EBC5"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-142</w:t>
            </w:r>
          </w:p>
        </w:tc>
        <w:tc>
          <w:tcPr>
            <w:tcW w:w="500" w:type="pct"/>
            <w:tcBorders>
              <w:top w:val="nil"/>
              <w:left w:val="nil"/>
              <w:bottom w:val="nil"/>
              <w:right w:val="nil"/>
            </w:tcBorders>
            <w:shd w:val="clear" w:color="000000" w:fill="FFFFFF"/>
            <w:noWrap/>
            <w:vAlign w:val="bottom"/>
            <w:hideMark/>
          </w:tcPr>
          <w:p w14:paraId="65A8D422"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-138</w:t>
            </w:r>
          </w:p>
        </w:tc>
        <w:tc>
          <w:tcPr>
            <w:tcW w:w="500" w:type="pct"/>
            <w:tcBorders>
              <w:top w:val="nil"/>
              <w:left w:val="nil"/>
              <w:bottom w:val="nil"/>
              <w:right w:val="nil"/>
            </w:tcBorders>
            <w:shd w:val="clear" w:color="000000" w:fill="FFFFFF"/>
            <w:noWrap/>
            <w:vAlign w:val="bottom"/>
            <w:hideMark/>
          </w:tcPr>
          <w:p w14:paraId="18DF07F4"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-134</w:t>
            </w:r>
          </w:p>
        </w:tc>
        <w:tc>
          <w:tcPr>
            <w:tcW w:w="78" w:type="pct"/>
            <w:tcBorders>
              <w:top w:val="nil"/>
              <w:left w:val="nil"/>
              <w:bottom w:val="nil"/>
              <w:right w:val="nil"/>
            </w:tcBorders>
            <w:shd w:val="clear" w:color="000000" w:fill="FFFFFF"/>
            <w:noWrap/>
            <w:vAlign w:val="bottom"/>
            <w:hideMark/>
          </w:tcPr>
          <w:p w14:paraId="3F40C8D3"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33650E6F"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-547</w:t>
            </w:r>
          </w:p>
        </w:tc>
      </w:tr>
      <w:tr w:rsidR="00DB5205" w:rsidRPr="00954D98" w14:paraId="6F0A325C"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3CF06627"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CEFC loans and investments</w:t>
            </w:r>
          </w:p>
        </w:tc>
        <w:tc>
          <w:tcPr>
            <w:tcW w:w="500" w:type="pct"/>
            <w:tcBorders>
              <w:top w:val="nil"/>
              <w:left w:val="nil"/>
              <w:bottom w:val="nil"/>
              <w:right w:val="nil"/>
            </w:tcBorders>
            <w:shd w:val="clear" w:color="000000" w:fill="E6F2FF"/>
            <w:noWrap/>
            <w:vAlign w:val="bottom"/>
            <w:hideMark/>
          </w:tcPr>
          <w:p w14:paraId="6D8BCD31"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-1,286</w:t>
            </w:r>
          </w:p>
        </w:tc>
        <w:tc>
          <w:tcPr>
            <w:tcW w:w="500" w:type="pct"/>
            <w:tcBorders>
              <w:top w:val="nil"/>
              <w:left w:val="nil"/>
              <w:bottom w:val="nil"/>
              <w:right w:val="nil"/>
            </w:tcBorders>
            <w:shd w:val="clear" w:color="000000" w:fill="FFFFFF"/>
            <w:noWrap/>
            <w:vAlign w:val="bottom"/>
            <w:hideMark/>
          </w:tcPr>
          <w:p w14:paraId="274BC7A4"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-3,962</w:t>
            </w:r>
          </w:p>
        </w:tc>
        <w:tc>
          <w:tcPr>
            <w:tcW w:w="500" w:type="pct"/>
            <w:tcBorders>
              <w:top w:val="nil"/>
              <w:left w:val="nil"/>
              <w:bottom w:val="nil"/>
              <w:right w:val="nil"/>
            </w:tcBorders>
            <w:shd w:val="clear" w:color="000000" w:fill="FFFFFF"/>
            <w:noWrap/>
            <w:vAlign w:val="bottom"/>
            <w:hideMark/>
          </w:tcPr>
          <w:p w14:paraId="2136955A"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-4,167</w:t>
            </w:r>
          </w:p>
        </w:tc>
        <w:tc>
          <w:tcPr>
            <w:tcW w:w="500" w:type="pct"/>
            <w:tcBorders>
              <w:top w:val="nil"/>
              <w:left w:val="nil"/>
              <w:bottom w:val="nil"/>
              <w:right w:val="nil"/>
            </w:tcBorders>
            <w:shd w:val="clear" w:color="000000" w:fill="FFFFFF"/>
            <w:noWrap/>
            <w:vAlign w:val="bottom"/>
            <w:hideMark/>
          </w:tcPr>
          <w:p w14:paraId="460C6F11"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-5,141</w:t>
            </w:r>
          </w:p>
        </w:tc>
        <w:tc>
          <w:tcPr>
            <w:tcW w:w="78" w:type="pct"/>
            <w:tcBorders>
              <w:top w:val="nil"/>
              <w:left w:val="nil"/>
              <w:bottom w:val="nil"/>
              <w:right w:val="nil"/>
            </w:tcBorders>
            <w:shd w:val="clear" w:color="000000" w:fill="FFFFFF"/>
            <w:noWrap/>
            <w:vAlign w:val="bottom"/>
            <w:hideMark/>
          </w:tcPr>
          <w:p w14:paraId="660DC30E"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3900CECC"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-14,557</w:t>
            </w:r>
          </w:p>
        </w:tc>
      </w:tr>
      <w:tr w:rsidR="00DB5205" w:rsidRPr="00954D98" w14:paraId="3F542AE3"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753AF3D9"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Northern Australia Infrastructure Facility</w:t>
            </w:r>
          </w:p>
        </w:tc>
        <w:tc>
          <w:tcPr>
            <w:tcW w:w="500" w:type="pct"/>
            <w:tcBorders>
              <w:top w:val="nil"/>
              <w:left w:val="nil"/>
              <w:bottom w:val="nil"/>
              <w:right w:val="nil"/>
            </w:tcBorders>
            <w:shd w:val="clear" w:color="000000" w:fill="E6F2FF"/>
            <w:noWrap/>
            <w:vAlign w:val="bottom"/>
            <w:hideMark/>
          </w:tcPr>
          <w:p w14:paraId="71A9B28E"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-675</w:t>
            </w:r>
          </w:p>
        </w:tc>
        <w:tc>
          <w:tcPr>
            <w:tcW w:w="500" w:type="pct"/>
            <w:tcBorders>
              <w:top w:val="nil"/>
              <w:left w:val="nil"/>
              <w:bottom w:val="nil"/>
              <w:right w:val="nil"/>
            </w:tcBorders>
            <w:shd w:val="clear" w:color="000000" w:fill="FFFFFF"/>
            <w:noWrap/>
            <w:vAlign w:val="bottom"/>
            <w:hideMark/>
          </w:tcPr>
          <w:p w14:paraId="1633F2FD"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-450</w:t>
            </w:r>
          </w:p>
        </w:tc>
        <w:tc>
          <w:tcPr>
            <w:tcW w:w="500" w:type="pct"/>
            <w:tcBorders>
              <w:top w:val="nil"/>
              <w:left w:val="nil"/>
              <w:bottom w:val="nil"/>
              <w:right w:val="nil"/>
            </w:tcBorders>
            <w:shd w:val="clear" w:color="000000" w:fill="FFFFFF"/>
            <w:noWrap/>
            <w:vAlign w:val="bottom"/>
            <w:hideMark/>
          </w:tcPr>
          <w:p w14:paraId="61FDA20F"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-461</w:t>
            </w:r>
          </w:p>
        </w:tc>
        <w:tc>
          <w:tcPr>
            <w:tcW w:w="500" w:type="pct"/>
            <w:tcBorders>
              <w:top w:val="nil"/>
              <w:left w:val="nil"/>
              <w:bottom w:val="nil"/>
              <w:right w:val="nil"/>
            </w:tcBorders>
            <w:shd w:val="clear" w:color="000000" w:fill="FFFFFF"/>
            <w:noWrap/>
            <w:vAlign w:val="bottom"/>
            <w:hideMark/>
          </w:tcPr>
          <w:p w14:paraId="5A3F0498"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-335</w:t>
            </w:r>
          </w:p>
        </w:tc>
        <w:tc>
          <w:tcPr>
            <w:tcW w:w="78" w:type="pct"/>
            <w:tcBorders>
              <w:top w:val="nil"/>
              <w:left w:val="nil"/>
              <w:bottom w:val="nil"/>
              <w:right w:val="nil"/>
            </w:tcBorders>
            <w:shd w:val="clear" w:color="000000" w:fill="FFFFFF"/>
            <w:noWrap/>
            <w:vAlign w:val="bottom"/>
            <w:hideMark/>
          </w:tcPr>
          <w:p w14:paraId="3EA031AE"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229EC0B8"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-1,921</w:t>
            </w:r>
          </w:p>
        </w:tc>
      </w:tr>
      <w:tr w:rsidR="00DB5205" w:rsidRPr="00954D98" w14:paraId="38CFFB56"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1AFE0A5A"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NRFC loans and investments</w:t>
            </w:r>
          </w:p>
        </w:tc>
        <w:tc>
          <w:tcPr>
            <w:tcW w:w="500" w:type="pct"/>
            <w:tcBorders>
              <w:top w:val="nil"/>
              <w:left w:val="nil"/>
              <w:bottom w:val="nil"/>
              <w:right w:val="nil"/>
            </w:tcBorders>
            <w:shd w:val="clear" w:color="000000" w:fill="E6F2FF"/>
            <w:noWrap/>
            <w:vAlign w:val="bottom"/>
            <w:hideMark/>
          </w:tcPr>
          <w:p w14:paraId="1EDFE7E7"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-1,920</w:t>
            </w:r>
          </w:p>
        </w:tc>
        <w:tc>
          <w:tcPr>
            <w:tcW w:w="500" w:type="pct"/>
            <w:tcBorders>
              <w:top w:val="nil"/>
              <w:left w:val="nil"/>
              <w:bottom w:val="nil"/>
              <w:right w:val="nil"/>
            </w:tcBorders>
            <w:shd w:val="clear" w:color="000000" w:fill="FFFFFF"/>
            <w:noWrap/>
            <w:vAlign w:val="bottom"/>
            <w:hideMark/>
          </w:tcPr>
          <w:p w14:paraId="0ED04E28"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-2,505</w:t>
            </w:r>
          </w:p>
        </w:tc>
        <w:tc>
          <w:tcPr>
            <w:tcW w:w="500" w:type="pct"/>
            <w:tcBorders>
              <w:top w:val="nil"/>
              <w:left w:val="nil"/>
              <w:bottom w:val="nil"/>
              <w:right w:val="nil"/>
            </w:tcBorders>
            <w:shd w:val="clear" w:color="000000" w:fill="FFFFFF"/>
            <w:noWrap/>
            <w:vAlign w:val="bottom"/>
            <w:hideMark/>
          </w:tcPr>
          <w:p w14:paraId="685301B6"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-3,015</w:t>
            </w:r>
          </w:p>
        </w:tc>
        <w:tc>
          <w:tcPr>
            <w:tcW w:w="500" w:type="pct"/>
            <w:tcBorders>
              <w:top w:val="nil"/>
              <w:left w:val="nil"/>
              <w:bottom w:val="nil"/>
              <w:right w:val="nil"/>
            </w:tcBorders>
            <w:shd w:val="clear" w:color="000000" w:fill="FFFFFF"/>
            <w:noWrap/>
            <w:vAlign w:val="bottom"/>
            <w:hideMark/>
          </w:tcPr>
          <w:p w14:paraId="53759143"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-3,399</w:t>
            </w:r>
          </w:p>
        </w:tc>
        <w:tc>
          <w:tcPr>
            <w:tcW w:w="78" w:type="pct"/>
            <w:tcBorders>
              <w:top w:val="nil"/>
              <w:left w:val="nil"/>
              <w:bottom w:val="nil"/>
              <w:right w:val="nil"/>
            </w:tcBorders>
            <w:shd w:val="clear" w:color="000000" w:fill="FFFFFF"/>
            <w:noWrap/>
            <w:vAlign w:val="bottom"/>
            <w:hideMark/>
          </w:tcPr>
          <w:p w14:paraId="605291A0"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5AA9A29B"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-10,839</w:t>
            </w:r>
          </w:p>
        </w:tc>
      </w:tr>
      <w:tr w:rsidR="00DB5205" w:rsidRPr="00954D98" w14:paraId="3ED6769D"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1DE9E2B8"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Australian Business Securitisation Fund</w:t>
            </w:r>
          </w:p>
        </w:tc>
        <w:tc>
          <w:tcPr>
            <w:tcW w:w="500" w:type="pct"/>
            <w:tcBorders>
              <w:top w:val="nil"/>
              <w:left w:val="nil"/>
              <w:bottom w:val="nil"/>
              <w:right w:val="nil"/>
            </w:tcBorders>
            <w:shd w:val="clear" w:color="000000" w:fill="E6F2FF"/>
            <w:noWrap/>
            <w:vAlign w:val="bottom"/>
            <w:hideMark/>
          </w:tcPr>
          <w:p w14:paraId="30AB6378"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-653</w:t>
            </w:r>
          </w:p>
        </w:tc>
        <w:tc>
          <w:tcPr>
            <w:tcW w:w="500" w:type="pct"/>
            <w:tcBorders>
              <w:top w:val="nil"/>
              <w:left w:val="nil"/>
              <w:bottom w:val="nil"/>
              <w:right w:val="nil"/>
            </w:tcBorders>
            <w:shd w:val="clear" w:color="000000" w:fill="FFFFFF"/>
            <w:noWrap/>
            <w:vAlign w:val="bottom"/>
            <w:hideMark/>
          </w:tcPr>
          <w:p w14:paraId="3A13B608"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-101</w:t>
            </w:r>
          </w:p>
        </w:tc>
        <w:tc>
          <w:tcPr>
            <w:tcW w:w="500" w:type="pct"/>
            <w:tcBorders>
              <w:top w:val="nil"/>
              <w:left w:val="nil"/>
              <w:bottom w:val="nil"/>
              <w:right w:val="nil"/>
            </w:tcBorders>
            <w:shd w:val="clear" w:color="000000" w:fill="FFFFFF"/>
            <w:noWrap/>
            <w:vAlign w:val="bottom"/>
            <w:hideMark/>
          </w:tcPr>
          <w:p w14:paraId="213B16AB"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-101</w:t>
            </w:r>
          </w:p>
        </w:tc>
        <w:tc>
          <w:tcPr>
            <w:tcW w:w="500" w:type="pct"/>
            <w:tcBorders>
              <w:top w:val="nil"/>
              <w:left w:val="nil"/>
              <w:bottom w:val="nil"/>
              <w:right w:val="nil"/>
            </w:tcBorders>
            <w:shd w:val="clear" w:color="000000" w:fill="FFFFFF"/>
            <w:noWrap/>
            <w:vAlign w:val="bottom"/>
            <w:hideMark/>
          </w:tcPr>
          <w:p w14:paraId="72E155B7"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w:t>
            </w:r>
          </w:p>
        </w:tc>
        <w:tc>
          <w:tcPr>
            <w:tcW w:w="78" w:type="pct"/>
            <w:tcBorders>
              <w:top w:val="nil"/>
              <w:left w:val="nil"/>
              <w:bottom w:val="nil"/>
              <w:right w:val="nil"/>
            </w:tcBorders>
            <w:shd w:val="clear" w:color="000000" w:fill="FFFFFF"/>
            <w:noWrap/>
            <w:vAlign w:val="bottom"/>
            <w:hideMark/>
          </w:tcPr>
          <w:p w14:paraId="49A24524"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71435310"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-857</w:t>
            </w:r>
          </w:p>
        </w:tc>
      </w:tr>
      <w:tr w:rsidR="00DB5205" w:rsidRPr="00954D98" w14:paraId="07D86E65"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44912ACB"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Drought and rural assistance loans</w:t>
            </w:r>
          </w:p>
        </w:tc>
        <w:tc>
          <w:tcPr>
            <w:tcW w:w="500" w:type="pct"/>
            <w:tcBorders>
              <w:top w:val="nil"/>
              <w:left w:val="nil"/>
              <w:bottom w:val="nil"/>
              <w:right w:val="nil"/>
            </w:tcBorders>
            <w:shd w:val="clear" w:color="000000" w:fill="E6F2FF"/>
            <w:noWrap/>
            <w:vAlign w:val="bottom"/>
            <w:hideMark/>
          </w:tcPr>
          <w:p w14:paraId="10238BB6"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-386</w:t>
            </w:r>
          </w:p>
        </w:tc>
        <w:tc>
          <w:tcPr>
            <w:tcW w:w="500" w:type="pct"/>
            <w:tcBorders>
              <w:top w:val="nil"/>
              <w:left w:val="nil"/>
              <w:bottom w:val="nil"/>
              <w:right w:val="nil"/>
            </w:tcBorders>
            <w:shd w:val="clear" w:color="000000" w:fill="FFFFFF"/>
            <w:noWrap/>
            <w:vAlign w:val="bottom"/>
            <w:hideMark/>
          </w:tcPr>
          <w:p w14:paraId="3EB3700D"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-91</w:t>
            </w:r>
          </w:p>
        </w:tc>
        <w:tc>
          <w:tcPr>
            <w:tcW w:w="500" w:type="pct"/>
            <w:tcBorders>
              <w:top w:val="nil"/>
              <w:left w:val="nil"/>
              <w:bottom w:val="nil"/>
              <w:right w:val="nil"/>
            </w:tcBorders>
            <w:shd w:val="clear" w:color="000000" w:fill="FFFFFF"/>
            <w:noWrap/>
            <w:vAlign w:val="bottom"/>
            <w:hideMark/>
          </w:tcPr>
          <w:p w14:paraId="04DE7FA3"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-78</w:t>
            </w:r>
          </w:p>
        </w:tc>
        <w:tc>
          <w:tcPr>
            <w:tcW w:w="500" w:type="pct"/>
            <w:tcBorders>
              <w:top w:val="nil"/>
              <w:left w:val="nil"/>
              <w:bottom w:val="nil"/>
              <w:right w:val="nil"/>
            </w:tcBorders>
            <w:shd w:val="clear" w:color="000000" w:fill="FFFFFF"/>
            <w:noWrap/>
            <w:vAlign w:val="bottom"/>
            <w:hideMark/>
          </w:tcPr>
          <w:p w14:paraId="66D34CAE"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90</w:t>
            </w:r>
          </w:p>
        </w:tc>
        <w:tc>
          <w:tcPr>
            <w:tcW w:w="78" w:type="pct"/>
            <w:tcBorders>
              <w:top w:val="nil"/>
              <w:left w:val="nil"/>
              <w:bottom w:val="nil"/>
              <w:right w:val="nil"/>
            </w:tcBorders>
            <w:shd w:val="clear" w:color="000000" w:fill="FFFFFF"/>
            <w:noWrap/>
            <w:vAlign w:val="bottom"/>
            <w:hideMark/>
          </w:tcPr>
          <w:p w14:paraId="53319F74"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31BF02BA"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-465</w:t>
            </w:r>
          </w:p>
        </w:tc>
      </w:tr>
      <w:tr w:rsidR="00DB5205" w:rsidRPr="00954D98" w14:paraId="74BCCD01"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150FBD7C"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 xml:space="preserve">Official Development Assistance </w:t>
            </w:r>
          </w:p>
        </w:tc>
        <w:tc>
          <w:tcPr>
            <w:tcW w:w="500" w:type="pct"/>
            <w:tcBorders>
              <w:top w:val="nil"/>
              <w:left w:val="nil"/>
              <w:bottom w:val="nil"/>
              <w:right w:val="nil"/>
            </w:tcBorders>
            <w:shd w:val="clear" w:color="000000" w:fill="E6F2FF"/>
            <w:noWrap/>
            <w:vAlign w:val="bottom"/>
            <w:hideMark/>
          </w:tcPr>
          <w:p w14:paraId="17E4F8A5"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46238711"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5C0168B2"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3D1A667B"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78" w:type="pct"/>
            <w:tcBorders>
              <w:top w:val="nil"/>
              <w:left w:val="nil"/>
              <w:bottom w:val="nil"/>
              <w:right w:val="nil"/>
            </w:tcBorders>
            <w:shd w:val="clear" w:color="000000" w:fill="FFFFFF"/>
            <w:noWrap/>
            <w:vAlign w:val="bottom"/>
            <w:hideMark/>
          </w:tcPr>
          <w:p w14:paraId="38DA5327"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2AB4CA2C" w14:textId="77777777" w:rsidR="00DB5205" w:rsidRPr="00954D98" w:rsidRDefault="00DB5205" w:rsidP="00DB5205">
            <w:pPr>
              <w:spacing w:before="0" w:after="0" w:line="240" w:lineRule="auto"/>
              <w:rPr>
                <w:rFonts w:ascii="Arial" w:hAnsi="Arial" w:cs="Arial"/>
                <w:sz w:val="16"/>
                <w:szCs w:val="16"/>
              </w:rPr>
            </w:pPr>
            <w:r w:rsidRPr="00954D98">
              <w:rPr>
                <w:rFonts w:ascii="Arial" w:hAnsi="Arial" w:cs="Arial"/>
                <w:sz w:val="16"/>
                <w:szCs w:val="16"/>
              </w:rPr>
              <w:t> </w:t>
            </w:r>
          </w:p>
        </w:tc>
      </w:tr>
      <w:tr w:rsidR="00DB5205" w:rsidRPr="00954D98" w14:paraId="323C64F4"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0A118319" w14:textId="77777777" w:rsidR="00DB5205" w:rsidRPr="00954D98" w:rsidRDefault="00DB5205" w:rsidP="00DB5205">
            <w:pPr>
              <w:spacing w:before="0" w:after="0" w:line="240" w:lineRule="auto"/>
              <w:ind w:firstLineChars="300" w:firstLine="480"/>
              <w:rPr>
                <w:rFonts w:ascii="Arial" w:hAnsi="Arial" w:cs="Arial"/>
                <w:color w:val="FFFF00"/>
                <w:sz w:val="16"/>
                <w:szCs w:val="16"/>
              </w:rPr>
            </w:pPr>
            <w:r w:rsidRPr="00954D98">
              <w:rPr>
                <w:rFonts w:ascii="Arial" w:hAnsi="Arial" w:cs="Arial"/>
                <w:sz w:val="16"/>
                <w:szCs w:val="16"/>
              </w:rPr>
              <w:t>- Multilateral Replenishment</w:t>
            </w:r>
          </w:p>
        </w:tc>
        <w:tc>
          <w:tcPr>
            <w:tcW w:w="500" w:type="pct"/>
            <w:tcBorders>
              <w:top w:val="nil"/>
              <w:left w:val="nil"/>
              <w:bottom w:val="nil"/>
              <w:right w:val="nil"/>
            </w:tcBorders>
            <w:shd w:val="clear" w:color="000000" w:fill="E6F2FF"/>
            <w:noWrap/>
            <w:vAlign w:val="bottom"/>
            <w:hideMark/>
          </w:tcPr>
          <w:p w14:paraId="5CDF0091"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-202</w:t>
            </w:r>
          </w:p>
        </w:tc>
        <w:tc>
          <w:tcPr>
            <w:tcW w:w="500" w:type="pct"/>
            <w:tcBorders>
              <w:top w:val="nil"/>
              <w:left w:val="nil"/>
              <w:bottom w:val="nil"/>
              <w:right w:val="nil"/>
            </w:tcBorders>
            <w:shd w:val="clear" w:color="000000" w:fill="FFFFFF"/>
            <w:noWrap/>
            <w:vAlign w:val="bottom"/>
            <w:hideMark/>
          </w:tcPr>
          <w:p w14:paraId="72259423"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-151</w:t>
            </w:r>
          </w:p>
        </w:tc>
        <w:tc>
          <w:tcPr>
            <w:tcW w:w="500" w:type="pct"/>
            <w:tcBorders>
              <w:top w:val="nil"/>
              <w:left w:val="nil"/>
              <w:bottom w:val="nil"/>
              <w:right w:val="nil"/>
            </w:tcBorders>
            <w:shd w:val="clear" w:color="000000" w:fill="FFFFFF"/>
            <w:noWrap/>
            <w:vAlign w:val="bottom"/>
            <w:hideMark/>
          </w:tcPr>
          <w:p w14:paraId="26B0FE46"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-188</w:t>
            </w:r>
          </w:p>
        </w:tc>
        <w:tc>
          <w:tcPr>
            <w:tcW w:w="500" w:type="pct"/>
            <w:tcBorders>
              <w:top w:val="nil"/>
              <w:left w:val="nil"/>
              <w:bottom w:val="nil"/>
              <w:right w:val="nil"/>
            </w:tcBorders>
            <w:shd w:val="clear" w:color="000000" w:fill="FFFFFF"/>
            <w:noWrap/>
            <w:vAlign w:val="bottom"/>
            <w:hideMark/>
          </w:tcPr>
          <w:p w14:paraId="6F178B22"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-197</w:t>
            </w:r>
          </w:p>
        </w:tc>
        <w:tc>
          <w:tcPr>
            <w:tcW w:w="78" w:type="pct"/>
            <w:tcBorders>
              <w:top w:val="nil"/>
              <w:left w:val="nil"/>
              <w:bottom w:val="nil"/>
              <w:right w:val="nil"/>
            </w:tcBorders>
            <w:shd w:val="clear" w:color="000000" w:fill="FFFFFF"/>
            <w:noWrap/>
            <w:vAlign w:val="bottom"/>
            <w:hideMark/>
          </w:tcPr>
          <w:p w14:paraId="75419108"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6F65DF82"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-738</w:t>
            </w:r>
          </w:p>
        </w:tc>
      </w:tr>
      <w:tr w:rsidR="00DB5205" w:rsidRPr="00954D98" w14:paraId="509CB8D6"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51F9BFAD"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Historical state and territory loans</w:t>
            </w:r>
          </w:p>
        </w:tc>
        <w:tc>
          <w:tcPr>
            <w:tcW w:w="500" w:type="pct"/>
            <w:tcBorders>
              <w:top w:val="nil"/>
              <w:left w:val="nil"/>
              <w:bottom w:val="nil"/>
              <w:right w:val="nil"/>
            </w:tcBorders>
            <w:shd w:val="clear" w:color="000000" w:fill="E6F2FF"/>
            <w:noWrap/>
            <w:vAlign w:val="bottom"/>
            <w:hideMark/>
          </w:tcPr>
          <w:p w14:paraId="753B4449"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97</w:t>
            </w:r>
          </w:p>
        </w:tc>
        <w:tc>
          <w:tcPr>
            <w:tcW w:w="500" w:type="pct"/>
            <w:tcBorders>
              <w:top w:val="nil"/>
              <w:left w:val="nil"/>
              <w:bottom w:val="nil"/>
              <w:right w:val="nil"/>
            </w:tcBorders>
            <w:shd w:val="clear" w:color="000000" w:fill="FFFFFF"/>
            <w:noWrap/>
            <w:vAlign w:val="bottom"/>
            <w:hideMark/>
          </w:tcPr>
          <w:p w14:paraId="7DB788B2"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101</w:t>
            </w:r>
          </w:p>
        </w:tc>
        <w:tc>
          <w:tcPr>
            <w:tcW w:w="500" w:type="pct"/>
            <w:tcBorders>
              <w:top w:val="nil"/>
              <w:left w:val="nil"/>
              <w:bottom w:val="nil"/>
              <w:right w:val="nil"/>
            </w:tcBorders>
            <w:shd w:val="clear" w:color="000000" w:fill="FFFFFF"/>
            <w:noWrap/>
            <w:vAlign w:val="bottom"/>
            <w:hideMark/>
          </w:tcPr>
          <w:p w14:paraId="05040F53"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100</w:t>
            </w:r>
          </w:p>
        </w:tc>
        <w:tc>
          <w:tcPr>
            <w:tcW w:w="500" w:type="pct"/>
            <w:tcBorders>
              <w:top w:val="nil"/>
              <w:left w:val="nil"/>
              <w:bottom w:val="nil"/>
              <w:right w:val="nil"/>
            </w:tcBorders>
            <w:shd w:val="clear" w:color="000000" w:fill="FFFFFF"/>
            <w:noWrap/>
            <w:vAlign w:val="bottom"/>
            <w:hideMark/>
          </w:tcPr>
          <w:p w14:paraId="07CCA3F8"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94</w:t>
            </w:r>
          </w:p>
        </w:tc>
        <w:tc>
          <w:tcPr>
            <w:tcW w:w="78" w:type="pct"/>
            <w:tcBorders>
              <w:top w:val="nil"/>
              <w:left w:val="nil"/>
              <w:bottom w:val="nil"/>
              <w:right w:val="nil"/>
            </w:tcBorders>
            <w:shd w:val="clear" w:color="000000" w:fill="FFFFFF"/>
            <w:noWrap/>
            <w:vAlign w:val="bottom"/>
            <w:hideMark/>
          </w:tcPr>
          <w:p w14:paraId="50BB1924"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34C04ED3"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391</w:t>
            </w:r>
          </w:p>
        </w:tc>
      </w:tr>
      <w:tr w:rsidR="00DB5205" w:rsidRPr="00954D98" w14:paraId="00725D78"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276BCED3"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Home Equity Access Scheme</w:t>
            </w:r>
          </w:p>
        </w:tc>
        <w:tc>
          <w:tcPr>
            <w:tcW w:w="500" w:type="pct"/>
            <w:tcBorders>
              <w:top w:val="nil"/>
              <w:left w:val="nil"/>
              <w:bottom w:val="nil"/>
              <w:right w:val="nil"/>
            </w:tcBorders>
            <w:shd w:val="clear" w:color="000000" w:fill="E6F2FF"/>
            <w:noWrap/>
            <w:vAlign w:val="bottom"/>
            <w:hideMark/>
          </w:tcPr>
          <w:p w14:paraId="6DEA2966"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-232</w:t>
            </w:r>
          </w:p>
        </w:tc>
        <w:tc>
          <w:tcPr>
            <w:tcW w:w="500" w:type="pct"/>
            <w:tcBorders>
              <w:top w:val="nil"/>
              <w:left w:val="nil"/>
              <w:bottom w:val="nil"/>
              <w:right w:val="nil"/>
            </w:tcBorders>
            <w:shd w:val="clear" w:color="000000" w:fill="FFFFFF"/>
            <w:noWrap/>
            <w:vAlign w:val="bottom"/>
            <w:hideMark/>
          </w:tcPr>
          <w:p w14:paraId="4B432976"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-289</w:t>
            </w:r>
          </w:p>
        </w:tc>
        <w:tc>
          <w:tcPr>
            <w:tcW w:w="500" w:type="pct"/>
            <w:tcBorders>
              <w:top w:val="nil"/>
              <w:left w:val="nil"/>
              <w:bottom w:val="nil"/>
              <w:right w:val="nil"/>
            </w:tcBorders>
            <w:shd w:val="clear" w:color="000000" w:fill="FFFFFF"/>
            <w:noWrap/>
            <w:vAlign w:val="bottom"/>
            <w:hideMark/>
          </w:tcPr>
          <w:p w14:paraId="6A9A73FF"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-335</w:t>
            </w:r>
          </w:p>
        </w:tc>
        <w:tc>
          <w:tcPr>
            <w:tcW w:w="500" w:type="pct"/>
            <w:tcBorders>
              <w:top w:val="nil"/>
              <w:left w:val="nil"/>
              <w:bottom w:val="nil"/>
              <w:right w:val="nil"/>
            </w:tcBorders>
            <w:shd w:val="clear" w:color="000000" w:fill="FFFFFF"/>
            <w:noWrap/>
            <w:vAlign w:val="bottom"/>
            <w:hideMark/>
          </w:tcPr>
          <w:p w14:paraId="4260FF90"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-364</w:t>
            </w:r>
          </w:p>
        </w:tc>
        <w:tc>
          <w:tcPr>
            <w:tcW w:w="78" w:type="pct"/>
            <w:tcBorders>
              <w:top w:val="nil"/>
              <w:left w:val="nil"/>
              <w:bottom w:val="nil"/>
              <w:right w:val="nil"/>
            </w:tcBorders>
            <w:shd w:val="clear" w:color="000000" w:fill="FFFFFF"/>
            <w:noWrap/>
            <w:vAlign w:val="bottom"/>
            <w:hideMark/>
          </w:tcPr>
          <w:p w14:paraId="1E390FCE"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0E20192C"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-1,219</w:t>
            </w:r>
          </w:p>
        </w:tc>
      </w:tr>
      <w:tr w:rsidR="00DB5205" w:rsidRPr="00954D98" w14:paraId="00FD1369"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3E7865B6"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Housing Australia</w:t>
            </w:r>
          </w:p>
        </w:tc>
        <w:tc>
          <w:tcPr>
            <w:tcW w:w="500" w:type="pct"/>
            <w:tcBorders>
              <w:top w:val="nil"/>
              <w:left w:val="nil"/>
              <w:bottom w:val="nil"/>
              <w:right w:val="nil"/>
            </w:tcBorders>
            <w:shd w:val="clear" w:color="000000" w:fill="E6F2FF"/>
            <w:noWrap/>
            <w:vAlign w:val="bottom"/>
            <w:hideMark/>
          </w:tcPr>
          <w:p w14:paraId="2BE2DBE6"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-2,795</w:t>
            </w:r>
          </w:p>
        </w:tc>
        <w:tc>
          <w:tcPr>
            <w:tcW w:w="500" w:type="pct"/>
            <w:tcBorders>
              <w:top w:val="nil"/>
              <w:left w:val="nil"/>
              <w:bottom w:val="nil"/>
              <w:right w:val="nil"/>
            </w:tcBorders>
            <w:shd w:val="clear" w:color="000000" w:fill="FFFFFF"/>
            <w:noWrap/>
            <w:vAlign w:val="bottom"/>
            <w:hideMark/>
          </w:tcPr>
          <w:p w14:paraId="391AD142"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-7,383</w:t>
            </w:r>
          </w:p>
        </w:tc>
        <w:tc>
          <w:tcPr>
            <w:tcW w:w="500" w:type="pct"/>
            <w:tcBorders>
              <w:top w:val="nil"/>
              <w:left w:val="nil"/>
              <w:bottom w:val="nil"/>
              <w:right w:val="nil"/>
            </w:tcBorders>
            <w:shd w:val="clear" w:color="000000" w:fill="FFFFFF"/>
            <w:noWrap/>
            <w:vAlign w:val="bottom"/>
            <w:hideMark/>
          </w:tcPr>
          <w:p w14:paraId="54DAAE7C"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-2,819</w:t>
            </w:r>
          </w:p>
        </w:tc>
        <w:tc>
          <w:tcPr>
            <w:tcW w:w="500" w:type="pct"/>
            <w:tcBorders>
              <w:top w:val="nil"/>
              <w:left w:val="nil"/>
              <w:bottom w:val="nil"/>
              <w:right w:val="nil"/>
            </w:tcBorders>
            <w:shd w:val="clear" w:color="000000" w:fill="FFFFFF"/>
            <w:noWrap/>
            <w:vAlign w:val="bottom"/>
            <w:hideMark/>
          </w:tcPr>
          <w:p w14:paraId="6464BF42"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-2,162</w:t>
            </w:r>
          </w:p>
        </w:tc>
        <w:tc>
          <w:tcPr>
            <w:tcW w:w="78" w:type="pct"/>
            <w:tcBorders>
              <w:top w:val="nil"/>
              <w:left w:val="nil"/>
              <w:bottom w:val="nil"/>
              <w:right w:val="nil"/>
            </w:tcBorders>
            <w:shd w:val="clear" w:color="000000" w:fill="FFFFFF"/>
            <w:noWrap/>
            <w:vAlign w:val="bottom"/>
            <w:hideMark/>
          </w:tcPr>
          <w:p w14:paraId="080A3C9E"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0BC4339F"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-15,159</w:t>
            </w:r>
          </w:p>
        </w:tc>
      </w:tr>
      <w:tr w:rsidR="00DB5205" w:rsidRPr="00954D98" w14:paraId="6BB861F9"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07DE62EA"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Indigenous Business Australia</w:t>
            </w:r>
          </w:p>
        </w:tc>
        <w:tc>
          <w:tcPr>
            <w:tcW w:w="500" w:type="pct"/>
            <w:tcBorders>
              <w:top w:val="nil"/>
              <w:left w:val="nil"/>
              <w:bottom w:val="nil"/>
              <w:right w:val="nil"/>
            </w:tcBorders>
            <w:shd w:val="clear" w:color="000000" w:fill="E6F2FF"/>
            <w:noWrap/>
            <w:vAlign w:val="bottom"/>
            <w:hideMark/>
          </w:tcPr>
          <w:p w14:paraId="79854E39"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0A16D44A"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28DAC239"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6B59C60B"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78" w:type="pct"/>
            <w:tcBorders>
              <w:top w:val="nil"/>
              <w:left w:val="nil"/>
              <w:bottom w:val="nil"/>
              <w:right w:val="nil"/>
            </w:tcBorders>
            <w:shd w:val="clear" w:color="000000" w:fill="FFFFFF"/>
            <w:noWrap/>
            <w:vAlign w:val="bottom"/>
            <w:hideMark/>
          </w:tcPr>
          <w:p w14:paraId="6E0F7CD1"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6334629F" w14:textId="77777777" w:rsidR="00DB5205" w:rsidRPr="00954D98" w:rsidRDefault="00DB5205" w:rsidP="00DB5205">
            <w:pPr>
              <w:spacing w:before="0" w:after="0" w:line="240" w:lineRule="auto"/>
              <w:rPr>
                <w:rFonts w:ascii="Arial" w:hAnsi="Arial" w:cs="Arial"/>
                <w:sz w:val="16"/>
                <w:szCs w:val="16"/>
              </w:rPr>
            </w:pPr>
            <w:r w:rsidRPr="00954D98">
              <w:rPr>
                <w:rFonts w:ascii="Arial" w:hAnsi="Arial" w:cs="Arial"/>
                <w:sz w:val="16"/>
                <w:szCs w:val="16"/>
              </w:rPr>
              <w:t> </w:t>
            </w:r>
          </w:p>
        </w:tc>
      </w:tr>
      <w:tr w:rsidR="00DB5205" w:rsidRPr="00954D98" w14:paraId="29C9356C"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1B938319" w14:textId="77777777" w:rsidR="00DB5205" w:rsidRPr="00954D98" w:rsidRDefault="00DB5205" w:rsidP="00DB5205">
            <w:pPr>
              <w:spacing w:before="0" w:after="0" w:line="240" w:lineRule="auto"/>
              <w:ind w:firstLineChars="300" w:firstLine="480"/>
              <w:rPr>
                <w:rFonts w:ascii="Arial" w:hAnsi="Arial" w:cs="Arial"/>
                <w:color w:val="FFFF00"/>
                <w:sz w:val="16"/>
                <w:szCs w:val="16"/>
              </w:rPr>
            </w:pPr>
            <w:r w:rsidRPr="00954D98">
              <w:rPr>
                <w:rFonts w:ascii="Arial" w:hAnsi="Arial" w:cs="Arial"/>
                <w:sz w:val="16"/>
                <w:szCs w:val="16"/>
              </w:rPr>
              <w:t>home and business loans</w:t>
            </w:r>
          </w:p>
        </w:tc>
        <w:tc>
          <w:tcPr>
            <w:tcW w:w="500" w:type="pct"/>
            <w:tcBorders>
              <w:top w:val="nil"/>
              <w:left w:val="nil"/>
              <w:bottom w:val="nil"/>
              <w:right w:val="nil"/>
            </w:tcBorders>
            <w:shd w:val="clear" w:color="000000" w:fill="E6F2FF"/>
            <w:noWrap/>
            <w:vAlign w:val="bottom"/>
            <w:hideMark/>
          </w:tcPr>
          <w:p w14:paraId="05191075"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-219</w:t>
            </w:r>
          </w:p>
        </w:tc>
        <w:tc>
          <w:tcPr>
            <w:tcW w:w="500" w:type="pct"/>
            <w:tcBorders>
              <w:top w:val="nil"/>
              <w:left w:val="nil"/>
              <w:bottom w:val="nil"/>
              <w:right w:val="nil"/>
            </w:tcBorders>
            <w:shd w:val="clear" w:color="000000" w:fill="FFFFFF"/>
            <w:noWrap/>
            <w:vAlign w:val="bottom"/>
            <w:hideMark/>
          </w:tcPr>
          <w:p w14:paraId="2D98F8B9"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-111</w:t>
            </w:r>
          </w:p>
        </w:tc>
        <w:tc>
          <w:tcPr>
            <w:tcW w:w="500" w:type="pct"/>
            <w:tcBorders>
              <w:top w:val="nil"/>
              <w:left w:val="nil"/>
              <w:bottom w:val="nil"/>
              <w:right w:val="nil"/>
            </w:tcBorders>
            <w:shd w:val="clear" w:color="000000" w:fill="FFFFFF"/>
            <w:noWrap/>
            <w:vAlign w:val="bottom"/>
            <w:hideMark/>
          </w:tcPr>
          <w:p w14:paraId="608AAF17"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-114</w:t>
            </w:r>
          </w:p>
        </w:tc>
        <w:tc>
          <w:tcPr>
            <w:tcW w:w="500" w:type="pct"/>
            <w:tcBorders>
              <w:top w:val="nil"/>
              <w:left w:val="nil"/>
              <w:bottom w:val="nil"/>
              <w:right w:val="nil"/>
            </w:tcBorders>
            <w:shd w:val="clear" w:color="000000" w:fill="FFFFFF"/>
            <w:noWrap/>
            <w:vAlign w:val="bottom"/>
            <w:hideMark/>
          </w:tcPr>
          <w:p w14:paraId="436BF60C"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-114</w:t>
            </w:r>
          </w:p>
        </w:tc>
        <w:tc>
          <w:tcPr>
            <w:tcW w:w="78" w:type="pct"/>
            <w:tcBorders>
              <w:top w:val="nil"/>
              <w:left w:val="nil"/>
              <w:bottom w:val="nil"/>
              <w:right w:val="nil"/>
            </w:tcBorders>
            <w:shd w:val="clear" w:color="000000" w:fill="FFFFFF"/>
            <w:noWrap/>
            <w:vAlign w:val="bottom"/>
            <w:hideMark/>
          </w:tcPr>
          <w:p w14:paraId="1FCB0B65"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4B80DDC9"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-558</w:t>
            </w:r>
          </w:p>
        </w:tc>
      </w:tr>
      <w:tr w:rsidR="00DB5205" w:rsidRPr="00954D98" w14:paraId="426DCD7E"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27133C10"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National Interest Account</w:t>
            </w:r>
          </w:p>
        </w:tc>
        <w:tc>
          <w:tcPr>
            <w:tcW w:w="500" w:type="pct"/>
            <w:tcBorders>
              <w:top w:val="nil"/>
              <w:left w:val="nil"/>
              <w:bottom w:val="nil"/>
              <w:right w:val="nil"/>
            </w:tcBorders>
            <w:shd w:val="clear" w:color="000000" w:fill="E6F2FF"/>
            <w:noWrap/>
            <w:vAlign w:val="bottom"/>
            <w:hideMark/>
          </w:tcPr>
          <w:p w14:paraId="27F404C3"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5767633D"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3456F00E"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06441B36"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78" w:type="pct"/>
            <w:tcBorders>
              <w:top w:val="nil"/>
              <w:left w:val="nil"/>
              <w:bottom w:val="nil"/>
              <w:right w:val="nil"/>
            </w:tcBorders>
            <w:shd w:val="clear" w:color="000000" w:fill="FFFFFF"/>
            <w:noWrap/>
            <w:vAlign w:val="bottom"/>
            <w:hideMark/>
          </w:tcPr>
          <w:p w14:paraId="7DD49D16"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609B5737" w14:textId="77777777" w:rsidR="00DB5205" w:rsidRPr="00954D98" w:rsidRDefault="00DB5205" w:rsidP="00DB5205">
            <w:pPr>
              <w:spacing w:before="0" w:after="0" w:line="240" w:lineRule="auto"/>
              <w:rPr>
                <w:rFonts w:ascii="Arial" w:hAnsi="Arial" w:cs="Arial"/>
                <w:sz w:val="16"/>
                <w:szCs w:val="16"/>
              </w:rPr>
            </w:pPr>
            <w:r w:rsidRPr="00954D98">
              <w:rPr>
                <w:rFonts w:ascii="Arial" w:hAnsi="Arial" w:cs="Arial"/>
                <w:sz w:val="16"/>
                <w:szCs w:val="16"/>
              </w:rPr>
              <w:t> </w:t>
            </w:r>
          </w:p>
        </w:tc>
      </w:tr>
      <w:tr w:rsidR="00DB5205" w:rsidRPr="00954D98" w14:paraId="3E1DDA65"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097145ED" w14:textId="77777777" w:rsidR="00DB5205" w:rsidRPr="00954D98" w:rsidRDefault="00DB5205" w:rsidP="00DB5205">
            <w:pPr>
              <w:spacing w:before="0" w:after="0" w:line="240" w:lineRule="auto"/>
              <w:ind w:firstLineChars="300" w:firstLine="480"/>
              <w:rPr>
                <w:rFonts w:ascii="Arial" w:hAnsi="Arial" w:cs="Arial"/>
                <w:color w:val="FFFF00"/>
                <w:sz w:val="16"/>
                <w:szCs w:val="16"/>
              </w:rPr>
            </w:pPr>
            <w:r w:rsidRPr="00954D98">
              <w:rPr>
                <w:rFonts w:ascii="Arial" w:hAnsi="Arial" w:cs="Arial"/>
                <w:sz w:val="16"/>
                <w:szCs w:val="16"/>
              </w:rPr>
              <w:t>loans and investments</w:t>
            </w:r>
          </w:p>
        </w:tc>
        <w:tc>
          <w:tcPr>
            <w:tcW w:w="500" w:type="pct"/>
            <w:tcBorders>
              <w:top w:val="nil"/>
              <w:left w:val="nil"/>
              <w:bottom w:val="nil"/>
              <w:right w:val="nil"/>
            </w:tcBorders>
            <w:shd w:val="clear" w:color="000000" w:fill="E6F2FF"/>
            <w:noWrap/>
            <w:vAlign w:val="bottom"/>
            <w:hideMark/>
          </w:tcPr>
          <w:p w14:paraId="59943ED5"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-696</w:t>
            </w:r>
          </w:p>
        </w:tc>
        <w:tc>
          <w:tcPr>
            <w:tcW w:w="500" w:type="pct"/>
            <w:tcBorders>
              <w:top w:val="nil"/>
              <w:left w:val="nil"/>
              <w:bottom w:val="nil"/>
              <w:right w:val="nil"/>
            </w:tcBorders>
            <w:shd w:val="clear" w:color="000000" w:fill="FFFFFF"/>
            <w:noWrap/>
            <w:vAlign w:val="bottom"/>
            <w:hideMark/>
          </w:tcPr>
          <w:p w14:paraId="273B51E3"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-906</w:t>
            </w:r>
          </w:p>
        </w:tc>
        <w:tc>
          <w:tcPr>
            <w:tcW w:w="500" w:type="pct"/>
            <w:tcBorders>
              <w:top w:val="nil"/>
              <w:left w:val="nil"/>
              <w:bottom w:val="nil"/>
              <w:right w:val="nil"/>
            </w:tcBorders>
            <w:shd w:val="clear" w:color="000000" w:fill="FFFFFF"/>
            <w:noWrap/>
            <w:vAlign w:val="bottom"/>
            <w:hideMark/>
          </w:tcPr>
          <w:p w14:paraId="29C14982"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-624</w:t>
            </w:r>
          </w:p>
        </w:tc>
        <w:tc>
          <w:tcPr>
            <w:tcW w:w="500" w:type="pct"/>
            <w:tcBorders>
              <w:top w:val="nil"/>
              <w:left w:val="nil"/>
              <w:bottom w:val="nil"/>
              <w:right w:val="nil"/>
            </w:tcBorders>
            <w:shd w:val="clear" w:color="000000" w:fill="FFFFFF"/>
            <w:noWrap/>
            <w:vAlign w:val="bottom"/>
            <w:hideMark/>
          </w:tcPr>
          <w:p w14:paraId="772DC41C"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5</w:t>
            </w:r>
          </w:p>
        </w:tc>
        <w:tc>
          <w:tcPr>
            <w:tcW w:w="78" w:type="pct"/>
            <w:tcBorders>
              <w:top w:val="nil"/>
              <w:left w:val="nil"/>
              <w:bottom w:val="nil"/>
              <w:right w:val="nil"/>
            </w:tcBorders>
            <w:shd w:val="clear" w:color="000000" w:fill="FFFFFF"/>
            <w:noWrap/>
            <w:vAlign w:val="bottom"/>
            <w:hideMark/>
          </w:tcPr>
          <w:p w14:paraId="31C955BE"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13EB1F56"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-2,221</w:t>
            </w:r>
          </w:p>
        </w:tc>
      </w:tr>
      <w:tr w:rsidR="00DB5205" w:rsidRPr="00954D98" w14:paraId="02C00554"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1A50185B"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COVID-19 Support for Indonesia - loan</w:t>
            </w:r>
          </w:p>
        </w:tc>
        <w:tc>
          <w:tcPr>
            <w:tcW w:w="500" w:type="pct"/>
            <w:tcBorders>
              <w:top w:val="nil"/>
              <w:left w:val="nil"/>
              <w:bottom w:val="nil"/>
              <w:right w:val="nil"/>
            </w:tcBorders>
            <w:shd w:val="clear" w:color="000000" w:fill="E6F2FF"/>
            <w:noWrap/>
            <w:vAlign w:val="bottom"/>
            <w:hideMark/>
          </w:tcPr>
          <w:p w14:paraId="0DC30F5D"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100</w:t>
            </w:r>
          </w:p>
        </w:tc>
        <w:tc>
          <w:tcPr>
            <w:tcW w:w="500" w:type="pct"/>
            <w:tcBorders>
              <w:top w:val="nil"/>
              <w:left w:val="nil"/>
              <w:bottom w:val="nil"/>
              <w:right w:val="nil"/>
            </w:tcBorders>
            <w:shd w:val="clear" w:color="000000" w:fill="FFFFFF"/>
            <w:noWrap/>
            <w:vAlign w:val="bottom"/>
            <w:hideMark/>
          </w:tcPr>
          <w:p w14:paraId="0F310E06"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100</w:t>
            </w:r>
          </w:p>
        </w:tc>
        <w:tc>
          <w:tcPr>
            <w:tcW w:w="500" w:type="pct"/>
            <w:tcBorders>
              <w:top w:val="nil"/>
              <w:left w:val="nil"/>
              <w:bottom w:val="nil"/>
              <w:right w:val="nil"/>
            </w:tcBorders>
            <w:shd w:val="clear" w:color="000000" w:fill="FFFFFF"/>
            <w:noWrap/>
            <w:vAlign w:val="bottom"/>
            <w:hideMark/>
          </w:tcPr>
          <w:p w14:paraId="67F3A83C"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100</w:t>
            </w:r>
          </w:p>
        </w:tc>
        <w:tc>
          <w:tcPr>
            <w:tcW w:w="500" w:type="pct"/>
            <w:tcBorders>
              <w:top w:val="nil"/>
              <w:left w:val="nil"/>
              <w:bottom w:val="nil"/>
              <w:right w:val="nil"/>
            </w:tcBorders>
            <w:shd w:val="clear" w:color="000000" w:fill="FFFFFF"/>
            <w:noWrap/>
            <w:vAlign w:val="bottom"/>
            <w:hideMark/>
          </w:tcPr>
          <w:p w14:paraId="0989FE83"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100</w:t>
            </w:r>
          </w:p>
        </w:tc>
        <w:tc>
          <w:tcPr>
            <w:tcW w:w="78" w:type="pct"/>
            <w:tcBorders>
              <w:top w:val="nil"/>
              <w:left w:val="nil"/>
              <w:bottom w:val="nil"/>
              <w:right w:val="nil"/>
            </w:tcBorders>
            <w:shd w:val="clear" w:color="000000" w:fill="FFFFFF"/>
            <w:noWrap/>
            <w:vAlign w:val="bottom"/>
            <w:hideMark/>
          </w:tcPr>
          <w:p w14:paraId="0DF58C9C"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201FE5CF"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400</w:t>
            </w:r>
          </w:p>
        </w:tc>
      </w:tr>
      <w:tr w:rsidR="00DB5205" w:rsidRPr="00954D98" w14:paraId="1321FDD6"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1B9913CD"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Financial Assistance to</w:t>
            </w:r>
          </w:p>
        </w:tc>
        <w:tc>
          <w:tcPr>
            <w:tcW w:w="500" w:type="pct"/>
            <w:tcBorders>
              <w:top w:val="nil"/>
              <w:left w:val="nil"/>
              <w:bottom w:val="nil"/>
              <w:right w:val="nil"/>
            </w:tcBorders>
            <w:shd w:val="clear" w:color="000000" w:fill="E6F2FF"/>
            <w:noWrap/>
            <w:vAlign w:val="bottom"/>
            <w:hideMark/>
          </w:tcPr>
          <w:p w14:paraId="5A99605D"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4912A5CD"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6B6F9764"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330FC313"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78" w:type="pct"/>
            <w:tcBorders>
              <w:top w:val="nil"/>
              <w:left w:val="nil"/>
              <w:bottom w:val="nil"/>
              <w:right w:val="nil"/>
            </w:tcBorders>
            <w:shd w:val="clear" w:color="000000" w:fill="FFFFFF"/>
            <w:noWrap/>
            <w:vAlign w:val="bottom"/>
            <w:hideMark/>
          </w:tcPr>
          <w:p w14:paraId="7EBB9188"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7CCB023E" w14:textId="77777777" w:rsidR="00DB5205" w:rsidRPr="00954D98" w:rsidRDefault="00DB5205" w:rsidP="00DB5205">
            <w:pPr>
              <w:spacing w:before="0" w:after="0" w:line="240" w:lineRule="auto"/>
              <w:rPr>
                <w:rFonts w:ascii="Arial" w:hAnsi="Arial" w:cs="Arial"/>
                <w:sz w:val="16"/>
                <w:szCs w:val="16"/>
              </w:rPr>
            </w:pPr>
            <w:r w:rsidRPr="00954D98">
              <w:rPr>
                <w:rFonts w:ascii="Arial" w:hAnsi="Arial" w:cs="Arial"/>
                <w:sz w:val="16"/>
                <w:szCs w:val="16"/>
              </w:rPr>
              <w:t> </w:t>
            </w:r>
          </w:p>
        </w:tc>
      </w:tr>
      <w:tr w:rsidR="00DB5205" w:rsidRPr="00954D98" w14:paraId="3E6F8659"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1A13B138" w14:textId="77777777" w:rsidR="00DB5205" w:rsidRPr="00954D98" w:rsidRDefault="00DB5205" w:rsidP="00DB5205">
            <w:pPr>
              <w:spacing w:before="0" w:after="0" w:line="240" w:lineRule="auto"/>
              <w:ind w:firstLineChars="300" w:firstLine="480"/>
              <w:rPr>
                <w:rFonts w:ascii="Arial" w:hAnsi="Arial" w:cs="Arial"/>
                <w:color w:val="FFFF00"/>
                <w:sz w:val="16"/>
                <w:szCs w:val="16"/>
              </w:rPr>
            </w:pPr>
            <w:r w:rsidRPr="00954D98">
              <w:rPr>
                <w:rFonts w:ascii="Arial" w:hAnsi="Arial" w:cs="Arial"/>
                <w:sz w:val="16"/>
                <w:szCs w:val="16"/>
              </w:rPr>
              <w:t>Papua New Guinea - loan</w:t>
            </w:r>
          </w:p>
        </w:tc>
        <w:tc>
          <w:tcPr>
            <w:tcW w:w="500" w:type="pct"/>
            <w:tcBorders>
              <w:top w:val="nil"/>
              <w:left w:val="nil"/>
              <w:bottom w:val="nil"/>
              <w:right w:val="nil"/>
            </w:tcBorders>
            <w:shd w:val="clear" w:color="000000" w:fill="E6F2FF"/>
            <w:noWrap/>
            <w:vAlign w:val="bottom"/>
            <w:hideMark/>
          </w:tcPr>
          <w:p w14:paraId="008266D9"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169</w:t>
            </w:r>
          </w:p>
        </w:tc>
        <w:tc>
          <w:tcPr>
            <w:tcW w:w="500" w:type="pct"/>
            <w:tcBorders>
              <w:top w:val="nil"/>
              <w:left w:val="nil"/>
              <w:bottom w:val="nil"/>
              <w:right w:val="nil"/>
            </w:tcBorders>
            <w:shd w:val="clear" w:color="000000" w:fill="FFFFFF"/>
            <w:noWrap/>
            <w:vAlign w:val="bottom"/>
            <w:hideMark/>
          </w:tcPr>
          <w:p w14:paraId="25B03A79"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169</w:t>
            </w:r>
          </w:p>
        </w:tc>
        <w:tc>
          <w:tcPr>
            <w:tcW w:w="500" w:type="pct"/>
            <w:tcBorders>
              <w:top w:val="nil"/>
              <w:left w:val="nil"/>
              <w:bottom w:val="nil"/>
              <w:right w:val="nil"/>
            </w:tcBorders>
            <w:shd w:val="clear" w:color="000000" w:fill="FFFFFF"/>
            <w:noWrap/>
            <w:vAlign w:val="bottom"/>
            <w:hideMark/>
          </w:tcPr>
          <w:p w14:paraId="74BFEACE"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169</w:t>
            </w:r>
          </w:p>
        </w:tc>
        <w:tc>
          <w:tcPr>
            <w:tcW w:w="500" w:type="pct"/>
            <w:tcBorders>
              <w:top w:val="nil"/>
              <w:left w:val="nil"/>
              <w:bottom w:val="nil"/>
              <w:right w:val="nil"/>
            </w:tcBorders>
            <w:shd w:val="clear" w:color="000000" w:fill="FFFFFF"/>
            <w:noWrap/>
            <w:vAlign w:val="bottom"/>
            <w:hideMark/>
          </w:tcPr>
          <w:p w14:paraId="019FC4AF"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169</w:t>
            </w:r>
          </w:p>
        </w:tc>
        <w:tc>
          <w:tcPr>
            <w:tcW w:w="78" w:type="pct"/>
            <w:tcBorders>
              <w:top w:val="nil"/>
              <w:left w:val="nil"/>
              <w:bottom w:val="nil"/>
              <w:right w:val="nil"/>
            </w:tcBorders>
            <w:shd w:val="clear" w:color="000000" w:fill="FFFFFF"/>
            <w:noWrap/>
            <w:vAlign w:val="bottom"/>
            <w:hideMark/>
          </w:tcPr>
          <w:p w14:paraId="69490F5D"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32DF5FEB"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677</w:t>
            </w:r>
          </w:p>
        </w:tc>
      </w:tr>
      <w:tr w:rsidR="00DB5205" w:rsidRPr="00954D98" w14:paraId="4CE879CA"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5781E537"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Rex Airlines</w:t>
            </w:r>
          </w:p>
        </w:tc>
        <w:tc>
          <w:tcPr>
            <w:tcW w:w="500" w:type="pct"/>
            <w:tcBorders>
              <w:top w:val="nil"/>
              <w:left w:val="nil"/>
              <w:bottom w:val="nil"/>
              <w:right w:val="nil"/>
            </w:tcBorders>
            <w:shd w:val="clear" w:color="000000" w:fill="E6F2FF"/>
            <w:noWrap/>
            <w:vAlign w:val="bottom"/>
            <w:hideMark/>
          </w:tcPr>
          <w:p w14:paraId="2D434380"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-65</w:t>
            </w:r>
          </w:p>
        </w:tc>
        <w:tc>
          <w:tcPr>
            <w:tcW w:w="500" w:type="pct"/>
            <w:tcBorders>
              <w:top w:val="nil"/>
              <w:left w:val="nil"/>
              <w:bottom w:val="nil"/>
              <w:right w:val="nil"/>
            </w:tcBorders>
            <w:shd w:val="clear" w:color="000000" w:fill="FFFFFF"/>
            <w:noWrap/>
            <w:vAlign w:val="bottom"/>
            <w:hideMark/>
          </w:tcPr>
          <w:p w14:paraId="08815B26"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-30</w:t>
            </w:r>
          </w:p>
        </w:tc>
        <w:tc>
          <w:tcPr>
            <w:tcW w:w="500" w:type="pct"/>
            <w:tcBorders>
              <w:top w:val="nil"/>
              <w:left w:val="nil"/>
              <w:bottom w:val="nil"/>
              <w:right w:val="nil"/>
            </w:tcBorders>
            <w:shd w:val="clear" w:color="000000" w:fill="FFFFFF"/>
            <w:noWrap/>
            <w:vAlign w:val="bottom"/>
            <w:hideMark/>
          </w:tcPr>
          <w:p w14:paraId="65926585"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4</w:t>
            </w:r>
          </w:p>
        </w:tc>
        <w:tc>
          <w:tcPr>
            <w:tcW w:w="500" w:type="pct"/>
            <w:tcBorders>
              <w:top w:val="nil"/>
              <w:left w:val="nil"/>
              <w:bottom w:val="nil"/>
              <w:right w:val="nil"/>
            </w:tcBorders>
            <w:shd w:val="clear" w:color="000000" w:fill="FFFFFF"/>
            <w:noWrap/>
            <w:vAlign w:val="bottom"/>
            <w:hideMark/>
          </w:tcPr>
          <w:p w14:paraId="3C4D794E"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9</w:t>
            </w:r>
          </w:p>
        </w:tc>
        <w:tc>
          <w:tcPr>
            <w:tcW w:w="78" w:type="pct"/>
            <w:tcBorders>
              <w:top w:val="nil"/>
              <w:left w:val="nil"/>
              <w:bottom w:val="nil"/>
              <w:right w:val="nil"/>
            </w:tcBorders>
            <w:shd w:val="clear" w:color="000000" w:fill="FFFFFF"/>
            <w:noWrap/>
            <w:vAlign w:val="bottom"/>
            <w:hideMark/>
          </w:tcPr>
          <w:p w14:paraId="033384F3"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6A80090F"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-82</w:t>
            </w:r>
          </w:p>
        </w:tc>
      </w:tr>
      <w:tr w:rsidR="00DB5205" w:rsidRPr="00954D98" w14:paraId="0A70502A"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0D951619" w14:textId="77777777" w:rsidR="00DB5205" w:rsidRPr="00954D98" w:rsidRDefault="00DB5205" w:rsidP="00DB5205">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Net other(b)</w:t>
            </w:r>
          </w:p>
        </w:tc>
        <w:tc>
          <w:tcPr>
            <w:tcW w:w="500" w:type="pct"/>
            <w:tcBorders>
              <w:top w:val="nil"/>
              <w:left w:val="nil"/>
              <w:bottom w:val="nil"/>
              <w:right w:val="nil"/>
            </w:tcBorders>
            <w:shd w:val="clear" w:color="000000" w:fill="E6F2FF"/>
            <w:noWrap/>
            <w:vAlign w:val="bottom"/>
            <w:hideMark/>
          </w:tcPr>
          <w:p w14:paraId="2B7D7D26"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-4,333</w:t>
            </w:r>
          </w:p>
        </w:tc>
        <w:tc>
          <w:tcPr>
            <w:tcW w:w="500" w:type="pct"/>
            <w:tcBorders>
              <w:top w:val="nil"/>
              <w:left w:val="nil"/>
              <w:bottom w:val="nil"/>
              <w:right w:val="nil"/>
            </w:tcBorders>
            <w:shd w:val="clear" w:color="000000" w:fill="FFFFFF"/>
            <w:noWrap/>
            <w:vAlign w:val="bottom"/>
            <w:hideMark/>
          </w:tcPr>
          <w:p w14:paraId="0836D9E6"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-5,770</w:t>
            </w:r>
          </w:p>
        </w:tc>
        <w:tc>
          <w:tcPr>
            <w:tcW w:w="500" w:type="pct"/>
            <w:tcBorders>
              <w:top w:val="nil"/>
              <w:left w:val="nil"/>
              <w:bottom w:val="nil"/>
              <w:right w:val="nil"/>
            </w:tcBorders>
            <w:shd w:val="clear" w:color="000000" w:fill="FFFFFF"/>
            <w:noWrap/>
            <w:vAlign w:val="bottom"/>
            <w:hideMark/>
          </w:tcPr>
          <w:p w14:paraId="3B51FDC8"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-3,241</w:t>
            </w:r>
          </w:p>
        </w:tc>
        <w:tc>
          <w:tcPr>
            <w:tcW w:w="500" w:type="pct"/>
            <w:tcBorders>
              <w:top w:val="nil"/>
              <w:left w:val="nil"/>
              <w:bottom w:val="nil"/>
              <w:right w:val="nil"/>
            </w:tcBorders>
            <w:shd w:val="clear" w:color="000000" w:fill="FFFFFF"/>
            <w:noWrap/>
            <w:vAlign w:val="bottom"/>
            <w:hideMark/>
          </w:tcPr>
          <w:p w14:paraId="5381C875" w14:textId="77777777" w:rsidR="00DB5205" w:rsidRPr="00954D98" w:rsidRDefault="00DB5205" w:rsidP="00DB5205">
            <w:pPr>
              <w:spacing w:before="0" w:after="0" w:line="240" w:lineRule="auto"/>
              <w:jc w:val="right"/>
              <w:rPr>
                <w:rFonts w:ascii="Arial" w:hAnsi="Arial" w:cs="Arial"/>
                <w:color w:val="FFFF00"/>
                <w:sz w:val="16"/>
                <w:szCs w:val="16"/>
              </w:rPr>
            </w:pPr>
            <w:r w:rsidRPr="00954D98">
              <w:rPr>
                <w:rFonts w:ascii="Arial" w:hAnsi="Arial" w:cs="Arial"/>
                <w:sz w:val="16"/>
                <w:szCs w:val="16"/>
              </w:rPr>
              <w:t>-3,953</w:t>
            </w:r>
          </w:p>
        </w:tc>
        <w:tc>
          <w:tcPr>
            <w:tcW w:w="78" w:type="pct"/>
            <w:tcBorders>
              <w:top w:val="nil"/>
              <w:left w:val="nil"/>
              <w:bottom w:val="nil"/>
              <w:right w:val="nil"/>
            </w:tcBorders>
            <w:shd w:val="clear" w:color="000000" w:fill="FFFFFF"/>
            <w:noWrap/>
            <w:vAlign w:val="bottom"/>
            <w:hideMark/>
          </w:tcPr>
          <w:p w14:paraId="34F41270"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127415AD" w14:textId="77777777" w:rsidR="00DB5205" w:rsidRPr="00954D98" w:rsidRDefault="00DB5205" w:rsidP="00DB5205">
            <w:pPr>
              <w:spacing w:before="0" w:after="0" w:line="240" w:lineRule="auto"/>
              <w:jc w:val="right"/>
              <w:rPr>
                <w:rFonts w:ascii="Arial" w:hAnsi="Arial" w:cs="Arial"/>
                <w:sz w:val="16"/>
                <w:szCs w:val="16"/>
              </w:rPr>
            </w:pPr>
            <w:r w:rsidRPr="00954D98">
              <w:rPr>
                <w:rFonts w:ascii="Arial" w:hAnsi="Arial" w:cs="Arial"/>
                <w:sz w:val="16"/>
                <w:szCs w:val="16"/>
              </w:rPr>
              <w:t>-17,298</w:t>
            </w:r>
          </w:p>
        </w:tc>
      </w:tr>
      <w:tr w:rsidR="00DB5205" w:rsidRPr="00954D98" w14:paraId="50797D77"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11C00539" w14:textId="77777777" w:rsidR="00DB5205" w:rsidRPr="00954D98" w:rsidRDefault="00DB5205" w:rsidP="00DB5205">
            <w:pPr>
              <w:spacing w:before="0" w:after="0" w:line="240" w:lineRule="auto"/>
              <w:rPr>
                <w:rFonts w:ascii="Arial" w:hAnsi="Arial" w:cs="Arial"/>
                <w:b/>
                <w:bCs/>
                <w:color w:val="FFFF00"/>
                <w:sz w:val="16"/>
                <w:szCs w:val="16"/>
              </w:rPr>
            </w:pPr>
            <w:r w:rsidRPr="00954D98">
              <w:rPr>
                <w:rFonts w:ascii="Arial" w:hAnsi="Arial" w:cs="Arial"/>
                <w:b/>
                <w:bCs/>
                <w:sz w:val="16"/>
                <w:szCs w:val="16"/>
              </w:rPr>
              <w:t>Total net cash flows from investments in</w:t>
            </w:r>
          </w:p>
        </w:tc>
        <w:tc>
          <w:tcPr>
            <w:tcW w:w="500" w:type="pct"/>
            <w:tcBorders>
              <w:top w:val="nil"/>
              <w:left w:val="nil"/>
              <w:bottom w:val="nil"/>
              <w:right w:val="nil"/>
            </w:tcBorders>
            <w:shd w:val="clear" w:color="000000" w:fill="E6F2FF"/>
            <w:noWrap/>
            <w:vAlign w:val="bottom"/>
            <w:hideMark/>
          </w:tcPr>
          <w:p w14:paraId="0E950465"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05D6625F"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0C889B86"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0" w:type="pct"/>
            <w:tcBorders>
              <w:top w:val="nil"/>
              <w:left w:val="nil"/>
              <w:bottom w:val="nil"/>
              <w:right w:val="nil"/>
            </w:tcBorders>
            <w:shd w:val="clear" w:color="000000" w:fill="FFFFFF"/>
            <w:noWrap/>
            <w:vAlign w:val="bottom"/>
            <w:hideMark/>
          </w:tcPr>
          <w:p w14:paraId="6FC32251"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78" w:type="pct"/>
            <w:tcBorders>
              <w:top w:val="nil"/>
              <w:left w:val="nil"/>
              <w:bottom w:val="nil"/>
              <w:right w:val="nil"/>
            </w:tcBorders>
            <w:shd w:val="clear" w:color="000000" w:fill="FFFFFF"/>
            <w:noWrap/>
            <w:vAlign w:val="bottom"/>
            <w:hideMark/>
          </w:tcPr>
          <w:p w14:paraId="2C0877EF"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5BEDE510" w14:textId="77777777" w:rsidR="00DB5205" w:rsidRPr="00954D98" w:rsidRDefault="00DB5205" w:rsidP="00DB5205">
            <w:pPr>
              <w:spacing w:before="0" w:after="0" w:line="240" w:lineRule="auto"/>
              <w:rPr>
                <w:rFonts w:ascii="Arial" w:hAnsi="Arial" w:cs="Arial"/>
                <w:sz w:val="16"/>
                <w:szCs w:val="16"/>
              </w:rPr>
            </w:pPr>
            <w:r w:rsidRPr="00954D98">
              <w:rPr>
                <w:rFonts w:ascii="Arial" w:hAnsi="Arial" w:cs="Arial"/>
                <w:sz w:val="16"/>
                <w:szCs w:val="16"/>
              </w:rPr>
              <w:t> </w:t>
            </w:r>
          </w:p>
        </w:tc>
      </w:tr>
      <w:tr w:rsidR="002C4687" w:rsidRPr="00954D98" w14:paraId="2A9404E2" w14:textId="77777777" w:rsidTr="00DB5205">
        <w:trPr>
          <w:trHeight w:hRule="exact" w:val="225"/>
        </w:trPr>
        <w:tc>
          <w:tcPr>
            <w:tcW w:w="2414" w:type="pct"/>
            <w:tcBorders>
              <w:top w:val="nil"/>
              <w:left w:val="nil"/>
              <w:bottom w:val="nil"/>
              <w:right w:val="nil"/>
            </w:tcBorders>
            <w:shd w:val="clear" w:color="000000" w:fill="FFFFFF"/>
            <w:noWrap/>
            <w:vAlign w:val="bottom"/>
            <w:hideMark/>
          </w:tcPr>
          <w:p w14:paraId="5FCF1239" w14:textId="77777777" w:rsidR="00DB5205" w:rsidRPr="00954D98" w:rsidRDefault="00DB5205" w:rsidP="00DB5205">
            <w:pPr>
              <w:spacing w:before="0" w:after="0" w:line="240" w:lineRule="auto"/>
              <w:ind w:firstLineChars="100" w:firstLine="161"/>
              <w:rPr>
                <w:rFonts w:ascii="Arial" w:hAnsi="Arial" w:cs="Arial"/>
                <w:b/>
                <w:bCs/>
                <w:color w:val="FFFF00"/>
                <w:sz w:val="16"/>
                <w:szCs w:val="16"/>
              </w:rPr>
            </w:pPr>
            <w:r w:rsidRPr="00954D98">
              <w:rPr>
                <w:rFonts w:ascii="Arial" w:hAnsi="Arial" w:cs="Arial"/>
                <w:b/>
                <w:bCs/>
                <w:sz w:val="16"/>
                <w:szCs w:val="16"/>
              </w:rPr>
              <w:t xml:space="preserve"> financial assets for policy purposes</w:t>
            </w:r>
          </w:p>
        </w:tc>
        <w:tc>
          <w:tcPr>
            <w:tcW w:w="500" w:type="pct"/>
            <w:tcBorders>
              <w:top w:val="nil"/>
              <w:left w:val="nil"/>
              <w:bottom w:val="single" w:sz="4" w:space="0" w:color="293F5B"/>
              <w:right w:val="nil"/>
            </w:tcBorders>
            <w:shd w:val="clear" w:color="000000" w:fill="E6F2FF"/>
            <w:noWrap/>
            <w:vAlign w:val="bottom"/>
            <w:hideMark/>
          </w:tcPr>
          <w:p w14:paraId="25FB064D" w14:textId="77777777" w:rsidR="00DB5205" w:rsidRPr="00954D98" w:rsidRDefault="00DB5205" w:rsidP="00DB5205">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-21,796</w:t>
            </w:r>
          </w:p>
        </w:tc>
        <w:tc>
          <w:tcPr>
            <w:tcW w:w="500" w:type="pct"/>
            <w:tcBorders>
              <w:top w:val="nil"/>
              <w:left w:val="nil"/>
              <w:bottom w:val="single" w:sz="4" w:space="0" w:color="293F5B"/>
              <w:right w:val="nil"/>
            </w:tcBorders>
            <w:shd w:val="clear" w:color="000000" w:fill="FFFFFF"/>
            <w:noWrap/>
            <w:vAlign w:val="bottom"/>
            <w:hideMark/>
          </w:tcPr>
          <w:p w14:paraId="2A2D7989" w14:textId="77777777" w:rsidR="00DB5205" w:rsidRPr="00954D98" w:rsidRDefault="00DB5205" w:rsidP="00DB5205">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-28,389</w:t>
            </w:r>
          </w:p>
        </w:tc>
        <w:tc>
          <w:tcPr>
            <w:tcW w:w="500" w:type="pct"/>
            <w:tcBorders>
              <w:top w:val="nil"/>
              <w:left w:val="nil"/>
              <w:bottom w:val="single" w:sz="4" w:space="0" w:color="293F5B"/>
              <w:right w:val="nil"/>
            </w:tcBorders>
            <w:shd w:val="clear" w:color="000000" w:fill="FFFFFF"/>
            <w:noWrap/>
            <w:vAlign w:val="bottom"/>
            <w:hideMark/>
          </w:tcPr>
          <w:p w14:paraId="2D9C5423" w14:textId="77777777" w:rsidR="00DB5205" w:rsidRPr="00954D98" w:rsidRDefault="00DB5205" w:rsidP="00DB5205">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-22,111</w:t>
            </w:r>
          </w:p>
        </w:tc>
        <w:tc>
          <w:tcPr>
            <w:tcW w:w="500" w:type="pct"/>
            <w:tcBorders>
              <w:top w:val="nil"/>
              <w:left w:val="nil"/>
              <w:bottom w:val="single" w:sz="4" w:space="0" w:color="293F5B"/>
              <w:right w:val="nil"/>
            </w:tcBorders>
            <w:shd w:val="clear" w:color="000000" w:fill="FFFFFF"/>
            <w:noWrap/>
            <w:vAlign w:val="bottom"/>
            <w:hideMark/>
          </w:tcPr>
          <w:p w14:paraId="6154949C" w14:textId="77777777" w:rsidR="00DB5205" w:rsidRPr="00954D98" w:rsidRDefault="00DB5205" w:rsidP="00DB5205">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-21,532</w:t>
            </w:r>
          </w:p>
        </w:tc>
        <w:tc>
          <w:tcPr>
            <w:tcW w:w="78" w:type="pct"/>
            <w:tcBorders>
              <w:top w:val="nil"/>
              <w:left w:val="nil"/>
              <w:bottom w:val="nil"/>
              <w:right w:val="nil"/>
            </w:tcBorders>
            <w:shd w:val="clear" w:color="000000" w:fill="FFFFFF"/>
            <w:noWrap/>
            <w:vAlign w:val="bottom"/>
            <w:hideMark/>
          </w:tcPr>
          <w:p w14:paraId="04D612F8"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single" w:sz="4" w:space="0" w:color="293F5B"/>
              <w:right w:val="nil"/>
            </w:tcBorders>
            <w:shd w:val="clear" w:color="000000" w:fill="FFFFFF"/>
            <w:noWrap/>
            <w:vAlign w:val="bottom"/>
            <w:hideMark/>
          </w:tcPr>
          <w:p w14:paraId="23A275F5" w14:textId="77777777" w:rsidR="00DB5205" w:rsidRPr="00954D98" w:rsidRDefault="00DB5205" w:rsidP="00DB5205">
            <w:pPr>
              <w:spacing w:before="0" w:after="0" w:line="240" w:lineRule="auto"/>
              <w:jc w:val="right"/>
              <w:rPr>
                <w:rFonts w:ascii="Arial" w:hAnsi="Arial" w:cs="Arial"/>
                <w:b/>
                <w:bCs/>
                <w:sz w:val="16"/>
                <w:szCs w:val="16"/>
              </w:rPr>
            </w:pPr>
            <w:r w:rsidRPr="00954D98">
              <w:rPr>
                <w:rFonts w:ascii="Arial" w:hAnsi="Arial" w:cs="Arial"/>
                <w:b/>
                <w:bCs/>
                <w:sz w:val="16"/>
                <w:szCs w:val="16"/>
              </w:rPr>
              <w:t>-93,828</w:t>
            </w:r>
          </w:p>
        </w:tc>
      </w:tr>
      <w:tr w:rsidR="00DB5205" w:rsidRPr="00954D98" w14:paraId="102192A7" w14:textId="77777777" w:rsidTr="00DB5205">
        <w:trPr>
          <w:trHeight w:hRule="exact" w:val="60"/>
        </w:trPr>
        <w:tc>
          <w:tcPr>
            <w:tcW w:w="2414" w:type="pct"/>
            <w:tcBorders>
              <w:top w:val="nil"/>
              <w:left w:val="nil"/>
              <w:bottom w:val="nil"/>
              <w:right w:val="nil"/>
            </w:tcBorders>
            <w:shd w:val="clear" w:color="000000" w:fill="FFFFFF"/>
            <w:noWrap/>
            <w:vAlign w:val="bottom"/>
            <w:hideMark/>
          </w:tcPr>
          <w:p w14:paraId="0B8C1384" w14:textId="77777777" w:rsidR="00DB5205" w:rsidRPr="00954D98" w:rsidRDefault="00DB5205" w:rsidP="00DB5205">
            <w:pPr>
              <w:spacing w:before="0" w:after="0" w:line="240" w:lineRule="auto"/>
              <w:ind w:firstLineChars="100" w:firstLine="161"/>
              <w:rPr>
                <w:rFonts w:ascii="Arial" w:hAnsi="Arial" w:cs="Arial"/>
                <w:b/>
                <w:bCs/>
                <w:color w:val="FFFF00"/>
                <w:sz w:val="16"/>
                <w:szCs w:val="16"/>
              </w:rPr>
            </w:pPr>
            <w:r w:rsidRPr="00954D98">
              <w:rPr>
                <w:rFonts w:ascii="Arial" w:hAnsi="Arial" w:cs="Arial"/>
                <w:b/>
                <w:bCs/>
                <w:sz w:val="16"/>
                <w:szCs w:val="16"/>
              </w:rPr>
              <w:t> </w:t>
            </w:r>
          </w:p>
        </w:tc>
        <w:tc>
          <w:tcPr>
            <w:tcW w:w="500" w:type="pct"/>
            <w:tcBorders>
              <w:top w:val="nil"/>
              <w:left w:val="nil"/>
              <w:bottom w:val="nil"/>
              <w:right w:val="nil"/>
            </w:tcBorders>
            <w:shd w:val="clear" w:color="000000" w:fill="E6F2FF"/>
            <w:noWrap/>
            <w:vAlign w:val="bottom"/>
            <w:hideMark/>
          </w:tcPr>
          <w:p w14:paraId="17D57863" w14:textId="77777777" w:rsidR="00DB5205" w:rsidRPr="00954D98" w:rsidRDefault="00DB5205" w:rsidP="00DB5205">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00" w:type="pct"/>
            <w:tcBorders>
              <w:top w:val="nil"/>
              <w:left w:val="nil"/>
              <w:bottom w:val="nil"/>
              <w:right w:val="nil"/>
            </w:tcBorders>
            <w:shd w:val="clear" w:color="000000" w:fill="FFFFFF"/>
            <w:noWrap/>
            <w:vAlign w:val="bottom"/>
            <w:hideMark/>
          </w:tcPr>
          <w:p w14:paraId="737821BD" w14:textId="77777777" w:rsidR="00DB5205" w:rsidRPr="00954D98" w:rsidRDefault="00DB5205" w:rsidP="00DB5205">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00" w:type="pct"/>
            <w:tcBorders>
              <w:top w:val="nil"/>
              <w:left w:val="nil"/>
              <w:bottom w:val="nil"/>
              <w:right w:val="nil"/>
            </w:tcBorders>
            <w:shd w:val="clear" w:color="000000" w:fill="FFFFFF"/>
            <w:noWrap/>
            <w:vAlign w:val="bottom"/>
            <w:hideMark/>
          </w:tcPr>
          <w:p w14:paraId="62B33D34" w14:textId="77777777" w:rsidR="00DB5205" w:rsidRPr="00954D98" w:rsidRDefault="00DB5205" w:rsidP="00DB5205">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00" w:type="pct"/>
            <w:tcBorders>
              <w:top w:val="nil"/>
              <w:left w:val="nil"/>
              <w:bottom w:val="nil"/>
              <w:right w:val="nil"/>
            </w:tcBorders>
            <w:shd w:val="clear" w:color="000000" w:fill="FFFFFF"/>
            <w:noWrap/>
            <w:vAlign w:val="bottom"/>
            <w:hideMark/>
          </w:tcPr>
          <w:p w14:paraId="113FE350" w14:textId="77777777" w:rsidR="00DB5205" w:rsidRPr="00954D98" w:rsidRDefault="00DB5205" w:rsidP="00DB5205">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78" w:type="pct"/>
            <w:tcBorders>
              <w:top w:val="nil"/>
              <w:left w:val="nil"/>
              <w:bottom w:val="nil"/>
              <w:right w:val="nil"/>
            </w:tcBorders>
            <w:shd w:val="clear" w:color="000000" w:fill="FFFFFF"/>
            <w:noWrap/>
            <w:vAlign w:val="bottom"/>
            <w:hideMark/>
          </w:tcPr>
          <w:p w14:paraId="5B002B5C"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nil"/>
              <w:right w:val="nil"/>
            </w:tcBorders>
            <w:shd w:val="clear" w:color="000000" w:fill="FFFFFF"/>
            <w:noWrap/>
            <w:vAlign w:val="bottom"/>
            <w:hideMark/>
          </w:tcPr>
          <w:p w14:paraId="308C4436" w14:textId="77777777" w:rsidR="00DB5205" w:rsidRPr="00954D98" w:rsidRDefault="00DB5205" w:rsidP="00DB5205">
            <w:pPr>
              <w:spacing w:before="0" w:after="0" w:line="240" w:lineRule="auto"/>
              <w:rPr>
                <w:rFonts w:ascii="Arial" w:hAnsi="Arial" w:cs="Arial"/>
                <w:b/>
                <w:bCs/>
                <w:sz w:val="16"/>
                <w:szCs w:val="16"/>
              </w:rPr>
            </w:pPr>
            <w:r w:rsidRPr="00954D98">
              <w:rPr>
                <w:rFonts w:ascii="Arial" w:hAnsi="Arial" w:cs="Arial"/>
                <w:b/>
                <w:bCs/>
                <w:sz w:val="16"/>
                <w:szCs w:val="16"/>
              </w:rPr>
              <w:t> </w:t>
            </w:r>
          </w:p>
        </w:tc>
      </w:tr>
      <w:tr w:rsidR="00DB5205" w:rsidRPr="00954D98" w14:paraId="5BD398EF" w14:textId="77777777" w:rsidTr="000D3F9A">
        <w:trPr>
          <w:trHeight w:hRule="exact" w:val="225"/>
        </w:trPr>
        <w:tc>
          <w:tcPr>
            <w:tcW w:w="2414" w:type="pct"/>
            <w:tcBorders>
              <w:top w:val="nil"/>
              <w:left w:val="nil"/>
              <w:bottom w:val="single" w:sz="4" w:space="0" w:color="293F5B"/>
              <w:right w:val="nil"/>
            </w:tcBorders>
            <w:shd w:val="clear" w:color="000000" w:fill="FFFFFF"/>
            <w:noWrap/>
            <w:vAlign w:val="bottom"/>
            <w:hideMark/>
          </w:tcPr>
          <w:p w14:paraId="7303CBA2" w14:textId="77777777" w:rsidR="00DB5205" w:rsidRPr="00954D98" w:rsidRDefault="00DB5205" w:rsidP="00DB5205">
            <w:pPr>
              <w:spacing w:before="0" w:after="0" w:line="240" w:lineRule="auto"/>
              <w:rPr>
                <w:rFonts w:ascii="Arial" w:hAnsi="Arial" w:cs="Arial"/>
                <w:b/>
                <w:bCs/>
                <w:color w:val="FFFF00"/>
                <w:sz w:val="16"/>
                <w:szCs w:val="16"/>
              </w:rPr>
            </w:pPr>
            <w:r w:rsidRPr="00954D98">
              <w:rPr>
                <w:rFonts w:ascii="Arial" w:hAnsi="Arial" w:cs="Arial"/>
                <w:b/>
                <w:bCs/>
                <w:sz w:val="16"/>
                <w:szCs w:val="16"/>
              </w:rPr>
              <w:t>2025-26 MYEFO headline cash balance</w:t>
            </w:r>
          </w:p>
        </w:tc>
        <w:tc>
          <w:tcPr>
            <w:tcW w:w="500" w:type="pct"/>
            <w:tcBorders>
              <w:top w:val="nil"/>
              <w:left w:val="nil"/>
              <w:bottom w:val="single" w:sz="4" w:space="0" w:color="293F5B"/>
              <w:right w:val="nil"/>
            </w:tcBorders>
            <w:shd w:val="clear" w:color="000000" w:fill="E6F2FF"/>
            <w:noWrap/>
            <w:vAlign w:val="bottom"/>
            <w:hideMark/>
          </w:tcPr>
          <w:p w14:paraId="73A8042E" w14:textId="77777777" w:rsidR="00DB5205" w:rsidRPr="00954D98" w:rsidRDefault="00DB5205" w:rsidP="00DB5205">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-58,560</w:t>
            </w:r>
          </w:p>
        </w:tc>
        <w:tc>
          <w:tcPr>
            <w:tcW w:w="500" w:type="pct"/>
            <w:tcBorders>
              <w:top w:val="nil"/>
              <w:left w:val="nil"/>
              <w:bottom w:val="single" w:sz="4" w:space="0" w:color="293F5B"/>
              <w:right w:val="nil"/>
            </w:tcBorders>
            <w:shd w:val="clear" w:color="000000" w:fill="FFFFFF"/>
            <w:noWrap/>
            <w:vAlign w:val="bottom"/>
            <w:hideMark/>
          </w:tcPr>
          <w:p w14:paraId="0FB53C25" w14:textId="77777777" w:rsidR="00DB5205" w:rsidRPr="00954D98" w:rsidRDefault="00DB5205" w:rsidP="00DB5205">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-62,691</w:t>
            </w:r>
          </w:p>
        </w:tc>
        <w:tc>
          <w:tcPr>
            <w:tcW w:w="500" w:type="pct"/>
            <w:tcBorders>
              <w:top w:val="nil"/>
              <w:left w:val="nil"/>
              <w:bottom w:val="single" w:sz="4" w:space="0" w:color="293F5B"/>
              <w:right w:val="nil"/>
            </w:tcBorders>
            <w:shd w:val="clear" w:color="000000" w:fill="FFFFFF"/>
            <w:noWrap/>
            <w:vAlign w:val="bottom"/>
            <w:hideMark/>
          </w:tcPr>
          <w:p w14:paraId="36D10C6B" w14:textId="77777777" w:rsidR="00DB5205" w:rsidRPr="00954D98" w:rsidRDefault="00DB5205" w:rsidP="00DB5205">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-58,300</w:t>
            </w:r>
          </w:p>
        </w:tc>
        <w:tc>
          <w:tcPr>
            <w:tcW w:w="500" w:type="pct"/>
            <w:tcBorders>
              <w:top w:val="nil"/>
              <w:left w:val="nil"/>
              <w:bottom w:val="single" w:sz="4" w:space="0" w:color="293F5B"/>
              <w:right w:val="nil"/>
            </w:tcBorders>
            <w:shd w:val="clear" w:color="000000" w:fill="FFFFFF"/>
            <w:noWrap/>
            <w:vAlign w:val="bottom"/>
            <w:hideMark/>
          </w:tcPr>
          <w:p w14:paraId="0CD62876" w14:textId="77777777" w:rsidR="00DB5205" w:rsidRPr="00954D98" w:rsidRDefault="00DB5205" w:rsidP="00DB5205">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-57,525</w:t>
            </w:r>
          </w:p>
        </w:tc>
        <w:tc>
          <w:tcPr>
            <w:tcW w:w="78" w:type="pct"/>
            <w:tcBorders>
              <w:top w:val="nil"/>
              <w:left w:val="nil"/>
              <w:bottom w:val="single" w:sz="4" w:space="0" w:color="293F5B"/>
              <w:right w:val="nil"/>
            </w:tcBorders>
            <w:shd w:val="clear" w:color="000000" w:fill="FFFFFF"/>
            <w:noWrap/>
            <w:vAlign w:val="bottom"/>
            <w:hideMark/>
          </w:tcPr>
          <w:p w14:paraId="0EDAE434" w14:textId="77777777" w:rsidR="00DB5205" w:rsidRPr="00954D98" w:rsidRDefault="00DB5205" w:rsidP="00DB5205">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8" w:type="pct"/>
            <w:tcBorders>
              <w:top w:val="nil"/>
              <w:left w:val="nil"/>
              <w:bottom w:val="single" w:sz="4" w:space="0" w:color="293F5B"/>
              <w:right w:val="nil"/>
            </w:tcBorders>
            <w:shd w:val="clear" w:color="000000" w:fill="FFFFFF"/>
            <w:noWrap/>
            <w:vAlign w:val="bottom"/>
            <w:hideMark/>
          </w:tcPr>
          <w:p w14:paraId="7E714E3E" w14:textId="77777777" w:rsidR="00DB5205" w:rsidRPr="00954D98" w:rsidRDefault="00DB5205" w:rsidP="00DB5205">
            <w:pPr>
              <w:spacing w:before="0" w:after="0" w:line="240" w:lineRule="auto"/>
              <w:jc w:val="right"/>
              <w:rPr>
                <w:rFonts w:ascii="Arial" w:hAnsi="Arial" w:cs="Arial"/>
                <w:b/>
                <w:bCs/>
                <w:sz w:val="16"/>
                <w:szCs w:val="16"/>
              </w:rPr>
            </w:pPr>
            <w:r w:rsidRPr="00954D98">
              <w:rPr>
                <w:rFonts w:ascii="Arial" w:hAnsi="Arial" w:cs="Arial"/>
                <w:b/>
                <w:bCs/>
                <w:sz w:val="16"/>
                <w:szCs w:val="16"/>
              </w:rPr>
              <w:t>-237,076</w:t>
            </w:r>
          </w:p>
        </w:tc>
      </w:tr>
    </w:tbl>
    <w:p w14:paraId="09099614" w14:textId="13DE4919" w:rsidR="00F1044A" w:rsidRPr="00954D98" w:rsidRDefault="00F1044A" w:rsidP="00F1044A">
      <w:pPr>
        <w:pStyle w:val="ChartandTableFootnoteAlpha"/>
        <w:numPr>
          <w:ilvl w:val="0"/>
          <w:numId w:val="33"/>
        </w:numPr>
        <w:rPr>
          <w:rFonts w:eastAsiaTheme="minorHAnsi"/>
          <w:color w:val="auto"/>
        </w:rPr>
      </w:pPr>
      <w:r w:rsidRPr="00954D98">
        <w:rPr>
          <w:rFonts w:eastAsiaTheme="minorHAnsi"/>
          <w:color w:val="auto"/>
        </w:rPr>
        <w:t>A positive number denotes a cash inflow; a negative number denotes a cash outflow.</w:t>
      </w:r>
      <w:bookmarkStart w:id="47" w:name="_Hlk184733598"/>
    </w:p>
    <w:bookmarkEnd w:id="47"/>
    <w:p w14:paraId="077D4F92" w14:textId="17F6EB28" w:rsidR="0011151C" w:rsidRPr="00954D98" w:rsidRDefault="00536CFF" w:rsidP="0011151C">
      <w:pPr>
        <w:pStyle w:val="ChartandTableFootnoteAlpha"/>
        <w:numPr>
          <w:ilvl w:val="0"/>
          <w:numId w:val="33"/>
        </w:numPr>
        <w:rPr>
          <w:rFonts w:eastAsiaTheme="minorHAnsi"/>
          <w:color w:val="auto"/>
        </w:rPr>
      </w:pPr>
      <w:r>
        <w:rPr>
          <w:rFonts w:eastAsiaTheme="minorHAnsi"/>
          <w:color w:val="auto"/>
        </w:rPr>
        <w:t>‘</w:t>
      </w:r>
      <w:r w:rsidR="004C0920" w:rsidRPr="00954D98">
        <w:rPr>
          <w:rFonts w:eastAsiaTheme="minorHAnsi"/>
          <w:color w:val="auto"/>
        </w:rPr>
        <w:t>Net other</w:t>
      </w:r>
      <w:r>
        <w:rPr>
          <w:rFonts w:eastAsiaTheme="minorHAnsi"/>
          <w:color w:val="auto"/>
        </w:rPr>
        <w:t>’</w:t>
      </w:r>
      <w:r w:rsidR="004C0920" w:rsidRPr="00954D98">
        <w:rPr>
          <w:rFonts w:eastAsiaTheme="minorHAnsi"/>
          <w:color w:val="auto"/>
        </w:rPr>
        <w:t xml:space="preserve"> includes amounts that cannot be itemised, including commercial</w:t>
      </w:r>
      <w:r>
        <w:rPr>
          <w:rFonts w:eastAsiaTheme="minorHAnsi"/>
          <w:color w:val="auto"/>
        </w:rPr>
        <w:noBreakHyphen/>
      </w:r>
      <w:r w:rsidR="004C0920" w:rsidRPr="00954D98">
        <w:rPr>
          <w:rFonts w:eastAsiaTheme="minorHAnsi"/>
          <w:color w:val="auto"/>
        </w:rPr>
        <w:t>in</w:t>
      </w:r>
      <w:r>
        <w:rPr>
          <w:rFonts w:eastAsiaTheme="minorHAnsi"/>
          <w:color w:val="auto"/>
        </w:rPr>
        <w:noBreakHyphen/>
      </w:r>
      <w:r w:rsidR="004C0920" w:rsidRPr="00954D98">
        <w:rPr>
          <w:rFonts w:eastAsiaTheme="minorHAnsi"/>
          <w:color w:val="auto"/>
        </w:rPr>
        <w:t>confidence transactions</w:t>
      </w:r>
      <w:r w:rsidR="0011151C" w:rsidRPr="00954D98">
        <w:rPr>
          <w:rFonts w:eastAsiaTheme="minorHAnsi"/>
          <w:color w:val="auto"/>
        </w:rPr>
        <w:t xml:space="preserve"> </w:t>
      </w:r>
      <w:r w:rsidR="00CF60CB" w:rsidRPr="00954D98">
        <w:rPr>
          <w:rFonts w:eastAsiaTheme="minorHAnsi"/>
          <w:color w:val="auto"/>
        </w:rPr>
        <w:t>and decisions taken but n</w:t>
      </w:r>
      <w:r w:rsidR="006C325B" w:rsidRPr="00954D98">
        <w:rPr>
          <w:rFonts w:eastAsiaTheme="minorHAnsi"/>
          <w:color w:val="auto"/>
        </w:rPr>
        <w:t>o</w:t>
      </w:r>
      <w:r w:rsidR="00CF60CB" w:rsidRPr="00954D98">
        <w:rPr>
          <w:rFonts w:eastAsiaTheme="minorHAnsi"/>
          <w:color w:val="auto"/>
        </w:rPr>
        <w:t>t yet announced.</w:t>
      </w:r>
    </w:p>
    <w:p w14:paraId="15F15B42" w14:textId="0B3A8953" w:rsidR="00F1044A" w:rsidRPr="00954D98" w:rsidRDefault="00F1044A" w:rsidP="00F1044A">
      <w:pPr>
        <w:pStyle w:val="TableLine"/>
      </w:pPr>
    </w:p>
    <w:p w14:paraId="6746B86F" w14:textId="7703BEA7" w:rsidR="00F1044A" w:rsidRPr="00954D98" w:rsidRDefault="00F1044A" w:rsidP="000D3F9A">
      <w:r w:rsidRPr="00954D98">
        <w:br w:type="page"/>
      </w:r>
    </w:p>
    <w:p w14:paraId="1F1E62C7" w14:textId="71B63B09" w:rsidR="00F1044A" w:rsidRPr="00954D98" w:rsidRDefault="00F1044A" w:rsidP="00F1044A">
      <w:pPr>
        <w:pStyle w:val="Heading2"/>
      </w:pPr>
      <w:bookmarkStart w:id="48" w:name="_Toc117356563"/>
      <w:bookmarkStart w:id="49" w:name="_Toc134093766"/>
      <w:bookmarkStart w:id="50" w:name="_Toc148428074"/>
      <w:r w:rsidRPr="00954D98">
        <w:lastRenderedPageBreak/>
        <w:t>The Government</w:t>
      </w:r>
      <w:r w:rsidR="00536CFF">
        <w:t>’</w:t>
      </w:r>
      <w:r w:rsidRPr="00954D98">
        <w:t>s balance sheet</w:t>
      </w:r>
      <w:bookmarkEnd w:id="48"/>
      <w:bookmarkEnd w:id="49"/>
      <w:bookmarkEnd w:id="50"/>
      <w:r w:rsidRPr="00954D98">
        <w:t xml:space="preserve"> </w:t>
      </w:r>
    </w:p>
    <w:p w14:paraId="6BC027B5" w14:textId="4421235E" w:rsidR="00F1044A" w:rsidRPr="00954D98" w:rsidRDefault="00F1044A" w:rsidP="00F1044A">
      <w:r w:rsidRPr="00954D98">
        <w:t>The balance sheet measures the value of the Government</w:t>
      </w:r>
      <w:r w:rsidR="00536CFF">
        <w:t>’</w:t>
      </w:r>
      <w:r w:rsidRPr="00954D98">
        <w:t xml:space="preserve">s assets and liabilities. Changes in the balance sheet reflect movements in the underlying cash balance, additional balance sheet commitments, and market valuation effects including from changes in yields. </w:t>
      </w:r>
    </w:p>
    <w:p w14:paraId="45C04C88" w14:textId="77777777" w:rsidR="00F1044A" w:rsidRPr="00954D98" w:rsidRDefault="00F1044A" w:rsidP="00F1044A">
      <w:r w:rsidRPr="00954D98">
        <w:t xml:space="preserve">Different balance sheet metrics measure different groupings of assets and liabilities. </w:t>
      </w:r>
    </w:p>
    <w:p w14:paraId="7D44C7F5" w14:textId="7F054ED2" w:rsidR="00F1044A" w:rsidRPr="00954D98" w:rsidRDefault="00F1044A" w:rsidP="0025153F">
      <w:pPr>
        <w:pStyle w:val="Bullet"/>
      </w:pPr>
      <w:r w:rsidRPr="00954D98">
        <w:rPr>
          <w:rStyle w:val="Strong"/>
        </w:rPr>
        <w:t>Gross debt</w:t>
      </w:r>
      <w:r w:rsidRPr="00954D98">
        <w:t xml:space="preserve"> measures the face value of Australian Government Securities</w:t>
      </w:r>
      <w:r w:rsidRPr="00954D98" w:rsidDel="006259F7">
        <w:t xml:space="preserve"> </w:t>
      </w:r>
      <w:r w:rsidRPr="00954D98">
        <w:t>on issue. This</w:t>
      </w:r>
      <w:r w:rsidR="009920AB" w:rsidRPr="00954D98">
        <w:t> </w:t>
      </w:r>
      <w:r w:rsidRPr="00954D98">
        <w:t xml:space="preserve">is the amount that the Government pays back to investors at maturity, independent of fluctuations in market prices. </w:t>
      </w:r>
    </w:p>
    <w:p w14:paraId="52B7F7F1" w14:textId="77777777" w:rsidR="00F1044A" w:rsidRPr="00954D98" w:rsidRDefault="00F1044A" w:rsidP="0025153F">
      <w:pPr>
        <w:pStyle w:val="Bullet"/>
      </w:pPr>
      <w:r w:rsidRPr="00954D98">
        <w:rPr>
          <w:rStyle w:val="Strong"/>
        </w:rPr>
        <w:t>Net debt</w:t>
      </w:r>
      <w:r w:rsidRPr="00954D98">
        <w:t xml:space="preserve"> is measured at market value and incorporates specific financial assets and liabilities and provides a broader measure of the financial obligations of the Government than gross debt.</w:t>
      </w:r>
    </w:p>
    <w:p w14:paraId="76AFAECA" w14:textId="72538988" w:rsidR="00F1044A" w:rsidRPr="00954D98" w:rsidRDefault="00F1044A" w:rsidP="0025153F">
      <w:pPr>
        <w:pStyle w:val="Bullet"/>
      </w:pPr>
      <w:r w:rsidRPr="00954D98">
        <w:rPr>
          <w:rStyle w:val="Strong"/>
        </w:rPr>
        <w:t>Net financial worth</w:t>
      </w:r>
      <w:r w:rsidRPr="00954D98">
        <w:t xml:space="preserve"> is the sum of all financial assets less all liabilities. The assets of the Future Fund and the public sector superannuation liability that the Future Fund will finance are included in net financial worth.</w:t>
      </w:r>
    </w:p>
    <w:p w14:paraId="4CD17E35" w14:textId="63ADA3F5" w:rsidR="00F1044A" w:rsidRPr="00954D98" w:rsidRDefault="00F1044A" w:rsidP="0025153F">
      <w:pPr>
        <w:pStyle w:val="Bullet"/>
      </w:pPr>
      <w:r w:rsidRPr="00954D98">
        <w:rPr>
          <w:rStyle w:val="Strong"/>
        </w:rPr>
        <w:t>Net worth</w:t>
      </w:r>
      <w:r w:rsidRPr="00954D98">
        <w:t xml:space="preserve"> is the sum of all assets less all liabilities. It includes non</w:t>
      </w:r>
      <w:r w:rsidR="00536CFF">
        <w:noBreakHyphen/>
      </w:r>
      <w:r w:rsidRPr="00954D98">
        <w:t>financial assets such as buildings and plant, equipment, and infrastructure.</w:t>
      </w:r>
    </w:p>
    <w:p w14:paraId="1BE396CA" w14:textId="501EC21E" w:rsidR="00F1044A" w:rsidRPr="00954D98" w:rsidRDefault="00F1044A" w:rsidP="00F1044A">
      <w:pPr>
        <w:rPr>
          <w:rStyle w:val="Emphasis"/>
        </w:rPr>
      </w:pPr>
      <w:r w:rsidRPr="00954D98">
        <w:t xml:space="preserve">Further information on definitions is available in </w:t>
      </w:r>
      <w:r w:rsidRPr="00954D98">
        <w:rPr>
          <w:rStyle w:val="Emphasis"/>
          <w:rFonts w:eastAsia="Calibri"/>
        </w:rPr>
        <w:t>Part 7:</w:t>
      </w:r>
      <w:r w:rsidRPr="00954D98">
        <w:rPr>
          <w:rStyle w:val="Emphasis"/>
        </w:rPr>
        <w:t xml:space="preserve"> </w:t>
      </w:r>
      <w:r w:rsidRPr="00954D98">
        <w:rPr>
          <w:rStyle w:val="Emphasis"/>
          <w:rFonts w:eastAsia="Calibri"/>
        </w:rPr>
        <w:t>Australian Government Budget Financial Statements</w:t>
      </w:r>
      <w:r w:rsidRPr="00954D98">
        <w:rPr>
          <w:rStyle w:val="Emphasis"/>
        </w:rPr>
        <w:t>.</w:t>
      </w:r>
    </w:p>
    <w:p w14:paraId="051C8D91" w14:textId="1A3B5846" w:rsidR="00F1044A" w:rsidRPr="00954D98" w:rsidRDefault="00F1044A" w:rsidP="0049346F">
      <w:pPr>
        <w:pStyle w:val="Heading3noTOC"/>
      </w:pPr>
      <w:bookmarkStart w:id="51" w:name="_Toc117356564"/>
      <w:bookmarkStart w:id="52" w:name="_Toc134093767"/>
      <w:bookmarkStart w:id="53" w:name="_Toc148428075"/>
      <w:r w:rsidRPr="00954D98">
        <w:t>Gross debt estimates and projections</w:t>
      </w:r>
      <w:bookmarkEnd w:id="51"/>
      <w:bookmarkEnd w:id="52"/>
      <w:bookmarkEnd w:id="53"/>
    </w:p>
    <w:p w14:paraId="5E675699" w14:textId="0EA61D38" w:rsidR="00797AF9" w:rsidRPr="00954D98" w:rsidRDefault="00F1044A" w:rsidP="00D55133">
      <w:r w:rsidRPr="00954D98">
        <w:t>The Government</w:t>
      </w:r>
      <w:r w:rsidR="00536CFF">
        <w:t>’</w:t>
      </w:r>
      <w:r w:rsidRPr="00954D98">
        <w:t xml:space="preserve">s responsible budget management </w:t>
      </w:r>
      <w:r w:rsidR="00905747" w:rsidRPr="00954D98">
        <w:t>has resulted in lower</w:t>
      </w:r>
      <w:r w:rsidRPr="00954D98">
        <w:t xml:space="preserve"> debt </w:t>
      </w:r>
      <w:r w:rsidR="009872FD" w:rsidRPr="00954D98">
        <w:t xml:space="preserve">in both nominal terms and </w:t>
      </w:r>
      <w:r w:rsidRPr="00954D98">
        <w:t>as a share of the economy</w:t>
      </w:r>
      <w:r w:rsidRPr="00954D98" w:rsidDel="00886F4A">
        <w:t xml:space="preserve"> </w:t>
      </w:r>
      <w:r w:rsidRPr="00954D98">
        <w:t xml:space="preserve">compared to the </w:t>
      </w:r>
      <w:r w:rsidR="001C1291" w:rsidRPr="00954D98">
        <w:t>202</w:t>
      </w:r>
      <w:r w:rsidR="00F04581" w:rsidRPr="00954D98">
        <w:t>5</w:t>
      </w:r>
      <w:r w:rsidR="001C1291" w:rsidRPr="00954D98">
        <w:t xml:space="preserve"> </w:t>
      </w:r>
      <w:r w:rsidRPr="00954D98">
        <w:t xml:space="preserve">PEFO in every year of the forward estimates. </w:t>
      </w:r>
    </w:p>
    <w:p w14:paraId="771889A8" w14:textId="35B6D2A6" w:rsidR="00060A84" w:rsidRPr="00954D98" w:rsidRDefault="00060A84" w:rsidP="00060A84">
      <w:r w:rsidRPr="00954D98">
        <w:t>At 30 June 2026, gross debt is forecast to be 34.0 per cent of GDP ($993 billion), 1.5 percentage points lower than the estimate of 35.5 per cent of GDP ($1,022 billion) at the 2025 PEFO</w:t>
      </w:r>
      <w:r w:rsidR="008C26D2" w:rsidRPr="00954D98">
        <w:t xml:space="preserve"> and </w:t>
      </w:r>
      <w:r w:rsidR="0043497A" w:rsidRPr="00954D98">
        <w:t>10.7</w:t>
      </w:r>
      <w:r w:rsidR="008C26D2" w:rsidRPr="00954D98">
        <w:t xml:space="preserve"> percentage points lower than the estimate of </w:t>
      </w:r>
      <w:r w:rsidR="0043497A" w:rsidRPr="00954D98">
        <w:t>44.</w:t>
      </w:r>
      <w:r w:rsidR="001C5CF4" w:rsidRPr="00954D98">
        <w:t>7</w:t>
      </w:r>
      <w:r w:rsidR="008C26D2" w:rsidRPr="00954D98">
        <w:t xml:space="preserve"> per cent of GDP ($</w:t>
      </w:r>
      <w:r w:rsidR="00063407" w:rsidRPr="00954D98">
        <w:t>1,169</w:t>
      </w:r>
      <w:r w:rsidR="008C26D2" w:rsidRPr="00954D98">
        <w:t xml:space="preserve"> billion) at the 2022 PEFO</w:t>
      </w:r>
      <w:r w:rsidRPr="00954D98">
        <w:t xml:space="preserve">. </w:t>
      </w:r>
    </w:p>
    <w:p w14:paraId="5C69A07A" w14:textId="184E4B29" w:rsidR="00F1044A" w:rsidRPr="00954D98" w:rsidRDefault="00561CDA" w:rsidP="00D55133">
      <w:r w:rsidRPr="00954D98">
        <w:t>G</w:t>
      </w:r>
      <w:r w:rsidR="00F1044A" w:rsidRPr="00954D98">
        <w:t xml:space="preserve">ross debt is estimated to </w:t>
      </w:r>
      <w:r w:rsidR="002510CF" w:rsidRPr="00954D98">
        <w:t>peak</w:t>
      </w:r>
      <w:r w:rsidR="00F1044A" w:rsidRPr="00954D98">
        <w:t xml:space="preserve"> at </w:t>
      </w:r>
      <w:r w:rsidR="00440AA8" w:rsidRPr="00954D98">
        <w:t>37.</w:t>
      </w:r>
      <w:r w:rsidR="00E152D0" w:rsidRPr="00954D98">
        <w:t>0</w:t>
      </w:r>
      <w:r w:rsidR="00F1044A" w:rsidRPr="00954D98">
        <w:t xml:space="preserve"> per cent of GDP </w:t>
      </w:r>
      <w:r w:rsidR="004E5022" w:rsidRPr="00954D98">
        <w:t xml:space="preserve">in </w:t>
      </w:r>
      <w:r w:rsidR="00925DEB" w:rsidRPr="00954D98">
        <w:t>20</w:t>
      </w:r>
      <w:r w:rsidR="00440AA8" w:rsidRPr="00954D98">
        <w:t>30</w:t>
      </w:r>
      <w:r w:rsidR="00155D90" w:rsidRPr="00954D98">
        <w:t>–</w:t>
      </w:r>
      <w:r w:rsidR="00440AA8" w:rsidRPr="00954D98">
        <w:t>31</w:t>
      </w:r>
      <w:r w:rsidR="009A0473" w:rsidRPr="00954D98">
        <w:t>, the same level as at the 2025 PEFO</w:t>
      </w:r>
      <w:r w:rsidR="00065FA2" w:rsidRPr="00954D98">
        <w:t xml:space="preserve"> </w:t>
      </w:r>
      <w:r w:rsidR="00765CAA" w:rsidRPr="00954D98">
        <w:t>and a year later</w:t>
      </w:r>
      <w:r w:rsidR="009A0473" w:rsidRPr="00954D98">
        <w:t xml:space="preserve">. Gross debt is then </w:t>
      </w:r>
      <w:r w:rsidR="005C662B" w:rsidRPr="00954D98">
        <w:t>projected to fall</w:t>
      </w:r>
      <w:r w:rsidR="00924354" w:rsidRPr="00954D98">
        <w:t xml:space="preserve"> </w:t>
      </w:r>
      <w:r w:rsidR="00F1044A" w:rsidRPr="00954D98">
        <w:t xml:space="preserve">to </w:t>
      </w:r>
      <w:r w:rsidR="00F113F4" w:rsidRPr="00954D98">
        <w:t>33.</w:t>
      </w:r>
      <w:r w:rsidR="00E152D0" w:rsidRPr="00954D98">
        <w:t>0</w:t>
      </w:r>
      <w:r w:rsidR="00F1044A" w:rsidRPr="00954D98">
        <w:t> per cent of GDP by 30</w:t>
      </w:r>
      <w:r w:rsidR="006D311B" w:rsidRPr="00954D98">
        <w:t> </w:t>
      </w:r>
      <w:r w:rsidR="00F1044A" w:rsidRPr="00954D98">
        <w:t>June</w:t>
      </w:r>
      <w:r w:rsidR="006D311B" w:rsidRPr="00954D98">
        <w:t> </w:t>
      </w:r>
      <w:r w:rsidR="00F1044A" w:rsidRPr="00954D98">
        <w:t>20</w:t>
      </w:r>
      <w:r w:rsidR="00AB3F0A" w:rsidRPr="00954D98">
        <w:t>36</w:t>
      </w:r>
      <w:r w:rsidR="00F1044A" w:rsidRPr="00954D98">
        <w:t xml:space="preserve">, </w:t>
      </w:r>
      <w:r w:rsidR="005811CF" w:rsidRPr="00954D98">
        <w:t xml:space="preserve">compared to </w:t>
      </w:r>
      <w:r w:rsidR="00F113F4" w:rsidRPr="00954D98">
        <w:t xml:space="preserve">31.9 </w:t>
      </w:r>
      <w:r w:rsidR="005811CF" w:rsidRPr="00954D98">
        <w:t>per</w:t>
      </w:r>
      <w:r w:rsidR="006D311B" w:rsidRPr="00954D98">
        <w:t> </w:t>
      </w:r>
      <w:r w:rsidR="005811CF" w:rsidRPr="00954D98">
        <w:t>cent of GDP</w:t>
      </w:r>
      <w:r w:rsidR="00F1044A" w:rsidRPr="00954D98">
        <w:t xml:space="preserve"> projected at the </w:t>
      </w:r>
      <w:r w:rsidR="001B1B1A" w:rsidRPr="00954D98">
        <w:t>2025 PEFO</w:t>
      </w:r>
      <w:r w:rsidR="00F1044A" w:rsidRPr="00954D98">
        <w:t>.</w:t>
      </w:r>
    </w:p>
    <w:p w14:paraId="0242C51E" w14:textId="24E110A5" w:rsidR="00F1044A" w:rsidRPr="00954D98" w:rsidRDefault="00F1044A" w:rsidP="00D55133">
      <w:r w:rsidRPr="00954D98">
        <w:t xml:space="preserve">Over the forward estimates, bond yields are assumed to remain at a recent average of daily spot rates at the time of the MYEFO update. Since the </w:t>
      </w:r>
      <w:r w:rsidR="001B1B1A" w:rsidRPr="00954D98">
        <w:t>2025</w:t>
      </w:r>
      <w:r w:rsidR="00102E59" w:rsidRPr="00954D98">
        <w:rPr>
          <w:w w:val="1"/>
        </w:rPr>
        <w:t> </w:t>
      </w:r>
      <w:r w:rsidR="00102E59" w:rsidRPr="00954D98">
        <w:t>–</w:t>
      </w:r>
      <w:r w:rsidR="00102E59" w:rsidRPr="00954D98">
        <w:rPr>
          <w:w w:val="1"/>
        </w:rPr>
        <w:t> </w:t>
      </w:r>
      <w:r w:rsidR="001C43EE" w:rsidRPr="00954D98">
        <w:t>26 Budget</w:t>
      </w:r>
      <w:r w:rsidRPr="00954D98">
        <w:t xml:space="preserve">, the </w:t>
      </w:r>
      <w:r w:rsidRPr="00954D98">
        <w:rPr>
          <w:rFonts w:eastAsia="Book Antiqua" w:cs="Book Antiqua"/>
        </w:rPr>
        <w:t>assumed weighted average cost of borrowing</w:t>
      </w:r>
      <w:r w:rsidRPr="00954D98" w:rsidDel="00912E98">
        <w:t xml:space="preserve"> </w:t>
      </w:r>
      <w:r w:rsidRPr="00954D98">
        <w:rPr>
          <w:rFonts w:eastAsia="Book Antiqua" w:cs="Book Antiqua"/>
        </w:rPr>
        <w:t xml:space="preserve">for issuance of Treasury Bonds in the forward estimates has increased from </w:t>
      </w:r>
      <w:r w:rsidR="004A08AC" w:rsidRPr="00954D98">
        <w:rPr>
          <w:rFonts w:eastAsia="Book Antiqua" w:cs="Book Antiqua"/>
        </w:rPr>
        <w:t>4.3</w:t>
      </w:r>
      <w:r w:rsidRPr="00954D98">
        <w:rPr>
          <w:rFonts w:eastAsia="Book Antiqua" w:cs="Book Antiqua"/>
        </w:rPr>
        <w:t xml:space="preserve"> to </w:t>
      </w:r>
      <w:r w:rsidR="00777CCD" w:rsidRPr="00954D98">
        <w:rPr>
          <w:rFonts w:eastAsia="Book Antiqua" w:cs="Book Antiqua"/>
        </w:rPr>
        <w:t>4.4</w:t>
      </w:r>
      <w:r w:rsidRPr="00954D98">
        <w:rPr>
          <w:rFonts w:eastAsia="Book Antiqua" w:cs="Book Antiqua"/>
        </w:rPr>
        <w:t xml:space="preserve"> per cent, </w:t>
      </w:r>
      <w:r w:rsidR="0060592F" w:rsidRPr="00954D98">
        <w:rPr>
          <w:rFonts w:eastAsia="Book Antiqua"/>
        </w:rPr>
        <w:t>reflecting shifts in market expectations for future cash rates and broader economic uncertainty</w:t>
      </w:r>
      <w:r w:rsidRPr="00954D98">
        <w:t>.</w:t>
      </w:r>
    </w:p>
    <w:p w14:paraId="368236B8" w14:textId="02569B76" w:rsidR="000E099F" w:rsidRPr="00954D98" w:rsidRDefault="000E099F" w:rsidP="00D55133">
      <w:r w:rsidRPr="00954D98">
        <w:lastRenderedPageBreak/>
        <w:t>Increased yields since the 2025</w:t>
      </w:r>
      <w:r w:rsidR="00191E65" w:rsidRPr="00954D98">
        <w:t>–</w:t>
      </w:r>
      <w:r w:rsidR="00BF6A26" w:rsidRPr="00954D98">
        <w:t>26 Budget</w:t>
      </w:r>
      <w:r w:rsidRPr="00954D98">
        <w:t xml:space="preserve"> increase net interest and gross debt over time.</w:t>
      </w:r>
    </w:p>
    <w:p w14:paraId="2F320F54" w14:textId="59BAFE23" w:rsidR="00B77AE3" w:rsidRPr="00954D98" w:rsidRDefault="00F1044A" w:rsidP="00BC1475">
      <w:r w:rsidRPr="00954D98">
        <w:t xml:space="preserve">Total interest payments are estimated to be </w:t>
      </w:r>
      <w:r w:rsidR="003F50F1" w:rsidRPr="00954D98">
        <w:t>0.9</w:t>
      </w:r>
      <w:r w:rsidRPr="00954D98">
        <w:t xml:space="preserve"> per cent of GDP in </w:t>
      </w:r>
      <w:r w:rsidR="00EF2048" w:rsidRPr="00954D98">
        <w:t>2025–26</w:t>
      </w:r>
      <w:r w:rsidRPr="00954D98">
        <w:t xml:space="preserve">, </w:t>
      </w:r>
      <w:r w:rsidR="00831DC0" w:rsidRPr="00954D98">
        <w:t>broadly unchanged from</w:t>
      </w:r>
      <w:r w:rsidRPr="00954D98">
        <w:t xml:space="preserve"> the </w:t>
      </w:r>
      <w:r w:rsidR="001B1B1A" w:rsidRPr="00954D98">
        <w:t>2025 PEFO</w:t>
      </w:r>
      <w:r w:rsidRPr="00954D98">
        <w:t xml:space="preserve">. Interest payments are estimated to peak at </w:t>
      </w:r>
      <w:r w:rsidR="006F271C" w:rsidRPr="00954D98">
        <w:t>1.6</w:t>
      </w:r>
      <w:r w:rsidR="00E52CB9" w:rsidRPr="00954D98">
        <w:t> </w:t>
      </w:r>
      <w:r w:rsidRPr="00954D98">
        <w:t>per cent of</w:t>
      </w:r>
      <w:r w:rsidR="006B668D">
        <w:t> </w:t>
      </w:r>
      <w:r w:rsidRPr="00954D98">
        <w:t>GDP in 20</w:t>
      </w:r>
      <w:r w:rsidR="006F271C" w:rsidRPr="00954D98">
        <w:t>3</w:t>
      </w:r>
      <w:r w:rsidR="0092179B" w:rsidRPr="00954D98">
        <w:t>2</w:t>
      </w:r>
      <w:r w:rsidR="007C4545" w:rsidRPr="00954D98">
        <w:t>–</w:t>
      </w:r>
      <w:r w:rsidR="006F271C" w:rsidRPr="00954D98">
        <w:t>3</w:t>
      </w:r>
      <w:r w:rsidR="0092179B" w:rsidRPr="00954D98">
        <w:t>3</w:t>
      </w:r>
      <w:r w:rsidRPr="00954D98">
        <w:t xml:space="preserve">. </w:t>
      </w:r>
    </w:p>
    <w:p w14:paraId="0F819429" w14:textId="665B6472" w:rsidR="00F1044A" w:rsidRPr="00954D98" w:rsidRDefault="00F1044A" w:rsidP="00BC1475">
      <w:r w:rsidRPr="00954D98">
        <w:rPr>
          <w:rStyle w:val="Emphasis"/>
        </w:rPr>
        <w:t>Part 4</w:t>
      </w:r>
      <w:r w:rsidRPr="00954D98">
        <w:rPr>
          <w:rStyle w:val="Emphasis"/>
          <w:rFonts w:eastAsia="Calibri"/>
        </w:rPr>
        <w:t>: Debt Statement</w:t>
      </w:r>
      <w:r w:rsidRPr="00954D98">
        <w:t xml:space="preserve"> contains further information on yield assumptions and interest payments. </w:t>
      </w:r>
      <w:r w:rsidRPr="00954D98">
        <w:rPr>
          <w:rStyle w:val="Emphasis"/>
        </w:rPr>
        <w:t xml:space="preserve">Part 5: </w:t>
      </w:r>
      <w:r w:rsidRPr="00954D98">
        <w:rPr>
          <w:rStyle w:val="Emphasis"/>
          <w:rFonts w:eastAsia="Calibri"/>
        </w:rPr>
        <w:t>Sensitivity Analysis</w:t>
      </w:r>
      <w:r w:rsidRPr="00954D98">
        <w:t xml:space="preserve"> contains information on the impact on the underlying cash balance and gross debt if the future trajectory for yields is higher or lower than assumed.</w:t>
      </w:r>
    </w:p>
    <w:p w14:paraId="791D99D2" w14:textId="0F478737" w:rsidR="00F1044A" w:rsidRPr="00954D98" w:rsidRDefault="00F1044A" w:rsidP="008A3A38">
      <w:pPr>
        <w:pStyle w:val="Heading3"/>
      </w:pPr>
      <w:bookmarkStart w:id="54" w:name="_Toc117356565"/>
      <w:bookmarkStart w:id="55" w:name="_Toc134093768"/>
      <w:bookmarkStart w:id="56" w:name="_Toc148428076"/>
      <w:r w:rsidRPr="00954D98">
        <w:t>Net debt estimates and projections</w:t>
      </w:r>
      <w:bookmarkEnd w:id="54"/>
      <w:bookmarkEnd w:id="55"/>
      <w:bookmarkEnd w:id="56"/>
      <w:r w:rsidRPr="00954D98">
        <w:t xml:space="preserve"> </w:t>
      </w:r>
    </w:p>
    <w:p w14:paraId="7FA2FE94" w14:textId="1591A3D9" w:rsidR="00F1044A" w:rsidRPr="00954D98" w:rsidRDefault="00F1044A" w:rsidP="00432905">
      <w:r w:rsidRPr="00954D98">
        <w:t xml:space="preserve">Net debt is estimated to be </w:t>
      </w:r>
      <w:r w:rsidR="007D2004" w:rsidRPr="00954D98">
        <w:t>20.1</w:t>
      </w:r>
      <w:r w:rsidRPr="00954D98">
        <w:t> per cent of GDP ($</w:t>
      </w:r>
      <w:r w:rsidR="005B2DF2" w:rsidRPr="00954D98">
        <w:t>587.5 </w:t>
      </w:r>
      <w:r w:rsidRPr="00954D98">
        <w:t>billion) at 30</w:t>
      </w:r>
      <w:r w:rsidR="00F921B4" w:rsidRPr="00954D98">
        <w:t> </w:t>
      </w:r>
      <w:r w:rsidRPr="00954D98">
        <w:t>June</w:t>
      </w:r>
      <w:r w:rsidR="00F921B4" w:rsidRPr="00954D98">
        <w:t> </w:t>
      </w:r>
      <w:r w:rsidRPr="00954D98">
        <w:t>202</w:t>
      </w:r>
      <w:r w:rsidR="00DE198A" w:rsidRPr="00954D98">
        <w:t>6</w:t>
      </w:r>
      <w:r w:rsidRPr="00954D98">
        <w:t xml:space="preserve"> (Table 3.</w:t>
      </w:r>
      <w:r w:rsidR="00277DC6" w:rsidRPr="00954D98">
        <w:t>8</w:t>
      </w:r>
      <w:r w:rsidRPr="00954D98">
        <w:t xml:space="preserve">), lower than the estimate of </w:t>
      </w:r>
      <w:r w:rsidR="002B14C3" w:rsidRPr="00954D98">
        <w:t>21.6</w:t>
      </w:r>
      <w:r w:rsidRPr="00954D98">
        <w:t> per cent of GDP ($</w:t>
      </w:r>
      <w:r w:rsidR="009B400A" w:rsidRPr="00954D98">
        <w:t>620.7</w:t>
      </w:r>
      <w:r w:rsidRPr="00954D98">
        <w:t xml:space="preserve"> billion) in the </w:t>
      </w:r>
      <w:r w:rsidR="001B1B1A" w:rsidRPr="00954D98">
        <w:t>2025 PEFO</w:t>
      </w:r>
      <w:r w:rsidRPr="00954D98">
        <w:t xml:space="preserve">. The improvement since the </w:t>
      </w:r>
      <w:r w:rsidR="00EC42ED" w:rsidRPr="00954D98">
        <w:t>2025</w:t>
      </w:r>
      <w:r w:rsidR="000F2117" w:rsidRPr="00954D98">
        <w:t xml:space="preserve"> PEFO</w:t>
      </w:r>
      <w:r w:rsidRPr="00954D98">
        <w:t xml:space="preserve"> reflects </w:t>
      </w:r>
      <w:r w:rsidR="00D70BD8" w:rsidRPr="00954D98">
        <w:t xml:space="preserve">a lower market value of Australian Government </w:t>
      </w:r>
      <w:r w:rsidR="0055509A" w:rsidRPr="00954D98">
        <w:t xml:space="preserve">Securities on issue </w:t>
      </w:r>
      <w:r w:rsidR="007F161D" w:rsidRPr="00954D98">
        <w:t>resulting from the improved headline cash balance outcome in 2024</w:t>
      </w:r>
      <w:r w:rsidR="002931BF" w:rsidRPr="00954D98">
        <w:t>–</w:t>
      </w:r>
      <w:r w:rsidR="007F161D" w:rsidRPr="00954D98">
        <w:t xml:space="preserve">25, </w:t>
      </w:r>
      <w:r w:rsidR="0055509A" w:rsidRPr="00954D98">
        <w:t xml:space="preserve">combined with </w:t>
      </w:r>
      <w:r w:rsidR="007F161D" w:rsidRPr="00954D98">
        <w:t xml:space="preserve">a higher </w:t>
      </w:r>
      <w:r w:rsidR="003F04D2" w:rsidRPr="00954D98">
        <w:t>value</w:t>
      </w:r>
      <w:r w:rsidR="007F161D" w:rsidRPr="00954D98">
        <w:t xml:space="preserve"> of </w:t>
      </w:r>
      <w:r w:rsidR="00A8494B" w:rsidRPr="00954D98">
        <w:t xml:space="preserve">investments </w:t>
      </w:r>
      <w:r w:rsidR="004D7D59" w:rsidRPr="00954D98">
        <w:t>through</w:t>
      </w:r>
      <w:r w:rsidR="00A8494B" w:rsidRPr="00954D98">
        <w:t xml:space="preserve"> collective investment </w:t>
      </w:r>
      <w:r w:rsidR="003F04D2" w:rsidRPr="00954D98">
        <w:t>vehicles</w:t>
      </w:r>
      <w:r w:rsidRPr="00954D98">
        <w:t>.</w:t>
      </w:r>
      <w:r w:rsidR="00A17463" w:rsidRPr="00954D98">
        <w:t xml:space="preserve"> </w:t>
      </w:r>
    </w:p>
    <w:p w14:paraId="3C15DAA3" w14:textId="18C8F71B" w:rsidR="00F1044A" w:rsidRPr="00954D98" w:rsidRDefault="008C788C" w:rsidP="00432905">
      <w:r w:rsidRPr="00954D98">
        <w:t>Over the medium term, n</w:t>
      </w:r>
      <w:r w:rsidR="00F1044A" w:rsidRPr="00954D98">
        <w:t xml:space="preserve">et debt as a percentage of GDP is projected to </w:t>
      </w:r>
      <w:r w:rsidR="005B6D65" w:rsidRPr="00954D98">
        <w:t xml:space="preserve">peak </w:t>
      </w:r>
      <w:r w:rsidR="00E26B76" w:rsidRPr="00954D98">
        <w:t xml:space="preserve">at </w:t>
      </w:r>
      <w:r w:rsidR="002E29FC" w:rsidRPr="00954D98">
        <w:t>23.</w:t>
      </w:r>
      <w:r w:rsidR="00251E09" w:rsidRPr="00954D98">
        <w:t>4 </w:t>
      </w:r>
      <w:r w:rsidR="00E26B76" w:rsidRPr="00954D98">
        <w:t>per</w:t>
      </w:r>
      <w:r w:rsidR="00F921B4" w:rsidRPr="00954D98">
        <w:t> </w:t>
      </w:r>
      <w:r w:rsidR="00E26B76" w:rsidRPr="00954D98">
        <w:t>cent in 20</w:t>
      </w:r>
      <w:r w:rsidR="001D206A" w:rsidRPr="00954D98">
        <w:t>30</w:t>
      </w:r>
      <w:r w:rsidR="007C4545" w:rsidRPr="00954D98">
        <w:t>–</w:t>
      </w:r>
      <w:r w:rsidR="001D206A" w:rsidRPr="00954D98">
        <w:t>31</w:t>
      </w:r>
      <w:r w:rsidR="00E26B76" w:rsidRPr="00954D98">
        <w:t xml:space="preserve"> and </w:t>
      </w:r>
      <w:r w:rsidR="00864267" w:rsidRPr="00954D98">
        <w:t>decline</w:t>
      </w:r>
      <w:r w:rsidR="00F1044A" w:rsidRPr="00954D98">
        <w:t xml:space="preserve"> </w:t>
      </w:r>
      <w:r w:rsidRPr="00954D98">
        <w:t>to</w:t>
      </w:r>
      <w:r w:rsidR="00F1044A" w:rsidRPr="00954D98">
        <w:t xml:space="preserve"> </w:t>
      </w:r>
      <w:r w:rsidR="001D206A" w:rsidRPr="00954D98">
        <w:t>20.</w:t>
      </w:r>
      <w:r w:rsidR="009C4708" w:rsidRPr="00954D98">
        <w:t>3</w:t>
      </w:r>
      <w:r w:rsidR="00F1044A" w:rsidRPr="00954D98">
        <w:t> per cent of GDP at 30</w:t>
      </w:r>
      <w:r w:rsidR="00F921B4" w:rsidRPr="00954D98">
        <w:t> </w:t>
      </w:r>
      <w:r w:rsidR="00F1044A" w:rsidRPr="00954D98">
        <w:t>June</w:t>
      </w:r>
      <w:r w:rsidR="00F921B4" w:rsidRPr="00954D98">
        <w:t> </w:t>
      </w:r>
      <w:r w:rsidR="00F1044A" w:rsidRPr="00954D98">
        <w:t>203</w:t>
      </w:r>
      <w:r w:rsidR="00E37822" w:rsidRPr="00954D98">
        <w:t>6</w:t>
      </w:r>
      <w:r w:rsidR="00F1044A" w:rsidRPr="00954D98">
        <w:t xml:space="preserve">, </w:t>
      </w:r>
      <w:r w:rsidR="00E53873" w:rsidRPr="00954D98">
        <w:t>0.</w:t>
      </w:r>
      <w:r w:rsidR="00694A98" w:rsidRPr="00954D98">
        <w:t>2</w:t>
      </w:r>
      <w:r w:rsidR="00F1044A" w:rsidRPr="00954D98">
        <w:t xml:space="preserve"> percentage points </w:t>
      </w:r>
      <w:r w:rsidR="00E53873" w:rsidRPr="00954D98">
        <w:t xml:space="preserve">higher </w:t>
      </w:r>
      <w:r w:rsidR="00F1044A" w:rsidRPr="00954D98">
        <w:t xml:space="preserve">than at the </w:t>
      </w:r>
      <w:r w:rsidR="00EC42ED" w:rsidRPr="00954D98">
        <w:t>2025</w:t>
      </w:r>
      <w:r w:rsidR="007C4C4C" w:rsidRPr="00954D98">
        <w:t xml:space="preserve"> PEFO</w:t>
      </w:r>
      <w:r w:rsidR="00F1044A" w:rsidRPr="00954D98">
        <w:t xml:space="preserve"> (Chart 3.</w:t>
      </w:r>
      <w:r w:rsidR="001E5FE1" w:rsidRPr="00954D98">
        <w:t>8</w:t>
      </w:r>
      <w:r w:rsidR="00F1044A" w:rsidRPr="00954D98">
        <w:t xml:space="preserve">). </w:t>
      </w:r>
    </w:p>
    <w:p w14:paraId="2D717695" w14:textId="59D6BDE6" w:rsidR="00F1044A" w:rsidRPr="00954D98" w:rsidRDefault="00F1044A" w:rsidP="00F1044A">
      <w:pPr>
        <w:pStyle w:val="ChartMainHeading"/>
      </w:pPr>
      <w:r w:rsidRPr="00954D98">
        <w:t>Chart 3.</w:t>
      </w:r>
      <w:r w:rsidR="00890CA5" w:rsidRPr="00954D98">
        <w:t>8</w:t>
      </w:r>
      <w:r w:rsidRPr="00954D98">
        <w:t>: Net debt</w:t>
      </w:r>
    </w:p>
    <w:p w14:paraId="74DF0406" w14:textId="279B501B" w:rsidR="00F1044A" w:rsidRPr="00954D98" w:rsidRDefault="005A2C98" w:rsidP="00F1044A">
      <w:pPr>
        <w:pStyle w:val="ChartGraphic"/>
      </w:pPr>
      <w:bookmarkStart w:id="57" w:name="_1795509562"/>
      <w:bookmarkStart w:id="58" w:name="_1795519299"/>
      <w:bookmarkEnd w:id="57"/>
      <w:bookmarkEnd w:id="58"/>
      <w:r w:rsidRPr="00954D98">
        <w:rPr>
          <w:noProof/>
        </w:rPr>
        <w:drawing>
          <wp:inline distT="0" distB="0" distL="0" distR="0" wp14:anchorId="3A9C4DB9" wp14:editId="27123371">
            <wp:extent cx="4743450" cy="2600325"/>
            <wp:effectExtent l="0" t="0" r="0" b="0"/>
            <wp:docPr id="1662446778" name="Graphic 1" descr="This line chart compares projections of net debt as a share of GDP at the 2025-26 MYEFO and the 2025 PEFO. In the 2025-26 MYEFO, net debt is projected to increase from 20.1 per cent of GDP in 2025-26 to 23.4 per cent of GDP in 2030-31, before declining to 20.3 per cent of GDP in 2035-36. Compared to the 2025 PEFO, net debt is slightly higher from 20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46778" name="Graphic 1" descr="This line chart compares projections of net debt as a share of GDP at the 2025-26 MYEFO and the 2025 PEFO. In the 2025-26 MYEFO, net debt is projected to increase from 20.1 per cent of GDP in 2025-26 to 23.4 per cent of GDP in 2030-31, before declining to 20.3 per cent of GDP in 2035-36. Compared to the 2025 PEFO, net debt is slightly higher from 2033-34."/>
                    <pic:cNvPicPr/>
                  </pic:nvPicPr>
                  <pic:blipFill>
                    <a:blip r:embed="rId21">
                      <a:extLst>
                        <a:ext uri="{96DAC541-7B7A-43D3-8B79-37D633B846F1}">
                          <asvg:svgBlip xmlns:asvg="http://schemas.microsoft.com/office/drawing/2016/SVG/main" r:embed="rId22"/>
                        </a:ext>
                      </a:extLst>
                    </a:blip>
                    <a:stretch>
                      <a:fillRect/>
                    </a:stretch>
                  </pic:blipFill>
                  <pic:spPr>
                    <a:xfrm>
                      <a:off x="0" y="0"/>
                      <a:ext cx="4743450" cy="2600325"/>
                    </a:xfrm>
                    <a:prstGeom prst="rect">
                      <a:avLst/>
                    </a:prstGeom>
                  </pic:spPr>
                </pic:pic>
              </a:graphicData>
            </a:graphic>
          </wp:inline>
        </w:drawing>
      </w:r>
    </w:p>
    <w:p w14:paraId="2AAA487A" w14:textId="36C8CF2D" w:rsidR="00F1044A" w:rsidRPr="00954D98" w:rsidRDefault="00F1044A" w:rsidP="00F1044A">
      <w:pPr>
        <w:pStyle w:val="ChartandTableFootnote"/>
        <w:rPr>
          <w:color w:val="auto"/>
        </w:rPr>
      </w:pPr>
      <w:bookmarkStart w:id="59" w:name="_1763536625"/>
      <w:bookmarkStart w:id="60" w:name="_1763626579"/>
      <w:bookmarkEnd w:id="59"/>
      <w:bookmarkEnd w:id="60"/>
      <w:r w:rsidRPr="00954D98">
        <w:rPr>
          <w:color w:val="auto"/>
        </w:rPr>
        <w:t>Source:</w:t>
      </w:r>
      <w:r w:rsidRPr="00954D98">
        <w:rPr>
          <w:color w:val="auto"/>
        </w:rPr>
        <w:tab/>
        <w:t xml:space="preserve">Treasury. </w:t>
      </w:r>
    </w:p>
    <w:p w14:paraId="61AB322E" w14:textId="77777777" w:rsidR="00F1044A" w:rsidRPr="00954D98" w:rsidRDefault="00F1044A" w:rsidP="00F1044A">
      <w:pPr>
        <w:pStyle w:val="ChartLine"/>
      </w:pPr>
    </w:p>
    <w:p w14:paraId="7FB101F2" w14:textId="5D77D943" w:rsidR="00F1044A" w:rsidRPr="00954D98" w:rsidRDefault="00F1044A" w:rsidP="00F1044A">
      <w:r w:rsidRPr="00954D98">
        <w:t xml:space="preserve">Further information on gross debt and net debt estimates across the forward estimates is provided in </w:t>
      </w:r>
      <w:r w:rsidRPr="00954D98">
        <w:rPr>
          <w:rStyle w:val="Emphasis"/>
          <w:rFonts w:eastAsia="Calibri"/>
        </w:rPr>
        <w:t>Part 4: Debt Statement</w:t>
      </w:r>
      <w:r w:rsidRPr="00954D98">
        <w:rPr>
          <w:rStyle w:val="Emphasis"/>
        </w:rPr>
        <w:t>.</w:t>
      </w:r>
      <w:r w:rsidRPr="00954D98">
        <w:t xml:space="preserve"> </w:t>
      </w:r>
    </w:p>
    <w:p w14:paraId="44A4AF0E" w14:textId="226ED57B" w:rsidR="00F1044A" w:rsidRPr="00954D98" w:rsidRDefault="00F1044A" w:rsidP="00D728B3">
      <w:pPr>
        <w:pStyle w:val="Heading3noTOC"/>
      </w:pPr>
      <w:bookmarkStart w:id="61" w:name="_Toc134093769"/>
      <w:bookmarkStart w:id="62" w:name="_Toc148428077"/>
      <w:r w:rsidRPr="00954D98">
        <w:lastRenderedPageBreak/>
        <w:t>Net financial worth and net worth estimates and projections</w:t>
      </w:r>
      <w:bookmarkEnd w:id="61"/>
      <w:bookmarkEnd w:id="62"/>
      <w:r w:rsidRPr="00954D98">
        <w:t xml:space="preserve"> </w:t>
      </w:r>
    </w:p>
    <w:p w14:paraId="7CDC7596" w14:textId="7045EA56" w:rsidR="00F1044A" w:rsidRPr="00954D98" w:rsidRDefault="00F1044A" w:rsidP="00F1044A">
      <w:pPr>
        <w:rPr>
          <w:lang w:eastAsia="en-US"/>
        </w:rPr>
      </w:pPr>
      <w:r w:rsidRPr="00954D98">
        <w:rPr>
          <w:lang w:eastAsia="en-US"/>
        </w:rPr>
        <w:t xml:space="preserve">Net financial worth is estimated to be minus </w:t>
      </w:r>
      <w:r w:rsidR="005C501A" w:rsidRPr="00954D98">
        <w:rPr>
          <w:lang w:eastAsia="en-US"/>
        </w:rPr>
        <w:t>30.2</w:t>
      </w:r>
      <w:r w:rsidR="005C501A" w:rsidRPr="00954D98" w:rsidDel="005C501A">
        <w:t xml:space="preserve"> </w:t>
      </w:r>
      <w:r w:rsidRPr="00954D98">
        <w:rPr>
          <w:lang w:eastAsia="en-US"/>
        </w:rPr>
        <w:t>per cent of GDP (minus $</w:t>
      </w:r>
      <w:r w:rsidR="00FF3880" w:rsidRPr="00954D98">
        <w:rPr>
          <w:lang w:eastAsia="en-US"/>
        </w:rPr>
        <w:t>881.7</w:t>
      </w:r>
      <w:r w:rsidR="00097D3A" w:rsidRPr="00954D98" w:rsidDel="00097D3A">
        <w:t xml:space="preserve"> </w:t>
      </w:r>
      <w:r w:rsidRPr="00954D98">
        <w:rPr>
          <w:lang w:eastAsia="en-US"/>
        </w:rPr>
        <w:t>billion) at 30</w:t>
      </w:r>
      <w:r w:rsidR="0083261F" w:rsidRPr="00954D98">
        <w:rPr>
          <w:lang w:eastAsia="en-US"/>
        </w:rPr>
        <w:t> </w:t>
      </w:r>
      <w:r w:rsidRPr="00954D98">
        <w:rPr>
          <w:lang w:eastAsia="en-US"/>
        </w:rPr>
        <w:t>June</w:t>
      </w:r>
      <w:r w:rsidR="0083261F" w:rsidRPr="00954D98">
        <w:rPr>
          <w:lang w:eastAsia="en-US"/>
        </w:rPr>
        <w:t> </w:t>
      </w:r>
      <w:r w:rsidRPr="00954D98">
        <w:rPr>
          <w:lang w:eastAsia="en-US"/>
        </w:rPr>
        <w:t>20</w:t>
      </w:r>
      <w:r w:rsidRPr="00954D98">
        <w:rPr>
          <w:rFonts w:ascii="Times New Roman" w:hAnsi="Times New Roman"/>
          <w:lang w:eastAsia="en-US"/>
        </w:rPr>
        <w:t>‍</w:t>
      </w:r>
      <w:r w:rsidRPr="00954D98">
        <w:rPr>
          <w:lang w:eastAsia="en-US"/>
        </w:rPr>
        <w:t>2</w:t>
      </w:r>
      <w:r w:rsidR="00C82003" w:rsidRPr="00954D98">
        <w:rPr>
          <w:lang w:eastAsia="en-US"/>
        </w:rPr>
        <w:t>6</w:t>
      </w:r>
      <w:r w:rsidRPr="00954D98">
        <w:rPr>
          <w:lang w:eastAsia="en-US"/>
        </w:rPr>
        <w:t xml:space="preserve"> </w:t>
      </w:r>
      <w:r w:rsidRPr="00954D98">
        <w:t>(Table 3.</w:t>
      </w:r>
      <w:r w:rsidR="00572B3F" w:rsidRPr="00954D98">
        <w:t>8</w:t>
      </w:r>
      <w:r w:rsidRPr="00954D98">
        <w:t>)</w:t>
      </w:r>
      <w:r w:rsidRPr="00954D98">
        <w:rPr>
          <w:lang w:eastAsia="en-US"/>
        </w:rPr>
        <w:t xml:space="preserve">, compared with the estimate of minus </w:t>
      </w:r>
      <w:r w:rsidR="00AC61C8" w:rsidRPr="00954D98">
        <w:t>29.5</w:t>
      </w:r>
      <w:r w:rsidRPr="00954D98">
        <w:rPr>
          <w:lang w:eastAsia="en-US"/>
        </w:rPr>
        <w:t> per cent of GDP (minus $</w:t>
      </w:r>
      <w:r w:rsidR="00AC61C8" w:rsidRPr="00954D98">
        <w:t>850.1</w:t>
      </w:r>
      <w:r w:rsidRPr="00954D98">
        <w:rPr>
          <w:lang w:eastAsia="en-US"/>
        </w:rPr>
        <w:t xml:space="preserve"> billion) at the </w:t>
      </w:r>
      <w:r w:rsidR="001B1B1A" w:rsidRPr="00954D98">
        <w:rPr>
          <w:lang w:eastAsia="en-US"/>
        </w:rPr>
        <w:t>2025 PEFO</w:t>
      </w:r>
      <w:r w:rsidRPr="00954D98">
        <w:rPr>
          <w:lang w:eastAsia="en-US"/>
        </w:rPr>
        <w:t xml:space="preserve">. </w:t>
      </w:r>
    </w:p>
    <w:p w14:paraId="309802F7" w14:textId="3ED2B0E4" w:rsidR="00F1044A" w:rsidRPr="00954D98" w:rsidRDefault="00F1044A" w:rsidP="00F1044A">
      <w:r w:rsidRPr="00954D98">
        <w:t xml:space="preserve">Net financial worth is projected to deteriorate to minus </w:t>
      </w:r>
      <w:r w:rsidR="00C66271" w:rsidRPr="00954D98">
        <w:t>31.4</w:t>
      </w:r>
      <w:r w:rsidRPr="00954D98">
        <w:t xml:space="preserve"> per cent of GDP </w:t>
      </w:r>
      <w:r w:rsidR="007C51C5" w:rsidRPr="00954D98">
        <w:t>at</w:t>
      </w:r>
      <w:r w:rsidRPr="00954D98">
        <w:t xml:space="preserve"> 30 June 20</w:t>
      </w:r>
      <w:r w:rsidR="00D0527C" w:rsidRPr="00954D98">
        <w:t>30</w:t>
      </w:r>
      <w:r w:rsidRPr="00954D98">
        <w:t xml:space="preserve"> before improvin</w:t>
      </w:r>
      <w:r w:rsidR="00C66271" w:rsidRPr="00954D98">
        <w:t>g</w:t>
      </w:r>
      <w:r w:rsidRPr="00954D98">
        <w:t xml:space="preserve"> to minus </w:t>
      </w:r>
      <w:r w:rsidR="00D75CBE" w:rsidRPr="00954D98">
        <w:t>26.9</w:t>
      </w:r>
      <w:r w:rsidRPr="00954D98">
        <w:t xml:space="preserve"> per cent of GDP </w:t>
      </w:r>
      <w:r w:rsidR="007C51C5" w:rsidRPr="00954D98">
        <w:t>at</w:t>
      </w:r>
      <w:r w:rsidRPr="00954D98">
        <w:t xml:space="preserve"> 30</w:t>
      </w:r>
      <w:r w:rsidR="00BF60A1" w:rsidRPr="00954D98">
        <w:t> </w:t>
      </w:r>
      <w:r w:rsidRPr="00954D98">
        <w:t>June</w:t>
      </w:r>
      <w:r w:rsidR="009A6529" w:rsidRPr="00954D98">
        <w:t> 2</w:t>
      </w:r>
      <w:r w:rsidRPr="00954D98">
        <w:t>03</w:t>
      </w:r>
      <w:r w:rsidR="00147294" w:rsidRPr="00954D98">
        <w:t>6</w:t>
      </w:r>
      <w:r w:rsidRPr="00954D98">
        <w:t xml:space="preserve"> (Chart 3.</w:t>
      </w:r>
      <w:r w:rsidR="000E0556" w:rsidRPr="00954D98">
        <w:t>9</w:t>
      </w:r>
      <w:r w:rsidRPr="00954D98">
        <w:t>).</w:t>
      </w:r>
      <w:r w:rsidRPr="00954D98">
        <w:rPr>
          <w:lang w:eastAsia="en-US"/>
        </w:rPr>
        <w:t xml:space="preserve"> </w:t>
      </w:r>
    </w:p>
    <w:p w14:paraId="52B680CA" w14:textId="501041D9" w:rsidR="00F1044A" w:rsidRPr="00954D98" w:rsidRDefault="00F1044A" w:rsidP="00F1044A">
      <w:pPr>
        <w:pStyle w:val="ChartMainHeading"/>
      </w:pPr>
      <w:r w:rsidRPr="00954D98">
        <w:t>Chart 3.</w:t>
      </w:r>
      <w:r w:rsidR="00890CA5" w:rsidRPr="00954D98">
        <w:t>9</w:t>
      </w:r>
      <w:r w:rsidRPr="00954D98">
        <w:t>: Net financial worth</w:t>
      </w:r>
    </w:p>
    <w:p w14:paraId="3E77B507" w14:textId="6CAFB025" w:rsidR="00F1044A" w:rsidRPr="00954D98" w:rsidRDefault="0023507F" w:rsidP="00F1044A">
      <w:pPr>
        <w:pStyle w:val="ChartGraphic"/>
      </w:pPr>
      <w:bookmarkStart w:id="63" w:name="_1763536646"/>
      <w:bookmarkStart w:id="64" w:name="_1763626751"/>
      <w:bookmarkStart w:id="65" w:name="_1795519301"/>
      <w:bookmarkEnd w:id="63"/>
      <w:bookmarkEnd w:id="64"/>
      <w:bookmarkEnd w:id="65"/>
      <w:r w:rsidRPr="00954D98">
        <w:rPr>
          <w:noProof/>
        </w:rPr>
        <w:drawing>
          <wp:inline distT="0" distB="0" distL="0" distR="0" wp14:anchorId="5C755A93" wp14:editId="3008DD1E">
            <wp:extent cx="4667250" cy="2552700"/>
            <wp:effectExtent l="0" t="0" r="0" b="0"/>
            <wp:docPr id="1563285828" name="Graphic 1" descr="This line chart compares projections of net financial worth as a share of GDP at the 2025-26 MYEFO and the 2025 PEFO. Net financial worth is estimated to be -30.2 per cent of GDP in 2025-26. It is expected to improve throughout the medium term to -26.9 per cent in 2035-36. Net financial worth is lower in the medium term compared to the 2025 P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85828" name="Graphic 1" descr="This line chart compares projections of net financial worth as a share of GDP at the 2025-26 MYEFO and the 2025 PEFO. Net financial worth is estimated to be -30.2 per cent of GDP in 2025-26. It is expected to improve throughout the medium term to -26.9 per cent in 2035-36. Net financial worth is lower in the medium term compared to the 2025 PEFO."/>
                    <pic:cNvPicPr/>
                  </pic:nvPicPr>
                  <pic:blipFill>
                    <a:blip r:embed="rId23">
                      <a:extLst>
                        <a:ext uri="{96DAC541-7B7A-43D3-8B79-37D633B846F1}">
                          <asvg:svgBlip xmlns:asvg="http://schemas.microsoft.com/office/drawing/2016/SVG/main" r:embed="rId24"/>
                        </a:ext>
                      </a:extLst>
                    </a:blip>
                    <a:stretch>
                      <a:fillRect/>
                    </a:stretch>
                  </pic:blipFill>
                  <pic:spPr>
                    <a:xfrm>
                      <a:off x="0" y="0"/>
                      <a:ext cx="4667250" cy="2552700"/>
                    </a:xfrm>
                    <a:prstGeom prst="rect">
                      <a:avLst/>
                    </a:prstGeom>
                  </pic:spPr>
                </pic:pic>
              </a:graphicData>
            </a:graphic>
          </wp:inline>
        </w:drawing>
      </w:r>
    </w:p>
    <w:p w14:paraId="116899C0" w14:textId="3553DE09" w:rsidR="00F1044A" w:rsidRPr="00954D98" w:rsidRDefault="00F1044A" w:rsidP="00F1044A">
      <w:pPr>
        <w:pStyle w:val="ChartandTableFootnote"/>
        <w:rPr>
          <w:color w:val="auto"/>
        </w:rPr>
      </w:pPr>
      <w:r w:rsidRPr="00954D98">
        <w:rPr>
          <w:color w:val="auto"/>
        </w:rPr>
        <w:t xml:space="preserve">Source: </w:t>
      </w:r>
      <w:r w:rsidRPr="00954D98">
        <w:rPr>
          <w:color w:val="auto"/>
        </w:rPr>
        <w:tab/>
        <w:t xml:space="preserve">Treasury. </w:t>
      </w:r>
    </w:p>
    <w:p w14:paraId="74DF03CF" w14:textId="77777777" w:rsidR="00F1044A" w:rsidRPr="00954D98" w:rsidRDefault="00F1044A" w:rsidP="00F1044A">
      <w:pPr>
        <w:pStyle w:val="ChartLine"/>
        <w:rPr>
          <w:lang w:eastAsia="en-US"/>
        </w:rPr>
      </w:pPr>
    </w:p>
    <w:p w14:paraId="329344B2" w14:textId="3CB6E8DD" w:rsidR="009C75B3" w:rsidRPr="00954D98" w:rsidRDefault="00F1044A" w:rsidP="00F1044A">
      <w:pPr>
        <w:rPr>
          <w:lang w:eastAsia="en-US"/>
        </w:rPr>
      </w:pPr>
      <w:r w:rsidRPr="00954D98">
        <w:rPr>
          <w:lang w:eastAsia="en-US"/>
        </w:rPr>
        <w:t xml:space="preserve">Net worth is estimated to be minus </w:t>
      </w:r>
      <w:r w:rsidR="00EE7D85" w:rsidRPr="00954D98">
        <w:t>22.0</w:t>
      </w:r>
      <w:r w:rsidRPr="00954D98">
        <w:rPr>
          <w:lang w:eastAsia="en-US"/>
        </w:rPr>
        <w:t> per cent of GDP (minus $</w:t>
      </w:r>
      <w:r w:rsidR="002979C0" w:rsidRPr="00954D98">
        <w:t>6</w:t>
      </w:r>
      <w:r w:rsidR="008203DE" w:rsidRPr="00954D98">
        <w:t>44.3</w:t>
      </w:r>
      <w:r w:rsidRPr="00954D98">
        <w:rPr>
          <w:lang w:eastAsia="en-US"/>
        </w:rPr>
        <w:t> billion) at 30 June </w:t>
      </w:r>
      <w:r w:rsidR="00147294" w:rsidRPr="00954D98">
        <w:rPr>
          <w:lang w:eastAsia="en-US"/>
        </w:rPr>
        <w:t>202</w:t>
      </w:r>
      <w:r w:rsidR="00A22797" w:rsidRPr="00954D98">
        <w:rPr>
          <w:lang w:eastAsia="en-US"/>
        </w:rPr>
        <w:t>6</w:t>
      </w:r>
      <w:r w:rsidRPr="00954D98">
        <w:rPr>
          <w:lang w:eastAsia="en-US"/>
        </w:rPr>
        <w:t xml:space="preserve"> </w:t>
      </w:r>
      <w:r w:rsidRPr="00954D98">
        <w:t>(Table 3.</w:t>
      </w:r>
      <w:r w:rsidR="00B25DA7" w:rsidRPr="00954D98">
        <w:t>8</w:t>
      </w:r>
      <w:r w:rsidRPr="00954D98">
        <w:t>)</w:t>
      </w:r>
      <w:r w:rsidRPr="00954D98">
        <w:rPr>
          <w:lang w:eastAsia="en-US"/>
        </w:rPr>
        <w:t xml:space="preserve">, </w:t>
      </w:r>
      <w:r w:rsidRPr="00954D98">
        <w:t>compared</w:t>
      </w:r>
      <w:r w:rsidRPr="00954D98">
        <w:rPr>
          <w:lang w:eastAsia="en-US"/>
        </w:rPr>
        <w:t xml:space="preserve"> with the estimate of minus </w:t>
      </w:r>
      <w:r w:rsidR="00382F7F" w:rsidRPr="00954D98">
        <w:t>21.6</w:t>
      </w:r>
      <w:r w:rsidRPr="00954D98">
        <w:rPr>
          <w:lang w:eastAsia="en-US"/>
        </w:rPr>
        <w:t> per cent of GDP (minus $</w:t>
      </w:r>
      <w:r w:rsidR="003777E0" w:rsidRPr="00954D98">
        <w:t>621.8</w:t>
      </w:r>
      <w:r w:rsidRPr="00954D98">
        <w:rPr>
          <w:lang w:eastAsia="en-US"/>
        </w:rPr>
        <w:t xml:space="preserve"> billion) at the </w:t>
      </w:r>
      <w:r w:rsidR="001B1B1A" w:rsidRPr="00954D98">
        <w:rPr>
          <w:lang w:eastAsia="en-US"/>
        </w:rPr>
        <w:t>2025 PEFO</w:t>
      </w:r>
      <w:r w:rsidRPr="00954D98">
        <w:rPr>
          <w:lang w:eastAsia="en-US"/>
        </w:rPr>
        <w:t xml:space="preserve">. </w:t>
      </w:r>
    </w:p>
    <w:p w14:paraId="731BDC94" w14:textId="31680A55" w:rsidR="00374726" w:rsidRPr="00954D98" w:rsidRDefault="00374726" w:rsidP="00374726">
      <w:r w:rsidRPr="00954D98">
        <w:t xml:space="preserve">The </w:t>
      </w:r>
      <w:r w:rsidR="002E7D92" w:rsidRPr="00954D98">
        <w:t xml:space="preserve">change </w:t>
      </w:r>
      <w:r w:rsidRPr="00954D98">
        <w:t xml:space="preserve">in net worth and net financial worth since the 2025 PEFO largely reflects increases in the </w:t>
      </w:r>
      <w:r w:rsidR="00236C73" w:rsidRPr="00954D98">
        <w:t xml:space="preserve">liabilities </w:t>
      </w:r>
      <w:r w:rsidR="0064094F" w:rsidRPr="00954D98">
        <w:t xml:space="preserve">for </w:t>
      </w:r>
      <w:r w:rsidRPr="00954D98">
        <w:t>military compensation and provisions for claims for veterans</w:t>
      </w:r>
      <w:r w:rsidR="00536CFF">
        <w:t>’</w:t>
      </w:r>
      <w:r w:rsidRPr="00954D98">
        <w:t xml:space="preserve"> benefits. This is partially offset by a lower market value of Australian Government Securities on issue resulting from the improved headline cash balance outcome in 2024–25, combined with a higher value of investments through collective investment vehicles.</w:t>
      </w:r>
    </w:p>
    <w:p w14:paraId="0907266C" w14:textId="4D1556DB" w:rsidR="00F1044A" w:rsidRPr="00C2512A" w:rsidRDefault="00F1044A" w:rsidP="00F1044A">
      <w:pPr>
        <w:rPr>
          <w:lang w:eastAsia="en-US"/>
        </w:rPr>
      </w:pPr>
      <w:r w:rsidRPr="00954D98">
        <w:rPr>
          <w:lang w:eastAsia="en-US"/>
        </w:rPr>
        <w:t xml:space="preserve">Net worth is projected to </w:t>
      </w:r>
      <w:r w:rsidR="00AA7348" w:rsidRPr="00954D98">
        <w:rPr>
          <w:lang w:eastAsia="en-US"/>
        </w:rPr>
        <w:t>decline</w:t>
      </w:r>
      <w:r w:rsidR="00147294" w:rsidRPr="00954D98">
        <w:t xml:space="preserve"> </w:t>
      </w:r>
      <w:r w:rsidRPr="00954D98">
        <w:rPr>
          <w:lang w:eastAsia="en-US"/>
        </w:rPr>
        <w:t>to minus </w:t>
      </w:r>
      <w:r w:rsidR="00AC7B24" w:rsidRPr="00954D98">
        <w:t>23.4</w:t>
      </w:r>
      <w:r w:rsidRPr="00954D98">
        <w:rPr>
          <w:lang w:eastAsia="en-US"/>
        </w:rPr>
        <w:t xml:space="preserve"> per cent of GDP </w:t>
      </w:r>
      <w:r w:rsidRPr="00954D98">
        <w:t>by 30</w:t>
      </w:r>
      <w:r w:rsidR="00B53D9B" w:rsidRPr="00954D98">
        <w:t> </w:t>
      </w:r>
      <w:r w:rsidRPr="00954D98">
        <w:t>June</w:t>
      </w:r>
      <w:r w:rsidR="00B53D9B" w:rsidRPr="00954D98">
        <w:t> </w:t>
      </w:r>
      <w:r w:rsidRPr="00954D98">
        <w:t>20</w:t>
      </w:r>
      <w:r w:rsidR="00AC7B24" w:rsidRPr="00954D98">
        <w:t>30</w:t>
      </w:r>
      <w:r w:rsidRPr="00954D98">
        <w:rPr>
          <w:lang w:eastAsia="en-US"/>
        </w:rPr>
        <w:t xml:space="preserve"> before improving over the medium term.</w:t>
      </w:r>
      <w:r w:rsidRPr="00954D98">
        <w:rPr>
          <w:color w:val="6D7684" w:themeColor="background2"/>
        </w:rPr>
        <w:br w:type="page"/>
      </w:r>
    </w:p>
    <w:p w14:paraId="1D3D61CB" w14:textId="2CB4325A" w:rsidR="00FE5029" w:rsidRPr="00954D98" w:rsidRDefault="00F1044A" w:rsidP="007E114C">
      <w:pPr>
        <w:pStyle w:val="TableHeading"/>
        <w:rPr>
          <w:rFonts w:eastAsiaTheme="minorHAnsi"/>
        </w:rPr>
      </w:pPr>
      <w:r w:rsidRPr="00954D98">
        <w:lastRenderedPageBreak/>
        <w:t>Table 3.</w:t>
      </w:r>
      <w:r w:rsidR="00F736A7" w:rsidRPr="00954D98">
        <w:t>8</w:t>
      </w:r>
      <w:r w:rsidRPr="00954D98">
        <w:t>: Australian Government general government sector balance sheet aggregate</w:t>
      </w:r>
      <w:r w:rsidRPr="00954D98" w:rsidDel="000B4240">
        <w:t>s</w:t>
      </w:r>
      <w:r w:rsidR="00B17798" w:rsidRPr="00954D98">
        <w:rPr>
          <w:vertAlign w:val="superscript"/>
        </w:rPr>
        <w:t>(a)</w:t>
      </w:r>
      <w:r w:rsidR="00B35206" w:rsidRPr="00954D98">
        <w:t xml:space="preserve"> </w:t>
      </w:r>
    </w:p>
    <w:tbl>
      <w:tblPr>
        <w:tblW w:w="5000" w:type="pct"/>
        <w:tblCellMar>
          <w:left w:w="0" w:type="dxa"/>
          <w:right w:w="28" w:type="dxa"/>
        </w:tblCellMar>
        <w:tblLook w:val="04A0" w:firstRow="1" w:lastRow="0" w:firstColumn="1" w:lastColumn="0" w:noHBand="0" w:noVBand="1"/>
      </w:tblPr>
      <w:tblGrid>
        <w:gridCol w:w="1904"/>
        <w:gridCol w:w="715"/>
        <w:gridCol w:w="717"/>
        <w:gridCol w:w="716"/>
        <w:gridCol w:w="718"/>
        <w:gridCol w:w="716"/>
        <w:gridCol w:w="718"/>
        <w:gridCol w:w="790"/>
        <w:gridCol w:w="716"/>
      </w:tblGrid>
      <w:tr w:rsidR="00DB4911" w:rsidRPr="00954D98" w14:paraId="176BCCF5" w14:textId="77777777" w:rsidTr="008D3262">
        <w:trPr>
          <w:trHeight w:hRule="exact" w:val="225"/>
        </w:trPr>
        <w:tc>
          <w:tcPr>
            <w:tcW w:w="1125" w:type="pct"/>
            <w:tcBorders>
              <w:top w:val="single" w:sz="4" w:space="0" w:color="293F5B"/>
              <w:left w:val="nil"/>
              <w:bottom w:val="nil"/>
              <w:right w:val="nil"/>
            </w:tcBorders>
            <w:shd w:val="clear" w:color="000000" w:fill="FFFFFF"/>
            <w:noWrap/>
            <w:vAlign w:val="center"/>
            <w:hideMark/>
          </w:tcPr>
          <w:p w14:paraId="56DD5BFF"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3875" w:type="pct"/>
            <w:gridSpan w:val="8"/>
            <w:tcBorders>
              <w:top w:val="single" w:sz="4" w:space="0" w:color="293F5B"/>
              <w:left w:val="nil"/>
              <w:bottom w:val="single" w:sz="4" w:space="0" w:color="293F5B"/>
              <w:right w:val="nil"/>
            </w:tcBorders>
            <w:shd w:val="clear" w:color="000000" w:fill="FFFFFF"/>
            <w:vAlign w:val="center"/>
            <w:hideMark/>
          </w:tcPr>
          <w:p w14:paraId="051F28C5" w14:textId="77777777" w:rsidR="00DB4911" w:rsidRPr="00954D98" w:rsidRDefault="00DB4911" w:rsidP="00DB4911">
            <w:pPr>
              <w:spacing w:before="0" w:after="0" w:line="240" w:lineRule="auto"/>
              <w:jc w:val="center"/>
              <w:rPr>
                <w:rFonts w:ascii="Arial" w:hAnsi="Arial" w:cs="Arial"/>
                <w:sz w:val="16"/>
                <w:szCs w:val="16"/>
              </w:rPr>
            </w:pPr>
            <w:r w:rsidRPr="00954D98">
              <w:rPr>
                <w:rFonts w:ascii="Arial" w:hAnsi="Arial" w:cs="Arial"/>
                <w:sz w:val="16"/>
                <w:szCs w:val="16"/>
              </w:rPr>
              <w:t>Estimates</w:t>
            </w:r>
          </w:p>
        </w:tc>
      </w:tr>
      <w:tr w:rsidR="00DB4911" w:rsidRPr="00954D98" w14:paraId="063EA32E"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1DA2A01C"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957" w:type="pct"/>
            <w:gridSpan w:val="2"/>
            <w:tcBorders>
              <w:top w:val="single" w:sz="4" w:space="0" w:color="293F5B"/>
              <w:left w:val="nil"/>
              <w:bottom w:val="single" w:sz="4" w:space="0" w:color="293F5B"/>
              <w:right w:val="nil"/>
            </w:tcBorders>
            <w:shd w:val="clear" w:color="000000" w:fill="E6F2FF"/>
            <w:noWrap/>
            <w:vAlign w:val="center"/>
            <w:hideMark/>
          </w:tcPr>
          <w:p w14:paraId="02E50221" w14:textId="77777777" w:rsidR="00DB4911" w:rsidRPr="00954D98" w:rsidRDefault="00DB4911" w:rsidP="00DB4911">
            <w:pPr>
              <w:spacing w:before="0" w:after="0" w:line="240" w:lineRule="auto"/>
              <w:jc w:val="center"/>
              <w:rPr>
                <w:rFonts w:ascii="Arial" w:hAnsi="Arial" w:cs="Arial"/>
                <w:color w:val="FFFF00"/>
                <w:sz w:val="16"/>
                <w:szCs w:val="16"/>
              </w:rPr>
            </w:pPr>
            <w:r w:rsidRPr="00954D98">
              <w:rPr>
                <w:rFonts w:ascii="Arial" w:hAnsi="Arial" w:cs="Arial"/>
                <w:sz w:val="16"/>
                <w:szCs w:val="16"/>
              </w:rPr>
              <w:t>2025-26</w:t>
            </w:r>
          </w:p>
        </w:tc>
        <w:tc>
          <w:tcPr>
            <w:tcW w:w="957" w:type="pct"/>
            <w:gridSpan w:val="2"/>
            <w:tcBorders>
              <w:top w:val="single" w:sz="4" w:space="0" w:color="293F5B"/>
              <w:left w:val="nil"/>
              <w:bottom w:val="single" w:sz="4" w:space="0" w:color="293F5B"/>
              <w:right w:val="nil"/>
            </w:tcBorders>
            <w:shd w:val="clear" w:color="000000" w:fill="FFFFFF"/>
            <w:noWrap/>
            <w:vAlign w:val="center"/>
            <w:hideMark/>
          </w:tcPr>
          <w:p w14:paraId="268F690F" w14:textId="77777777" w:rsidR="00DB4911" w:rsidRPr="00954D98" w:rsidRDefault="00DB4911" w:rsidP="00DB4911">
            <w:pPr>
              <w:spacing w:before="0" w:after="0" w:line="240" w:lineRule="auto"/>
              <w:jc w:val="center"/>
              <w:rPr>
                <w:rFonts w:ascii="Arial" w:hAnsi="Arial" w:cs="Arial"/>
                <w:color w:val="FFFF00"/>
                <w:sz w:val="16"/>
                <w:szCs w:val="16"/>
              </w:rPr>
            </w:pPr>
            <w:r w:rsidRPr="00954D98">
              <w:rPr>
                <w:rFonts w:ascii="Arial" w:hAnsi="Arial" w:cs="Arial"/>
                <w:sz w:val="16"/>
                <w:szCs w:val="16"/>
              </w:rPr>
              <w:t>2026-27</w:t>
            </w:r>
          </w:p>
        </w:tc>
        <w:tc>
          <w:tcPr>
            <w:tcW w:w="957" w:type="pct"/>
            <w:gridSpan w:val="2"/>
            <w:tcBorders>
              <w:top w:val="single" w:sz="4" w:space="0" w:color="293F5B"/>
              <w:left w:val="nil"/>
              <w:bottom w:val="single" w:sz="4" w:space="0" w:color="293F5B"/>
              <w:right w:val="nil"/>
            </w:tcBorders>
            <w:shd w:val="clear" w:color="000000" w:fill="FFFFFF"/>
            <w:noWrap/>
            <w:vAlign w:val="center"/>
            <w:hideMark/>
          </w:tcPr>
          <w:p w14:paraId="66BE1959" w14:textId="77777777" w:rsidR="00DB4911" w:rsidRPr="00954D98" w:rsidRDefault="00DB4911" w:rsidP="00DB4911">
            <w:pPr>
              <w:spacing w:before="0" w:after="0" w:line="240" w:lineRule="auto"/>
              <w:jc w:val="center"/>
              <w:rPr>
                <w:rFonts w:ascii="Arial" w:hAnsi="Arial" w:cs="Arial"/>
                <w:color w:val="FFFF00"/>
                <w:sz w:val="16"/>
                <w:szCs w:val="16"/>
              </w:rPr>
            </w:pPr>
            <w:r w:rsidRPr="00954D98">
              <w:rPr>
                <w:rFonts w:ascii="Arial" w:hAnsi="Arial" w:cs="Arial"/>
                <w:sz w:val="16"/>
                <w:szCs w:val="16"/>
              </w:rPr>
              <w:t>2027-28</w:t>
            </w:r>
          </w:p>
        </w:tc>
        <w:tc>
          <w:tcPr>
            <w:tcW w:w="1005" w:type="pct"/>
            <w:gridSpan w:val="2"/>
            <w:tcBorders>
              <w:top w:val="single" w:sz="4" w:space="0" w:color="293F5B"/>
              <w:left w:val="nil"/>
              <w:bottom w:val="single" w:sz="4" w:space="0" w:color="293F5B"/>
              <w:right w:val="nil"/>
            </w:tcBorders>
            <w:shd w:val="clear" w:color="000000" w:fill="FFFFFF"/>
            <w:noWrap/>
            <w:vAlign w:val="center"/>
            <w:hideMark/>
          </w:tcPr>
          <w:p w14:paraId="25DF6551" w14:textId="77777777" w:rsidR="00DB4911" w:rsidRPr="00954D98" w:rsidRDefault="00DB4911" w:rsidP="00DB4911">
            <w:pPr>
              <w:spacing w:before="0" w:after="0" w:line="240" w:lineRule="auto"/>
              <w:jc w:val="center"/>
              <w:rPr>
                <w:rFonts w:ascii="Arial" w:hAnsi="Arial" w:cs="Arial"/>
                <w:sz w:val="16"/>
                <w:szCs w:val="16"/>
              </w:rPr>
            </w:pPr>
            <w:r w:rsidRPr="00954D98">
              <w:rPr>
                <w:rFonts w:ascii="Arial" w:hAnsi="Arial" w:cs="Arial"/>
                <w:sz w:val="16"/>
                <w:szCs w:val="16"/>
              </w:rPr>
              <w:t>2028-29</w:t>
            </w:r>
          </w:p>
        </w:tc>
      </w:tr>
      <w:tr w:rsidR="00DB4911" w:rsidRPr="00954D98" w14:paraId="5673DBF8"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2C06CB84"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single" w:sz="4" w:space="0" w:color="293F5B"/>
              <w:right w:val="nil"/>
            </w:tcBorders>
            <w:shd w:val="clear" w:color="000000" w:fill="E6F2FF"/>
            <w:noWrap/>
            <w:vAlign w:val="center"/>
            <w:hideMark/>
          </w:tcPr>
          <w:p w14:paraId="1BBA5C73"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$b</w:t>
            </w:r>
          </w:p>
        </w:tc>
        <w:tc>
          <w:tcPr>
            <w:tcW w:w="478" w:type="pct"/>
            <w:tcBorders>
              <w:top w:val="nil"/>
              <w:left w:val="nil"/>
              <w:bottom w:val="single" w:sz="4" w:space="0" w:color="293F5B"/>
              <w:right w:val="nil"/>
            </w:tcBorders>
            <w:shd w:val="clear" w:color="000000" w:fill="E6F2FF"/>
            <w:noWrap/>
            <w:vAlign w:val="center"/>
            <w:hideMark/>
          </w:tcPr>
          <w:p w14:paraId="577964EB"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GDP</w:t>
            </w:r>
          </w:p>
        </w:tc>
        <w:tc>
          <w:tcPr>
            <w:tcW w:w="478" w:type="pct"/>
            <w:tcBorders>
              <w:top w:val="nil"/>
              <w:left w:val="nil"/>
              <w:bottom w:val="single" w:sz="4" w:space="0" w:color="293F5B"/>
              <w:right w:val="nil"/>
            </w:tcBorders>
            <w:shd w:val="clear" w:color="000000" w:fill="FFFFFF"/>
            <w:noWrap/>
            <w:vAlign w:val="center"/>
            <w:hideMark/>
          </w:tcPr>
          <w:p w14:paraId="67216D9A"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$b</w:t>
            </w:r>
          </w:p>
        </w:tc>
        <w:tc>
          <w:tcPr>
            <w:tcW w:w="478" w:type="pct"/>
            <w:tcBorders>
              <w:top w:val="nil"/>
              <w:left w:val="nil"/>
              <w:bottom w:val="single" w:sz="4" w:space="0" w:color="293F5B"/>
              <w:right w:val="nil"/>
            </w:tcBorders>
            <w:shd w:val="clear" w:color="000000" w:fill="FFFFFF"/>
            <w:noWrap/>
            <w:vAlign w:val="center"/>
            <w:hideMark/>
          </w:tcPr>
          <w:p w14:paraId="08768BCF"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GDP</w:t>
            </w:r>
          </w:p>
        </w:tc>
        <w:tc>
          <w:tcPr>
            <w:tcW w:w="478" w:type="pct"/>
            <w:tcBorders>
              <w:top w:val="nil"/>
              <w:left w:val="nil"/>
              <w:bottom w:val="single" w:sz="4" w:space="0" w:color="293F5B"/>
              <w:right w:val="nil"/>
            </w:tcBorders>
            <w:shd w:val="clear" w:color="000000" w:fill="FFFFFF"/>
            <w:noWrap/>
            <w:vAlign w:val="center"/>
            <w:hideMark/>
          </w:tcPr>
          <w:p w14:paraId="46DE3607"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$b</w:t>
            </w:r>
          </w:p>
        </w:tc>
        <w:tc>
          <w:tcPr>
            <w:tcW w:w="478" w:type="pct"/>
            <w:tcBorders>
              <w:top w:val="nil"/>
              <w:left w:val="nil"/>
              <w:bottom w:val="single" w:sz="4" w:space="0" w:color="293F5B"/>
              <w:right w:val="nil"/>
            </w:tcBorders>
            <w:shd w:val="clear" w:color="000000" w:fill="FFFFFF"/>
            <w:noWrap/>
            <w:vAlign w:val="center"/>
            <w:hideMark/>
          </w:tcPr>
          <w:p w14:paraId="55CB7C5D"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GDP</w:t>
            </w:r>
          </w:p>
        </w:tc>
        <w:tc>
          <w:tcPr>
            <w:tcW w:w="526" w:type="pct"/>
            <w:tcBorders>
              <w:top w:val="nil"/>
              <w:left w:val="nil"/>
              <w:bottom w:val="single" w:sz="4" w:space="0" w:color="293F5B"/>
              <w:right w:val="nil"/>
            </w:tcBorders>
            <w:shd w:val="clear" w:color="000000" w:fill="FFFFFF"/>
            <w:noWrap/>
            <w:vAlign w:val="center"/>
            <w:hideMark/>
          </w:tcPr>
          <w:p w14:paraId="7A6EE31C"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$b</w:t>
            </w:r>
          </w:p>
        </w:tc>
        <w:tc>
          <w:tcPr>
            <w:tcW w:w="478" w:type="pct"/>
            <w:tcBorders>
              <w:top w:val="nil"/>
              <w:left w:val="nil"/>
              <w:bottom w:val="single" w:sz="4" w:space="0" w:color="293F5B"/>
              <w:right w:val="nil"/>
            </w:tcBorders>
            <w:shd w:val="clear" w:color="000000" w:fill="FFFFFF"/>
            <w:noWrap/>
            <w:vAlign w:val="center"/>
            <w:hideMark/>
          </w:tcPr>
          <w:p w14:paraId="0B0B9586"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GDP</w:t>
            </w:r>
          </w:p>
        </w:tc>
      </w:tr>
      <w:tr w:rsidR="00DB4911" w:rsidRPr="00954D98" w14:paraId="6CF1B329"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35CA8BF7" w14:textId="77777777" w:rsidR="00DB4911" w:rsidRPr="00954D98" w:rsidRDefault="00DB4911" w:rsidP="00DB4911">
            <w:pPr>
              <w:spacing w:before="0" w:after="0" w:line="240" w:lineRule="auto"/>
              <w:rPr>
                <w:rFonts w:ascii="Arial" w:hAnsi="Arial" w:cs="Arial"/>
                <w:b/>
                <w:color w:val="FFFF00"/>
                <w:sz w:val="16"/>
                <w:szCs w:val="16"/>
              </w:rPr>
            </w:pPr>
            <w:r w:rsidRPr="00954D98">
              <w:rPr>
                <w:rFonts w:ascii="Arial" w:hAnsi="Arial" w:cs="Arial"/>
                <w:b/>
                <w:sz w:val="16"/>
                <w:szCs w:val="16"/>
              </w:rPr>
              <w:t>Financial assets</w:t>
            </w:r>
          </w:p>
        </w:tc>
        <w:tc>
          <w:tcPr>
            <w:tcW w:w="478" w:type="pct"/>
            <w:tcBorders>
              <w:top w:val="nil"/>
              <w:left w:val="nil"/>
              <w:bottom w:val="nil"/>
              <w:right w:val="nil"/>
            </w:tcBorders>
            <w:shd w:val="clear" w:color="000000" w:fill="E6F2FF"/>
            <w:noWrap/>
            <w:vAlign w:val="center"/>
            <w:hideMark/>
          </w:tcPr>
          <w:p w14:paraId="36685886"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E6F2FF"/>
            <w:noWrap/>
            <w:vAlign w:val="center"/>
            <w:hideMark/>
          </w:tcPr>
          <w:p w14:paraId="5C18E5B1"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noWrap/>
            <w:vAlign w:val="center"/>
            <w:hideMark/>
          </w:tcPr>
          <w:p w14:paraId="4230AF69" w14:textId="77777777" w:rsidR="00DB4911" w:rsidRPr="00954D98" w:rsidRDefault="00DB4911" w:rsidP="00DB4911">
            <w:pPr>
              <w:spacing w:before="0" w:after="0" w:line="240" w:lineRule="auto"/>
              <w:jc w:val="right"/>
              <w:rPr>
                <w:rFonts w:ascii="Arial" w:hAnsi="Arial" w:cs="Arial"/>
                <w:color w:val="FFFF00"/>
                <w:sz w:val="16"/>
                <w:szCs w:val="16"/>
              </w:rPr>
            </w:pPr>
          </w:p>
        </w:tc>
        <w:tc>
          <w:tcPr>
            <w:tcW w:w="478" w:type="pct"/>
            <w:tcBorders>
              <w:top w:val="nil"/>
              <w:left w:val="nil"/>
              <w:bottom w:val="nil"/>
              <w:right w:val="nil"/>
            </w:tcBorders>
            <w:shd w:val="clear" w:color="000000" w:fill="FFFFFF"/>
            <w:noWrap/>
            <w:vAlign w:val="center"/>
            <w:hideMark/>
          </w:tcPr>
          <w:p w14:paraId="60C62F80"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noWrap/>
            <w:vAlign w:val="center"/>
            <w:hideMark/>
          </w:tcPr>
          <w:p w14:paraId="2E1931F8" w14:textId="77777777" w:rsidR="00DB4911" w:rsidRPr="00954D98" w:rsidRDefault="00DB4911" w:rsidP="00DB4911">
            <w:pPr>
              <w:spacing w:before="0" w:after="0" w:line="240" w:lineRule="auto"/>
              <w:jc w:val="right"/>
              <w:rPr>
                <w:rFonts w:ascii="Arial" w:hAnsi="Arial" w:cs="Arial"/>
                <w:color w:val="FFFF00"/>
                <w:sz w:val="16"/>
                <w:szCs w:val="16"/>
              </w:rPr>
            </w:pPr>
          </w:p>
        </w:tc>
        <w:tc>
          <w:tcPr>
            <w:tcW w:w="478" w:type="pct"/>
            <w:tcBorders>
              <w:top w:val="nil"/>
              <w:left w:val="nil"/>
              <w:bottom w:val="nil"/>
              <w:right w:val="nil"/>
            </w:tcBorders>
            <w:shd w:val="clear" w:color="000000" w:fill="FFFFFF"/>
            <w:noWrap/>
            <w:vAlign w:val="center"/>
            <w:hideMark/>
          </w:tcPr>
          <w:p w14:paraId="179EC339"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26" w:type="pct"/>
            <w:tcBorders>
              <w:top w:val="nil"/>
              <w:left w:val="nil"/>
              <w:bottom w:val="nil"/>
              <w:right w:val="nil"/>
            </w:tcBorders>
            <w:noWrap/>
            <w:vAlign w:val="center"/>
            <w:hideMark/>
          </w:tcPr>
          <w:p w14:paraId="40B42A2A" w14:textId="77777777" w:rsidR="00DB4911" w:rsidRPr="00954D98" w:rsidRDefault="00DB4911" w:rsidP="00DB4911">
            <w:pPr>
              <w:spacing w:before="0" w:after="0" w:line="240" w:lineRule="auto"/>
              <w:jc w:val="right"/>
              <w:rPr>
                <w:rFonts w:ascii="Arial" w:hAnsi="Arial" w:cs="Arial"/>
                <w:color w:val="FFFF00"/>
                <w:sz w:val="16"/>
                <w:szCs w:val="16"/>
              </w:rPr>
            </w:pPr>
          </w:p>
        </w:tc>
        <w:tc>
          <w:tcPr>
            <w:tcW w:w="478" w:type="pct"/>
            <w:tcBorders>
              <w:top w:val="nil"/>
              <w:left w:val="nil"/>
              <w:bottom w:val="nil"/>
              <w:right w:val="nil"/>
            </w:tcBorders>
            <w:shd w:val="clear" w:color="000000" w:fill="FFFFFF"/>
            <w:noWrap/>
            <w:vAlign w:val="center"/>
            <w:hideMark/>
          </w:tcPr>
          <w:p w14:paraId="5AC25989"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w:t>
            </w:r>
          </w:p>
        </w:tc>
      </w:tr>
      <w:tr w:rsidR="00DB4911" w:rsidRPr="00954D98" w14:paraId="64CF96BD"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0F73164C" w14:textId="77777777" w:rsidR="00DB4911" w:rsidRPr="00954D98" w:rsidRDefault="00DB4911" w:rsidP="00DB4911">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MYEFO</w:t>
            </w:r>
          </w:p>
        </w:tc>
        <w:tc>
          <w:tcPr>
            <w:tcW w:w="478" w:type="pct"/>
            <w:tcBorders>
              <w:top w:val="nil"/>
              <w:left w:val="nil"/>
              <w:bottom w:val="nil"/>
              <w:right w:val="nil"/>
            </w:tcBorders>
            <w:shd w:val="clear" w:color="000000" w:fill="E6F2FF"/>
            <w:noWrap/>
            <w:vAlign w:val="center"/>
            <w:hideMark/>
          </w:tcPr>
          <w:p w14:paraId="4D2B1263"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688.3</w:t>
            </w:r>
          </w:p>
        </w:tc>
        <w:tc>
          <w:tcPr>
            <w:tcW w:w="478" w:type="pct"/>
            <w:tcBorders>
              <w:top w:val="nil"/>
              <w:left w:val="nil"/>
              <w:bottom w:val="nil"/>
              <w:right w:val="nil"/>
            </w:tcBorders>
            <w:shd w:val="clear" w:color="000000" w:fill="E6F2FF"/>
            <w:noWrap/>
            <w:vAlign w:val="center"/>
            <w:hideMark/>
          </w:tcPr>
          <w:p w14:paraId="086D4353"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23.5</w:t>
            </w:r>
          </w:p>
        </w:tc>
        <w:tc>
          <w:tcPr>
            <w:tcW w:w="478" w:type="pct"/>
            <w:tcBorders>
              <w:top w:val="nil"/>
              <w:left w:val="nil"/>
              <w:bottom w:val="nil"/>
              <w:right w:val="nil"/>
            </w:tcBorders>
            <w:shd w:val="clear" w:color="000000" w:fill="FFFFFF"/>
            <w:noWrap/>
            <w:vAlign w:val="center"/>
            <w:hideMark/>
          </w:tcPr>
          <w:p w14:paraId="62BC7515"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735.1</w:t>
            </w:r>
          </w:p>
        </w:tc>
        <w:tc>
          <w:tcPr>
            <w:tcW w:w="478" w:type="pct"/>
            <w:tcBorders>
              <w:top w:val="nil"/>
              <w:left w:val="nil"/>
              <w:bottom w:val="nil"/>
              <w:right w:val="nil"/>
            </w:tcBorders>
            <w:shd w:val="clear" w:color="000000" w:fill="FFFFFF"/>
            <w:noWrap/>
            <w:vAlign w:val="center"/>
            <w:hideMark/>
          </w:tcPr>
          <w:p w14:paraId="72E48DBA"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24.4</w:t>
            </w:r>
          </w:p>
        </w:tc>
        <w:tc>
          <w:tcPr>
            <w:tcW w:w="478" w:type="pct"/>
            <w:tcBorders>
              <w:top w:val="nil"/>
              <w:left w:val="nil"/>
              <w:bottom w:val="nil"/>
              <w:right w:val="nil"/>
            </w:tcBorders>
            <w:shd w:val="clear" w:color="000000" w:fill="FFFFFF"/>
            <w:noWrap/>
            <w:vAlign w:val="center"/>
            <w:hideMark/>
          </w:tcPr>
          <w:p w14:paraId="451E1660"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781.0</w:t>
            </w:r>
          </w:p>
        </w:tc>
        <w:tc>
          <w:tcPr>
            <w:tcW w:w="478" w:type="pct"/>
            <w:tcBorders>
              <w:top w:val="nil"/>
              <w:left w:val="nil"/>
              <w:bottom w:val="nil"/>
              <w:right w:val="nil"/>
            </w:tcBorders>
            <w:shd w:val="clear" w:color="000000" w:fill="FFFFFF"/>
            <w:noWrap/>
            <w:vAlign w:val="center"/>
            <w:hideMark/>
          </w:tcPr>
          <w:p w14:paraId="2E4D39D1"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24.7</w:t>
            </w:r>
          </w:p>
        </w:tc>
        <w:tc>
          <w:tcPr>
            <w:tcW w:w="526" w:type="pct"/>
            <w:tcBorders>
              <w:top w:val="nil"/>
              <w:left w:val="nil"/>
              <w:bottom w:val="nil"/>
              <w:right w:val="nil"/>
            </w:tcBorders>
            <w:shd w:val="clear" w:color="000000" w:fill="FFFFFF"/>
            <w:noWrap/>
            <w:vAlign w:val="center"/>
            <w:hideMark/>
          </w:tcPr>
          <w:p w14:paraId="63AFD1B4"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827.8</w:t>
            </w:r>
          </w:p>
        </w:tc>
        <w:tc>
          <w:tcPr>
            <w:tcW w:w="478" w:type="pct"/>
            <w:tcBorders>
              <w:top w:val="nil"/>
              <w:left w:val="nil"/>
              <w:bottom w:val="nil"/>
              <w:right w:val="nil"/>
            </w:tcBorders>
            <w:shd w:val="clear" w:color="000000" w:fill="FFFFFF"/>
            <w:noWrap/>
            <w:vAlign w:val="center"/>
            <w:hideMark/>
          </w:tcPr>
          <w:p w14:paraId="6B0CCADE"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24.8</w:t>
            </w:r>
          </w:p>
        </w:tc>
      </w:tr>
      <w:tr w:rsidR="00DB4911" w:rsidRPr="00954D98" w14:paraId="4105CB3A"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0AD6C6AD"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PEFO</w:t>
            </w:r>
          </w:p>
        </w:tc>
        <w:tc>
          <w:tcPr>
            <w:tcW w:w="478" w:type="pct"/>
            <w:tcBorders>
              <w:top w:val="nil"/>
              <w:left w:val="nil"/>
              <w:bottom w:val="nil"/>
              <w:right w:val="nil"/>
            </w:tcBorders>
            <w:shd w:val="clear" w:color="000000" w:fill="E6F2FF"/>
            <w:noWrap/>
            <w:vAlign w:val="center"/>
            <w:hideMark/>
          </w:tcPr>
          <w:p w14:paraId="6C90918B"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677.5</w:t>
            </w:r>
          </w:p>
        </w:tc>
        <w:tc>
          <w:tcPr>
            <w:tcW w:w="478" w:type="pct"/>
            <w:tcBorders>
              <w:top w:val="nil"/>
              <w:left w:val="nil"/>
              <w:bottom w:val="nil"/>
              <w:right w:val="nil"/>
            </w:tcBorders>
            <w:shd w:val="clear" w:color="000000" w:fill="E6F2FF"/>
            <w:noWrap/>
            <w:vAlign w:val="center"/>
            <w:hideMark/>
          </w:tcPr>
          <w:p w14:paraId="012C7244"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23.5</w:t>
            </w:r>
          </w:p>
        </w:tc>
        <w:tc>
          <w:tcPr>
            <w:tcW w:w="478" w:type="pct"/>
            <w:tcBorders>
              <w:top w:val="nil"/>
              <w:left w:val="nil"/>
              <w:bottom w:val="nil"/>
              <w:right w:val="nil"/>
            </w:tcBorders>
            <w:shd w:val="clear" w:color="000000" w:fill="FFFFFF"/>
            <w:noWrap/>
            <w:vAlign w:val="center"/>
            <w:hideMark/>
          </w:tcPr>
          <w:p w14:paraId="21285C6B"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715.0</w:t>
            </w:r>
          </w:p>
        </w:tc>
        <w:tc>
          <w:tcPr>
            <w:tcW w:w="478" w:type="pct"/>
            <w:tcBorders>
              <w:top w:val="nil"/>
              <w:left w:val="nil"/>
              <w:bottom w:val="nil"/>
              <w:right w:val="nil"/>
            </w:tcBorders>
            <w:shd w:val="clear" w:color="000000" w:fill="FFFFFF"/>
            <w:noWrap/>
            <w:vAlign w:val="center"/>
            <w:hideMark/>
          </w:tcPr>
          <w:p w14:paraId="246E33D0"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23.9</w:t>
            </w:r>
          </w:p>
        </w:tc>
        <w:tc>
          <w:tcPr>
            <w:tcW w:w="478" w:type="pct"/>
            <w:tcBorders>
              <w:top w:val="nil"/>
              <w:left w:val="nil"/>
              <w:bottom w:val="nil"/>
              <w:right w:val="nil"/>
            </w:tcBorders>
            <w:shd w:val="clear" w:color="000000" w:fill="FFFFFF"/>
            <w:noWrap/>
            <w:vAlign w:val="center"/>
            <w:hideMark/>
          </w:tcPr>
          <w:p w14:paraId="32C687B8"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752.9</w:t>
            </w:r>
          </w:p>
        </w:tc>
        <w:tc>
          <w:tcPr>
            <w:tcW w:w="478" w:type="pct"/>
            <w:tcBorders>
              <w:top w:val="nil"/>
              <w:left w:val="nil"/>
              <w:bottom w:val="nil"/>
              <w:right w:val="nil"/>
            </w:tcBorders>
            <w:shd w:val="clear" w:color="000000" w:fill="FFFFFF"/>
            <w:noWrap/>
            <w:vAlign w:val="center"/>
            <w:hideMark/>
          </w:tcPr>
          <w:p w14:paraId="0551752D"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23.9</w:t>
            </w:r>
          </w:p>
        </w:tc>
        <w:tc>
          <w:tcPr>
            <w:tcW w:w="526" w:type="pct"/>
            <w:tcBorders>
              <w:top w:val="nil"/>
              <w:left w:val="nil"/>
              <w:bottom w:val="nil"/>
              <w:right w:val="nil"/>
            </w:tcBorders>
            <w:shd w:val="clear" w:color="000000" w:fill="FFFFFF"/>
            <w:noWrap/>
            <w:vAlign w:val="center"/>
            <w:hideMark/>
          </w:tcPr>
          <w:p w14:paraId="2108FA95"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789.2</w:t>
            </w:r>
          </w:p>
        </w:tc>
        <w:tc>
          <w:tcPr>
            <w:tcW w:w="478" w:type="pct"/>
            <w:tcBorders>
              <w:top w:val="nil"/>
              <w:left w:val="nil"/>
              <w:bottom w:val="nil"/>
              <w:right w:val="nil"/>
            </w:tcBorders>
            <w:shd w:val="clear" w:color="000000" w:fill="FFFFFF"/>
            <w:noWrap/>
            <w:vAlign w:val="center"/>
            <w:hideMark/>
          </w:tcPr>
          <w:p w14:paraId="7081DCF0"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23.8</w:t>
            </w:r>
          </w:p>
        </w:tc>
      </w:tr>
      <w:tr w:rsidR="00DB4911" w:rsidRPr="00954D98" w14:paraId="0981212D"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16523ED3"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Budget</w:t>
            </w:r>
          </w:p>
        </w:tc>
        <w:tc>
          <w:tcPr>
            <w:tcW w:w="478" w:type="pct"/>
            <w:tcBorders>
              <w:top w:val="nil"/>
              <w:left w:val="nil"/>
              <w:bottom w:val="nil"/>
              <w:right w:val="nil"/>
            </w:tcBorders>
            <w:shd w:val="clear" w:color="000000" w:fill="E6F2FF"/>
            <w:noWrap/>
            <w:vAlign w:val="center"/>
            <w:hideMark/>
          </w:tcPr>
          <w:p w14:paraId="6C40D474"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677.8</w:t>
            </w:r>
          </w:p>
        </w:tc>
        <w:tc>
          <w:tcPr>
            <w:tcW w:w="478" w:type="pct"/>
            <w:tcBorders>
              <w:top w:val="nil"/>
              <w:left w:val="nil"/>
              <w:bottom w:val="nil"/>
              <w:right w:val="nil"/>
            </w:tcBorders>
            <w:shd w:val="clear" w:color="000000" w:fill="E6F2FF"/>
            <w:noWrap/>
            <w:vAlign w:val="center"/>
            <w:hideMark/>
          </w:tcPr>
          <w:p w14:paraId="0E236200"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23.5</w:t>
            </w:r>
          </w:p>
        </w:tc>
        <w:tc>
          <w:tcPr>
            <w:tcW w:w="478" w:type="pct"/>
            <w:tcBorders>
              <w:top w:val="nil"/>
              <w:left w:val="nil"/>
              <w:bottom w:val="nil"/>
              <w:right w:val="nil"/>
            </w:tcBorders>
            <w:shd w:val="clear" w:color="000000" w:fill="FFFFFF"/>
            <w:noWrap/>
            <w:vAlign w:val="center"/>
            <w:hideMark/>
          </w:tcPr>
          <w:p w14:paraId="7E735737"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715.0</w:t>
            </w:r>
          </w:p>
        </w:tc>
        <w:tc>
          <w:tcPr>
            <w:tcW w:w="478" w:type="pct"/>
            <w:tcBorders>
              <w:top w:val="nil"/>
              <w:left w:val="nil"/>
              <w:bottom w:val="nil"/>
              <w:right w:val="nil"/>
            </w:tcBorders>
            <w:shd w:val="clear" w:color="000000" w:fill="FFFFFF"/>
            <w:noWrap/>
            <w:vAlign w:val="center"/>
            <w:hideMark/>
          </w:tcPr>
          <w:p w14:paraId="29E5C22E"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23.9</w:t>
            </w:r>
          </w:p>
        </w:tc>
        <w:tc>
          <w:tcPr>
            <w:tcW w:w="478" w:type="pct"/>
            <w:tcBorders>
              <w:top w:val="nil"/>
              <w:left w:val="nil"/>
              <w:bottom w:val="nil"/>
              <w:right w:val="nil"/>
            </w:tcBorders>
            <w:shd w:val="clear" w:color="000000" w:fill="FFFFFF"/>
            <w:noWrap/>
            <w:vAlign w:val="center"/>
            <w:hideMark/>
          </w:tcPr>
          <w:p w14:paraId="6E573972"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752.7</w:t>
            </w:r>
          </w:p>
        </w:tc>
        <w:tc>
          <w:tcPr>
            <w:tcW w:w="478" w:type="pct"/>
            <w:tcBorders>
              <w:top w:val="nil"/>
              <w:left w:val="nil"/>
              <w:bottom w:val="nil"/>
              <w:right w:val="nil"/>
            </w:tcBorders>
            <w:shd w:val="clear" w:color="000000" w:fill="FFFFFF"/>
            <w:noWrap/>
            <w:vAlign w:val="center"/>
            <w:hideMark/>
          </w:tcPr>
          <w:p w14:paraId="2343C958"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23.9</w:t>
            </w:r>
          </w:p>
        </w:tc>
        <w:tc>
          <w:tcPr>
            <w:tcW w:w="526" w:type="pct"/>
            <w:tcBorders>
              <w:top w:val="nil"/>
              <w:left w:val="nil"/>
              <w:bottom w:val="nil"/>
              <w:right w:val="nil"/>
            </w:tcBorders>
            <w:shd w:val="clear" w:color="000000" w:fill="FFFFFF"/>
            <w:noWrap/>
            <w:vAlign w:val="center"/>
            <w:hideMark/>
          </w:tcPr>
          <w:p w14:paraId="7A90036A"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789.2</w:t>
            </w:r>
          </w:p>
        </w:tc>
        <w:tc>
          <w:tcPr>
            <w:tcW w:w="478" w:type="pct"/>
            <w:tcBorders>
              <w:top w:val="nil"/>
              <w:left w:val="nil"/>
              <w:bottom w:val="nil"/>
              <w:right w:val="nil"/>
            </w:tcBorders>
            <w:shd w:val="clear" w:color="000000" w:fill="FFFFFF"/>
            <w:noWrap/>
            <w:vAlign w:val="center"/>
            <w:hideMark/>
          </w:tcPr>
          <w:p w14:paraId="01E00088"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23.8</w:t>
            </w:r>
          </w:p>
        </w:tc>
      </w:tr>
      <w:tr w:rsidR="00DB4911" w:rsidRPr="00954D98" w14:paraId="09535446"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39E25E91" w14:textId="77777777" w:rsidR="00DB4911" w:rsidRPr="00954D98" w:rsidRDefault="00DB4911" w:rsidP="00DB4911">
            <w:pPr>
              <w:spacing w:before="0" w:after="0" w:line="240" w:lineRule="auto"/>
              <w:rPr>
                <w:rFonts w:ascii="Arial" w:hAnsi="Arial" w:cs="Arial"/>
                <w:b/>
                <w:color w:val="FFFF00"/>
                <w:sz w:val="16"/>
                <w:szCs w:val="16"/>
              </w:rPr>
            </w:pPr>
            <w:r w:rsidRPr="00954D98">
              <w:rPr>
                <w:rFonts w:ascii="Arial" w:hAnsi="Arial" w:cs="Arial"/>
                <w:b/>
                <w:sz w:val="16"/>
                <w:szCs w:val="16"/>
              </w:rPr>
              <w:t>Non-financial assets</w:t>
            </w:r>
          </w:p>
        </w:tc>
        <w:tc>
          <w:tcPr>
            <w:tcW w:w="478" w:type="pct"/>
            <w:tcBorders>
              <w:top w:val="nil"/>
              <w:left w:val="nil"/>
              <w:bottom w:val="nil"/>
              <w:right w:val="nil"/>
            </w:tcBorders>
            <w:shd w:val="clear" w:color="000000" w:fill="E6F2FF"/>
            <w:noWrap/>
            <w:vAlign w:val="center"/>
            <w:hideMark/>
          </w:tcPr>
          <w:p w14:paraId="3C52B962"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E6F2FF"/>
            <w:noWrap/>
            <w:vAlign w:val="center"/>
            <w:hideMark/>
          </w:tcPr>
          <w:p w14:paraId="4C9EB18D"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noWrap/>
            <w:vAlign w:val="center"/>
            <w:hideMark/>
          </w:tcPr>
          <w:p w14:paraId="7F0E5CF7" w14:textId="77777777" w:rsidR="00DB4911" w:rsidRPr="00954D98" w:rsidRDefault="00DB4911" w:rsidP="00DB4911">
            <w:pPr>
              <w:spacing w:before="0" w:after="0" w:line="240" w:lineRule="auto"/>
              <w:jc w:val="right"/>
              <w:rPr>
                <w:rFonts w:ascii="Arial" w:hAnsi="Arial" w:cs="Arial"/>
                <w:color w:val="FFFF00"/>
                <w:sz w:val="16"/>
                <w:szCs w:val="16"/>
              </w:rPr>
            </w:pPr>
          </w:p>
        </w:tc>
        <w:tc>
          <w:tcPr>
            <w:tcW w:w="478" w:type="pct"/>
            <w:tcBorders>
              <w:top w:val="nil"/>
              <w:left w:val="nil"/>
              <w:bottom w:val="nil"/>
              <w:right w:val="nil"/>
            </w:tcBorders>
            <w:shd w:val="clear" w:color="000000" w:fill="FFFFFF"/>
            <w:noWrap/>
            <w:vAlign w:val="center"/>
            <w:hideMark/>
          </w:tcPr>
          <w:p w14:paraId="65115B67"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noWrap/>
            <w:vAlign w:val="center"/>
            <w:hideMark/>
          </w:tcPr>
          <w:p w14:paraId="65EC5901" w14:textId="77777777" w:rsidR="00DB4911" w:rsidRPr="00954D98" w:rsidRDefault="00DB4911" w:rsidP="00DB4911">
            <w:pPr>
              <w:spacing w:before="0" w:after="0" w:line="240" w:lineRule="auto"/>
              <w:jc w:val="right"/>
              <w:rPr>
                <w:rFonts w:ascii="Arial" w:hAnsi="Arial" w:cs="Arial"/>
                <w:color w:val="FFFF00"/>
                <w:sz w:val="16"/>
                <w:szCs w:val="16"/>
              </w:rPr>
            </w:pPr>
          </w:p>
        </w:tc>
        <w:tc>
          <w:tcPr>
            <w:tcW w:w="478" w:type="pct"/>
            <w:tcBorders>
              <w:top w:val="nil"/>
              <w:left w:val="nil"/>
              <w:bottom w:val="nil"/>
              <w:right w:val="nil"/>
            </w:tcBorders>
            <w:shd w:val="clear" w:color="000000" w:fill="FFFFFF"/>
            <w:noWrap/>
            <w:vAlign w:val="center"/>
            <w:hideMark/>
          </w:tcPr>
          <w:p w14:paraId="371F6C5B"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26" w:type="pct"/>
            <w:tcBorders>
              <w:top w:val="nil"/>
              <w:left w:val="nil"/>
              <w:bottom w:val="nil"/>
              <w:right w:val="nil"/>
            </w:tcBorders>
            <w:noWrap/>
            <w:vAlign w:val="center"/>
            <w:hideMark/>
          </w:tcPr>
          <w:p w14:paraId="4B8CB59A" w14:textId="77777777" w:rsidR="00DB4911" w:rsidRPr="00954D98" w:rsidRDefault="00DB4911" w:rsidP="00DB4911">
            <w:pPr>
              <w:spacing w:before="0" w:after="0" w:line="240" w:lineRule="auto"/>
              <w:jc w:val="right"/>
              <w:rPr>
                <w:rFonts w:ascii="Arial" w:hAnsi="Arial" w:cs="Arial"/>
                <w:color w:val="FFFF00"/>
                <w:sz w:val="16"/>
                <w:szCs w:val="16"/>
              </w:rPr>
            </w:pPr>
          </w:p>
        </w:tc>
        <w:tc>
          <w:tcPr>
            <w:tcW w:w="478" w:type="pct"/>
            <w:tcBorders>
              <w:top w:val="nil"/>
              <w:left w:val="nil"/>
              <w:bottom w:val="nil"/>
              <w:right w:val="nil"/>
            </w:tcBorders>
            <w:shd w:val="clear" w:color="000000" w:fill="FFFFFF"/>
            <w:noWrap/>
            <w:vAlign w:val="center"/>
            <w:hideMark/>
          </w:tcPr>
          <w:p w14:paraId="701FA6EA"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w:t>
            </w:r>
          </w:p>
        </w:tc>
      </w:tr>
      <w:tr w:rsidR="00DB4911" w:rsidRPr="00954D98" w14:paraId="3DD8A390"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5CD4BF3E" w14:textId="77777777" w:rsidR="00DB4911" w:rsidRPr="00954D98" w:rsidRDefault="00DB4911" w:rsidP="00DB4911">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MYEFO</w:t>
            </w:r>
          </w:p>
        </w:tc>
        <w:tc>
          <w:tcPr>
            <w:tcW w:w="478" w:type="pct"/>
            <w:tcBorders>
              <w:top w:val="nil"/>
              <w:left w:val="nil"/>
              <w:bottom w:val="nil"/>
              <w:right w:val="nil"/>
            </w:tcBorders>
            <w:shd w:val="clear" w:color="000000" w:fill="E6F2FF"/>
            <w:noWrap/>
            <w:vAlign w:val="center"/>
            <w:hideMark/>
          </w:tcPr>
          <w:p w14:paraId="68B9A81B"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237.4</w:t>
            </w:r>
          </w:p>
        </w:tc>
        <w:tc>
          <w:tcPr>
            <w:tcW w:w="478" w:type="pct"/>
            <w:tcBorders>
              <w:top w:val="nil"/>
              <w:left w:val="nil"/>
              <w:bottom w:val="nil"/>
              <w:right w:val="nil"/>
            </w:tcBorders>
            <w:shd w:val="clear" w:color="000000" w:fill="E6F2FF"/>
            <w:noWrap/>
            <w:vAlign w:val="center"/>
            <w:hideMark/>
          </w:tcPr>
          <w:p w14:paraId="3572F3F1"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8.1</w:t>
            </w:r>
          </w:p>
        </w:tc>
        <w:tc>
          <w:tcPr>
            <w:tcW w:w="478" w:type="pct"/>
            <w:tcBorders>
              <w:top w:val="nil"/>
              <w:left w:val="nil"/>
              <w:bottom w:val="nil"/>
              <w:right w:val="nil"/>
            </w:tcBorders>
            <w:shd w:val="clear" w:color="000000" w:fill="FFFFFF"/>
            <w:noWrap/>
            <w:vAlign w:val="center"/>
            <w:hideMark/>
          </w:tcPr>
          <w:p w14:paraId="1605401E"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246.8</w:t>
            </w:r>
          </w:p>
        </w:tc>
        <w:tc>
          <w:tcPr>
            <w:tcW w:w="478" w:type="pct"/>
            <w:tcBorders>
              <w:top w:val="nil"/>
              <w:left w:val="nil"/>
              <w:bottom w:val="nil"/>
              <w:right w:val="nil"/>
            </w:tcBorders>
            <w:shd w:val="clear" w:color="000000" w:fill="FFFFFF"/>
            <w:noWrap/>
            <w:vAlign w:val="center"/>
            <w:hideMark/>
          </w:tcPr>
          <w:p w14:paraId="62797106"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8.2</w:t>
            </w:r>
          </w:p>
        </w:tc>
        <w:tc>
          <w:tcPr>
            <w:tcW w:w="478" w:type="pct"/>
            <w:tcBorders>
              <w:top w:val="nil"/>
              <w:left w:val="nil"/>
              <w:bottom w:val="nil"/>
              <w:right w:val="nil"/>
            </w:tcBorders>
            <w:shd w:val="clear" w:color="000000" w:fill="FFFFFF"/>
            <w:noWrap/>
            <w:vAlign w:val="center"/>
            <w:hideMark/>
          </w:tcPr>
          <w:p w14:paraId="67F1E0DF"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257.3</w:t>
            </w:r>
          </w:p>
        </w:tc>
        <w:tc>
          <w:tcPr>
            <w:tcW w:w="478" w:type="pct"/>
            <w:tcBorders>
              <w:top w:val="nil"/>
              <w:left w:val="nil"/>
              <w:bottom w:val="nil"/>
              <w:right w:val="nil"/>
            </w:tcBorders>
            <w:shd w:val="clear" w:color="000000" w:fill="FFFFFF"/>
            <w:noWrap/>
            <w:vAlign w:val="center"/>
            <w:hideMark/>
          </w:tcPr>
          <w:p w14:paraId="454CC838"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8.1</w:t>
            </w:r>
          </w:p>
        </w:tc>
        <w:tc>
          <w:tcPr>
            <w:tcW w:w="526" w:type="pct"/>
            <w:tcBorders>
              <w:top w:val="nil"/>
              <w:left w:val="nil"/>
              <w:bottom w:val="nil"/>
              <w:right w:val="nil"/>
            </w:tcBorders>
            <w:shd w:val="clear" w:color="000000" w:fill="FFFFFF"/>
            <w:noWrap/>
            <w:vAlign w:val="center"/>
            <w:hideMark/>
          </w:tcPr>
          <w:p w14:paraId="2DA9D3D4"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267.2</w:t>
            </w:r>
          </w:p>
        </w:tc>
        <w:tc>
          <w:tcPr>
            <w:tcW w:w="478" w:type="pct"/>
            <w:tcBorders>
              <w:top w:val="nil"/>
              <w:left w:val="nil"/>
              <w:bottom w:val="nil"/>
              <w:right w:val="nil"/>
            </w:tcBorders>
            <w:shd w:val="clear" w:color="000000" w:fill="FFFFFF"/>
            <w:noWrap/>
            <w:vAlign w:val="center"/>
            <w:hideMark/>
          </w:tcPr>
          <w:p w14:paraId="67302A6E"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8.0</w:t>
            </w:r>
          </w:p>
        </w:tc>
      </w:tr>
      <w:tr w:rsidR="00DB4911" w:rsidRPr="00954D98" w14:paraId="7CA90129"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3B07B0D7"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PEFO</w:t>
            </w:r>
          </w:p>
        </w:tc>
        <w:tc>
          <w:tcPr>
            <w:tcW w:w="478" w:type="pct"/>
            <w:tcBorders>
              <w:top w:val="nil"/>
              <w:left w:val="nil"/>
              <w:bottom w:val="nil"/>
              <w:right w:val="nil"/>
            </w:tcBorders>
            <w:shd w:val="clear" w:color="000000" w:fill="E6F2FF"/>
            <w:noWrap/>
            <w:vAlign w:val="center"/>
            <w:hideMark/>
          </w:tcPr>
          <w:p w14:paraId="311806AB"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228.3</w:t>
            </w:r>
          </w:p>
        </w:tc>
        <w:tc>
          <w:tcPr>
            <w:tcW w:w="478" w:type="pct"/>
            <w:tcBorders>
              <w:top w:val="nil"/>
              <w:left w:val="nil"/>
              <w:bottom w:val="nil"/>
              <w:right w:val="nil"/>
            </w:tcBorders>
            <w:shd w:val="clear" w:color="000000" w:fill="E6F2FF"/>
            <w:noWrap/>
            <w:vAlign w:val="center"/>
            <w:hideMark/>
          </w:tcPr>
          <w:p w14:paraId="01C48A71"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7.9</w:t>
            </w:r>
          </w:p>
        </w:tc>
        <w:tc>
          <w:tcPr>
            <w:tcW w:w="478" w:type="pct"/>
            <w:tcBorders>
              <w:top w:val="nil"/>
              <w:left w:val="nil"/>
              <w:bottom w:val="nil"/>
              <w:right w:val="nil"/>
            </w:tcBorders>
            <w:shd w:val="clear" w:color="000000" w:fill="FFFFFF"/>
            <w:noWrap/>
            <w:vAlign w:val="center"/>
            <w:hideMark/>
          </w:tcPr>
          <w:p w14:paraId="6BFFCCFE"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236.4</w:t>
            </w:r>
          </w:p>
        </w:tc>
        <w:tc>
          <w:tcPr>
            <w:tcW w:w="478" w:type="pct"/>
            <w:tcBorders>
              <w:top w:val="nil"/>
              <w:left w:val="nil"/>
              <w:bottom w:val="nil"/>
              <w:right w:val="nil"/>
            </w:tcBorders>
            <w:shd w:val="clear" w:color="000000" w:fill="FFFFFF"/>
            <w:noWrap/>
            <w:vAlign w:val="center"/>
            <w:hideMark/>
          </w:tcPr>
          <w:p w14:paraId="4F68121A"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7.9</w:t>
            </w:r>
          </w:p>
        </w:tc>
        <w:tc>
          <w:tcPr>
            <w:tcW w:w="478" w:type="pct"/>
            <w:tcBorders>
              <w:top w:val="nil"/>
              <w:left w:val="nil"/>
              <w:bottom w:val="nil"/>
              <w:right w:val="nil"/>
            </w:tcBorders>
            <w:shd w:val="clear" w:color="000000" w:fill="FFFFFF"/>
            <w:noWrap/>
            <w:vAlign w:val="center"/>
            <w:hideMark/>
          </w:tcPr>
          <w:p w14:paraId="668B5A84"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247.6</w:t>
            </w:r>
          </w:p>
        </w:tc>
        <w:tc>
          <w:tcPr>
            <w:tcW w:w="478" w:type="pct"/>
            <w:tcBorders>
              <w:top w:val="nil"/>
              <w:left w:val="nil"/>
              <w:bottom w:val="nil"/>
              <w:right w:val="nil"/>
            </w:tcBorders>
            <w:shd w:val="clear" w:color="000000" w:fill="FFFFFF"/>
            <w:noWrap/>
            <w:vAlign w:val="center"/>
            <w:hideMark/>
          </w:tcPr>
          <w:p w14:paraId="0B1C6973"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7.9</w:t>
            </w:r>
          </w:p>
        </w:tc>
        <w:tc>
          <w:tcPr>
            <w:tcW w:w="526" w:type="pct"/>
            <w:tcBorders>
              <w:top w:val="nil"/>
              <w:left w:val="nil"/>
              <w:bottom w:val="nil"/>
              <w:right w:val="nil"/>
            </w:tcBorders>
            <w:shd w:val="clear" w:color="000000" w:fill="FFFFFF"/>
            <w:noWrap/>
            <w:vAlign w:val="center"/>
            <w:hideMark/>
          </w:tcPr>
          <w:p w14:paraId="5C061F0B"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257.3</w:t>
            </w:r>
          </w:p>
        </w:tc>
        <w:tc>
          <w:tcPr>
            <w:tcW w:w="478" w:type="pct"/>
            <w:tcBorders>
              <w:top w:val="nil"/>
              <w:left w:val="nil"/>
              <w:bottom w:val="nil"/>
              <w:right w:val="nil"/>
            </w:tcBorders>
            <w:shd w:val="clear" w:color="000000" w:fill="FFFFFF"/>
            <w:noWrap/>
            <w:vAlign w:val="center"/>
            <w:hideMark/>
          </w:tcPr>
          <w:p w14:paraId="71E1C0A9"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7.8</w:t>
            </w:r>
          </w:p>
        </w:tc>
      </w:tr>
      <w:tr w:rsidR="00DB4911" w:rsidRPr="00954D98" w14:paraId="4174B08C"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7A9E8624"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Budget</w:t>
            </w:r>
          </w:p>
        </w:tc>
        <w:tc>
          <w:tcPr>
            <w:tcW w:w="478" w:type="pct"/>
            <w:tcBorders>
              <w:top w:val="nil"/>
              <w:left w:val="nil"/>
              <w:bottom w:val="nil"/>
              <w:right w:val="nil"/>
            </w:tcBorders>
            <w:shd w:val="clear" w:color="000000" w:fill="E6F2FF"/>
            <w:noWrap/>
            <w:vAlign w:val="center"/>
            <w:hideMark/>
          </w:tcPr>
          <w:p w14:paraId="2E8D03D9"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228.3</w:t>
            </w:r>
          </w:p>
        </w:tc>
        <w:tc>
          <w:tcPr>
            <w:tcW w:w="478" w:type="pct"/>
            <w:tcBorders>
              <w:top w:val="nil"/>
              <w:left w:val="nil"/>
              <w:bottom w:val="nil"/>
              <w:right w:val="nil"/>
            </w:tcBorders>
            <w:shd w:val="clear" w:color="000000" w:fill="E6F2FF"/>
            <w:noWrap/>
            <w:vAlign w:val="center"/>
            <w:hideMark/>
          </w:tcPr>
          <w:p w14:paraId="72D95D8B"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7.9</w:t>
            </w:r>
          </w:p>
        </w:tc>
        <w:tc>
          <w:tcPr>
            <w:tcW w:w="478" w:type="pct"/>
            <w:tcBorders>
              <w:top w:val="nil"/>
              <w:left w:val="nil"/>
              <w:bottom w:val="nil"/>
              <w:right w:val="nil"/>
            </w:tcBorders>
            <w:shd w:val="clear" w:color="000000" w:fill="FFFFFF"/>
            <w:noWrap/>
            <w:vAlign w:val="center"/>
            <w:hideMark/>
          </w:tcPr>
          <w:p w14:paraId="17E682CD"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236.4</w:t>
            </w:r>
          </w:p>
        </w:tc>
        <w:tc>
          <w:tcPr>
            <w:tcW w:w="478" w:type="pct"/>
            <w:tcBorders>
              <w:top w:val="nil"/>
              <w:left w:val="nil"/>
              <w:bottom w:val="nil"/>
              <w:right w:val="nil"/>
            </w:tcBorders>
            <w:shd w:val="clear" w:color="000000" w:fill="FFFFFF"/>
            <w:noWrap/>
            <w:vAlign w:val="center"/>
            <w:hideMark/>
          </w:tcPr>
          <w:p w14:paraId="0134BC22"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7.9</w:t>
            </w:r>
          </w:p>
        </w:tc>
        <w:tc>
          <w:tcPr>
            <w:tcW w:w="478" w:type="pct"/>
            <w:tcBorders>
              <w:top w:val="nil"/>
              <w:left w:val="nil"/>
              <w:bottom w:val="nil"/>
              <w:right w:val="nil"/>
            </w:tcBorders>
            <w:shd w:val="clear" w:color="000000" w:fill="FFFFFF"/>
            <w:noWrap/>
            <w:vAlign w:val="center"/>
            <w:hideMark/>
          </w:tcPr>
          <w:p w14:paraId="5F2206AB"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247.6</w:t>
            </w:r>
          </w:p>
        </w:tc>
        <w:tc>
          <w:tcPr>
            <w:tcW w:w="478" w:type="pct"/>
            <w:tcBorders>
              <w:top w:val="nil"/>
              <w:left w:val="nil"/>
              <w:bottom w:val="nil"/>
              <w:right w:val="nil"/>
            </w:tcBorders>
            <w:shd w:val="clear" w:color="000000" w:fill="FFFFFF"/>
            <w:noWrap/>
            <w:vAlign w:val="center"/>
            <w:hideMark/>
          </w:tcPr>
          <w:p w14:paraId="3766AF4E"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7.9</w:t>
            </w:r>
          </w:p>
        </w:tc>
        <w:tc>
          <w:tcPr>
            <w:tcW w:w="526" w:type="pct"/>
            <w:tcBorders>
              <w:top w:val="nil"/>
              <w:left w:val="nil"/>
              <w:bottom w:val="nil"/>
              <w:right w:val="nil"/>
            </w:tcBorders>
            <w:shd w:val="clear" w:color="000000" w:fill="FFFFFF"/>
            <w:noWrap/>
            <w:vAlign w:val="center"/>
            <w:hideMark/>
          </w:tcPr>
          <w:p w14:paraId="796018D3"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257.3</w:t>
            </w:r>
          </w:p>
        </w:tc>
        <w:tc>
          <w:tcPr>
            <w:tcW w:w="478" w:type="pct"/>
            <w:tcBorders>
              <w:top w:val="nil"/>
              <w:left w:val="nil"/>
              <w:bottom w:val="nil"/>
              <w:right w:val="nil"/>
            </w:tcBorders>
            <w:shd w:val="clear" w:color="000000" w:fill="FFFFFF"/>
            <w:noWrap/>
            <w:vAlign w:val="center"/>
            <w:hideMark/>
          </w:tcPr>
          <w:p w14:paraId="76A56084"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7.8</w:t>
            </w:r>
          </w:p>
        </w:tc>
      </w:tr>
      <w:tr w:rsidR="00DB4911" w:rsidRPr="00954D98" w14:paraId="2B2CF868"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34A5C9CB" w14:textId="77777777" w:rsidR="00DB4911" w:rsidRPr="00954D98" w:rsidRDefault="00DB4911" w:rsidP="00DB4911">
            <w:pPr>
              <w:spacing w:before="0" w:after="0" w:line="240" w:lineRule="auto"/>
              <w:rPr>
                <w:rFonts w:ascii="Arial" w:hAnsi="Arial" w:cs="Arial"/>
                <w:b/>
                <w:color w:val="FFFF00"/>
                <w:sz w:val="16"/>
                <w:szCs w:val="16"/>
              </w:rPr>
            </w:pPr>
            <w:r w:rsidRPr="00954D98">
              <w:rPr>
                <w:rFonts w:ascii="Arial" w:hAnsi="Arial" w:cs="Arial"/>
                <w:b/>
                <w:sz w:val="16"/>
                <w:szCs w:val="16"/>
              </w:rPr>
              <w:t>Total assets</w:t>
            </w:r>
          </w:p>
        </w:tc>
        <w:tc>
          <w:tcPr>
            <w:tcW w:w="478" w:type="pct"/>
            <w:tcBorders>
              <w:top w:val="nil"/>
              <w:left w:val="nil"/>
              <w:bottom w:val="nil"/>
              <w:right w:val="nil"/>
            </w:tcBorders>
            <w:shd w:val="clear" w:color="000000" w:fill="E6F2FF"/>
            <w:noWrap/>
            <w:vAlign w:val="center"/>
            <w:hideMark/>
          </w:tcPr>
          <w:p w14:paraId="573B4FE7"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E6F2FF"/>
            <w:noWrap/>
            <w:vAlign w:val="center"/>
            <w:hideMark/>
          </w:tcPr>
          <w:p w14:paraId="197544FC"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noWrap/>
            <w:vAlign w:val="center"/>
            <w:hideMark/>
          </w:tcPr>
          <w:p w14:paraId="42E438E2" w14:textId="77777777" w:rsidR="00DB4911" w:rsidRPr="00954D98" w:rsidRDefault="00DB4911" w:rsidP="00DB4911">
            <w:pPr>
              <w:spacing w:before="0" w:after="0" w:line="240" w:lineRule="auto"/>
              <w:jc w:val="right"/>
              <w:rPr>
                <w:rFonts w:ascii="Arial" w:hAnsi="Arial" w:cs="Arial"/>
                <w:color w:val="FFFF00"/>
                <w:sz w:val="16"/>
                <w:szCs w:val="16"/>
              </w:rPr>
            </w:pPr>
          </w:p>
        </w:tc>
        <w:tc>
          <w:tcPr>
            <w:tcW w:w="478" w:type="pct"/>
            <w:tcBorders>
              <w:top w:val="nil"/>
              <w:left w:val="nil"/>
              <w:bottom w:val="nil"/>
              <w:right w:val="nil"/>
            </w:tcBorders>
            <w:shd w:val="clear" w:color="000000" w:fill="FFFFFF"/>
            <w:noWrap/>
            <w:vAlign w:val="center"/>
            <w:hideMark/>
          </w:tcPr>
          <w:p w14:paraId="48671EED"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noWrap/>
            <w:vAlign w:val="center"/>
            <w:hideMark/>
          </w:tcPr>
          <w:p w14:paraId="371A485C" w14:textId="77777777" w:rsidR="00DB4911" w:rsidRPr="00954D98" w:rsidRDefault="00DB4911" w:rsidP="00DB4911">
            <w:pPr>
              <w:spacing w:before="0" w:after="0" w:line="240" w:lineRule="auto"/>
              <w:jc w:val="right"/>
              <w:rPr>
                <w:rFonts w:ascii="Arial" w:hAnsi="Arial" w:cs="Arial"/>
                <w:color w:val="FFFF00"/>
                <w:sz w:val="16"/>
                <w:szCs w:val="16"/>
              </w:rPr>
            </w:pPr>
          </w:p>
        </w:tc>
        <w:tc>
          <w:tcPr>
            <w:tcW w:w="478" w:type="pct"/>
            <w:tcBorders>
              <w:top w:val="nil"/>
              <w:left w:val="nil"/>
              <w:bottom w:val="nil"/>
              <w:right w:val="nil"/>
            </w:tcBorders>
            <w:shd w:val="clear" w:color="000000" w:fill="FFFFFF"/>
            <w:noWrap/>
            <w:vAlign w:val="center"/>
            <w:hideMark/>
          </w:tcPr>
          <w:p w14:paraId="0656B83C"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26" w:type="pct"/>
            <w:tcBorders>
              <w:top w:val="nil"/>
              <w:left w:val="nil"/>
              <w:bottom w:val="nil"/>
              <w:right w:val="nil"/>
            </w:tcBorders>
            <w:noWrap/>
            <w:vAlign w:val="center"/>
            <w:hideMark/>
          </w:tcPr>
          <w:p w14:paraId="47E67BDC" w14:textId="77777777" w:rsidR="00DB4911" w:rsidRPr="00954D98" w:rsidRDefault="00DB4911" w:rsidP="00DB4911">
            <w:pPr>
              <w:spacing w:before="0" w:after="0" w:line="240" w:lineRule="auto"/>
              <w:jc w:val="right"/>
              <w:rPr>
                <w:rFonts w:ascii="Arial" w:hAnsi="Arial" w:cs="Arial"/>
                <w:color w:val="FFFF00"/>
                <w:sz w:val="16"/>
                <w:szCs w:val="16"/>
              </w:rPr>
            </w:pPr>
          </w:p>
        </w:tc>
        <w:tc>
          <w:tcPr>
            <w:tcW w:w="478" w:type="pct"/>
            <w:tcBorders>
              <w:top w:val="nil"/>
              <w:left w:val="nil"/>
              <w:bottom w:val="nil"/>
              <w:right w:val="nil"/>
            </w:tcBorders>
            <w:shd w:val="clear" w:color="000000" w:fill="FFFFFF"/>
            <w:noWrap/>
            <w:vAlign w:val="center"/>
            <w:hideMark/>
          </w:tcPr>
          <w:p w14:paraId="702A8B40"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w:t>
            </w:r>
          </w:p>
        </w:tc>
      </w:tr>
      <w:tr w:rsidR="00DB4911" w:rsidRPr="00954D98" w14:paraId="04008DCB"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774285D2" w14:textId="77777777" w:rsidR="00DB4911" w:rsidRPr="00954D98" w:rsidRDefault="00DB4911" w:rsidP="00DB4911">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MYEFO</w:t>
            </w:r>
          </w:p>
        </w:tc>
        <w:tc>
          <w:tcPr>
            <w:tcW w:w="478" w:type="pct"/>
            <w:tcBorders>
              <w:top w:val="nil"/>
              <w:left w:val="nil"/>
              <w:bottom w:val="nil"/>
              <w:right w:val="nil"/>
            </w:tcBorders>
            <w:shd w:val="clear" w:color="000000" w:fill="E6F2FF"/>
            <w:noWrap/>
            <w:vAlign w:val="center"/>
            <w:hideMark/>
          </w:tcPr>
          <w:p w14:paraId="4E14B389"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925.8</w:t>
            </w:r>
          </w:p>
        </w:tc>
        <w:tc>
          <w:tcPr>
            <w:tcW w:w="478" w:type="pct"/>
            <w:tcBorders>
              <w:top w:val="nil"/>
              <w:left w:val="nil"/>
              <w:bottom w:val="nil"/>
              <w:right w:val="nil"/>
            </w:tcBorders>
            <w:shd w:val="clear" w:color="000000" w:fill="E6F2FF"/>
            <w:noWrap/>
            <w:vAlign w:val="center"/>
            <w:hideMark/>
          </w:tcPr>
          <w:p w14:paraId="0B387E7E"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31.7</w:t>
            </w:r>
          </w:p>
        </w:tc>
        <w:tc>
          <w:tcPr>
            <w:tcW w:w="478" w:type="pct"/>
            <w:tcBorders>
              <w:top w:val="nil"/>
              <w:left w:val="nil"/>
              <w:bottom w:val="nil"/>
              <w:right w:val="nil"/>
            </w:tcBorders>
            <w:shd w:val="clear" w:color="000000" w:fill="FFFFFF"/>
            <w:noWrap/>
            <w:vAlign w:val="center"/>
            <w:hideMark/>
          </w:tcPr>
          <w:p w14:paraId="11595495"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981.9</w:t>
            </w:r>
          </w:p>
        </w:tc>
        <w:tc>
          <w:tcPr>
            <w:tcW w:w="478" w:type="pct"/>
            <w:tcBorders>
              <w:top w:val="nil"/>
              <w:left w:val="nil"/>
              <w:bottom w:val="nil"/>
              <w:right w:val="nil"/>
            </w:tcBorders>
            <w:shd w:val="clear" w:color="000000" w:fill="FFFFFF"/>
            <w:noWrap/>
            <w:vAlign w:val="center"/>
            <w:hideMark/>
          </w:tcPr>
          <w:p w14:paraId="2B0EA36F"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32.5</w:t>
            </w:r>
          </w:p>
        </w:tc>
        <w:tc>
          <w:tcPr>
            <w:tcW w:w="478" w:type="pct"/>
            <w:tcBorders>
              <w:top w:val="nil"/>
              <w:left w:val="nil"/>
              <w:bottom w:val="nil"/>
              <w:right w:val="nil"/>
            </w:tcBorders>
            <w:shd w:val="clear" w:color="000000" w:fill="FFFFFF"/>
            <w:noWrap/>
            <w:vAlign w:val="center"/>
            <w:hideMark/>
          </w:tcPr>
          <w:p w14:paraId="6BA0A1DA"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1,038.3</w:t>
            </w:r>
          </w:p>
        </w:tc>
        <w:tc>
          <w:tcPr>
            <w:tcW w:w="478" w:type="pct"/>
            <w:tcBorders>
              <w:top w:val="nil"/>
              <w:left w:val="nil"/>
              <w:bottom w:val="nil"/>
              <w:right w:val="nil"/>
            </w:tcBorders>
            <w:shd w:val="clear" w:color="000000" w:fill="FFFFFF"/>
            <w:noWrap/>
            <w:vAlign w:val="center"/>
            <w:hideMark/>
          </w:tcPr>
          <w:p w14:paraId="0C6E21CF"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32.9</w:t>
            </w:r>
          </w:p>
        </w:tc>
        <w:tc>
          <w:tcPr>
            <w:tcW w:w="526" w:type="pct"/>
            <w:tcBorders>
              <w:top w:val="nil"/>
              <w:left w:val="nil"/>
              <w:bottom w:val="nil"/>
              <w:right w:val="nil"/>
            </w:tcBorders>
            <w:shd w:val="clear" w:color="000000" w:fill="FFFFFF"/>
            <w:noWrap/>
            <w:vAlign w:val="center"/>
            <w:hideMark/>
          </w:tcPr>
          <w:p w14:paraId="7813AE2E"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1,095.1</w:t>
            </w:r>
          </w:p>
        </w:tc>
        <w:tc>
          <w:tcPr>
            <w:tcW w:w="478" w:type="pct"/>
            <w:tcBorders>
              <w:top w:val="nil"/>
              <w:left w:val="nil"/>
              <w:bottom w:val="nil"/>
              <w:right w:val="nil"/>
            </w:tcBorders>
            <w:shd w:val="clear" w:color="000000" w:fill="FFFFFF"/>
            <w:noWrap/>
            <w:vAlign w:val="center"/>
            <w:hideMark/>
          </w:tcPr>
          <w:p w14:paraId="260E0C74"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32.8</w:t>
            </w:r>
          </w:p>
        </w:tc>
      </w:tr>
      <w:tr w:rsidR="00DB4911" w:rsidRPr="00954D98" w14:paraId="67E598F3"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244C5B72"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PEFO</w:t>
            </w:r>
          </w:p>
        </w:tc>
        <w:tc>
          <w:tcPr>
            <w:tcW w:w="478" w:type="pct"/>
            <w:tcBorders>
              <w:top w:val="nil"/>
              <w:left w:val="nil"/>
              <w:bottom w:val="nil"/>
              <w:right w:val="nil"/>
            </w:tcBorders>
            <w:shd w:val="clear" w:color="000000" w:fill="E6F2FF"/>
            <w:noWrap/>
            <w:vAlign w:val="center"/>
            <w:hideMark/>
          </w:tcPr>
          <w:p w14:paraId="205CEED2"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905.8</w:t>
            </w:r>
          </w:p>
        </w:tc>
        <w:tc>
          <w:tcPr>
            <w:tcW w:w="478" w:type="pct"/>
            <w:tcBorders>
              <w:top w:val="nil"/>
              <w:left w:val="nil"/>
              <w:bottom w:val="nil"/>
              <w:right w:val="nil"/>
            </w:tcBorders>
            <w:shd w:val="clear" w:color="000000" w:fill="E6F2FF"/>
            <w:noWrap/>
            <w:vAlign w:val="center"/>
            <w:hideMark/>
          </w:tcPr>
          <w:p w14:paraId="2842AFEE"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31.5</w:t>
            </w:r>
          </w:p>
        </w:tc>
        <w:tc>
          <w:tcPr>
            <w:tcW w:w="478" w:type="pct"/>
            <w:tcBorders>
              <w:top w:val="nil"/>
              <w:left w:val="nil"/>
              <w:bottom w:val="nil"/>
              <w:right w:val="nil"/>
            </w:tcBorders>
            <w:shd w:val="clear" w:color="000000" w:fill="FFFFFF"/>
            <w:noWrap/>
            <w:vAlign w:val="center"/>
            <w:hideMark/>
          </w:tcPr>
          <w:p w14:paraId="2163F56F"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951.4</w:t>
            </w:r>
          </w:p>
        </w:tc>
        <w:tc>
          <w:tcPr>
            <w:tcW w:w="478" w:type="pct"/>
            <w:tcBorders>
              <w:top w:val="nil"/>
              <w:left w:val="nil"/>
              <w:bottom w:val="nil"/>
              <w:right w:val="nil"/>
            </w:tcBorders>
            <w:shd w:val="clear" w:color="000000" w:fill="FFFFFF"/>
            <w:noWrap/>
            <w:vAlign w:val="center"/>
            <w:hideMark/>
          </w:tcPr>
          <w:p w14:paraId="12CB711A"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31.8</w:t>
            </w:r>
          </w:p>
        </w:tc>
        <w:tc>
          <w:tcPr>
            <w:tcW w:w="478" w:type="pct"/>
            <w:tcBorders>
              <w:top w:val="nil"/>
              <w:left w:val="nil"/>
              <w:bottom w:val="nil"/>
              <w:right w:val="nil"/>
            </w:tcBorders>
            <w:shd w:val="clear" w:color="000000" w:fill="FFFFFF"/>
            <w:noWrap/>
            <w:vAlign w:val="center"/>
            <w:hideMark/>
          </w:tcPr>
          <w:p w14:paraId="21BEBAC1"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1,000.4</w:t>
            </w:r>
          </w:p>
        </w:tc>
        <w:tc>
          <w:tcPr>
            <w:tcW w:w="478" w:type="pct"/>
            <w:tcBorders>
              <w:top w:val="nil"/>
              <w:left w:val="nil"/>
              <w:bottom w:val="nil"/>
              <w:right w:val="nil"/>
            </w:tcBorders>
            <w:shd w:val="clear" w:color="000000" w:fill="FFFFFF"/>
            <w:noWrap/>
            <w:vAlign w:val="center"/>
            <w:hideMark/>
          </w:tcPr>
          <w:p w14:paraId="2D0F3C75"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31.8</w:t>
            </w:r>
          </w:p>
        </w:tc>
        <w:tc>
          <w:tcPr>
            <w:tcW w:w="526" w:type="pct"/>
            <w:tcBorders>
              <w:top w:val="nil"/>
              <w:left w:val="nil"/>
              <w:bottom w:val="nil"/>
              <w:right w:val="nil"/>
            </w:tcBorders>
            <w:shd w:val="clear" w:color="000000" w:fill="FFFFFF"/>
            <w:noWrap/>
            <w:vAlign w:val="center"/>
            <w:hideMark/>
          </w:tcPr>
          <w:p w14:paraId="3C8F0CC7"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1,046.5</w:t>
            </w:r>
          </w:p>
        </w:tc>
        <w:tc>
          <w:tcPr>
            <w:tcW w:w="478" w:type="pct"/>
            <w:tcBorders>
              <w:top w:val="nil"/>
              <w:left w:val="nil"/>
              <w:bottom w:val="nil"/>
              <w:right w:val="nil"/>
            </w:tcBorders>
            <w:shd w:val="clear" w:color="000000" w:fill="FFFFFF"/>
            <w:noWrap/>
            <w:vAlign w:val="center"/>
            <w:hideMark/>
          </w:tcPr>
          <w:p w14:paraId="56E9F194"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31.5</w:t>
            </w:r>
          </w:p>
        </w:tc>
      </w:tr>
      <w:tr w:rsidR="00DB4911" w:rsidRPr="00954D98" w14:paraId="09DCA096"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6E29887A"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Budget</w:t>
            </w:r>
          </w:p>
        </w:tc>
        <w:tc>
          <w:tcPr>
            <w:tcW w:w="478" w:type="pct"/>
            <w:tcBorders>
              <w:top w:val="nil"/>
              <w:left w:val="nil"/>
              <w:bottom w:val="nil"/>
              <w:right w:val="nil"/>
            </w:tcBorders>
            <w:shd w:val="clear" w:color="000000" w:fill="E6F2FF"/>
            <w:noWrap/>
            <w:vAlign w:val="center"/>
            <w:hideMark/>
          </w:tcPr>
          <w:p w14:paraId="4A65A73B"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906.1</w:t>
            </w:r>
          </w:p>
        </w:tc>
        <w:tc>
          <w:tcPr>
            <w:tcW w:w="478" w:type="pct"/>
            <w:tcBorders>
              <w:top w:val="nil"/>
              <w:left w:val="nil"/>
              <w:bottom w:val="nil"/>
              <w:right w:val="nil"/>
            </w:tcBorders>
            <w:shd w:val="clear" w:color="000000" w:fill="E6F2FF"/>
            <w:noWrap/>
            <w:vAlign w:val="center"/>
            <w:hideMark/>
          </w:tcPr>
          <w:p w14:paraId="38CD6677"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31.5</w:t>
            </w:r>
          </w:p>
        </w:tc>
        <w:tc>
          <w:tcPr>
            <w:tcW w:w="478" w:type="pct"/>
            <w:tcBorders>
              <w:top w:val="nil"/>
              <w:left w:val="nil"/>
              <w:bottom w:val="nil"/>
              <w:right w:val="nil"/>
            </w:tcBorders>
            <w:shd w:val="clear" w:color="000000" w:fill="FFFFFF"/>
            <w:noWrap/>
            <w:vAlign w:val="center"/>
            <w:hideMark/>
          </w:tcPr>
          <w:p w14:paraId="3AE0A984"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951.3</w:t>
            </w:r>
          </w:p>
        </w:tc>
        <w:tc>
          <w:tcPr>
            <w:tcW w:w="478" w:type="pct"/>
            <w:tcBorders>
              <w:top w:val="nil"/>
              <w:left w:val="nil"/>
              <w:bottom w:val="nil"/>
              <w:right w:val="nil"/>
            </w:tcBorders>
            <w:shd w:val="clear" w:color="000000" w:fill="FFFFFF"/>
            <w:noWrap/>
            <w:vAlign w:val="center"/>
            <w:hideMark/>
          </w:tcPr>
          <w:p w14:paraId="57D3EEF7"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31.8</w:t>
            </w:r>
          </w:p>
        </w:tc>
        <w:tc>
          <w:tcPr>
            <w:tcW w:w="478" w:type="pct"/>
            <w:tcBorders>
              <w:top w:val="nil"/>
              <w:left w:val="nil"/>
              <w:bottom w:val="nil"/>
              <w:right w:val="nil"/>
            </w:tcBorders>
            <w:shd w:val="clear" w:color="000000" w:fill="FFFFFF"/>
            <w:noWrap/>
            <w:vAlign w:val="center"/>
            <w:hideMark/>
          </w:tcPr>
          <w:p w14:paraId="7883548A"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1,000.3</w:t>
            </w:r>
          </w:p>
        </w:tc>
        <w:tc>
          <w:tcPr>
            <w:tcW w:w="478" w:type="pct"/>
            <w:tcBorders>
              <w:top w:val="nil"/>
              <w:left w:val="nil"/>
              <w:bottom w:val="nil"/>
              <w:right w:val="nil"/>
            </w:tcBorders>
            <w:shd w:val="clear" w:color="000000" w:fill="FFFFFF"/>
            <w:noWrap/>
            <w:vAlign w:val="center"/>
            <w:hideMark/>
          </w:tcPr>
          <w:p w14:paraId="614F3807"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31.8</w:t>
            </w:r>
          </w:p>
        </w:tc>
        <w:tc>
          <w:tcPr>
            <w:tcW w:w="526" w:type="pct"/>
            <w:tcBorders>
              <w:top w:val="nil"/>
              <w:left w:val="nil"/>
              <w:bottom w:val="nil"/>
              <w:right w:val="nil"/>
            </w:tcBorders>
            <w:shd w:val="clear" w:color="000000" w:fill="FFFFFF"/>
            <w:noWrap/>
            <w:vAlign w:val="center"/>
            <w:hideMark/>
          </w:tcPr>
          <w:p w14:paraId="37255529"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1,046.5</w:t>
            </w:r>
          </w:p>
        </w:tc>
        <w:tc>
          <w:tcPr>
            <w:tcW w:w="478" w:type="pct"/>
            <w:tcBorders>
              <w:top w:val="nil"/>
              <w:left w:val="nil"/>
              <w:bottom w:val="nil"/>
              <w:right w:val="nil"/>
            </w:tcBorders>
            <w:shd w:val="clear" w:color="000000" w:fill="FFFFFF"/>
            <w:noWrap/>
            <w:vAlign w:val="center"/>
            <w:hideMark/>
          </w:tcPr>
          <w:p w14:paraId="2E40DFF6"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31.5</w:t>
            </w:r>
          </w:p>
        </w:tc>
      </w:tr>
      <w:tr w:rsidR="00DB4911" w:rsidRPr="00954D98" w14:paraId="527B95C4"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70094127" w14:textId="77777777" w:rsidR="00DB4911" w:rsidRPr="00954D98" w:rsidRDefault="00DB4911" w:rsidP="00DB4911">
            <w:pPr>
              <w:spacing w:before="0" w:after="0" w:line="240" w:lineRule="auto"/>
              <w:rPr>
                <w:rFonts w:ascii="Arial" w:hAnsi="Arial" w:cs="Arial"/>
                <w:b/>
                <w:color w:val="FFFF00"/>
                <w:sz w:val="16"/>
                <w:szCs w:val="16"/>
              </w:rPr>
            </w:pPr>
            <w:r w:rsidRPr="00954D98">
              <w:rPr>
                <w:rFonts w:ascii="Arial" w:hAnsi="Arial" w:cs="Arial"/>
                <w:b/>
                <w:sz w:val="16"/>
                <w:szCs w:val="16"/>
              </w:rPr>
              <w:t>Total liabilities</w:t>
            </w:r>
          </w:p>
        </w:tc>
        <w:tc>
          <w:tcPr>
            <w:tcW w:w="478" w:type="pct"/>
            <w:tcBorders>
              <w:top w:val="nil"/>
              <w:left w:val="nil"/>
              <w:bottom w:val="nil"/>
              <w:right w:val="nil"/>
            </w:tcBorders>
            <w:shd w:val="clear" w:color="000000" w:fill="E6F2FF"/>
            <w:noWrap/>
            <w:vAlign w:val="center"/>
            <w:hideMark/>
          </w:tcPr>
          <w:p w14:paraId="2E156AE2"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E6F2FF"/>
            <w:noWrap/>
            <w:vAlign w:val="center"/>
            <w:hideMark/>
          </w:tcPr>
          <w:p w14:paraId="06B2215E"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noWrap/>
            <w:vAlign w:val="center"/>
            <w:hideMark/>
          </w:tcPr>
          <w:p w14:paraId="7AB6CEA3" w14:textId="77777777" w:rsidR="00DB4911" w:rsidRPr="00954D98" w:rsidRDefault="00DB4911" w:rsidP="00DB4911">
            <w:pPr>
              <w:spacing w:before="0" w:after="0" w:line="240" w:lineRule="auto"/>
              <w:jc w:val="right"/>
              <w:rPr>
                <w:rFonts w:ascii="Arial" w:hAnsi="Arial" w:cs="Arial"/>
                <w:color w:val="FFFF00"/>
                <w:sz w:val="16"/>
                <w:szCs w:val="16"/>
              </w:rPr>
            </w:pPr>
          </w:p>
        </w:tc>
        <w:tc>
          <w:tcPr>
            <w:tcW w:w="478" w:type="pct"/>
            <w:tcBorders>
              <w:top w:val="nil"/>
              <w:left w:val="nil"/>
              <w:bottom w:val="nil"/>
              <w:right w:val="nil"/>
            </w:tcBorders>
            <w:shd w:val="clear" w:color="000000" w:fill="FFFFFF"/>
            <w:noWrap/>
            <w:vAlign w:val="center"/>
            <w:hideMark/>
          </w:tcPr>
          <w:p w14:paraId="52224BF5"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noWrap/>
            <w:vAlign w:val="center"/>
            <w:hideMark/>
          </w:tcPr>
          <w:p w14:paraId="08C8E2E1" w14:textId="77777777" w:rsidR="00DB4911" w:rsidRPr="00954D98" w:rsidRDefault="00DB4911" w:rsidP="00DB4911">
            <w:pPr>
              <w:spacing w:before="0" w:after="0" w:line="240" w:lineRule="auto"/>
              <w:jc w:val="right"/>
              <w:rPr>
                <w:rFonts w:ascii="Arial" w:hAnsi="Arial" w:cs="Arial"/>
                <w:color w:val="FFFF00"/>
                <w:sz w:val="16"/>
                <w:szCs w:val="16"/>
              </w:rPr>
            </w:pPr>
          </w:p>
        </w:tc>
        <w:tc>
          <w:tcPr>
            <w:tcW w:w="478" w:type="pct"/>
            <w:tcBorders>
              <w:top w:val="nil"/>
              <w:left w:val="nil"/>
              <w:bottom w:val="nil"/>
              <w:right w:val="nil"/>
            </w:tcBorders>
            <w:shd w:val="clear" w:color="000000" w:fill="FFFFFF"/>
            <w:noWrap/>
            <w:vAlign w:val="center"/>
            <w:hideMark/>
          </w:tcPr>
          <w:p w14:paraId="1DB4824B"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26" w:type="pct"/>
            <w:tcBorders>
              <w:top w:val="nil"/>
              <w:left w:val="nil"/>
              <w:bottom w:val="nil"/>
              <w:right w:val="nil"/>
            </w:tcBorders>
            <w:noWrap/>
            <w:vAlign w:val="center"/>
            <w:hideMark/>
          </w:tcPr>
          <w:p w14:paraId="30F745B2" w14:textId="77777777" w:rsidR="00DB4911" w:rsidRPr="00954D98" w:rsidRDefault="00DB4911" w:rsidP="00DB4911">
            <w:pPr>
              <w:spacing w:before="0" w:after="0" w:line="240" w:lineRule="auto"/>
              <w:jc w:val="right"/>
              <w:rPr>
                <w:rFonts w:ascii="Arial" w:hAnsi="Arial" w:cs="Arial"/>
                <w:color w:val="FFFF00"/>
                <w:sz w:val="16"/>
                <w:szCs w:val="16"/>
              </w:rPr>
            </w:pPr>
          </w:p>
        </w:tc>
        <w:tc>
          <w:tcPr>
            <w:tcW w:w="478" w:type="pct"/>
            <w:tcBorders>
              <w:top w:val="nil"/>
              <w:left w:val="nil"/>
              <w:bottom w:val="nil"/>
              <w:right w:val="nil"/>
            </w:tcBorders>
            <w:shd w:val="clear" w:color="000000" w:fill="FFFFFF"/>
            <w:noWrap/>
            <w:vAlign w:val="center"/>
            <w:hideMark/>
          </w:tcPr>
          <w:p w14:paraId="19399E53"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w:t>
            </w:r>
          </w:p>
        </w:tc>
      </w:tr>
      <w:tr w:rsidR="00DB4911" w:rsidRPr="00954D98" w14:paraId="1208E3DF"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6A2D6235" w14:textId="77777777" w:rsidR="00DB4911" w:rsidRPr="00954D98" w:rsidRDefault="00DB4911" w:rsidP="00DB4911">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MYEFO</w:t>
            </w:r>
          </w:p>
        </w:tc>
        <w:tc>
          <w:tcPr>
            <w:tcW w:w="478" w:type="pct"/>
            <w:tcBorders>
              <w:top w:val="nil"/>
              <w:left w:val="nil"/>
              <w:bottom w:val="nil"/>
              <w:right w:val="nil"/>
            </w:tcBorders>
            <w:shd w:val="clear" w:color="000000" w:fill="E6F2FF"/>
            <w:noWrap/>
            <w:vAlign w:val="center"/>
            <w:hideMark/>
          </w:tcPr>
          <w:p w14:paraId="6A1D7B92"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1,570.1</w:t>
            </w:r>
          </w:p>
        </w:tc>
        <w:tc>
          <w:tcPr>
            <w:tcW w:w="478" w:type="pct"/>
            <w:tcBorders>
              <w:top w:val="nil"/>
              <w:left w:val="nil"/>
              <w:bottom w:val="nil"/>
              <w:right w:val="nil"/>
            </w:tcBorders>
            <w:shd w:val="clear" w:color="000000" w:fill="E6F2FF"/>
            <w:noWrap/>
            <w:vAlign w:val="center"/>
            <w:hideMark/>
          </w:tcPr>
          <w:p w14:paraId="081A7499"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53.7</w:t>
            </w:r>
          </w:p>
        </w:tc>
        <w:tc>
          <w:tcPr>
            <w:tcW w:w="478" w:type="pct"/>
            <w:tcBorders>
              <w:top w:val="nil"/>
              <w:left w:val="nil"/>
              <w:bottom w:val="nil"/>
              <w:right w:val="nil"/>
            </w:tcBorders>
            <w:shd w:val="clear" w:color="000000" w:fill="FFFFFF"/>
            <w:noWrap/>
            <w:vAlign w:val="center"/>
            <w:hideMark/>
          </w:tcPr>
          <w:p w14:paraId="79F7BBEA"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1,665.4</w:t>
            </w:r>
          </w:p>
        </w:tc>
        <w:tc>
          <w:tcPr>
            <w:tcW w:w="478" w:type="pct"/>
            <w:tcBorders>
              <w:top w:val="nil"/>
              <w:left w:val="nil"/>
              <w:bottom w:val="nil"/>
              <w:right w:val="nil"/>
            </w:tcBorders>
            <w:shd w:val="clear" w:color="000000" w:fill="FFFFFF"/>
            <w:noWrap/>
            <w:vAlign w:val="center"/>
            <w:hideMark/>
          </w:tcPr>
          <w:p w14:paraId="2FF0F1E6"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55.2</w:t>
            </w:r>
          </w:p>
        </w:tc>
        <w:tc>
          <w:tcPr>
            <w:tcW w:w="478" w:type="pct"/>
            <w:tcBorders>
              <w:top w:val="nil"/>
              <w:left w:val="nil"/>
              <w:bottom w:val="nil"/>
              <w:right w:val="nil"/>
            </w:tcBorders>
            <w:shd w:val="clear" w:color="000000" w:fill="FFFFFF"/>
            <w:noWrap/>
            <w:vAlign w:val="center"/>
            <w:hideMark/>
          </w:tcPr>
          <w:p w14:paraId="497CE1FD"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1,766.0</w:t>
            </w:r>
          </w:p>
        </w:tc>
        <w:tc>
          <w:tcPr>
            <w:tcW w:w="478" w:type="pct"/>
            <w:tcBorders>
              <w:top w:val="nil"/>
              <w:left w:val="nil"/>
              <w:bottom w:val="nil"/>
              <w:right w:val="nil"/>
            </w:tcBorders>
            <w:shd w:val="clear" w:color="000000" w:fill="FFFFFF"/>
            <w:noWrap/>
            <w:vAlign w:val="center"/>
            <w:hideMark/>
          </w:tcPr>
          <w:p w14:paraId="56F69428"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55.9</w:t>
            </w:r>
          </w:p>
        </w:tc>
        <w:tc>
          <w:tcPr>
            <w:tcW w:w="526" w:type="pct"/>
            <w:tcBorders>
              <w:top w:val="nil"/>
              <w:left w:val="nil"/>
              <w:bottom w:val="nil"/>
              <w:right w:val="nil"/>
            </w:tcBorders>
            <w:shd w:val="clear" w:color="000000" w:fill="FFFFFF"/>
            <w:noWrap/>
            <w:vAlign w:val="center"/>
            <w:hideMark/>
          </w:tcPr>
          <w:p w14:paraId="4C9E95ED"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1,866.3</w:t>
            </w:r>
          </w:p>
        </w:tc>
        <w:tc>
          <w:tcPr>
            <w:tcW w:w="478" w:type="pct"/>
            <w:tcBorders>
              <w:top w:val="nil"/>
              <w:left w:val="nil"/>
              <w:bottom w:val="nil"/>
              <w:right w:val="nil"/>
            </w:tcBorders>
            <w:shd w:val="clear" w:color="000000" w:fill="FFFFFF"/>
            <w:noWrap/>
            <w:vAlign w:val="center"/>
            <w:hideMark/>
          </w:tcPr>
          <w:p w14:paraId="7AEA854D"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56.0</w:t>
            </w:r>
          </w:p>
        </w:tc>
      </w:tr>
      <w:tr w:rsidR="00DB4911" w:rsidRPr="00954D98" w14:paraId="638ECC37"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7A1A9017"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PEFO</w:t>
            </w:r>
          </w:p>
        </w:tc>
        <w:tc>
          <w:tcPr>
            <w:tcW w:w="478" w:type="pct"/>
            <w:tcBorders>
              <w:top w:val="nil"/>
              <w:left w:val="nil"/>
              <w:bottom w:val="nil"/>
              <w:right w:val="nil"/>
            </w:tcBorders>
            <w:shd w:val="clear" w:color="000000" w:fill="E6F2FF"/>
            <w:noWrap/>
            <w:vAlign w:val="center"/>
            <w:hideMark/>
          </w:tcPr>
          <w:p w14:paraId="6816B764"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1,527.6</w:t>
            </w:r>
          </w:p>
        </w:tc>
        <w:tc>
          <w:tcPr>
            <w:tcW w:w="478" w:type="pct"/>
            <w:tcBorders>
              <w:top w:val="nil"/>
              <w:left w:val="nil"/>
              <w:bottom w:val="nil"/>
              <w:right w:val="nil"/>
            </w:tcBorders>
            <w:shd w:val="clear" w:color="000000" w:fill="E6F2FF"/>
            <w:noWrap/>
            <w:vAlign w:val="center"/>
            <w:hideMark/>
          </w:tcPr>
          <w:p w14:paraId="4A866D0A"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53.1</w:t>
            </w:r>
          </w:p>
        </w:tc>
        <w:tc>
          <w:tcPr>
            <w:tcW w:w="478" w:type="pct"/>
            <w:tcBorders>
              <w:top w:val="nil"/>
              <w:left w:val="nil"/>
              <w:bottom w:val="nil"/>
              <w:right w:val="nil"/>
            </w:tcBorders>
            <w:shd w:val="clear" w:color="000000" w:fill="FFFFFF"/>
            <w:noWrap/>
            <w:vAlign w:val="center"/>
            <w:hideMark/>
          </w:tcPr>
          <w:p w14:paraId="22120030"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1,610.6</w:t>
            </w:r>
          </w:p>
        </w:tc>
        <w:tc>
          <w:tcPr>
            <w:tcW w:w="478" w:type="pct"/>
            <w:tcBorders>
              <w:top w:val="nil"/>
              <w:left w:val="nil"/>
              <w:bottom w:val="nil"/>
              <w:right w:val="nil"/>
            </w:tcBorders>
            <w:shd w:val="clear" w:color="000000" w:fill="FFFFFF"/>
            <w:noWrap/>
            <w:vAlign w:val="center"/>
            <w:hideMark/>
          </w:tcPr>
          <w:p w14:paraId="279DE5F7"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53.8</w:t>
            </w:r>
          </w:p>
        </w:tc>
        <w:tc>
          <w:tcPr>
            <w:tcW w:w="478" w:type="pct"/>
            <w:tcBorders>
              <w:top w:val="nil"/>
              <w:left w:val="nil"/>
              <w:bottom w:val="nil"/>
              <w:right w:val="nil"/>
            </w:tcBorders>
            <w:shd w:val="clear" w:color="000000" w:fill="FFFFFF"/>
            <w:noWrap/>
            <w:vAlign w:val="center"/>
            <w:hideMark/>
          </w:tcPr>
          <w:p w14:paraId="6F8BF4DE"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1,701.0</w:t>
            </w:r>
          </w:p>
        </w:tc>
        <w:tc>
          <w:tcPr>
            <w:tcW w:w="478" w:type="pct"/>
            <w:tcBorders>
              <w:top w:val="nil"/>
              <w:left w:val="nil"/>
              <w:bottom w:val="nil"/>
              <w:right w:val="nil"/>
            </w:tcBorders>
            <w:shd w:val="clear" w:color="000000" w:fill="FFFFFF"/>
            <w:noWrap/>
            <w:vAlign w:val="center"/>
            <w:hideMark/>
          </w:tcPr>
          <w:p w14:paraId="673DD511"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54.0</w:t>
            </w:r>
          </w:p>
        </w:tc>
        <w:tc>
          <w:tcPr>
            <w:tcW w:w="526" w:type="pct"/>
            <w:tcBorders>
              <w:top w:val="nil"/>
              <w:left w:val="nil"/>
              <w:bottom w:val="nil"/>
              <w:right w:val="nil"/>
            </w:tcBorders>
            <w:shd w:val="clear" w:color="000000" w:fill="FFFFFF"/>
            <w:noWrap/>
            <w:vAlign w:val="center"/>
            <w:hideMark/>
          </w:tcPr>
          <w:p w14:paraId="4A23E715"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1,786.6</w:t>
            </w:r>
          </w:p>
        </w:tc>
        <w:tc>
          <w:tcPr>
            <w:tcW w:w="478" w:type="pct"/>
            <w:tcBorders>
              <w:top w:val="nil"/>
              <w:left w:val="nil"/>
              <w:bottom w:val="nil"/>
              <w:right w:val="nil"/>
            </w:tcBorders>
            <w:shd w:val="clear" w:color="000000" w:fill="FFFFFF"/>
            <w:noWrap/>
            <w:vAlign w:val="center"/>
            <w:hideMark/>
          </w:tcPr>
          <w:p w14:paraId="5E64FEC6"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53.8</w:t>
            </w:r>
          </w:p>
        </w:tc>
      </w:tr>
      <w:tr w:rsidR="00DB4911" w:rsidRPr="00954D98" w14:paraId="43DCA099"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783D5576"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Budget</w:t>
            </w:r>
          </w:p>
        </w:tc>
        <w:tc>
          <w:tcPr>
            <w:tcW w:w="478" w:type="pct"/>
            <w:tcBorders>
              <w:top w:val="nil"/>
              <w:left w:val="nil"/>
              <w:bottom w:val="nil"/>
              <w:right w:val="nil"/>
            </w:tcBorders>
            <w:shd w:val="clear" w:color="000000" w:fill="E6F2FF"/>
            <w:noWrap/>
            <w:vAlign w:val="center"/>
            <w:hideMark/>
          </w:tcPr>
          <w:p w14:paraId="640476E4"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1,527.9</w:t>
            </w:r>
          </w:p>
        </w:tc>
        <w:tc>
          <w:tcPr>
            <w:tcW w:w="478" w:type="pct"/>
            <w:tcBorders>
              <w:top w:val="nil"/>
              <w:left w:val="nil"/>
              <w:bottom w:val="nil"/>
              <w:right w:val="nil"/>
            </w:tcBorders>
            <w:shd w:val="clear" w:color="000000" w:fill="E6F2FF"/>
            <w:noWrap/>
            <w:vAlign w:val="center"/>
            <w:hideMark/>
          </w:tcPr>
          <w:p w14:paraId="1A51FFBE"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53.1</w:t>
            </w:r>
          </w:p>
        </w:tc>
        <w:tc>
          <w:tcPr>
            <w:tcW w:w="478" w:type="pct"/>
            <w:tcBorders>
              <w:top w:val="nil"/>
              <w:left w:val="nil"/>
              <w:bottom w:val="nil"/>
              <w:right w:val="nil"/>
            </w:tcBorders>
            <w:shd w:val="clear" w:color="000000" w:fill="FFFFFF"/>
            <w:noWrap/>
            <w:vAlign w:val="center"/>
            <w:hideMark/>
          </w:tcPr>
          <w:p w14:paraId="56CCD99D"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1,610.6</w:t>
            </w:r>
          </w:p>
        </w:tc>
        <w:tc>
          <w:tcPr>
            <w:tcW w:w="478" w:type="pct"/>
            <w:tcBorders>
              <w:top w:val="nil"/>
              <w:left w:val="nil"/>
              <w:bottom w:val="nil"/>
              <w:right w:val="nil"/>
            </w:tcBorders>
            <w:shd w:val="clear" w:color="000000" w:fill="FFFFFF"/>
            <w:noWrap/>
            <w:vAlign w:val="center"/>
            <w:hideMark/>
          </w:tcPr>
          <w:p w14:paraId="0BC541B7"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53.8</w:t>
            </w:r>
          </w:p>
        </w:tc>
        <w:tc>
          <w:tcPr>
            <w:tcW w:w="478" w:type="pct"/>
            <w:tcBorders>
              <w:top w:val="nil"/>
              <w:left w:val="nil"/>
              <w:bottom w:val="nil"/>
              <w:right w:val="nil"/>
            </w:tcBorders>
            <w:shd w:val="clear" w:color="000000" w:fill="FFFFFF"/>
            <w:noWrap/>
            <w:vAlign w:val="center"/>
            <w:hideMark/>
          </w:tcPr>
          <w:p w14:paraId="2976CF9D"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1,701.0</w:t>
            </w:r>
          </w:p>
        </w:tc>
        <w:tc>
          <w:tcPr>
            <w:tcW w:w="478" w:type="pct"/>
            <w:tcBorders>
              <w:top w:val="nil"/>
              <w:left w:val="nil"/>
              <w:bottom w:val="nil"/>
              <w:right w:val="nil"/>
            </w:tcBorders>
            <w:shd w:val="clear" w:color="000000" w:fill="FFFFFF"/>
            <w:noWrap/>
            <w:vAlign w:val="center"/>
            <w:hideMark/>
          </w:tcPr>
          <w:p w14:paraId="4E079479"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54.0</w:t>
            </w:r>
          </w:p>
        </w:tc>
        <w:tc>
          <w:tcPr>
            <w:tcW w:w="526" w:type="pct"/>
            <w:tcBorders>
              <w:top w:val="nil"/>
              <w:left w:val="nil"/>
              <w:bottom w:val="nil"/>
              <w:right w:val="nil"/>
            </w:tcBorders>
            <w:shd w:val="clear" w:color="000000" w:fill="FFFFFF"/>
            <w:noWrap/>
            <w:vAlign w:val="center"/>
            <w:hideMark/>
          </w:tcPr>
          <w:p w14:paraId="13D7C904"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1,786.6</w:t>
            </w:r>
          </w:p>
        </w:tc>
        <w:tc>
          <w:tcPr>
            <w:tcW w:w="478" w:type="pct"/>
            <w:tcBorders>
              <w:top w:val="nil"/>
              <w:left w:val="nil"/>
              <w:bottom w:val="nil"/>
              <w:right w:val="nil"/>
            </w:tcBorders>
            <w:shd w:val="clear" w:color="000000" w:fill="FFFFFF"/>
            <w:noWrap/>
            <w:vAlign w:val="center"/>
            <w:hideMark/>
          </w:tcPr>
          <w:p w14:paraId="584756DF"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53.8</w:t>
            </w:r>
          </w:p>
        </w:tc>
      </w:tr>
      <w:tr w:rsidR="00DB4911" w:rsidRPr="00954D98" w14:paraId="6E3D5B1B"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0209E387" w14:textId="77777777" w:rsidR="00DB4911" w:rsidRPr="00954D98" w:rsidRDefault="00DB4911" w:rsidP="00DB4911">
            <w:pPr>
              <w:spacing w:before="0" w:after="0" w:line="240" w:lineRule="auto"/>
              <w:rPr>
                <w:rFonts w:ascii="Arial" w:hAnsi="Arial" w:cs="Arial"/>
                <w:b/>
                <w:color w:val="FFFF00"/>
                <w:sz w:val="16"/>
                <w:szCs w:val="16"/>
              </w:rPr>
            </w:pPr>
            <w:r w:rsidRPr="00954D98">
              <w:rPr>
                <w:rFonts w:ascii="Arial" w:hAnsi="Arial" w:cs="Arial"/>
                <w:b/>
                <w:sz w:val="16"/>
                <w:szCs w:val="16"/>
              </w:rPr>
              <w:t>Net worth</w:t>
            </w:r>
          </w:p>
        </w:tc>
        <w:tc>
          <w:tcPr>
            <w:tcW w:w="478" w:type="pct"/>
            <w:tcBorders>
              <w:top w:val="nil"/>
              <w:left w:val="nil"/>
              <w:bottom w:val="nil"/>
              <w:right w:val="nil"/>
            </w:tcBorders>
            <w:shd w:val="clear" w:color="000000" w:fill="E6F2FF"/>
            <w:noWrap/>
            <w:vAlign w:val="center"/>
            <w:hideMark/>
          </w:tcPr>
          <w:p w14:paraId="506A72A1"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E6F2FF"/>
            <w:noWrap/>
            <w:vAlign w:val="center"/>
            <w:hideMark/>
          </w:tcPr>
          <w:p w14:paraId="1EBC7A5C"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3FAEED2B"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34CD6AFB"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478DE94A"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2A3B8803"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26" w:type="pct"/>
            <w:tcBorders>
              <w:top w:val="nil"/>
              <w:left w:val="nil"/>
              <w:bottom w:val="nil"/>
              <w:right w:val="nil"/>
            </w:tcBorders>
            <w:shd w:val="clear" w:color="000000" w:fill="FFFFFF"/>
            <w:noWrap/>
            <w:vAlign w:val="center"/>
            <w:hideMark/>
          </w:tcPr>
          <w:p w14:paraId="48DDA38C"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79D7FE22"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w:t>
            </w:r>
          </w:p>
        </w:tc>
      </w:tr>
      <w:tr w:rsidR="00DB4911" w:rsidRPr="00954D98" w14:paraId="39203FCF"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42DD0548" w14:textId="77777777" w:rsidR="00DB4911" w:rsidRPr="00954D98" w:rsidRDefault="00DB4911" w:rsidP="00DB4911">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MYEFO</w:t>
            </w:r>
          </w:p>
        </w:tc>
        <w:tc>
          <w:tcPr>
            <w:tcW w:w="478" w:type="pct"/>
            <w:tcBorders>
              <w:top w:val="nil"/>
              <w:left w:val="nil"/>
              <w:bottom w:val="nil"/>
              <w:right w:val="nil"/>
            </w:tcBorders>
            <w:shd w:val="clear" w:color="000000" w:fill="E6F2FF"/>
            <w:noWrap/>
            <w:vAlign w:val="center"/>
            <w:hideMark/>
          </w:tcPr>
          <w:p w14:paraId="34207958"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-644.3</w:t>
            </w:r>
          </w:p>
        </w:tc>
        <w:tc>
          <w:tcPr>
            <w:tcW w:w="478" w:type="pct"/>
            <w:tcBorders>
              <w:top w:val="nil"/>
              <w:left w:val="nil"/>
              <w:bottom w:val="nil"/>
              <w:right w:val="nil"/>
            </w:tcBorders>
            <w:shd w:val="clear" w:color="000000" w:fill="E6F2FF"/>
            <w:noWrap/>
            <w:vAlign w:val="center"/>
            <w:hideMark/>
          </w:tcPr>
          <w:p w14:paraId="5CDBE4CE"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-22.0</w:t>
            </w:r>
          </w:p>
        </w:tc>
        <w:tc>
          <w:tcPr>
            <w:tcW w:w="478" w:type="pct"/>
            <w:tcBorders>
              <w:top w:val="nil"/>
              <w:left w:val="nil"/>
              <w:bottom w:val="nil"/>
              <w:right w:val="nil"/>
            </w:tcBorders>
            <w:shd w:val="clear" w:color="000000" w:fill="FFFFFF"/>
            <w:noWrap/>
            <w:vAlign w:val="center"/>
            <w:hideMark/>
          </w:tcPr>
          <w:p w14:paraId="7AE5A9BE"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-683.4</w:t>
            </w:r>
          </w:p>
        </w:tc>
        <w:tc>
          <w:tcPr>
            <w:tcW w:w="478" w:type="pct"/>
            <w:tcBorders>
              <w:top w:val="nil"/>
              <w:left w:val="nil"/>
              <w:bottom w:val="nil"/>
              <w:right w:val="nil"/>
            </w:tcBorders>
            <w:shd w:val="clear" w:color="000000" w:fill="FFFFFF"/>
            <w:noWrap/>
            <w:vAlign w:val="center"/>
            <w:hideMark/>
          </w:tcPr>
          <w:p w14:paraId="57ADE857"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-22.7</w:t>
            </w:r>
          </w:p>
        </w:tc>
        <w:tc>
          <w:tcPr>
            <w:tcW w:w="478" w:type="pct"/>
            <w:tcBorders>
              <w:top w:val="nil"/>
              <w:left w:val="nil"/>
              <w:bottom w:val="nil"/>
              <w:right w:val="nil"/>
            </w:tcBorders>
            <w:shd w:val="clear" w:color="000000" w:fill="FFFFFF"/>
            <w:noWrap/>
            <w:vAlign w:val="center"/>
            <w:hideMark/>
          </w:tcPr>
          <w:p w14:paraId="45B7376F"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-727.6</w:t>
            </w:r>
          </w:p>
        </w:tc>
        <w:tc>
          <w:tcPr>
            <w:tcW w:w="478" w:type="pct"/>
            <w:tcBorders>
              <w:top w:val="nil"/>
              <w:left w:val="nil"/>
              <w:bottom w:val="nil"/>
              <w:right w:val="nil"/>
            </w:tcBorders>
            <w:shd w:val="clear" w:color="000000" w:fill="FFFFFF"/>
            <w:noWrap/>
            <w:vAlign w:val="center"/>
            <w:hideMark/>
          </w:tcPr>
          <w:p w14:paraId="20D67165"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-23.0</w:t>
            </w:r>
          </w:p>
        </w:tc>
        <w:tc>
          <w:tcPr>
            <w:tcW w:w="526" w:type="pct"/>
            <w:tcBorders>
              <w:top w:val="nil"/>
              <w:left w:val="nil"/>
              <w:bottom w:val="nil"/>
              <w:right w:val="nil"/>
            </w:tcBorders>
            <w:shd w:val="clear" w:color="000000" w:fill="FFFFFF"/>
            <w:noWrap/>
            <w:vAlign w:val="center"/>
            <w:hideMark/>
          </w:tcPr>
          <w:p w14:paraId="5DC901E3"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-771.2</w:t>
            </w:r>
          </w:p>
        </w:tc>
        <w:tc>
          <w:tcPr>
            <w:tcW w:w="478" w:type="pct"/>
            <w:tcBorders>
              <w:top w:val="nil"/>
              <w:left w:val="nil"/>
              <w:bottom w:val="nil"/>
              <w:right w:val="nil"/>
            </w:tcBorders>
            <w:shd w:val="clear" w:color="000000" w:fill="FFFFFF"/>
            <w:noWrap/>
            <w:vAlign w:val="center"/>
            <w:hideMark/>
          </w:tcPr>
          <w:p w14:paraId="035A4546"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-23.1</w:t>
            </w:r>
          </w:p>
        </w:tc>
      </w:tr>
      <w:tr w:rsidR="00DB4911" w:rsidRPr="00954D98" w14:paraId="6896E918"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253CB694"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PEFO</w:t>
            </w:r>
          </w:p>
        </w:tc>
        <w:tc>
          <w:tcPr>
            <w:tcW w:w="478" w:type="pct"/>
            <w:tcBorders>
              <w:top w:val="nil"/>
              <w:left w:val="nil"/>
              <w:bottom w:val="nil"/>
              <w:right w:val="nil"/>
            </w:tcBorders>
            <w:shd w:val="clear" w:color="000000" w:fill="E6F2FF"/>
            <w:noWrap/>
            <w:vAlign w:val="center"/>
            <w:hideMark/>
          </w:tcPr>
          <w:p w14:paraId="2534FF18"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-621.8</w:t>
            </w:r>
          </w:p>
        </w:tc>
        <w:tc>
          <w:tcPr>
            <w:tcW w:w="478" w:type="pct"/>
            <w:tcBorders>
              <w:top w:val="nil"/>
              <w:left w:val="nil"/>
              <w:bottom w:val="nil"/>
              <w:right w:val="nil"/>
            </w:tcBorders>
            <w:shd w:val="clear" w:color="000000" w:fill="E6F2FF"/>
            <w:noWrap/>
            <w:vAlign w:val="center"/>
            <w:hideMark/>
          </w:tcPr>
          <w:p w14:paraId="7D2AFF73"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-21.6</w:t>
            </w:r>
          </w:p>
        </w:tc>
        <w:tc>
          <w:tcPr>
            <w:tcW w:w="478" w:type="pct"/>
            <w:tcBorders>
              <w:top w:val="nil"/>
              <w:left w:val="nil"/>
              <w:bottom w:val="nil"/>
              <w:right w:val="nil"/>
            </w:tcBorders>
            <w:shd w:val="clear" w:color="000000" w:fill="FFFFFF"/>
            <w:noWrap/>
            <w:vAlign w:val="center"/>
            <w:hideMark/>
          </w:tcPr>
          <w:p w14:paraId="7596E6C5"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-659.2</w:t>
            </w:r>
          </w:p>
        </w:tc>
        <w:tc>
          <w:tcPr>
            <w:tcW w:w="478" w:type="pct"/>
            <w:tcBorders>
              <w:top w:val="nil"/>
              <w:left w:val="nil"/>
              <w:bottom w:val="nil"/>
              <w:right w:val="nil"/>
            </w:tcBorders>
            <w:shd w:val="clear" w:color="000000" w:fill="FFFFFF"/>
            <w:noWrap/>
            <w:vAlign w:val="center"/>
            <w:hideMark/>
          </w:tcPr>
          <w:p w14:paraId="3920077B"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-22.0</w:t>
            </w:r>
          </w:p>
        </w:tc>
        <w:tc>
          <w:tcPr>
            <w:tcW w:w="478" w:type="pct"/>
            <w:tcBorders>
              <w:top w:val="nil"/>
              <w:left w:val="nil"/>
              <w:bottom w:val="nil"/>
              <w:right w:val="nil"/>
            </w:tcBorders>
            <w:shd w:val="clear" w:color="000000" w:fill="FFFFFF"/>
            <w:noWrap/>
            <w:vAlign w:val="center"/>
            <w:hideMark/>
          </w:tcPr>
          <w:p w14:paraId="1CCBD386"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-700.5</w:t>
            </w:r>
          </w:p>
        </w:tc>
        <w:tc>
          <w:tcPr>
            <w:tcW w:w="478" w:type="pct"/>
            <w:tcBorders>
              <w:top w:val="nil"/>
              <w:left w:val="nil"/>
              <w:bottom w:val="nil"/>
              <w:right w:val="nil"/>
            </w:tcBorders>
            <w:shd w:val="clear" w:color="000000" w:fill="FFFFFF"/>
            <w:noWrap/>
            <w:vAlign w:val="center"/>
            <w:hideMark/>
          </w:tcPr>
          <w:p w14:paraId="527E8D5A"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-22.3</w:t>
            </w:r>
          </w:p>
        </w:tc>
        <w:tc>
          <w:tcPr>
            <w:tcW w:w="526" w:type="pct"/>
            <w:tcBorders>
              <w:top w:val="nil"/>
              <w:left w:val="nil"/>
              <w:bottom w:val="nil"/>
              <w:right w:val="nil"/>
            </w:tcBorders>
            <w:shd w:val="clear" w:color="000000" w:fill="FFFFFF"/>
            <w:noWrap/>
            <w:vAlign w:val="center"/>
            <w:hideMark/>
          </w:tcPr>
          <w:p w14:paraId="5C018F15"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-740.1</w:t>
            </w:r>
          </w:p>
        </w:tc>
        <w:tc>
          <w:tcPr>
            <w:tcW w:w="478" w:type="pct"/>
            <w:tcBorders>
              <w:top w:val="nil"/>
              <w:left w:val="nil"/>
              <w:bottom w:val="nil"/>
              <w:right w:val="nil"/>
            </w:tcBorders>
            <w:shd w:val="clear" w:color="000000" w:fill="FFFFFF"/>
            <w:noWrap/>
            <w:vAlign w:val="center"/>
            <w:hideMark/>
          </w:tcPr>
          <w:p w14:paraId="42DB0D38"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-22.3</w:t>
            </w:r>
          </w:p>
        </w:tc>
      </w:tr>
      <w:tr w:rsidR="00DB4911" w:rsidRPr="00954D98" w14:paraId="20130E5B"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00793010"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Budget</w:t>
            </w:r>
          </w:p>
        </w:tc>
        <w:tc>
          <w:tcPr>
            <w:tcW w:w="478" w:type="pct"/>
            <w:tcBorders>
              <w:top w:val="nil"/>
              <w:left w:val="nil"/>
              <w:bottom w:val="nil"/>
              <w:right w:val="nil"/>
            </w:tcBorders>
            <w:shd w:val="clear" w:color="000000" w:fill="E6F2FF"/>
            <w:noWrap/>
            <w:vAlign w:val="center"/>
            <w:hideMark/>
          </w:tcPr>
          <w:p w14:paraId="44359055"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-621.8</w:t>
            </w:r>
          </w:p>
        </w:tc>
        <w:tc>
          <w:tcPr>
            <w:tcW w:w="478" w:type="pct"/>
            <w:tcBorders>
              <w:top w:val="nil"/>
              <w:left w:val="nil"/>
              <w:bottom w:val="nil"/>
              <w:right w:val="nil"/>
            </w:tcBorders>
            <w:shd w:val="clear" w:color="000000" w:fill="E6F2FF"/>
            <w:noWrap/>
            <w:vAlign w:val="center"/>
            <w:hideMark/>
          </w:tcPr>
          <w:p w14:paraId="55EEE166"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-21.6</w:t>
            </w:r>
          </w:p>
        </w:tc>
        <w:tc>
          <w:tcPr>
            <w:tcW w:w="478" w:type="pct"/>
            <w:tcBorders>
              <w:top w:val="nil"/>
              <w:left w:val="nil"/>
              <w:bottom w:val="nil"/>
              <w:right w:val="nil"/>
            </w:tcBorders>
            <w:shd w:val="clear" w:color="000000" w:fill="FFFFFF"/>
            <w:noWrap/>
            <w:vAlign w:val="center"/>
            <w:hideMark/>
          </w:tcPr>
          <w:p w14:paraId="4849E729"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-659.2</w:t>
            </w:r>
          </w:p>
        </w:tc>
        <w:tc>
          <w:tcPr>
            <w:tcW w:w="478" w:type="pct"/>
            <w:tcBorders>
              <w:top w:val="nil"/>
              <w:left w:val="nil"/>
              <w:bottom w:val="nil"/>
              <w:right w:val="nil"/>
            </w:tcBorders>
            <w:shd w:val="clear" w:color="000000" w:fill="FFFFFF"/>
            <w:noWrap/>
            <w:vAlign w:val="center"/>
            <w:hideMark/>
          </w:tcPr>
          <w:p w14:paraId="5635F951"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-22.0</w:t>
            </w:r>
          </w:p>
        </w:tc>
        <w:tc>
          <w:tcPr>
            <w:tcW w:w="478" w:type="pct"/>
            <w:tcBorders>
              <w:top w:val="nil"/>
              <w:left w:val="nil"/>
              <w:bottom w:val="nil"/>
              <w:right w:val="nil"/>
            </w:tcBorders>
            <w:shd w:val="clear" w:color="000000" w:fill="FFFFFF"/>
            <w:noWrap/>
            <w:vAlign w:val="center"/>
            <w:hideMark/>
          </w:tcPr>
          <w:p w14:paraId="6FAA8811"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-700.7</w:t>
            </w:r>
          </w:p>
        </w:tc>
        <w:tc>
          <w:tcPr>
            <w:tcW w:w="478" w:type="pct"/>
            <w:tcBorders>
              <w:top w:val="nil"/>
              <w:left w:val="nil"/>
              <w:bottom w:val="nil"/>
              <w:right w:val="nil"/>
            </w:tcBorders>
            <w:shd w:val="clear" w:color="000000" w:fill="FFFFFF"/>
            <w:noWrap/>
            <w:vAlign w:val="center"/>
            <w:hideMark/>
          </w:tcPr>
          <w:p w14:paraId="7C32E6BD"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-22.3</w:t>
            </w:r>
          </w:p>
        </w:tc>
        <w:tc>
          <w:tcPr>
            <w:tcW w:w="526" w:type="pct"/>
            <w:tcBorders>
              <w:top w:val="nil"/>
              <w:left w:val="nil"/>
              <w:bottom w:val="nil"/>
              <w:right w:val="nil"/>
            </w:tcBorders>
            <w:shd w:val="clear" w:color="000000" w:fill="FFFFFF"/>
            <w:noWrap/>
            <w:vAlign w:val="center"/>
            <w:hideMark/>
          </w:tcPr>
          <w:p w14:paraId="47CAD686"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-740.1</w:t>
            </w:r>
          </w:p>
        </w:tc>
        <w:tc>
          <w:tcPr>
            <w:tcW w:w="478" w:type="pct"/>
            <w:tcBorders>
              <w:top w:val="nil"/>
              <w:left w:val="nil"/>
              <w:bottom w:val="nil"/>
              <w:right w:val="nil"/>
            </w:tcBorders>
            <w:shd w:val="clear" w:color="000000" w:fill="FFFFFF"/>
            <w:noWrap/>
            <w:vAlign w:val="center"/>
            <w:hideMark/>
          </w:tcPr>
          <w:p w14:paraId="4B94A1E1"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-22.3</w:t>
            </w:r>
          </w:p>
        </w:tc>
      </w:tr>
      <w:tr w:rsidR="00DB4911" w:rsidRPr="00954D98" w14:paraId="1990B686"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161A75D4" w14:textId="77777777" w:rsidR="00DB4911" w:rsidRPr="00954D98" w:rsidRDefault="00DB4911" w:rsidP="00DB4911">
            <w:pPr>
              <w:spacing w:before="0" w:after="0" w:line="240" w:lineRule="auto"/>
              <w:rPr>
                <w:rFonts w:ascii="Arial" w:hAnsi="Arial" w:cs="Arial"/>
                <w:b/>
                <w:color w:val="FFFF00"/>
                <w:sz w:val="16"/>
                <w:szCs w:val="16"/>
              </w:rPr>
            </w:pPr>
            <w:r w:rsidRPr="00954D98">
              <w:rPr>
                <w:rFonts w:ascii="Arial" w:hAnsi="Arial" w:cs="Arial"/>
                <w:b/>
                <w:sz w:val="16"/>
                <w:szCs w:val="16"/>
              </w:rPr>
              <w:t>Net financial worth</w:t>
            </w:r>
          </w:p>
        </w:tc>
        <w:tc>
          <w:tcPr>
            <w:tcW w:w="478" w:type="pct"/>
            <w:tcBorders>
              <w:top w:val="nil"/>
              <w:left w:val="nil"/>
              <w:bottom w:val="nil"/>
              <w:right w:val="nil"/>
            </w:tcBorders>
            <w:shd w:val="clear" w:color="000000" w:fill="E6F2FF"/>
            <w:noWrap/>
            <w:vAlign w:val="center"/>
            <w:hideMark/>
          </w:tcPr>
          <w:p w14:paraId="10270569"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E6F2FF"/>
            <w:noWrap/>
            <w:vAlign w:val="center"/>
            <w:hideMark/>
          </w:tcPr>
          <w:p w14:paraId="440733E2"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635E3B6B"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311A5B4D"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5B2D743C"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79D104C6"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26" w:type="pct"/>
            <w:tcBorders>
              <w:top w:val="nil"/>
              <w:left w:val="nil"/>
              <w:bottom w:val="nil"/>
              <w:right w:val="nil"/>
            </w:tcBorders>
            <w:shd w:val="clear" w:color="000000" w:fill="FFFFFF"/>
            <w:noWrap/>
            <w:vAlign w:val="center"/>
            <w:hideMark/>
          </w:tcPr>
          <w:p w14:paraId="62B11E1B"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3FDCED84"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w:t>
            </w:r>
          </w:p>
        </w:tc>
      </w:tr>
      <w:tr w:rsidR="00DB4911" w:rsidRPr="00954D98" w14:paraId="0567C7C1"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5FB6F6CA" w14:textId="77777777" w:rsidR="00DB4911" w:rsidRPr="00954D98" w:rsidRDefault="00DB4911" w:rsidP="00DB4911">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MYEFO</w:t>
            </w:r>
          </w:p>
        </w:tc>
        <w:tc>
          <w:tcPr>
            <w:tcW w:w="478" w:type="pct"/>
            <w:tcBorders>
              <w:top w:val="nil"/>
              <w:left w:val="nil"/>
              <w:bottom w:val="nil"/>
              <w:right w:val="nil"/>
            </w:tcBorders>
            <w:shd w:val="clear" w:color="000000" w:fill="E6F2FF"/>
            <w:noWrap/>
            <w:vAlign w:val="center"/>
            <w:hideMark/>
          </w:tcPr>
          <w:p w14:paraId="0926817F"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-881.7</w:t>
            </w:r>
          </w:p>
        </w:tc>
        <w:tc>
          <w:tcPr>
            <w:tcW w:w="478" w:type="pct"/>
            <w:tcBorders>
              <w:top w:val="nil"/>
              <w:left w:val="nil"/>
              <w:bottom w:val="nil"/>
              <w:right w:val="nil"/>
            </w:tcBorders>
            <w:shd w:val="clear" w:color="000000" w:fill="E6F2FF"/>
            <w:noWrap/>
            <w:vAlign w:val="center"/>
            <w:hideMark/>
          </w:tcPr>
          <w:p w14:paraId="25429E02"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-30.2</w:t>
            </w:r>
          </w:p>
        </w:tc>
        <w:tc>
          <w:tcPr>
            <w:tcW w:w="478" w:type="pct"/>
            <w:tcBorders>
              <w:top w:val="nil"/>
              <w:left w:val="nil"/>
              <w:bottom w:val="nil"/>
              <w:right w:val="nil"/>
            </w:tcBorders>
            <w:shd w:val="clear" w:color="000000" w:fill="FFFFFF"/>
            <w:noWrap/>
            <w:vAlign w:val="center"/>
            <w:hideMark/>
          </w:tcPr>
          <w:p w14:paraId="07B48766"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-930.2</w:t>
            </w:r>
          </w:p>
        </w:tc>
        <w:tc>
          <w:tcPr>
            <w:tcW w:w="478" w:type="pct"/>
            <w:tcBorders>
              <w:top w:val="nil"/>
              <w:left w:val="nil"/>
              <w:bottom w:val="nil"/>
              <w:right w:val="nil"/>
            </w:tcBorders>
            <w:shd w:val="clear" w:color="000000" w:fill="FFFFFF"/>
            <w:noWrap/>
            <w:vAlign w:val="center"/>
            <w:hideMark/>
          </w:tcPr>
          <w:p w14:paraId="33BB1146"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-30.8</w:t>
            </w:r>
          </w:p>
        </w:tc>
        <w:tc>
          <w:tcPr>
            <w:tcW w:w="478" w:type="pct"/>
            <w:tcBorders>
              <w:top w:val="nil"/>
              <w:left w:val="nil"/>
              <w:bottom w:val="nil"/>
              <w:right w:val="nil"/>
            </w:tcBorders>
            <w:shd w:val="clear" w:color="000000" w:fill="FFFFFF"/>
            <w:noWrap/>
            <w:vAlign w:val="center"/>
            <w:hideMark/>
          </w:tcPr>
          <w:p w14:paraId="2A926D44"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-984.9</w:t>
            </w:r>
          </w:p>
        </w:tc>
        <w:tc>
          <w:tcPr>
            <w:tcW w:w="478" w:type="pct"/>
            <w:tcBorders>
              <w:top w:val="nil"/>
              <w:left w:val="nil"/>
              <w:bottom w:val="nil"/>
              <w:right w:val="nil"/>
            </w:tcBorders>
            <w:shd w:val="clear" w:color="000000" w:fill="FFFFFF"/>
            <w:noWrap/>
            <w:vAlign w:val="center"/>
            <w:hideMark/>
          </w:tcPr>
          <w:p w14:paraId="4E76A471"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-31.2</w:t>
            </w:r>
          </w:p>
        </w:tc>
        <w:tc>
          <w:tcPr>
            <w:tcW w:w="526" w:type="pct"/>
            <w:tcBorders>
              <w:top w:val="nil"/>
              <w:left w:val="nil"/>
              <w:bottom w:val="nil"/>
              <w:right w:val="nil"/>
            </w:tcBorders>
            <w:shd w:val="clear" w:color="000000" w:fill="FFFFFF"/>
            <w:noWrap/>
            <w:vAlign w:val="center"/>
            <w:hideMark/>
          </w:tcPr>
          <w:p w14:paraId="388F5B9E"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-1,038.4</w:t>
            </w:r>
          </w:p>
        </w:tc>
        <w:tc>
          <w:tcPr>
            <w:tcW w:w="478" w:type="pct"/>
            <w:tcBorders>
              <w:top w:val="nil"/>
              <w:left w:val="nil"/>
              <w:bottom w:val="nil"/>
              <w:right w:val="nil"/>
            </w:tcBorders>
            <w:shd w:val="clear" w:color="000000" w:fill="FFFFFF"/>
            <w:noWrap/>
            <w:vAlign w:val="center"/>
            <w:hideMark/>
          </w:tcPr>
          <w:p w14:paraId="6EBA8AB2"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-31.1</w:t>
            </w:r>
          </w:p>
        </w:tc>
      </w:tr>
      <w:tr w:rsidR="00DB4911" w:rsidRPr="00954D98" w14:paraId="35CB9F0C"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7966D89A"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PEFO</w:t>
            </w:r>
          </w:p>
        </w:tc>
        <w:tc>
          <w:tcPr>
            <w:tcW w:w="478" w:type="pct"/>
            <w:tcBorders>
              <w:top w:val="nil"/>
              <w:left w:val="nil"/>
              <w:bottom w:val="nil"/>
              <w:right w:val="nil"/>
            </w:tcBorders>
            <w:shd w:val="clear" w:color="000000" w:fill="E6F2FF"/>
            <w:noWrap/>
            <w:vAlign w:val="center"/>
            <w:hideMark/>
          </w:tcPr>
          <w:p w14:paraId="79909390"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-850.1</w:t>
            </w:r>
          </w:p>
        </w:tc>
        <w:tc>
          <w:tcPr>
            <w:tcW w:w="478" w:type="pct"/>
            <w:tcBorders>
              <w:top w:val="nil"/>
              <w:left w:val="nil"/>
              <w:bottom w:val="nil"/>
              <w:right w:val="nil"/>
            </w:tcBorders>
            <w:shd w:val="clear" w:color="000000" w:fill="E6F2FF"/>
            <w:noWrap/>
            <w:vAlign w:val="center"/>
            <w:hideMark/>
          </w:tcPr>
          <w:p w14:paraId="3A79F2D3"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-29.5</w:t>
            </w:r>
          </w:p>
        </w:tc>
        <w:tc>
          <w:tcPr>
            <w:tcW w:w="478" w:type="pct"/>
            <w:tcBorders>
              <w:top w:val="nil"/>
              <w:left w:val="nil"/>
              <w:bottom w:val="nil"/>
              <w:right w:val="nil"/>
            </w:tcBorders>
            <w:shd w:val="clear" w:color="000000" w:fill="FFFFFF"/>
            <w:noWrap/>
            <w:vAlign w:val="center"/>
            <w:hideMark/>
          </w:tcPr>
          <w:p w14:paraId="736557B3"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-895.6</w:t>
            </w:r>
          </w:p>
        </w:tc>
        <w:tc>
          <w:tcPr>
            <w:tcW w:w="478" w:type="pct"/>
            <w:tcBorders>
              <w:top w:val="nil"/>
              <w:left w:val="nil"/>
              <w:bottom w:val="nil"/>
              <w:right w:val="nil"/>
            </w:tcBorders>
            <w:shd w:val="clear" w:color="000000" w:fill="FFFFFF"/>
            <w:noWrap/>
            <w:vAlign w:val="center"/>
            <w:hideMark/>
          </w:tcPr>
          <w:p w14:paraId="11E26012"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-29.9</w:t>
            </w:r>
          </w:p>
        </w:tc>
        <w:tc>
          <w:tcPr>
            <w:tcW w:w="478" w:type="pct"/>
            <w:tcBorders>
              <w:top w:val="nil"/>
              <w:left w:val="nil"/>
              <w:bottom w:val="nil"/>
              <w:right w:val="nil"/>
            </w:tcBorders>
            <w:shd w:val="clear" w:color="000000" w:fill="FFFFFF"/>
            <w:noWrap/>
            <w:vAlign w:val="center"/>
            <w:hideMark/>
          </w:tcPr>
          <w:p w14:paraId="348C57B3"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-948.1</w:t>
            </w:r>
          </w:p>
        </w:tc>
        <w:tc>
          <w:tcPr>
            <w:tcW w:w="478" w:type="pct"/>
            <w:tcBorders>
              <w:top w:val="nil"/>
              <w:left w:val="nil"/>
              <w:bottom w:val="nil"/>
              <w:right w:val="nil"/>
            </w:tcBorders>
            <w:shd w:val="clear" w:color="000000" w:fill="FFFFFF"/>
            <w:noWrap/>
            <w:vAlign w:val="center"/>
            <w:hideMark/>
          </w:tcPr>
          <w:p w14:paraId="070D3A9C"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-30.1</w:t>
            </w:r>
          </w:p>
        </w:tc>
        <w:tc>
          <w:tcPr>
            <w:tcW w:w="526" w:type="pct"/>
            <w:tcBorders>
              <w:top w:val="nil"/>
              <w:left w:val="nil"/>
              <w:bottom w:val="nil"/>
              <w:right w:val="nil"/>
            </w:tcBorders>
            <w:shd w:val="clear" w:color="000000" w:fill="FFFFFF"/>
            <w:noWrap/>
            <w:vAlign w:val="center"/>
            <w:hideMark/>
          </w:tcPr>
          <w:p w14:paraId="218E1837"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-997.4</w:t>
            </w:r>
          </w:p>
        </w:tc>
        <w:tc>
          <w:tcPr>
            <w:tcW w:w="478" w:type="pct"/>
            <w:tcBorders>
              <w:top w:val="nil"/>
              <w:left w:val="nil"/>
              <w:bottom w:val="nil"/>
              <w:right w:val="nil"/>
            </w:tcBorders>
            <w:shd w:val="clear" w:color="000000" w:fill="FFFFFF"/>
            <w:noWrap/>
            <w:vAlign w:val="center"/>
            <w:hideMark/>
          </w:tcPr>
          <w:p w14:paraId="6343A988"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-30.0</w:t>
            </w:r>
          </w:p>
        </w:tc>
      </w:tr>
      <w:tr w:rsidR="00DB4911" w:rsidRPr="00954D98" w14:paraId="71764193"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5FA164A0"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Budget</w:t>
            </w:r>
          </w:p>
        </w:tc>
        <w:tc>
          <w:tcPr>
            <w:tcW w:w="478" w:type="pct"/>
            <w:tcBorders>
              <w:top w:val="nil"/>
              <w:left w:val="nil"/>
              <w:bottom w:val="nil"/>
              <w:right w:val="nil"/>
            </w:tcBorders>
            <w:shd w:val="clear" w:color="000000" w:fill="E6F2FF"/>
            <w:noWrap/>
            <w:vAlign w:val="center"/>
            <w:hideMark/>
          </w:tcPr>
          <w:p w14:paraId="4D9E4316"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-850.1</w:t>
            </w:r>
          </w:p>
        </w:tc>
        <w:tc>
          <w:tcPr>
            <w:tcW w:w="478" w:type="pct"/>
            <w:tcBorders>
              <w:top w:val="nil"/>
              <w:left w:val="nil"/>
              <w:bottom w:val="nil"/>
              <w:right w:val="nil"/>
            </w:tcBorders>
            <w:shd w:val="clear" w:color="000000" w:fill="E6F2FF"/>
            <w:noWrap/>
            <w:vAlign w:val="center"/>
            <w:hideMark/>
          </w:tcPr>
          <w:p w14:paraId="4B809196"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-29.5</w:t>
            </w:r>
          </w:p>
        </w:tc>
        <w:tc>
          <w:tcPr>
            <w:tcW w:w="478" w:type="pct"/>
            <w:tcBorders>
              <w:top w:val="nil"/>
              <w:left w:val="nil"/>
              <w:bottom w:val="nil"/>
              <w:right w:val="nil"/>
            </w:tcBorders>
            <w:shd w:val="clear" w:color="000000" w:fill="FFFFFF"/>
            <w:noWrap/>
            <w:vAlign w:val="center"/>
            <w:hideMark/>
          </w:tcPr>
          <w:p w14:paraId="1E5E053B"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-895.6</w:t>
            </w:r>
          </w:p>
        </w:tc>
        <w:tc>
          <w:tcPr>
            <w:tcW w:w="478" w:type="pct"/>
            <w:tcBorders>
              <w:top w:val="nil"/>
              <w:left w:val="nil"/>
              <w:bottom w:val="nil"/>
              <w:right w:val="nil"/>
            </w:tcBorders>
            <w:shd w:val="clear" w:color="000000" w:fill="FFFFFF"/>
            <w:noWrap/>
            <w:vAlign w:val="center"/>
            <w:hideMark/>
          </w:tcPr>
          <w:p w14:paraId="17FB64D4"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-29.9</w:t>
            </w:r>
          </w:p>
        </w:tc>
        <w:tc>
          <w:tcPr>
            <w:tcW w:w="478" w:type="pct"/>
            <w:tcBorders>
              <w:top w:val="nil"/>
              <w:left w:val="nil"/>
              <w:bottom w:val="nil"/>
              <w:right w:val="nil"/>
            </w:tcBorders>
            <w:shd w:val="clear" w:color="000000" w:fill="FFFFFF"/>
            <w:noWrap/>
            <w:vAlign w:val="center"/>
            <w:hideMark/>
          </w:tcPr>
          <w:p w14:paraId="2257DBEE"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-948.3</w:t>
            </w:r>
          </w:p>
        </w:tc>
        <w:tc>
          <w:tcPr>
            <w:tcW w:w="478" w:type="pct"/>
            <w:tcBorders>
              <w:top w:val="nil"/>
              <w:left w:val="nil"/>
              <w:bottom w:val="nil"/>
              <w:right w:val="nil"/>
            </w:tcBorders>
            <w:shd w:val="clear" w:color="000000" w:fill="FFFFFF"/>
            <w:noWrap/>
            <w:vAlign w:val="center"/>
            <w:hideMark/>
          </w:tcPr>
          <w:p w14:paraId="1F9CF4CE"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-30.1</w:t>
            </w:r>
          </w:p>
        </w:tc>
        <w:tc>
          <w:tcPr>
            <w:tcW w:w="526" w:type="pct"/>
            <w:tcBorders>
              <w:top w:val="nil"/>
              <w:left w:val="nil"/>
              <w:bottom w:val="nil"/>
              <w:right w:val="nil"/>
            </w:tcBorders>
            <w:shd w:val="clear" w:color="000000" w:fill="FFFFFF"/>
            <w:noWrap/>
            <w:vAlign w:val="center"/>
            <w:hideMark/>
          </w:tcPr>
          <w:p w14:paraId="63685747"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-997.4</w:t>
            </w:r>
          </w:p>
        </w:tc>
        <w:tc>
          <w:tcPr>
            <w:tcW w:w="478" w:type="pct"/>
            <w:tcBorders>
              <w:top w:val="nil"/>
              <w:left w:val="nil"/>
              <w:bottom w:val="nil"/>
              <w:right w:val="nil"/>
            </w:tcBorders>
            <w:shd w:val="clear" w:color="000000" w:fill="FFFFFF"/>
            <w:noWrap/>
            <w:vAlign w:val="center"/>
            <w:hideMark/>
          </w:tcPr>
          <w:p w14:paraId="34E933D5"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-30.0</w:t>
            </w:r>
          </w:p>
        </w:tc>
      </w:tr>
      <w:tr w:rsidR="00DB4911" w:rsidRPr="00954D98" w14:paraId="3B4656EF"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60BEA461" w14:textId="59380404" w:rsidR="00DB4911" w:rsidRPr="00954D98" w:rsidRDefault="00DB4911" w:rsidP="00DB4911">
            <w:pPr>
              <w:spacing w:before="0" w:after="0" w:line="240" w:lineRule="auto"/>
              <w:rPr>
                <w:rFonts w:ascii="Arial" w:hAnsi="Arial" w:cs="Arial"/>
                <w:b/>
                <w:sz w:val="16"/>
                <w:szCs w:val="16"/>
              </w:rPr>
            </w:pPr>
            <w:r w:rsidRPr="00954D98">
              <w:rPr>
                <w:rFonts w:ascii="Arial" w:hAnsi="Arial" w:cs="Arial"/>
                <w:b/>
                <w:sz w:val="16"/>
                <w:szCs w:val="16"/>
              </w:rPr>
              <w:t>Gross debt</w:t>
            </w:r>
          </w:p>
        </w:tc>
        <w:tc>
          <w:tcPr>
            <w:tcW w:w="478" w:type="pct"/>
            <w:tcBorders>
              <w:top w:val="nil"/>
              <w:left w:val="nil"/>
              <w:bottom w:val="nil"/>
              <w:right w:val="nil"/>
            </w:tcBorders>
            <w:shd w:val="clear" w:color="000000" w:fill="E6F2FF"/>
            <w:noWrap/>
            <w:vAlign w:val="center"/>
            <w:hideMark/>
          </w:tcPr>
          <w:p w14:paraId="0CB5005F" w14:textId="77777777" w:rsidR="00DB4911" w:rsidRPr="00954D98" w:rsidRDefault="00DB4911" w:rsidP="00DB4911">
            <w:pPr>
              <w:spacing w:before="0" w:after="0" w:line="240" w:lineRule="auto"/>
              <w:rPr>
                <w:rFonts w:ascii="Arial" w:hAnsi="Arial" w:cs="Arial"/>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E6F2FF"/>
            <w:noWrap/>
            <w:vAlign w:val="center"/>
            <w:hideMark/>
          </w:tcPr>
          <w:p w14:paraId="16DBFBE7" w14:textId="77777777" w:rsidR="00DB4911" w:rsidRPr="00954D98" w:rsidRDefault="00DB4911" w:rsidP="00DB4911">
            <w:pPr>
              <w:spacing w:before="0" w:after="0" w:line="240" w:lineRule="auto"/>
              <w:rPr>
                <w:rFonts w:ascii="Arial" w:hAnsi="Arial" w:cs="Arial"/>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105B9A06"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25308823"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51E363C8"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1B77CAEC"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w:t>
            </w:r>
          </w:p>
        </w:tc>
        <w:tc>
          <w:tcPr>
            <w:tcW w:w="526" w:type="pct"/>
            <w:tcBorders>
              <w:top w:val="nil"/>
              <w:left w:val="nil"/>
              <w:bottom w:val="nil"/>
              <w:right w:val="nil"/>
            </w:tcBorders>
            <w:shd w:val="clear" w:color="000000" w:fill="FFFFFF"/>
            <w:noWrap/>
            <w:vAlign w:val="center"/>
            <w:hideMark/>
          </w:tcPr>
          <w:p w14:paraId="5DB07C5A"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569F6083"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w:t>
            </w:r>
          </w:p>
        </w:tc>
      </w:tr>
      <w:tr w:rsidR="00DB4911" w:rsidRPr="00954D98" w14:paraId="308F58BD"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1481E465" w14:textId="77777777" w:rsidR="00DB4911" w:rsidRPr="00954D98" w:rsidRDefault="00DB4911" w:rsidP="00DB4911">
            <w:pPr>
              <w:spacing w:before="0" w:after="0" w:line="240" w:lineRule="auto"/>
              <w:ind w:firstLineChars="100" w:firstLine="160"/>
              <w:rPr>
                <w:rFonts w:ascii="Arial" w:hAnsi="Arial" w:cs="Arial"/>
                <w:color w:val="000000"/>
                <w:sz w:val="16"/>
                <w:szCs w:val="16"/>
              </w:rPr>
            </w:pPr>
            <w:r w:rsidRPr="00954D98">
              <w:rPr>
                <w:rFonts w:ascii="Arial" w:hAnsi="Arial" w:cs="Arial"/>
                <w:sz w:val="16"/>
                <w:szCs w:val="16"/>
              </w:rPr>
              <w:t>MYEFO</w:t>
            </w:r>
          </w:p>
        </w:tc>
        <w:tc>
          <w:tcPr>
            <w:tcW w:w="478" w:type="pct"/>
            <w:tcBorders>
              <w:top w:val="nil"/>
              <w:left w:val="nil"/>
              <w:bottom w:val="nil"/>
              <w:right w:val="nil"/>
            </w:tcBorders>
            <w:shd w:val="clear" w:color="000000" w:fill="E6F2FF"/>
            <w:noWrap/>
            <w:vAlign w:val="center"/>
            <w:hideMark/>
          </w:tcPr>
          <w:p w14:paraId="5623BACD" w14:textId="77777777" w:rsidR="00DB4911" w:rsidRPr="00954D98" w:rsidRDefault="00DB4911" w:rsidP="00DB4911">
            <w:pPr>
              <w:spacing w:before="0" w:after="0" w:line="240" w:lineRule="auto"/>
              <w:jc w:val="right"/>
              <w:rPr>
                <w:rFonts w:ascii="Arial" w:hAnsi="Arial" w:cs="Arial"/>
                <w:color w:val="000000"/>
                <w:sz w:val="16"/>
                <w:szCs w:val="16"/>
              </w:rPr>
            </w:pPr>
            <w:r w:rsidRPr="00954D98">
              <w:rPr>
                <w:rFonts w:ascii="Arial" w:hAnsi="Arial" w:cs="Arial"/>
                <w:sz w:val="16"/>
                <w:szCs w:val="16"/>
              </w:rPr>
              <w:t>993.0</w:t>
            </w:r>
          </w:p>
        </w:tc>
        <w:tc>
          <w:tcPr>
            <w:tcW w:w="478" w:type="pct"/>
            <w:tcBorders>
              <w:top w:val="nil"/>
              <w:left w:val="nil"/>
              <w:bottom w:val="nil"/>
              <w:right w:val="nil"/>
            </w:tcBorders>
            <w:shd w:val="clear" w:color="000000" w:fill="E6F2FF"/>
            <w:noWrap/>
            <w:vAlign w:val="center"/>
            <w:hideMark/>
          </w:tcPr>
          <w:p w14:paraId="33C22895" w14:textId="77777777" w:rsidR="00DB4911" w:rsidRPr="00954D98" w:rsidRDefault="00DB4911" w:rsidP="00DB4911">
            <w:pPr>
              <w:spacing w:before="0" w:after="0" w:line="240" w:lineRule="auto"/>
              <w:jc w:val="right"/>
              <w:rPr>
                <w:rFonts w:ascii="Arial" w:hAnsi="Arial" w:cs="Arial"/>
                <w:color w:val="000000"/>
                <w:sz w:val="16"/>
                <w:szCs w:val="16"/>
              </w:rPr>
            </w:pPr>
            <w:r w:rsidRPr="00954D98">
              <w:rPr>
                <w:rFonts w:ascii="Arial" w:hAnsi="Arial" w:cs="Arial"/>
                <w:sz w:val="16"/>
                <w:szCs w:val="16"/>
              </w:rPr>
              <w:t>34.0</w:t>
            </w:r>
          </w:p>
        </w:tc>
        <w:tc>
          <w:tcPr>
            <w:tcW w:w="478" w:type="pct"/>
            <w:tcBorders>
              <w:top w:val="nil"/>
              <w:left w:val="nil"/>
              <w:bottom w:val="nil"/>
              <w:right w:val="nil"/>
            </w:tcBorders>
            <w:shd w:val="clear" w:color="000000" w:fill="FFFFFF"/>
            <w:noWrap/>
            <w:vAlign w:val="center"/>
            <w:hideMark/>
          </w:tcPr>
          <w:p w14:paraId="3A9BBB5D"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1,069.0</w:t>
            </w:r>
          </w:p>
        </w:tc>
        <w:tc>
          <w:tcPr>
            <w:tcW w:w="478" w:type="pct"/>
            <w:tcBorders>
              <w:top w:val="nil"/>
              <w:left w:val="nil"/>
              <w:bottom w:val="nil"/>
              <w:right w:val="nil"/>
            </w:tcBorders>
            <w:shd w:val="clear" w:color="000000" w:fill="FFFFFF"/>
            <w:noWrap/>
            <w:vAlign w:val="center"/>
            <w:hideMark/>
          </w:tcPr>
          <w:p w14:paraId="036FB375"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35.4</w:t>
            </w:r>
          </w:p>
        </w:tc>
        <w:tc>
          <w:tcPr>
            <w:tcW w:w="478" w:type="pct"/>
            <w:tcBorders>
              <w:top w:val="nil"/>
              <w:left w:val="nil"/>
              <w:bottom w:val="nil"/>
              <w:right w:val="nil"/>
            </w:tcBorders>
            <w:shd w:val="clear" w:color="000000" w:fill="FFFFFF"/>
            <w:noWrap/>
            <w:vAlign w:val="center"/>
            <w:hideMark/>
          </w:tcPr>
          <w:p w14:paraId="6F444CB8"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1,142.0</w:t>
            </w:r>
          </w:p>
        </w:tc>
        <w:tc>
          <w:tcPr>
            <w:tcW w:w="478" w:type="pct"/>
            <w:tcBorders>
              <w:top w:val="nil"/>
              <w:left w:val="nil"/>
              <w:bottom w:val="nil"/>
              <w:right w:val="nil"/>
            </w:tcBorders>
            <w:shd w:val="clear" w:color="000000" w:fill="FFFFFF"/>
            <w:noWrap/>
            <w:vAlign w:val="center"/>
            <w:hideMark/>
          </w:tcPr>
          <w:p w14:paraId="2A40180B"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36.1</w:t>
            </w:r>
          </w:p>
        </w:tc>
        <w:tc>
          <w:tcPr>
            <w:tcW w:w="526" w:type="pct"/>
            <w:tcBorders>
              <w:top w:val="nil"/>
              <w:left w:val="nil"/>
              <w:bottom w:val="nil"/>
              <w:right w:val="nil"/>
            </w:tcBorders>
            <w:shd w:val="clear" w:color="000000" w:fill="FFFFFF"/>
            <w:noWrap/>
            <w:vAlign w:val="center"/>
            <w:hideMark/>
          </w:tcPr>
          <w:p w14:paraId="77E738BB"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1,213.0</w:t>
            </w:r>
          </w:p>
        </w:tc>
        <w:tc>
          <w:tcPr>
            <w:tcW w:w="478" w:type="pct"/>
            <w:tcBorders>
              <w:top w:val="nil"/>
              <w:left w:val="nil"/>
              <w:bottom w:val="nil"/>
              <w:right w:val="nil"/>
            </w:tcBorders>
            <w:shd w:val="clear" w:color="000000" w:fill="FFFFFF"/>
            <w:noWrap/>
            <w:vAlign w:val="center"/>
            <w:hideMark/>
          </w:tcPr>
          <w:p w14:paraId="7C785CDC"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36.4</w:t>
            </w:r>
          </w:p>
        </w:tc>
      </w:tr>
      <w:tr w:rsidR="00DB4911" w:rsidRPr="00954D98" w14:paraId="13DCAF95"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064C0508" w14:textId="77777777" w:rsidR="00DB4911" w:rsidRPr="00954D98" w:rsidRDefault="00DB4911" w:rsidP="00DB4911">
            <w:pPr>
              <w:spacing w:before="0" w:after="0" w:line="240" w:lineRule="auto"/>
              <w:ind w:firstLineChars="100" w:firstLine="160"/>
              <w:rPr>
                <w:rFonts w:ascii="Arial" w:hAnsi="Arial" w:cs="Arial"/>
                <w:i/>
                <w:color w:val="000000"/>
                <w:sz w:val="16"/>
                <w:szCs w:val="16"/>
              </w:rPr>
            </w:pPr>
            <w:r w:rsidRPr="00954D98">
              <w:rPr>
                <w:rFonts w:ascii="Arial" w:hAnsi="Arial" w:cs="Arial"/>
                <w:i/>
                <w:sz w:val="16"/>
                <w:szCs w:val="16"/>
              </w:rPr>
              <w:t>PEFO</w:t>
            </w:r>
          </w:p>
        </w:tc>
        <w:tc>
          <w:tcPr>
            <w:tcW w:w="478" w:type="pct"/>
            <w:tcBorders>
              <w:top w:val="nil"/>
              <w:left w:val="nil"/>
              <w:bottom w:val="nil"/>
              <w:right w:val="nil"/>
            </w:tcBorders>
            <w:shd w:val="clear" w:color="000000" w:fill="E6F2FF"/>
            <w:noWrap/>
            <w:vAlign w:val="center"/>
            <w:hideMark/>
          </w:tcPr>
          <w:p w14:paraId="2D69CA7D" w14:textId="77777777" w:rsidR="00DB4911" w:rsidRPr="00954D98" w:rsidRDefault="00DB4911" w:rsidP="00DB4911">
            <w:pPr>
              <w:spacing w:before="0" w:after="0" w:line="240" w:lineRule="auto"/>
              <w:jc w:val="right"/>
              <w:rPr>
                <w:rFonts w:ascii="Arial" w:hAnsi="Arial" w:cs="Arial"/>
                <w:i/>
                <w:color w:val="000000"/>
                <w:sz w:val="16"/>
                <w:szCs w:val="16"/>
              </w:rPr>
            </w:pPr>
            <w:r w:rsidRPr="00954D98">
              <w:rPr>
                <w:rFonts w:ascii="Arial" w:hAnsi="Arial" w:cs="Arial"/>
                <w:i/>
                <w:sz w:val="16"/>
                <w:szCs w:val="16"/>
              </w:rPr>
              <w:t>1,022.0</w:t>
            </w:r>
          </w:p>
        </w:tc>
        <w:tc>
          <w:tcPr>
            <w:tcW w:w="478" w:type="pct"/>
            <w:tcBorders>
              <w:top w:val="nil"/>
              <w:left w:val="nil"/>
              <w:bottom w:val="nil"/>
              <w:right w:val="nil"/>
            </w:tcBorders>
            <w:shd w:val="clear" w:color="000000" w:fill="E6F2FF"/>
            <w:noWrap/>
            <w:vAlign w:val="center"/>
            <w:hideMark/>
          </w:tcPr>
          <w:p w14:paraId="4E89FB4B" w14:textId="77777777" w:rsidR="00DB4911" w:rsidRPr="00954D98" w:rsidRDefault="00DB4911" w:rsidP="00DB4911">
            <w:pPr>
              <w:spacing w:before="0" w:after="0" w:line="240" w:lineRule="auto"/>
              <w:jc w:val="right"/>
              <w:rPr>
                <w:rFonts w:ascii="Arial" w:hAnsi="Arial" w:cs="Arial"/>
                <w:i/>
                <w:color w:val="000000"/>
                <w:sz w:val="16"/>
                <w:szCs w:val="16"/>
              </w:rPr>
            </w:pPr>
            <w:r w:rsidRPr="00954D98">
              <w:rPr>
                <w:rFonts w:ascii="Arial" w:hAnsi="Arial" w:cs="Arial"/>
                <w:i/>
                <w:sz w:val="16"/>
                <w:szCs w:val="16"/>
              </w:rPr>
              <w:t>35.5</w:t>
            </w:r>
          </w:p>
        </w:tc>
        <w:tc>
          <w:tcPr>
            <w:tcW w:w="478" w:type="pct"/>
            <w:tcBorders>
              <w:top w:val="nil"/>
              <w:left w:val="nil"/>
              <w:bottom w:val="nil"/>
              <w:right w:val="nil"/>
            </w:tcBorders>
            <w:shd w:val="clear" w:color="000000" w:fill="FFFFFF"/>
            <w:noWrap/>
            <w:vAlign w:val="center"/>
            <w:hideMark/>
          </w:tcPr>
          <w:p w14:paraId="1E7A5CF1"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1,092.0</w:t>
            </w:r>
          </w:p>
        </w:tc>
        <w:tc>
          <w:tcPr>
            <w:tcW w:w="478" w:type="pct"/>
            <w:tcBorders>
              <w:top w:val="nil"/>
              <w:left w:val="nil"/>
              <w:bottom w:val="nil"/>
              <w:right w:val="nil"/>
            </w:tcBorders>
            <w:shd w:val="clear" w:color="000000" w:fill="FFFFFF"/>
            <w:noWrap/>
            <w:vAlign w:val="center"/>
            <w:hideMark/>
          </w:tcPr>
          <w:p w14:paraId="574C4438"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36.5</w:t>
            </w:r>
          </w:p>
        </w:tc>
        <w:tc>
          <w:tcPr>
            <w:tcW w:w="478" w:type="pct"/>
            <w:tcBorders>
              <w:top w:val="nil"/>
              <w:left w:val="nil"/>
              <w:bottom w:val="nil"/>
              <w:right w:val="nil"/>
            </w:tcBorders>
            <w:shd w:val="clear" w:color="000000" w:fill="FFFFFF"/>
            <w:noWrap/>
            <w:vAlign w:val="center"/>
            <w:hideMark/>
          </w:tcPr>
          <w:p w14:paraId="23E1FACD"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1,161.0</w:t>
            </w:r>
          </w:p>
        </w:tc>
        <w:tc>
          <w:tcPr>
            <w:tcW w:w="478" w:type="pct"/>
            <w:tcBorders>
              <w:top w:val="nil"/>
              <w:left w:val="nil"/>
              <w:bottom w:val="nil"/>
              <w:right w:val="nil"/>
            </w:tcBorders>
            <w:shd w:val="clear" w:color="000000" w:fill="FFFFFF"/>
            <w:noWrap/>
            <w:vAlign w:val="center"/>
            <w:hideMark/>
          </w:tcPr>
          <w:p w14:paraId="2F5F57E0"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36.9</w:t>
            </w:r>
          </w:p>
        </w:tc>
        <w:tc>
          <w:tcPr>
            <w:tcW w:w="526" w:type="pct"/>
            <w:tcBorders>
              <w:top w:val="nil"/>
              <w:left w:val="nil"/>
              <w:bottom w:val="nil"/>
              <w:right w:val="nil"/>
            </w:tcBorders>
            <w:shd w:val="clear" w:color="000000" w:fill="FFFFFF"/>
            <w:noWrap/>
            <w:vAlign w:val="center"/>
            <w:hideMark/>
          </w:tcPr>
          <w:p w14:paraId="77BAF833"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1,223.0</w:t>
            </w:r>
          </w:p>
        </w:tc>
        <w:tc>
          <w:tcPr>
            <w:tcW w:w="478" w:type="pct"/>
            <w:tcBorders>
              <w:top w:val="nil"/>
              <w:left w:val="nil"/>
              <w:bottom w:val="nil"/>
              <w:right w:val="nil"/>
            </w:tcBorders>
            <w:shd w:val="clear" w:color="000000" w:fill="FFFFFF"/>
            <w:noWrap/>
            <w:vAlign w:val="center"/>
            <w:hideMark/>
          </w:tcPr>
          <w:p w14:paraId="5AD0B5D6"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36.8</w:t>
            </w:r>
          </w:p>
        </w:tc>
      </w:tr>
      <w:tr w:rsidR="00DB4911" w:rsidRPr="00954D98" w14:paraId="22B9F9CE"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14489CA1" w14:textId="77777777" w:rsidR="00DB4911" w:rsidRPr="00954D98" w:rsidRDefault="00DB4911" w:rsidP="00DB4911">
            <w:pPr>
              <w:spacing w:before="0" w:after="0" w:line="240" w:lineRule="auto"/>
              <w:ind w:firstLineChars="100" w:firstLine="160"/>
              <w:rPr>
                <w:rFonts w:ascii="Arial" w:hAnsi="Arial" w:cs="Arial"/>
                <w:i/>
                <w:color w:val="000000"/>
                <w:sz w:val="16"/>
                <w:szCs w:val="16"/>
              </w:rPr>
            </w:pPr>
            <w:r w:rsidRPr="00954D98">
              <w:rPr>
                <w:rFonts w:ascii="Arial" w:hAnsi="Arial" w:cs="Arial"/>
                <w:i/>
                <w:sz w:val="16"/>
                <w:szCs w:val="16"/>
              </w:rPr>
              <w:t>Budget</w:t>
            </w:r>
          </w:p>
        </w:tc>
        <w:tc>
          <w:tcPr>
            <w:tcW w:w="478" w:type="pct"/>
            <w:tcBorders>
              <w:top w:val="nil"/>
              <w:left w:val="nil"/>
              <w:bottom w:val="nil"/>
              <w:right w:val="nil"/>
            </w:tcBorders>
            <w:shd w:val="clear" w:color="000000" w:fill="E6F2FF"/>
            <w:noWrap/>
            <w:vAlign w:val="center"/>
            <w:hideMark/>
          </w:tcPr>
          <w:p w14:paraId="40AD9A7D" w14:textId="77777777" w:rsidR="00DB4911" w:rsidRPr="00954D98" w:rsidRDefault="00DB4911" w:rsidP="00DB4911">
            <w:pPr>
              <w:spacing w:before="0" w:after="0" w:line="240" w:lineRule="auto"/>
              <w:jc w:val="right"/>
              <w:rPr>
                <w:rFonts w:ascii="Arial" w:hAnsi="Arial" w:cs="Arial"/>
                <w:i/>
                <w:color w:val="000000"/>
                <w:sz w:val="16"/>
                <w:szCs w:val="16"/>
              </w:rPr>
            </w:pPr>
            <w:r w:rsidRPr="00954D98">
              <w:rPr>
                <w:rFonts w:ascii="Arial" w:hAnsi="Arial" w:cs="Arial"/>
                <w:i/>
                <w:sz w:val="16"/>
                <w:szCs w:val="16"/>
              </w:rPr>
              <w:t>1,022.0</w:t>
            </w:r>
          </w:p>
        </w:tc>
        <w:tc>
          <w:tcPr>
            <w:tcW w:w="478" w:type="pct"/>
            <w:tcBorders>
              <w:top w:val="nil"/>
              <w:left w:val="nil"/>
              <w:bottom w:val="nil"/>
              <w:right w:val="nil"/>
            </w:tcBorders>
            <w:shd w:val="clear" w:color="000000" w:fill="E6F2FF"/>
            <w:noWrap/>
            <w:vAlign w:val="center"/>
            <w:hideMark/>
          </w:tcPr>
          <w:p w14:paraId="5F0C8A9F" w14:textId="77777777" w:rsidR="00DB4911" w:rsidRPr="00954D98" w:rsidRDefault="00DB4911" w:rsidP="00DB4911">
            <w:pPr>
              <w:spacing w:before="0" w:after="0" w:line="240" w:lineRule="auto"/>
              <w:jc w:val="right"/>
              <w:rPr>
                <w:rFonts w:ascii="Arial" w:hAnsi="Arial" w:cs="Arial"/>
                <w:i/>
                <w:color w:val="000000"/>
                <w:sz w:val="16"/>
                <w:szCs w:val="16"/>
              </w:rPr>
            </w:pPr>
            <w:r w:rsidRPr="00954D98">
              <w:rPr>
                <w:rFonts w:ascii="Arial" w:hAnsi="Arial" w:cs="Arial"/>
                <w:i/>
                <w:sz w:val="16"/>
                <w:szCs w:val="16"/>
              </w:rPr>
              <w:t>35.5</w:t>
            </w:r>
          </w:p>
        </w:tc>
        <w:tc>
          <w:tcPr>
            <w:tcW w:w="478" w:type="pct"/>
            <w:tcBorders>
              <w:top w:val="nil"/>
              <w:left w:val="nil"/>
              <w:bottom w:val="nil"/>
              <w:right w:val="nil"/>
            </w:tcBorders>
            <w:shd w:val="clear" w:color="000000" w:fill="FFFFFF"/>
            <w:noWrap/>
            <w:vAlign w:val="center"/>
            <w:hideMark/>
          </w:tcPr>
          <w:p w14:paraId="7F2ECE19"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1,092.0</w:t>
            </w:r>
          </w:p>
        </w:tc>
        <w:tc>
          <w:tcPr>
            <w:tcW w:w="478" w:type="pct"/>
            <w:tcBorders>
              <w:top w:val="nil"/>
              <w:left w:val="nil"/>
              <w:bottom w:val="nil"/>
              <w:right w:val="nil"/>
            </w:tcBorders>
            <w:shd w:val="clear" w:color="000000" w:fill="FFFFFF"/>
            <w:noWrap/>
            <w:vAlign w:val="center"/>
            <w:hideMark/>
          </w:tcPr>
          <w:p w14:paraId="41A59B34"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36.5</w:t>
            </w:r>
          </w:p>
        </w:tc>
        <w:tc>
          <w:tcPr>
            <w:tcW w:w="478" w:type="pct"/>
            <w:tcBorders>
              <w:top w:val="nil"/>
              <w:left w:val="nil"/>
              <w:bottom w:val="nil"/>
              <w:right w:val="nil"/>
            </w:tcBorders>
            <w:shd w:val="clear" w:color="000000" w:fill="FFFFFF"/>
            <w:noWrap/>
            <w:vAlign w:val="center"/>
            <w:hideMark/>
          </w:tcPr>
          <w:p w14:paraId="093FF921"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1,161.0</w:t>
            </w:r>
          </w:p>
        </w:tc>
        <w:tc>
          <w:tcPr>
            <w:tcW w:w="478" w:type="pct"/>
            <w:tcBorders>
              <w:top w:val="nil"/>
              <w:left w:val="nil"/>
              <w:bottom w:val="nil"/>
              <w:right w:val="nil"/>
            </w:tcBorders>
            <w:shd w:val="clear" w:color="000000" w:fill="FFFFFF"/>
            <w:noWrap/>
            <w:vAlign w:val="center"/>
            <w:hideMark/>
          </w:tcPr>
          <w:p w14:paraId="7645154A"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36.9</w:t>
            </w:r>
          </w:p>
        </w:tc>
        <w:tc>
          <w:tcPr>
            <w:tcW w:w="526" w:type="pct"/>
            <w:tcBorders>
              <w:top w:val="nil"/>
              <w:left w:val="nil"/>
              <w:bottom w:val="nil"/>
              <w:right w:val="nil"/>
            </w:tcBorders>
            <w:shd w:val="clear" w:color="000000" w:fill="FFFFFF"/>
            <w:noWrap/>
            <w:vAlign w:val="center"/>
            <w:hideMark/>
          </w:tcPr>
          <w:p w14:paraId="534EC1D3"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1,223.0</w:t>
            </w:r>
          </w:p>
        </w:tc>
        <w:tc>
          <w:tcPr>
            <w:tcW w:w="478" w:type="pct"/>
            <w:tcBorders>
              <w:top w:val="nil"/>
              <w:left w:val="nil"/>
              <w:bottom w:val="nil"/>
              <w:right w:val="nil"/>
            </w:tcBorders>
            <w:shd w:val="clear" w:color="000000" w:fill="FFFFFF"/>
            <w:noWrap/>
            <w:vAlign w:val="center"/>
            <w:hideMark/>
          </w:tcPr>
          <w:p w14:paraId="0F6EA4EE"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36.8</w:t>
            </w:r>
          </w:p>
        </w:tc>
      </w:tr>
      <w:tr w:rsidR="00DB4911" w:rsidRPr="00954D98" w14:paraId="661DD7EB"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53B12847" w14:textId="77777777" w:rsidR="00DB4911" w:rsidRPr="00954D98" w:rsidRDefault="00DB4911" w:rsidP="00DB4911">
            <w:pPr>
              <w:spacing w:before="0" w:after="0" w:line="240" w:lineRule="auto"/>
              <w:rPr>
                <w:rFonts w:ascii="Arial" w:hAnsi="Arial" w:cs="Arial"/>
                <w:b/>
                <w:color w:val="FFFF00"/>
                <w:sz w:val="16"/>
                <w:szCs w:val="16"/>
              </w:rPr>
            </w:pPr>
            <w:r w:rsidRPr="00954D98">
              <w:rPr>
                <w:rFonts w:ascii="Arial" w:hAnsi="Arial" w:cs="Arial"/>
                <w:b/>
                <w:sz w:val="16"/>
                <w:szCs w:val="16"/>
              </w:rPr>
              <w:t>Net debt</w:t>
            </w:r>
          </w:p>
        </w:tc>
        <w:tc>
          <w:tcPr>
            <w:tcW w:w="478" w:type="pct"/>
            <w:tcBorders>
              <w:top w:val="nil"/>
              <w:left w:val="nil"/>
              <w:bottom w:val="nil"/>
              <w:right w:val="nil"/>
            </w:tcBorders>
            <w:shd w:val="clear" w:color="000000" w:fill="E6F2FF"/>
            <w:noWrap/>
            <w:vAlign w:val="center"/>
            <w:hideMark/>
          </w:tcPr>
          <w:p w14:paraId="4E6320D5"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E6F2FF"/>
            <w:noWrap/>
            <w:vAlign w:val="center"/>
            <w:hideMark/>
          </w:tcPr>
          <w:p w14:paraId="4BEF5A94"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3872B961"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243EA15F"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11C178E7"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46480305"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26" w:type="pct"/>
            <w:tcBorders>
              <w:top w:val="nil"/>
              <w:left w:val="nil"/>
              <w:bottom w:val="nil"/>
              <w:right w:val="nil"/>
            </w:tcBorders>
            <w:shd w:val="clear" w:color="000000" w:fill="FFFFFF"/>
            <w:noWrap/>
            <w:vAlign w:val="center"/>
            <w:hideMark/>
          </w:tcPr>
          <w:p w14:paraId="53A8AD22"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0906D4C9"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w:t>
            </w:r>
          </w:p>
        </w:tc>
      </w:tr>
      <w:tr w:rsidR="00DB4911" w:rsidRPr="00954D98" w14:paraId="2553446A"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21F1355B" w14:textId="77777777" w:rsidR="00DB4911" w:rsidRPr="00954D98" w:rsidRDefault="00DB4911" w:rsidP="00DB4911">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MYEFO</w:t>
            </w:r>
          </w:p>
        </w:tc>
        <w:tc>
          <w:tcPr>
            <w:tcW w:w="478" w:type="pct"/>
            <w:tcBorders>
              <w:top w:val="nil"/>
              <w:left w:val="nil"/>
              <w:bottom w:val="nil"/>
              <w:right w:val="nil"/>
            </w:tcBorders>
            <w:shd w:val="clear" w:color="000000" w:fill="E6F2FF"/>
            <w:noWrap/>
            <w:vAlign w:val="center"/>
            <w:hideMark/>
          </w:tcPr>
          <w:p w14:paraId="3D989583"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587.5</w:t>
            </w:r>
          </w:p>
        </w:tc>
        <w:tc>
          <w:tcPr>
            <w:tcW w:w="478" w:type="pct"/>
            <w:tcBorders>
              <w:top w:val="nil"/>
              <w:left w:val="nil"/>
              <w:bottom w:val="nil"/>
              <w:right w:val="nil"/>
            </w:tcBorders>
            <w:shd w:val="clear" w:color="000000" w:fill="E6F2FF"/>
            <w:noWrap/>
            <w:vAlign w:val="center"/>
            <w:hideMark/>
          </w:tcPr>
          <w:p w14:paraId="21AC97EF"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20.1</w:t>
            </w:r>
          </w:p>
        </w:tc>
        <w:tc>
          <w:tcPr>
            <w:tcW w:w="478" w:type="pct"/>
            <w:tcBorders>
              <w:top w:val="nil"/>
              <w:left w:val="nil"/>
              <w:bottom w:val="nil"/>
              <w:right w:val="nil"/>
            </w:tcBorders>
            <w:shd w:val="clear" w:color="000000" w:fill="FFFFFF"/>
            <w:noWrap/>
            <w:vAlign w:val="center"/>
            <w:hideMark/>
          </w:tcPr>
          <w:p w14:paraId="754D8164"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646.9</w:t>
            </w:r>
          </w:p>
        </w:tc>
        <w:tc>
          <w:tcPr>
            <w:tcW w:w="478" w:type="pct"/>
            <w:tcBorders>
              <w:top w:val="nil"/>
              <w:left w:val="nil"/>
              <w:bottom w:val="nil"/>
              <w:right w:val="nil"/>
            </w:tcBorders>
            <w:shd w:val="clear" w:color="000000" w:fill="FFFFFF"/>
            <w:noWrap/>
            <w:vAlign w:val="center"/>
            <w:hideMark/>
          </w:tcPr>
          <w:p w14:paraId="3969C3CD"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21.4</w:t>
            </w:r>
          </w:p>
        </w:tc>
        <w:tc>
          <w:tcPr>
            <w:tcW w:w="478" w:type="pct"/>
            <w:tcBorders>
              <w:top w:val="nil"/>
              <w:left w:val="nil"/>
              <w:bottom w:val="nil"/>
              <w:right w:val="nil"/>
            </w:tcBorders>
            <w:shd w:val="clear" w:color="000000" w:fill="FFFFFF"/>
            <w:noWrap/>
            <w:vAlign w:val="center"/>
            <w:hideMark/>
          </w:tcPr>
          <w:p w14:paraId="29896DA9"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700.4</w:t>
            </w:r>
          </w:p>
        </w:tc>
        <w:tc>
          <w:tcPr>
            <w:tcW w:w="478" w:type="pct"/>
            <w:tcBorders>
              <w:top w:val="nil"/>
              <w:left w:val="nil"/>
              <w:bottom w:val="nil"/>
              <w:right w:val="nil"/>
            </w:tcBorders>
            <w:shd w:val="clear" w:color="000000" w:fill="FFFFFF"/>
            <w:noWrap/>
            <w:vAlign w:val="center"/>
            <w:hideMark/>
          </w:tcPr>
          <w:p w14:paraId="1840AC3C"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22.2</w:t>
            </w:r>
          </w:p>
        </w:tc>
        <w:tc>
          <w:tcPr>
            <w:tcW w:w="526" w:type="pct"/>
            <w:tcBorders>
              <w:top w:val="nil"/>
              <w:left w:val="nil"/>
              <w:bottom w:val="nil"/>
              <w:right w:val="nil"/>
            </w:tcBorders>
            <w:shd w:val="clear" w:color="000000" w:fill="FFFFFF"/>
            <w:noWrap/>
            <w:vAlign w:val="center"/>
            <w:hideMark/>
          </w:tcPr>
          <w:p w14:paraId="041C4A59"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754.8</w:t>
            </w:r>
          </w:p>
        </w:tc>
        <w:tc>
          <w:tcPr>
            <w:tcW w:w="478" w:type="pct"/>
            <w:tcBorders>
              <w:top w:val="nil"/>
              <w:left w:val="nil"/>
              <w:bottom w:val="nil"/>
              <w:right w:val="nil"/>
            </w:tcBorders>
            <w:shd w:val="clear" w:color="000000" w:fill="FFFFFF"/>
            <w:noWrap/>
            <w:vAlign w:val="center"/>
            <w:hideMark/>
          </w:tcPr>
          <w:p w14:paraId="4C5CF5EC"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22.6</w:t>
            </w:r>
          </w:p>
        </w:tc>
      </w:tr>
      <w:tr w:rsidR="00DB4911" w:rsidRPr="00954D98" w14:paraId="7A04B131"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06745CA5"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PEFO</w:t>
            </w:r>
          </w:p>
        </w:tc>
        <w:tc>
          <w:tcPr>
            <w:tcW w:w="478" w:type="pct"/>
            <w:tcBorders>
              <w:top w:val="nil"/>
              <w:left w:val="nil"/>
              <w:bottom w:val="nil"/>
              <w:right w:val="nil"/>
            </w:tcBorders>
            <w:shd w:val="clear" w:color="000000" w:fill="E6F2FF"/>
            <w:noWrap/>
            <w:vAlign w:val="center"/>
            <w:hideMark/>
          </w:tcPr>
          <w:p w14:paraId="3912DA04"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620.7</w:t>
            </w:r>
          </w:p>
        </w:tc>
        <w:tc>
          <w:tcPr>
            <w:tcW w:w="478" w:type="pct"/>
            <w:tcBorders>
              <w:top w:val="nil"/>
              <w:left w:val="nil"/>
              <w:bottom w:val="nil"/>
              <w:right w:val="nil"/>
            </w:tcBorders>
            <w:shd w:val="clear" w:color="000000" w:fill="E6F2FF"/>
            <w:noWrap/>
            <w:vAlign w:val="center"/>
            <w:hideMark/>
          </w:tcPr>
          <w:p w14:paraId="2342AE83"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21.6</w:t>
            </w:r>
          </w:p>
        </w:tc>
        <w:tc>
          <w:tcPr>
            <w:tcW w:w="478" w:type="pct"/>
            <w:tcBorders>
              <w:top w:val="nil"/>
              <w:left w:val="nil"/>
              <w:bottom w:val="nil"/>
              <w:right w:val="nil"/>
            </w:tcBorders>
            <w:shd w:val="clear" w:color="000000" w:fill="FFFFFF"/>
            <w:noWrap/>
            <w:vAlign w:val="center"/>
            <w:hideMark/>
          </w:tcPr>
          <w:p w14:paraId="502D9003"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676.3</w:t>
            </w:r>
          </w:p>
        </w:tc>
        <w:tc>
          <w:tcPr>
            <w:tcW w:w="478" w:type="pct"/>
            <w:tcBorders>
              <w:top w:val="nil"/>
              <w:left w:val="nil"/>
              <w:bottom w:val="nil"/>
              <w:right w:val="nil"/>
            </w:tcBorders>
            <w:shd w:val="clear" w:color="000000" w:fill="FFFFFF"/>
            <w:noWrap/>
            <w:vAlign w:val="center"/>
            <w:hideMark/>
          </w:tcPr>
          <w:p w14:paraId="7EFA944F"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22.6</w:t>
            </w:r>
          </w:p>
        </w:tc>
        <w:tc>
          <w:tcPr>
            <w:tcW w:w="478" w:type="pct"/>
            <w:tcBorders>
              <w:top w:val="nil"/>
              <w:left w:val="nil"/>
              <w:bottom w:val="nil"/>
              <w:right w:val="nil"/>
            </w:tcBorders>
            <w:shd w:val="clear" w:color="000000" w:fill="FFFFFF"/>
            <w:noWrap/>
            <w:vAlign w:val="center"/>
            <w:hideMark/>
          </w:tcPr>
          <w:p w14:paraId="6E189701"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713.9</w:t>
            </w:r>
          </w:p>
        </w:tc>
        <w:tc>
          <w:tcPr>
            <w:tcW w:w="478" w:type="pct"/>
            <w:tcBorders>
              <w:top w:val="nil"/>
              <w:left w:val="nil"/>
              <w:bottom w:val="nil"/>
              <w:right w:val="nil"/>
            </w:tcBorders>
            <w:shd w:val="clear" w:color="000000" w:fill="FFFFFF"/>
            <w:noWrap/>
            <w:vAlign w:val="center"/>
            <w:hideMark/>
          </w:tcPr>
          <w:p w14:paraId="4065E864"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22.7</w:t>
            </w:r>
          </w:p>
        </w:tc>
        <w:tc>
          <w:tcPr>
            <w:tcW w:w="526" w:type="pct"/>
            <w:tcBorders>
              <w:top w:val="nil"/>
              <w:left w:val="nil"/>
              <w:bottom w:val="nil"/>
              <w:right w:val="nil"/>
            </w:tcBorders>
            <w:shd w:val="clear" w:color="000000" w:fill="FFFFFF"/>
            <w:noWrap/>
            <w:vAlign w:val="center"/>
            <w:hideMark/>
          </w:tcPr>
          <w:p w14:paraId="209114E1"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768.2</w:t>
            </w:r>
          </w:p>
        </w:tc>
        <w:tc>
          <w:tcPr>
            <w:tcW w:w="478" w:type="pct"/>
            <w:tcBorders>
              <w:top w:val="nil"/>
              <w:left w:val="nil"/>
              <w:bottom w:val="nil"/>
              <w:right w:val="nil"/>
            </w:tcBorders>
            <w:shd w:val="clear" w:color="000000" w:fill="FFFFFF"/>
            <w:noWrap/>
            <w:vAlign w:val="center"/>
            <w:hideMark/>
          </w:tcPr>
          <w:p w14:paraId="78DAB954"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23.1</w:t>
            </w:r>
          </w:p>
        </w:tc>
      </w:tr>
      <w:tr w:rsidR="00DB4911" w:rsidRPr="00954D98" w14:paraId="7DBE6F9B"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210E9160"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Budget</w:t>
            </w:r>
          </w:p>
        </w:tc>
        <w:tc>
          <w:tcPr>
            <w:tcW w:w="478" w:type="pct"/>
            <w:tcBorders>
              <w:top w:val="nil"/>
              <w:left w:val="nil"/>
              <w:bottom w:val="nil"/>
              <w:right w:val="nil"/>
            </w:tcBorders>
            <w:shd w:val="clear" w:color="000000" w:fill="E6F2FF"/>
            <w:noWrap/>
            <w:vAlign w:val="center"/>
            <w:hideMark/>
          </w:tcPr>
          <w:p w14:paraId="46EBCAFE"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620.3</w:t>
            </w:r>
          </w:p>
        </w:tc>
        <w:tc>
          <w:tcPr>
            <w:tcW w:w="478" w:type="pct"/>
            <w:tcBorders>
              <w:top w:val="nil"/>
              <w:left w:val="nil"/>
              <w:bottom w:val="nil"/>
              <w:right w:val="nil"/>
            </w:tcBorders>
            <w:shd w:val="clear" w:color="000000" w:fill="E6F2FF"/>
            <w:noWrap/>
            <w:vAlign w:val="center"/>
            <w:hideMark/>
          </w:tcPr>
          <w:p w14:paraId="5ED7582D"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21.5</w:t>
            </w:r>
          </w:p>
        </w:tc>
        <w:tc>
          <w:tcPr>
            <w:tcW w:w="478" w:type="pct"/>
            <w:tcBorders>
              <w:top w:val="nil"/>
              <w:left w:val="nil"/>
              <w:bottom w:val="nil"/>
              <w:right w:val="nil"/>
            </w:tcBorders>
            <w:shd w:val="clear" w:color="000000" w:fill="FFFFFF"/>
            <w:noWrap/>
            <w:vAlign w:val="center"/>
            <w:hideMark/>
          </w:tcPr>
          <w:p w14:paraId="065E9164"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676.3</w:t>
            </w:r>
          </w:p>
        </w:tc>
        <w:tc>
          <w:tcPr>
            <w:tcW w:w="478" w:type="pct"/>
            <w:tcBorders>
              <w:top w:val="nil"/>
              <w:left w:val="nil"/>
              <w:bottom w:val="nil"/>
              <w:right w:val="nil"/>
            </w:tcBorders>
            <w:shd w:val="clear" w:color="000000" w:fill="FFFFFF"/>
            <w:noWrap/>
            <w:vAlign w:val="center"/>
            <w:hideMark/>
          </w:tcPr>
          <w:p w14:paraId="74FC510A"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22.6</w:t>
            </w:r>
          </w:p>
        </w:tc>
        <w:tc>
          <w:tcPr>
            <w:tcW w:w="478" w:type="pct"/>
            <w:tcBorders>
              <w:top w:val="nil"/>
              <w:left w:val="nil"/>
              <w:bottom w:val="nil"/>
              <w:right w:val="nil"/>
            </w:tcBorders>
            <w:shd w:val="clear" w:color="000000" w:fill="FFFFFF"/>
            <w:noWrap/>
            <w:vAlign w:val="center"/>
            <w:hideMark/>
          </w:tcPr>
          <w:p w14:paraId="0EBDD0D1"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714.1</w:t>
            </w:r>
          </w:p>
        </w:tc>
        <w:tc>
          <w:tcPr>
            <w:tcW w:w="478" w:type="pct"/>
            <w:tcBorders>
              <w:top w:val="nil"/>
              <w:left w:val="nil"/>
              <w:bottom w:val="nil"/>
              <w:right w:val="nil"/>
            </w:tcBorders>
            <w:shd w:val="clear" w:color="000000" w:fill="FFFFFF"/>
            <w:noWrap/>
            <w:vAlign w:val="center"/>
            <w:hideMark/>
          </w:tcPr>
          <w:p w14:paraId="23008FDC"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22.7</w:t>
            </w:r>
          </w:p>
        </w:tc>
        <w:tc>
          <w:tcPr>
            <w:tcW w:w="526" w:type="pct"/>
            <w:tcBorders>
              <w:top w:val="nil"/>
              <w:left w:val="nil"/>
              <w:bottom w:val="nil"/>
              <w:right w:val="nil"/>
            </w:tcBorders>
            <w:shd w:val="clear" w:color="000000" w:fill="FFFFFF"/>
            <w:noWrap/>
            <w:vAlign w:val="center"/>
            <w:hideMark/>
          </w:tcPr>
          <w:p w14:paraId="679BABA8"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768.2</w:t>
            </w:r>
          </w:p>
        </w:tc>
        <w:tc>
          <w:tcPr>
            <w:tcW w:w="478" w:type="pct"/>
            <w:tcBorders>
              <w:top w:val="nil"/>
              <w:left w:val="nil"/>
              <w:bottom w:val="nil"/>
              <w:right w:val="nil"/>
            </w:tcBorders>
            <w:shd w:val="clear" w:color="000000" w:fill="FFFFFF"/>
            <w:noWrap/>
            <w:vAlign w:val="center"/>
            <w:hideMark/>
          </w:tcPr>
          <w:p w14:paraId="5A1549D6"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23.1</w:t>
            </w:r>
          </w:p>
        </w:tc>
      </w:tr>
      <w:tr w:rsidR="00DB4911" w:rsidRPr="00954D98" w14:paraId="2AD647AB"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0DCC777C" w14:textId="77777777" w:rsidR="00DB4911" w:rsidRPr="00954D98" w:rsidRDefault="00DB4911" w:rsidP="00DB4911">
            <w:pPr>
              <w:spacing w:before="0" w:after="0" w:line="240" w:lineRule="auto"/>
              <w:rPr>
                <w:rFonts w:ascii="Arial" w:hAnsi="Arial" w:cs="Arial"/>
                <w:b/>
                <w:color w:val="FFFF00"/>
                <w:sz w:val="16"/>
                <w:szCs w:val="16"/>
              </w:rPr>
            </w:pPr>
            <w:r w:rsidRPr="00954D98">
              <w:rPr>
                <w:rFonts w:ascii="Arial" w:hAnsi="Arial" w:cs="Arial"/>
                <w:b/>
                <w:sz w:val="16"/>
                <w:szCs w:val="16"/>
              </w:rPr>
              <w:t>Total interest payments</w:t>
            </w:r>
          </w:p>
        </w:tc>
        <w:tc>
          <w:tcPr>
            <w:tcW w:w="478" w:type="pct"/>
            <w:tcBorders>
              <w:top w:val="nil"/>
              <w:left w:val="nil"/>
              <w:bottom w:val="nil"/>
              <w:right w:val="nil"/>
            </w:tcBorders>
            <w:shd w:val="clear" w:color="000000" w:fill="E6F2FF"/>
            <w:noWrap/>
            <w:vAlign w:val="center"/>
            <w:hideMark/>
          </w:tcPr>
          <w:p w14:paraId="7810925B"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E6F2FF"/>
            <w:noWrap/>
            <w:vAlign w:val="center"/>
            <w:hideMark/>
          </w:tcPr>
          <w:p w14:paraId="2ECBA3BF"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5555A56F"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51B8855D"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2EE12C29"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0F67DF8A"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26" w:type="pct"/>
            <w:tcBorders>
              <w:top w:val="nil"/>
              <w:left w:val="nil"/>
              <w:bottom w:val="nil"/>
              <w:right w:val="nil"/>
            </w:tcBorders>
            <w:shd w:val="clear" w:color="000000" w:fill="FFFFFF"/>
            <w:noWrap/>
            <w:vAlign w:val="center"/>
            <w:hideMark/>
          </w:tcPr>
          <w:p w14:paraId="1EF75EEB"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FFFFFF"/>
            <w:noWrap/>
            <w:vAlign w:val="center"/>
            <w:hideMark/>
          </w:tcPr>
          <w:p w14:paraId="1301102D"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w:t>
            </w:r>
          </w:p>
        </w:tc>
      </w:tr>
      <w:tr w:rsidR="00DB4911" w:rsidRPr="00954D98" w14:paraId="71111EEF"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7988433C" w14:textId="77777777" w:rsidR="00DB4911" w:rsidRPr="00954D98" w:rsidRDefault="00DB4911" w:rsidP="00DB4911">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MYEFO</w:t>
            </w:r>
          </w:p>
        </w:tc>
        <w:tc>
          <w:tcPr>
            <w:tcW w:w="478" w:type="pct"/>
            <w:tcBorders>
              <w:top w:val="nil"/>
              <w:left w:val="nil"/>
              <w:bottom w:val="nil"/>
              <w:right w:val="nil"/>
            </w:tcBorders>
            <w:shd w:val="clear" w:color="000000" w:fill="E6F2FF"/>
            <w:noWrap/>
            <w:vAlign w:val="center"/>
            <w:hideMark/>
          </w:tcPr>
          <w:p w14:paraId="7B884603"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27.4</w:t>
            </w:r>
          </w:p>
        </w:tc>
        <w:tc>
          <w:tcPr>
            <w:tcW w:w="478" w:type="pct"/>
            <w:tcBorders>
              <w:top w:val="nil"/>
              <w:left w:val="nil"/>
              <w:bottom w:val="nil"/>
              <w:right w:val="nil"/>
            </w:tcBorders>
            <w:shd w:val="clear" w:color="000000" w:fill="E6F2FF"/>
            <w:noWrap/>
            <w:vAlign w:val="center"/>
            <w:hideMark/>
          </w:tcPr>
          <w:p w14:paraId="35F2CC9D"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0.9</w:t>
            </w:r>
          </w:p>
        </w:tc>
        <w:tc>
          <w:tcPr>
            <w:tcW w:w="478" w:type="pct"/>
            <w:tcBorders>
              <w:top w:val="nil"/>
              <w:left w:val="nil"/>
              <w:bottom w:val="nil"/>
              <w:right w:val="nil"/>
            </w:tcBorders>
            <w:shd w:val="clear" w:color="000000" w:fill="FFFFFF"/>
            <w:noWrap/>
            <w:vAlign w:val="center"/>
            <w:hideMark/>
          </w:tcPr>
          <w:p w14:paraId="3EA06FB0"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29.4</w:t>
            </w:r>
          </w:p>
        </w:tc>
        <w:tc>
          <w:tcPr>
            <w:tcW w:w="478" w:type="pct"/>
            <w:tcBorders>
              <w:top w:val="nil"/>
              <w:left w:val="nil"/>
              <w:bottom w:val="nil"/>
              <w:right w:val="nil"/>
            </w:tcBorders>
            <w:shd w:val="clear" w:color="000000" w:fill="FFFFFF"/>
            <w:noWrap/>
            <w:vAlign w:val="center"/>
            <w:hideMark/>
          </w:tcPr>
          <w:p w14:paraId="2BE985CF"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1.0</w:t>
            </w:r>
          </w:p>
        </w:tc>
        <w:tc>
          <w:tcPr>
            <w:tcW w:w="478" w:type="pct"/>
            <w:tcBorders>
              <w:top w:val="nil"/>
              <w:left w:val="nil"/>
              <w:bottom w:val="nil"/>
              <w:right w:val="nil"/>
            </w:tcBorders>
            <w:shd w:val="clear" w:color="000000" w:fill="FFFFFF"/>
            <w:noWrap/>
            <w:vAlign w:val="center"/>
            <w:hideMark/>
          </w:tcPr>
          <w:p w14:paraId="38BF2BFE"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36.8</w:t>
            </w:r>
          </w:p>
        </w:tc>
        <w:tc>
          <w:tcPr>
            <w:tcW w:w="478" w:type="pct"/>
            <w:tcBorders>
              <w:top w:val="nil"/>
              <w:left w:val="nil"/>
              <w:bottom w:val="nil"/>
              <w:right w:val="nil"/>
            </w:tcBorders>
            <w:shd w:val="clear" w:color="000000" w:fill="FFFFFF"/>
            <w:noWrap/>
            <w:vAlign w:val="center"/>
            <w:hideMark/>
          </w:tcPr>
          <w:p w14:paraId="1907884A"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1.2</w:t>
            </w:r>
          </w:p>
        </w:tc>
        <w:tc>
          <w:tcPr>
            <w:tcW w:w="526" w:type="pct"/>
            <w:tcBorders>
              <w:top w:val="nil"/>
              <w:left w:val="nil"/>
              <w:bottom w:val="nil"/>
              <w:right w:val="nil"/>
            </w:tcBorders>
            <w:shd w:val="clear" w:color="000000" w:fill="FFFFFF"/>
            <w:noWrap/>
            <w:vAlign w:val="center"/>
            <w:hideMark/>
          </w:tcPr>
          <w:p w14:paraId="510450A1"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38.5</w:t>
            </w:r>
          </w:p>
        </w:tc>
        <w:tc>
          <w:tcPr>
            <w:tcW w:w="478" w:type="pct"/>
            <w:tcBorders>
              <w:top w:val="nil"/>
              <w:left w:val="nil"/>
              <w:bottom w:val="nil"/>
              <w:right w:val="nil"/>
            </w:tcBorders>
            <w:shd w:val="clear" w:color="000000" w:fill="FFFFFF"/>
            <w:noWrap/>
            <w:vAlign w:val="center"/>
            <w:hideMark/>
          </w:tcPr>
          <w:p w14:paraId="2D9610D9"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1.2</w:t>
            </w:r>
          </w:p>
        </w:tc>
      </w:tr>
      <w:tr w:rsidR="00DB4911" w:rsidRPr="00954D98" w14:paraId="0DFDB019"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38DCA951"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PEFO</w:t>
            </w:r>
          </w:p>
        </w:tc>
        <w:tc>
          <w:tcPr>
            <w:tcW w:w="478" w:type="pct"/>
            <w:tcBorders>
              <w:top w:val="nil"/>
              <w:left w:val="nil"/>
              <w:bottom w:val="nil"/>
              <w:right w:val="nil"/>
            </w:tcBorders>
            <w:shd w:val="clear" w:color="000000" w:fill="E6F2FF"/>
            <w:noWrap/>
            <w:vAlign w:val="center"/>
            <w:hideMark/>
          </w:tcPr>
          <w:p w14:paraId="045850E3"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27.9</w:t>
            </w:r>
          </w:p>
        </w:tc>
        <w:tc>
          <w:tcPr>
            <w:tcW w:w="478" w:type="pct"/>
            <w:tcBorders>
              <w:top w:val="nil"/>
              <w:left w:val="nil"/>
              <w:bottom w:val="nil"/>
              <w:right w:val="nil"/>
            </w:tcBorders>
            <w:shd w:val="clear" w:color="000000" w:fill="E6F2FF"/>
            <w:noWrap/>
            <w:vAlign w:val="center"/>
            <w:hideMark/>
          </w:tcPr>
          <w:p w14:paraId="4B23BA61"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1.0</w:t>
            </w:r>
          </w:p>
        </w:tc>
        <w:tc>
          <w:tcPr>
            <w:tcW w:w="478" w:type="pct"/>
            <w:tcBorders>
              <w:top w:val="nil"/>
              <w:left w:val="nil"/>
              <w:bottom w:val="nil"/>
              <w:right w:val="nil"/>
            </w:tcBorders>
            <w:shd w:val="clear" w:color="000000" w:fill="FFFFFF"/>
            <w:noWrap/>
            <w:vAlign w:val="center"/>
            <w:hideMark/>
          </w:tcPr>
          <w:p w14:paraId="34B1F1A2"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30.2</w:t>
            </w:r>
          </w:p>
        </w:tc>
        <w:tc>
          <w:tcPr>
            <w:tcW w:w="478" w:type="pct"/>
            <w:tcBorders>
              <w:top w:val="nil"/>
              <w:left w:val="nil"/>
              <w:bottom w:val="nil"/>
              <w:right w:val="nil"/>
            </w:tcBorders>
            <w:shd w:val="clear" w:color="000000" w:fill="FFFFFF"/>
            <w:noWrap/>
            <w:vAlign w:val="center"/>
            <w:hideMark/>
          </w:tcPr>
          <w:p w14:paraId="298F97E3"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1.0</w:t>
            </w:r>
          </w:p>
        </w:tc>
        <w:tc>
          <w:tcPr>
            <w:tcW w:w="478" w:type="pct"/>
            <w:tcBorders>
              <w:top w:val="nil"/>
              <w:left w:val="nil"/>
              <w:bottom w:val="nil"/>
              <w:right w:val="nil"/>
            </w:tcBorders>
            <w:shd w:val="clear" w:color="000000" w:fill="FFFFFF"/>
            <w:noWrap/>
            <w:vAlign w:val="center"/>
            <w:hideMark/>
          </w:tcPr>
          <w:p w14:paraId="04C2B69C"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36.7</w:t>
            </w:r>
          </w:p>
        </w:tc>
        <w:tc>
          <w:tcPr>
            <w:tcW w:w="478" w:type="pct"/>
            <w:tcBorders>
              <w:top w:val="nil"/>
              <w:left w:val="nil"/>
              <w:bottom w:val="nil"/>
              <w:right w:val="nil"/>
            </w:tcBorders>
            <w:shd w:val="clear" w:color="000000" w:fill="FFFFFF"/>
            <w:noWrap/>
            <w:vAlign w:val="center"/>
            <w:hideMark/>
          </w:tcPr>
          <w:p w14:paraId="3CE43BAA"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1.2</w:t>
            </w:r>
          </w:p>
        </w:tc>
        <w:tc>
          <w:tcPr>
            <w:tcW w:w="526" w:type="pct"/>
            <w:tcBorders>
              <w:top w:val="nil"/>
              <w:left w:val="nil"/>
              <w:bottom w:val="nil"/>
              <w:right w:val="nil"/>
            </w:tcBorders>
            <w:shd w:val="clear" w:color="000000" w:fill="FFFFFF"/>
            <w:noWrap/>
            <w:vAlign w:val="center"/>
            <w:hideMark/>
          </w:tcPr>
          <w:p w14:paraId="1AD1BD0E"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38.2</w:t>
            </w:r>
          </w:p>
        </w:tc>
        <w:tc>
          <w:tcPr>
            <w:tcW w:w="478" w:type="pct"/>
            <w:tcBorders>
              <w:top w:val="nil"/>
              <w:left w:val="nil"/>
              <w:bottom w:val="nil"/>
              <w:right w:val="nil"/>
            </w:tcBorders>
            <w:shd w:val="clear" w:color="000000" w:fill="FFFFFF"/>
            <w:noWrap/>
            <w:vAlign w:val="center"/>
            <w:hideMark/>
          </w:tcPr>
          <w:p w14:paraId="7B4E82D2"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1.2</w:t>
            </w:r>
          </w:p>
        </w:tc>
      </w:tr>
      <w:tr w:rsidR="00DB4911" w:rsidRPr="00954D98" w14:paraId="2F7486F3"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585961A8"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Budget</w:t>
            </w:r>
          </w:p>
        </w:tc>
        <w:tc>
          <w:tcPr>
            <w:tcW w:w="478" w:type="pct"/>
            <w:tcBorders>
              <w:top w:val="nil"/>
              <w:left w:val="nil"/>
              <w:bottom w:val="nil"/>
              <w:right w:val="nil"/>
            </w:tcBorders>
            <w:shd w:val="clear" w:color="000000" w:fill="E6F2FF"/>
            <w:noWrap/>
            <w:vAlign w:val="center"/>
            <w:hideMark/>
          </w:tcPr>
          <w:p w14:paraId="78045B2B"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27.9</w:t>
            </w:r>
          </w:p>
        </w:tc>
        <w:tc>
          <w:tcPr>
            <w:tcW w:w="478" w:type="pct"/>
            <w:tcBorders>
              <w:top w:val="nil"/>
              <w:left w:val="nil"/>
              <w:bottom w:val="nil"/>
              <w:right w:val="nil"/>
            </w:tcBorders>
            <w:shd w:val="clear" w:color="000000" w:fill="E6F2FF"/>
            <w:noWrap/>
            <w:vAlign w:val="center"/>
            <w:hideMark/>
          </w:tcPr>
          <w:p w14:paraId="5A2A8B76"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1.0</w:t>
            </w:r>
          </w:p>
        </w:tc>
        <w:tc>
          <w:tcPr>
            <w:tcW w:w="478" w:type="pct"/>
            <w:tcBorders>
              <w:top w:val="nil"/>
              <w:left w:val="nil"/>
              <w:bottom w:val="nil"/>
              <w:right w:val="nil"/>
            </w:tcBorders>
            <w:shd w:val="clear" w:color="000000" w:fill="FFFFFF"/>
            <w:noWrap/>
            <w:vAlign w:val="center"/>
            <w:hideMark/>
          </w:tcPr>
          <w:p w14:paraId="2D351E09"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30.2</w:t>
            </w:r>
          </w:p>
        </w:tc>
        <w:tc>
          <w:tcPr>
            <w:tcW w:w="478" w:type="pct"/>
            <w:tcBorders>
              <w:top w:val="nil"/>
              <w:left w:val="nil"/>
              <w:bottom w:val="nil"/>
              <w:right w:val="nil"/>
            </w:tcBorders>
            <w:shd w:val="clear" w:color="000000" w:fill="FFFFFF"/>
            <w:noWrap/>
            <w:vAlign w:val="center"/>
            <w:hideMark/>
          </w:tcPr>
          <w:p w14:paraId="69CE15E2"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1.0</w:t>
            </w:r>
          </w:p>
        </w:tc>
        <w:tc>
          <w:tcPr>
            <w:tcW w:w="478" w:type="pct"/>
            <w:tcBorders>
              <w:top w:val="nil"/>
              <w:left w:val="nil"/>
              <w:bottom w:val="nil"/>
              <w:right w:val="nil"/>
            </w:tcBorders>
            <w:shd w:val="clear" w:color="000000" w:fill="FFFFFF"/>
            <w:noWrap/>
            <w:vAlign w:val="center"/>
            <w:hideMark/>
          </w:tcPr>
          <w:p w14:paraId="222A7E68"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36.7</w:t>
            </w:r>
          </w:p>
        </w:tc>
        <w:tc>
          <w:tcPr>
            <w:tcW w:w="478" w:type="pct"/>
            <w:tcBorders>
              <w:top w:val="nil"/>
              <w:left w:val="nil"/>
              <w:bottom w:val="nil"/>
              <w:right w:val="nil"/>
            </w:tcBorders>
            <w:shd w:val="clear" w:color="000000" w:fill="FFFFFF"/>
            <w:noWrap/>
            <w:vAlign w:val="center"/>
            <w:hideMark/>
          </w:tcPr>
          <w:p w14:paraId="5340268F"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1.2</w:t>
            </w:r>
          </w:p>
        </w:tc>
        <w:tc>
          <w:tcPr>
            <w:tcW w:w="526" w:type="pct"/>
            <w:tcBorders>
              <w:top w:val="nil"/>
              <w:left w:val="nil"/>
              <w:bottom w:val="nil"/>
              <w:right w:val="nil"/>
            </w:tcBorders>
            <w:shd w:val="clear" w:color="000000" w:fill="FFFFFF"/>
            <w:noWrap/>
            <w:vAlign w:val="center"/>
            <w:hideMark/>
          </w:tcPr>
          <w:p w14:paraId="5F14206D"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38.2</w:t>
            </w:r>
          </w:p>
        </w:tc>
        <w:tc>
          <w:tcPr>
            <w:tcW w:w="478" w:type="pct"/>
            <w:tcBorders>
              <w:top w:val="nil"/>
              <w:left w:val="nil"/>
              <w:bottom w:val="nil"/>
              <w:right w:val="nil"/>
            </w:tcBorders>
            <w:shd w:val="clear" w:color="000000" w:fill="FFFFFF"/>
            <w:noWrap/>
            <w:vAlign w:val="center"/>
            <w:hideMark/>
          </w:tcPr>
          <w:p w14:paraId="222CE5B1"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1.2</w:t>
            </w:r>
          </w:p>
        </w:tc>
      </w:tr>
      <w:tr w:rsidR="00DB4911" w:rsidRPr="00954D98" w14:paraId="0F50B5C5"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2469F557" w14:textId="77777777" w:rsidR="00DB4911" w:rsidRPr="00954D98" w:rsidRDefault="00DB4911" w:rsidP="00DB4911">
            <w:pPr>
              <w:spacing w:before="0" w:after="0" w:line="240" w:lineRule="auto"/>
              <w:rPr>
                <w:rFonts w:ascii="Arial" w:hAnsi="Arial" w:cs="Arial"/>
                <w:b/>
                <w:color w:val="FFFF00"/>
                <w:sz w:val="16"/>
                <w:szCs w:val="16"/>
              </w:rPr>
            </w:pPr>
            <w:r w:rsidRPr="00954D98">
              <w:rPr>
                <w:rFonts w:ascii="Arial" w:hAnsi="Arial" w:cs="Arial"/>
                <w:b/>
                <w:sz w:val="16"/>
                <w:szCs w:val="16"/>
              </w:rPr>
              <w:t>Net interest payments(b)</w:t>
            </w:r>
          </w:p>
        </w:tc>
        <w:tc>
          <w:tcPr>
            <w:tcW w:w="478" w:type="pct"/>
            <w:tcBorders>
              <w:top w:val="nil"/>
              <w:left w:val="nil"/>
              <w:bottom w:val="nil"/>
              <w:right w:val="nil"/>
            </w:tcBorders>
            <w:shd w:val="clear" w:color="000000" w:fill="E6F2FF"/>
            <w:noWrap/>
            <w:vAlign w:val="center"/>
            <w:hideMark/>
          </w:tcPr>
          <w:p w14:paraId="0FF5D503" w14:textId="77777777" w:rsidR="00DB4911" w:rsidRPr="00954D98" w:rsidRDefault="00DB4911" w:rsidP="00DB4911">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shd w:val="clear" w:color="000000" w:fill="E6F2FF"/>
            <w:noWrap/>
            <w:vAlign w:val="center"/>
            <w:hideMark/>
          </w:tcPr>
          <w:p w14:paraId="64F995BA"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noWrap/>
            <w:vAlign w:val="center"/>
            <w:hideMark/>
          </w:tcPr>
          <w:p w14:paraId="55F1DEE7" w14:textId="77777777" w:rsidR="00DB4911" w:rsidRPr="00954D98" w:rsidRDefault="00DB4911" w:rsidP="00DB4911">
            <w:pPr>
              <w:spacing w:before="0" w:after="0" w:line="240" w:lineRule="auto"/>
              <w:jc w:val="right"/>
              <w:rPr>
                <w:rFonts w:ascii="Arial" w:hAnsi="Arial" w:cs="Arial"/>
                <w:color w:val="FFFF00"/>
                <w:sz w:val="16"/>
                <w:szCs w:val="16"/>
              </w:rPr>
            </w:pPr>
          </w:p>
        </w:tc>
        <w:tc>
          <w:tcPr>
            <w:tcW w:w="478" w:type="pct"/>
            <w:tcBorders>
              <w:top w:val="nil"/>
              <w:left w:val="nil"/>
              <w:bottom w:val="nil"/>
              <w:right w:val="nil"/>
            </w:tcBorders>
            <w:shd w:val="clear" w:color="000000" w:fill="FFFFFF"/>
            <w:noWrap/>
            <w:vAlign w:val="center"/>
            <w:hideMark/>
          </w:tcPr>
          <w:p w14:paraId="3B01380F"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78" w:type="pct"/>
            <w:tcBorders>
              <w:top w:val="nil"/>
              <w:left w:val="nil"/>
              <w:bottom w:val="nil"/>
              <w:right w:val="nil"/>
            </w:tcBorders>
            <w:noWrap/>
            <w:vAlign w:val="center"/>
            <w:hideMark/>
          </w:tcPr>
          <w:p w14:paraId="38D05FC1" w14:textId="77777777" w:rsidR="00DB4911" w:rsidRPr="00954D98" w:rsidRDefault="00DB4911" w:rsidP="00DB4911">
            <w:pPr>
              <w:spacing w:before="0" w:after="0" w:line="240" w:lineRule="auto"/>
              <w:jc w:val="right"/>
              <w:rPr>
                <w:rFonts w:ascii="Arial" w:hAnsi="Arial" w:cs="Arial"/>
                <w:color w:val="FFFF00"/>
                <w:sz w:val="16"/>
                <w:szCs w:val="16"/>
              </w:rPr>
            </w:pPr>
          </w:p>
        </w:tc>
        <w:tc>
          <w:tcPr>
            <w:tcW w:w="478" w:type="pct"/>
            <w:tcBorders>
              <w:top w:val="nil"/>
              <w:left w:val="nil"/>
              <w:bottom w:val="nil"/>
              <w:right w:val="nil"/>
            </w:tcBorders>
            <w:shd w:val="clear" w:color="000000" w:fill="FFFFFF"/>
            <w:noWrap/>
            <w:vAlign w:val="center"/>
            <w:hideMark/>
          </w:tcPr>
          <w:p w14:paraId="2CF653D2"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26" w:type="pct"/>
            <w:tcBorders>
              <w:top w:val="nil"/>
              <w:left w:val="nil"/>
              <w:bottom w:val="nil"/>
              <w:right w:val="nil"/>
            </w:tcBorders>
            <w:noWrap/>
            <w:vAlign w:val="center"/>
            <w:hideMark/>
          </w:tcPr>
          <w:p w14:paraId="00FA5790" w14:textId="77777777" w:rsidR="00DB4911" w:rsidRPr="00954D98" w:rsidRDefault="00DB4911" w:rsidP="00DB4911">
            <w:pPr>
              <w:spacing w:before="0" w:after="0" w:line="240" w:lineRule="auto"/>
              <w:jc w:val="right"/>
              <w:rPr>
                <w:rFonts w:ascii="Arial" w:hAnsi="Arial" w:cs="Arial"/>
                <w:color w:val="FFFF00"/>
                <w:sz w:val="16"/>
                <w:szCs w:val="16"/>
              </w:rPr>
            </w:pPr>
          </w:p>
        </w:tc>
        <w:tc>
          <w:tcPr>
            <w:tcW w:w="478" w:type="pct"/>
            <w:tcBorders>
              <w:top w:val="nil"/>
              <w:left w:val="nil"/>
              <w:bottom w:val="nil"/>
              <w:right w:val="nil"/>
            </w:tcBorders>
            <w:shd w:val="clear" w:color="000000" w:fill="FFFFFF"/>
            <w:noWrap/>
            <w:vAlign w:val="center"/>
            <w:hideMark/>
          </w:tcPr>
          <w:p w14:paraId="1EFDF29A"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 </w:t>
            </w:r>
          </w:p>
        </w:tc>
      </w:tr>
      <w:tr w:rsidR="00DB4911" w:rsidRPr="00954D98" w14:paraId="2DA87964"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265A11E9" w14:textId="77777777" w:rsidR="00DB4911" w:rsidRPr="00954D98" w:rsidRDefault="00DB4911" w:rsidP="00DB4911">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MYEFO</w:t>
            </w:r>
          </w:p>
        </w:tc>
        <w:tc>
          <w:tcPr>
            <w:tcW w:w="478" w:type="pct"/>
            <w:tcBorders>
              <w:top w:val="nil"/>
              <w:left w:val="nil"/>
              <w:bottom w:val="nil"/>
              <w:right w:val="nil"/>
            </w:tcBorders>
            <w:shd w:val="clear" w:color="000000" w:fill="E6F2FF"/>
            <w:noWrap/>
            <w:vAlign w:val="center"/>
            <w:hideMark/>
          </w:tcPr>
          <w:p w14:paraId="686DD07A"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18.3</w:t>
            </w:r>
          </w:p>
        </w:tc>
        <w:tc>
          <w:tcPr>
            <w:tcW w:w="478" w:type="pct"/>
            <w:tcBorders>
              <w:top w:val="nil"/>
              <w:left w:val="nil"/>
              <w:bottom w:val="nil"/>
              <w:right w:val="nil"/>
            </w:tcBorders>
            <w:shd w:val="clear" w:color="000000" w:fill="E6F2FF"/>
            <w:noWrap/>
            <w:vAlign w:val="center"/>
            <w:hideMark/>
          </w:tcPr>
          <w:p w14:paraId="57E3BCB0"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0.6</w:t>
            </w:r>
          </w:p>
        </w:tc>
        <w:tc>
          <w:tcPr>
            <w:tcW w:w="478" w:type="pct"/>
            <w:tcBorders>
              <w:top w:val="nil"/>
              <w:left w:val="nil"/>
              <w:bottom w:val="nil"/>
              <w:right w:val="nil"/>
            </w:tcBorders>
            <w:shd w:val="clear" w:color="000000" w:fill="FFFFFF"/>
            <w:noWrap/>
            <w:vAlign w:val="center"/>
            <w:hideMark/>
          </w:tcPr>
          <w:p w14:paraId="56CA7E5C"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20.3</w:t>
            </w:r>
          </w:p>
        </w:tc>
        <w:tc>
          <w:tcPr>
            <w:tcW w:w="478" w:type="pct"/>
            <w:tcBorders>
              <w:top w:val="nil"/>
              <w:left w:val="nil"/>
              <w:bottom w:val="nil"/>
              <w:right w:val="nil"/>
            </w:tcBorders>
            <w:shd w:val="clear" w:color="000000" w:fill="FFFFFF"/>
            <w:noWrap/>
            <w:vAlign w:val="center"/>
            <w:hideMark/>
          </w:tcPr>
          <w:p w14:paraId="315E61C5"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0.7</w:t>
            </w:r>
          </w:p>
        </w:tc>
        <w:tc>
          <w:tcPr>
            <w:tcW w:w="478" w:type="pct"/>
            <w:tcBorders>
              <w:top w:val="nil"/>
              <w:left w:val="nil"/>
              <w:bottom w:val="nil"/>
              <w:right w:val="nil"/>
            </w:tcBorders>
            <w:shd w:val="clear" w:color="000000" w:fill="FFFFFF"/>
            <w:noWrap/>
            <w:vAlign w:val="center"/>
            <w:hideMark/>
          </w:tcPr>
          <w:p w14:paraId="0CD98DF3"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27.4</w:t>
            </w:r>
          </w:p>
        </w:tc>
        <w:tc>
          <w:tcPr>
            <w:tcW w:w="478" w:type="pct"/>
            <w:tcBorders>
              <w:top w:val="nil"/>
              <w:left w:val="nil"/>
              <w:bottom w:val="nil"/>
              <w:right w:val="nil"/>
            </w:tcBorders>
            <w:shd w:val="clear" w:color="000000" w:fill="FFFFFF"/>
            <w:noWrap/>
            <w:vAlign w:val="center"/>
            <w:hideMark/>
          </w:tcPr>
          <w:p w14:paraId="11274C6B"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0.9</w:t>
            </w:r>
          </w:p>
        </w:tc>
        <w:tc>
          <w:tcPr>
            <w:tcW w:w="526" w:type="pct"/>
            <w:tcBorders>
              <w:top w:val="nil"/>
              <w:left w:val="nil"/>
              <w:bottom w:val="nil"/>
              <w:right w:val="nil"/>
            </w:tcBorders>
            <w:shd w:val="clear" w:color="000000" w:fill="FFFFFF"/>
            <w:noWrap/>
            <w:vAlign w:val="center"/>
            <w:hideMark/>
          </w:tcPr>
          <w:p w14:paraId="2BAB4DA2" w14:textId="77777777" w:rsidR="00DB4911" w:rsidRPr="00954D98" w:rsidRDefault="00DB4911" w:rsidP="00DB4911">
            <w:pPr>
              <w:spacing w:before="0" w:after="0" w:line="240" w:lineRule="auto"/>
              <w:jc w:val="right"/>
              <w:rPr>
                <w:rFonts w:ascii="Arial" w:hAnsi="Arial" w:cs="Arial"/>
                <w:color w:val="FFFF00"/>
                <w:sz w:val="16"/>
                <w:szCs w:val="16"/>
              </w:rPr>
            </w:pPr>
            <w:r w:rsidRPr="00954D98">
              <w:rPr>
                <w:rFonts w:ascii="Arial" w:hAnsi="Arial" w:cs="Arial"/>
                <w:sz w:val="16"/>
                <w:szCs w:val="16"/>
              </w:rPr>
              <w:t>28.7</w:t>
            </w:r>
          </w:p>
        </w:tc>
        <w:tc>
          <w:tcPr>
            <w:tcW w:w="478" w:type="pct"/>
            <w:tcBorders>
              <w:top w:val="nil"/>
              <w:left w:val="nil"/>
              <w:bottom w:val="nil"/>
              <w:right w:val="nil"/>
            </w:tcBorders>
            <w:shd w:val="clear" w:color="000000" w:fill="FFFFFF"/>
            <w:noWrap/>
            <w:vAlign w:val="center"/>
            <w:hideMark/>
          </w:tcPr>
          <w:p w14:paraId="65CE127F" w14:textId="77777777" w:rsidR="00DB4911" w:rsidRPr="00954D98" w:rsidRDefault="00DB4911" w:rsidP="00DB4911">
            <w:pPr>
              <w:spacing w:before="0" w:after="0" w:line="240" w:lineRule="auto"/>
              <w:jc w:val="right"/>
              <w:rPr>
                <w:rFonts w:ascii="Arial" w:hAnsi="Arial" w:cs="Arial"/>
                <w:sz w:val="16"/>
                <w:szCs w:val="16"/>
              </w:rPr>
            </w:pPr>
            <w:r w:rsidRPr="00954D98">
              <w:rPr>
                <w:rFonts w:ascii="Arial" w:hAnsi="Arial" w:cs="Arial"/>
                <w:sz w:val="16"/>
                <w:szCs w:val="16"/>
              </w:rPr>
              <w:t>0.9</w:t>
            </w:r>
          </w:p>
        </w:tc>
      </w:tr>
      <w:tr w:rsidR="00DB4911" w:rsidRPr="00954D98" w14:paraId="308D1E7A" w14:textId="77777777" w:rsidTr="008D3262">
        <w:trPr>
          <w:trHeight w:hRule="exact" w:val="225"/>
        </w:trPr>
        <w:tc>
          <w:tcPr>
            <w:tcW w:w="1125" w:type="pct"/>
            <w:tcBorders>
              <w:top w:val="nil"/>
              <w:left w:val="nil"/>
              <w:bottom w:val="nil"/>
              <w:right w:val="nil"/>
            </w:tcBorders>
            <w:shd w:val="clear" w:color="000000" w:fill="FFFFFF"/>
            <w:noWrap/>
            <w:vAlign w:val="center"/>
            <w:hideMark/>
          </w:tcPr>
          <w:p w14:paraId="3345B058"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PEFO</w:t>
            </w:r>
          </w:p>
        </w:tc>
        <w:tc>
          <w:tcPr>
            <w:tcW w:w="478" w:type="pct"/>
            <w:tcBorders>
              <w:top w:val="nil"/>
              <w:left w:val="nil"/>
              <w:bottom w:val="nil"/>
              <w:right w:val="nil"/>
            </w:tcBorders>
            <w:shd w:val="clear" w:color="000000" w:fill="E6F2FF"/>
            <w:noWrap/>
            <w:vAlign w:val="center"/>
            <w:hideMark/>
          </w:tcPr>
          <w:p w14:paraId="138AF098"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18.5</w:t>
            </w:r>
          </w:p>
        </w:tc>
        <w:tc>
          <w:tcPr>
            <w:tcW w:w="478" w:type="pct"/>
            <w:tcBorders>
              <w:top w:val="nil"/>
              <w:left w:val="nil"/>
              <w:bottom w:val="nil"/>
              <w:right w:val="nil"/>
            </w:tcBorders>
            <w:shd w:val="clear" w:color="000000" w:fill="E6F2FF"/>
            <w:noWrap/>
            <w:vAlign w:val="center"/>
            <w:hideMark/>
          </w:tcPr>
          <w:p w14:paraId="543CBBC7"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0.6</w:t>
            </w:r>
          </w:p>
        </w:tc>
        <w:tc>
          <w:tcPr>
            <w:tcW w:w="478" w:type="pct"/>
            <w:tcBorders>
              <w:top w:val="nil"/>
              <w:left w:val="nil"/>
              <w:bottom w:val="nil"/>
              <w:right w:val="nil"/>
            </w:tcBorders>
            <w:shd w:val="clear" w:color="000000" w:fill="FFFFFF"/>
            <w:noWrap/>
            <w:vAlign w:val="center"/>
            <w:hideMark/>
          </w:tcPr>
          <w:p w14:paraId="38FCA2DA"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21.2</w:t>
            </w:r>
          </w:p>
        </w:tc>
        <w:tc>
          <w:tcPr>
            <w:tcW w:w="478" w:type="pct"/>
            <w:tcBorders>
              <w:top w:val="nil"/>
              <w:left w:val="nil"/>
              <w:bottom w:val="nil"/>
              <w:right w:val="nil"/>
            </w:tcBorders>
            <w:shd w:val="clear" w:color="000000" w:fill="FFFFFF"/>
            <w:noWrap/>
            <w:vAlign w:val="center"/>
            <w:hideMark/>
          </w:tcPr>
          <w:p w14:paraId="4F004BB4"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0.7</w:t>
            </w:r>
          </w:p>
        </w:tc>
        <w:tc>
          <w:tcPr>
            <w:tcW w:w="478" w:type="pct"/>
            <w:tcBorders>
              <w:top w:val="nil"/>
              <w:left w:val="nil"/>
              <w:bottom w:val="nil"/>
              <w:right w:val="nil"/>
            </w:tcBorders>
            <w:shd w:val="clear" w:color="000000" w:fill="FFFFFF"/>
            <w:noWrap/>
            <w:vAlign w:val="center"/>
            <w:hideMark/>
          </w:tcPr>
          <w:p w14:paraId="59650F4E"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26.9</w:t>
            </w:r>
          </w:p>
        </w:tc>
        <w:tc>
          <w:tcPr>
            <w:tcW w:w="478" w:type="pct"/>
            <w:tcBorders>
              <w:top w:val="nil"/>
              <w:left w:val="nil"/>
              <w:bottom w:val="nil"/>
              <w:right w:val="nil"/>
            </w:tcBorders>
            <w:shd w:val="clear" w:color="000000" w:fill="FFFFFF"/>
            <w:noWrap/>
            <w:vAlign w:val="center"/>
            <w:hideMark/>
          </w:tcPr>
          <w:p w14:paraId="15091827"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0.9</w:t>
            </w:r>
          </w:p>
        </w:tc>
        <w:tc>
          <w:tcPr>
            <w:tcW w:w="526" w:type="pct"/>
            <w:tcBorders>
              <w:top w:val="nil"/>
              <w:left w:val="nil"/>
              <w:bottom w:val="nil"/>
              <w:right w:val="nil"/>
            </w:tcBorders>
            <w:shd w:val="clear" w:color="000000" w:fill="FFFFFF"/>
            <w:noWrap/>
            <w:vAlign w:val="center"/>
            <w:hideMark/>
          </w:tcPr>
          <w:p w14:paraId="18F04A77"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28.1</w:t>
            </w:r>
          </w:p>
        </w:tc>
        <w:tc>
          <w:tcPr>
            <w:tcW w:w="478" w:type="pct"/>
            <w:tcBorders>
              <w:top w:val="nil"/>
              <w:left w:val="nil"/>
              <w:bottom w:val="nil"/>
              <w:right w:val="nil"/>
            </w:tcBorders>
            <w:shd w:val="clear" w:color="000000" w:fill="FFFFFF"/>
            <w:noWrap/>
            <w:vAlign w:val="center"/>
            <w:hideMark/>
          </w:tcPr>
          <w:p w14:paraId="556576D8"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0.8</w:t>
            </w:r>
          </w:p>
        </w:tc>
      </w:tr>
      <w:tr w:rsidR="00DB4911" w:rsidRPr="00954D98" w14:paraId="44D1090B" w14:textId="77777777" w:rsidTr="008D3262">
        <w:trPr>
          <w:trHeight w:hRule="exact" w:val="225"/>
        </w:trPr>
        <w:tc>
          <w:tcPr>
            <w:tcW w:w="1125" w:type="pct"/>
            <w:tcBorders>
              <w:top w:val="nil"/>
              <w:left w:val="nil"/>
              <w:bottom w:val="single" w:sz="4" w:space="0" w:color="293F5B"/>
              <w:right w:val="nil"/>
            </w:tcBorders>
            <w:shd w:val="clear" w:color="000000" w:fill="FFFFFF"/>
            <w:noWrap/>
            <w:vAlign w:val="center"/>
            <w:hideMark/>
          </w:tcPr>
          <w:p w14:paraId="30D6F847" w14:textId="77777777" w:rsidR="00DB4911" w:rsidRPr="00954D98" w:rsidRDefault="00DB4911" w:rsidP="00DB4911">
            <w:pPr>
              <w:spacing w:before="0" w:after="0" w:line="240" w:lineRule="auto"/>
              <w:ind w:firstLineChars="100" w:firstLine="160"/>
              <w:rPr>
                <w:rFonts w:ascii="Arial" w:hAnsi="Arial" w:cs="Arial"/>
                <w:i/>
                <w:color w:val="FFFF00"/>
                <w:sz w:val="16"/>
                <w:szCs w:val="16"/>
              </w:rPr>
            </w:pPr>
            <w:r w:rsidRPr="00954D98">
              <w:rPr>
                <w:rFonts w:ascii="Arial" w:hAnsi="Arial" w:cs="Arial"/>
                <w:i/>
                <w:sz w:val="16"/>
                <w:szCs w:val="16"/>
              </w:rPr>
              <w:t>Budget</w:t>
            </w:r>
          </w:p>
        </w:tc>
        <w:tc>
          <w:tcPr>
            <w:tcW w:w="478" w:type="pct"/>
            <w:tcBorders>
              <w:top w:val="nil"/>
              <w:left w:val="nil"/>
              <w:bottom w:val="single" w:sz="4" w:space="0" w:color="293F5B"/>
              <w:right w:val="nil"/>
            </w:tcBorders>
            <w:shd w:val="clear" w:color="000000" w:fill="E6F2FF"/>
            <w:noWrap/>
            <w:vAlign w:val="center"/>
            <w:hideMark/>
          </w:tcPr>
          <w:p w14:paraId="41FF79FC"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18.5</w:t>
            </w:r>
          </w:p>
        </w:tc>
        <w:tc>
          <w:tcPr>
            <w:tcW w:w="478" w:type="pct"/>
            <w:tcBorders>
              <w:top w:val="nil"/>
              <w:left w:val="nil"/>
              <w:bottom w:val="single" w:sz="4" w:space="0" w:color="293F5B"/>
              <w:right w:val="nil"/>
            </w:tcBorders>
            <w:shd w:val="clear" w:color="000000" w:fill="E6F2FF"/>
            <w:noWrap/>
            <w:vAlign w:val="center"/>
            <w:hideMark/>
          </w:tcPr>
          <w:p w14:paraId="00F78940"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0.6</w:t>
            </w:r>
          </w:p>
        </w:tc>
        <w:tc>
          <w:tcPr>
            <w:tcW w:w="478" w:type="pct"/>
            <w:tcBorders>
              <w:top w:val="nil"/>
              <w:left w:val="nil"/>
              <w:bottom w:val="single" w:sz="4" w:space="0" w:color="293F5B"/>
              <w:right w:val="nil"/>
            </w:tcBorders>
            <w:shd w:val="clear" w:color="000000" w:fill="FFFFFF"/>
            <w:noWrap/>
            <w:vAlign w:val="center"/>
            <w:hideMark/>
          </w:tcPr>
          <w:p w14:paraId="3359016A"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21.2</w:t>
            </w:r>
          </w:p>
        </w:tc>
        <w:tc>
          <w:tcPr>
            <w:tcW w:w="478" w:type="pct"/>
            <w:tcBorders>
              <w:top w:val="nil"/>
              <w:left w:val="nil"/>
              <w:bottom w:val="single" w:sz="4" w:space="0" w:color="293F5B"/>
              <w:right w:val="nil"/>
            </w:tcBorders>
            <w:shd w:val="clear" w:color="000000" w:fill="FFFFFF"/>
            <w:noWrap/>
            <w:vAlign w:val="center"/>
            <w:hideMark/>
          </w:tcPr>
          <w:p w14:paraId="78981CF1"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0.7</w:t>
            </w:r>
          </w:p>
        </w:tc>
        <w:tc>
          <w:tcPr>
            <w:tcW w:w="478" w:type="pct"/>
            <w:tcBorders>
              <w:top w:val="nil"/>
              <w:left w:val="nil"/>
              <w:bottom w:val="single" w:sz="4" w:space="0" w:color="293F5B"/>
              <w:right w:val="nil"/>
            </w:tcBorders>
            <w:shd w:val="clear" w:color="000000" w:fill="FFFFFF"/>
            <w:noWrap/>
            <w:vAlign w:val="center"/>
            <w:hideMark/>
          </w:tcPr>
          <w:p w14:paraId="7E9B424B"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26.9</w:t>
            </w:r>
          </w:p>
        </w:tc>
        <w:tc>
          <w:tcPr>
            <w:tcW w:w="478" w:type="pct"/>
            <w:tcBorders>
              <w:top w:val="nil"/>
              <w:left w:val="nil"/>
              <w:bottom w:val="single" w:sz="4" w:space="0" w:color="293F5B"/>
              <w:right w:val="nil"/>
            </w:tcBorders>
            <w:shd w:val="clear" w:color="000000" w:fill="FFFFFF"/>
            <w:noWrap/>
            <w:vAlign w:val="center"/>
            <w:hideMark/>
          </w:tcPr>
          <w:p w14:paraId="254B3FB1"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0.9</w:t>
            </w:r>
          </w:p>
        </w:tc>
        <w:tc>
          <w:tcPr>
            <w:tcW w:w="526" w:type="pct"/>
            <w:tcBorders>
              <w:top w:val="nil"/>
              <w:left w:val="nil"/>
              <w:bottom w:val="single" w:sz="4" w:space="0" w:color="293F5B"/>
              <w:right w:val="nil"/>
            </w:tcBorders>
            <w:shd w:val="clear" w:color="000000" w:fill="FFFFFF"/>
            <w:noWrap/>
            <w:vAlign w:val="center"/>
            <w:hideMark/>
          </w:tcPr>
          <w:p w14:paraId="52D73A4C" w14:textId="77777777" w:rsidR="00DB4911" w:rsidRPr="00954D98" w:rsidRDefault="00DB4911" w:rsidP="00DB4911">
            <w:pPr>
              <w:spacing w:before="0" w:after="0" w:line="240" w:lineRule="auto"/>
              <w:jc w:val="right"/>
              <w:rPr>
                <w:rFonts w:ascii="Arial" w:hAnsi="Arial" w:cs="Arial"/>
                <w:i/>
                <w:color w:val="FFFF00"/>
                <w:sz w:val="16"/>
                <w:szCs w:val="16"/>
              </w:rPr>
            </w:pPr>
            <w:r w:rsidRPr="00954D98">
              <w:rPr>
                <w:rFonts w:ascii="Arial" w:hAnsi="Arial" w:cs="Arial"/>
                <w:i/>
                <w:sz w:val="16"/>
                <w:szCs w:val="16"/>
              </w:rPr>
              <w:t>28.1</w:t>
            </w:r>
          </w:p>
        </w:tc>
        <w:tc>
          <w:tcPr>
            <w:tcW w:w="478" w:type="pct"/>
            <w:tcBorders>
              <w:top w:val="nil"/>
              <w:left w:val="nil"/>
              <w:bottom w:val="single" w:sz="4" w:space="0" w:color="293F5B"/>
              <w:right w:val="nil"/>
            </w:tcBorders>
            <w:shd w:val="clear" w:color="000000" w:fill="FFFFFF"/>
            <w:noWrap/>
            <w:vAlign w:val="center"/>
            <w:hideMark/>
          </w:tcPr>
          <w:p w14:paraId="25E45D03" w14:textId="77777777" w:rsidR="00DB4911" w:rsidRPr="00954D98" w:rsidRDefault="00DB4911" w:rsidP="00DB4911">
            <w:pPr>
              <w:spacing w:before="0" w:after="0" w:line="240" w:lineRule="auto"/>
              <w:jc w:val="right"/>
              <w:rPr>
                <w:rFonts w:ascii="Arial" w:hAnsi="Arial" w:cs="Arial"/>
                <w:i/>
                <w:sz w:val="16"/>
                <w:szCs w:val="16"/>
              </w:rPr>
            </w:pPr>
            <w:r w:rsidRPr="00954D98">
              <w:rPr>
                <w:rFonts w:ascii="Arial" w:hAnsi="Arial" w:cs="Arial"/>
                <w:i/>
                <w:sz w:val="16"/>
                <w:szCs w:val="16"/>
              </w:rPr>
              <w:t>0.8</w:t>
            </w:r>
          </w:p>
        </w:tc>
      </w:tr>
    </w:tbl>
    <w:p w14:paraId="202B02DC" w14:textId="0CB3627E" w:rsidR="00646368" w:rsidRPr="00954D98" w:rsidRDefault="00646368" w:rsidP="00646368">
      <w:pPr>
        <w:pStyle w:val="ChartandTableFootnoteAlpha"/>
        <w:numPr>
          <w:ilvl w:val="0"/>
          <w:numId w:val="32"/>
        </w:numPr>
        <w:rPr>
          <w:color w:val="auto"/>
        </w:rPr>
      </w:pPr>
      <w:r w:rsidRPr="00954D98">
        <w:rPr>
          <w:color w:val="auto"/>
        </w:rPr>
        <w:t>Assets, liabilities, net worth, net financial worth, gross debt and net debt are presented as at the end of each financial year.</w:t>
      </w:r>
      <w:r w:rsidR="00916A80" w:rsidRPr="00954D98">
        <w:rPr>
          <w:color w:val="auto"/>
        </w:rPr>
        <w:t xml:space="preserve"> </w:t>
      </w:r>
    </w:p>
    <w:p w14:paraId="29543E83" w14:textId="51DBB082" w:rsidR="00F1044A" w:rsidRPr="00954D98" w:rsidRDefault="00646368" w:rsidP="00F1044A">
      <w:pPr>
        <w:pStyle w:val="ChartandTableFootnoteAlpha"/>
        <w:numPr>
          <w:ilvl w:val="0"/>
          <w:numId w:val="32"/>
        </w:numPr>
        <w:rPr>
          <w:color w:val="auto"/>
        </w:rPr>
      </w:pPr>
      <w:r w:rsidRPr="00954D98">
        <w:rPr>
          <w:color w:val="auto"/>
        </w:rPr>
        <w:t>Net interest payments are equal to the difference between interest payments and interest receipts.</w:t>
      </w:r>
    </w:p>
    <w:p w14:paraId="035FC2F0" w14:textId="369D769A" w:rsidR="00F1044A" w:rsidRPr="00954D98" w:rsidRDefault="00F1044A" w:rsidP="00F1044A">
      <w:pPr>
        <w:pStyle w:val="TableLine"/>
      </w:pPr>
    </w:p>
    <w:p w14:paraId="0BC61CE0" w14:textId="0867B2A6" w:rsidR="00F1044A" w:rsidRPr="00954D98" w:rsidRDefault="00F1044A" w:rsidP="00F1044A">
      <w:pPr>
        <w:pStyle w:val="SingleParagraph"/>
      </w:pPr>
      <w:r w:rsidRPr="00954D98">
        <w:br w:type="page"/>
      </w:r>
    </w:p>
    <w:p w14:paraId="36CE2DD5" w14:textId="6C027DB5" w:rsidR="00F1044A" w:rsidRPr="00954D98" w:rsidRDefault="00F1044A" w:rsidP="00F1044A">
      <w:pPr>
        <w:pStyle w:val="Heading2"/>
      </w:pPr>
      <w:bookmarkStart w:id="66" w:name="_Toc148428079"/>
      <w:r w:rsidRPr="00954D98">
        <w:lastRenderedPageBreak/>
        <w:t xml:space="preserve">Accrual </w:t>
      </w:r>
      <w:r w:rsidR="00F46427" w:rsidRPr="00954D98">
        <w:t xml:space="preserve">budget </w:t>
      </w:r>
      <w:r w:rsidRPr="00954D98">
        <w:t>aggregates</w:t>
      </w:r>
      <w:bookmarkEnd w:id="66"/>
    </w:p>
    <w:p w14:paraId="1EC1251D" w14:textId="77777777" w:rsidR="00F1044A" w:rsidRPr="00954D98" w:rsidRDefault="00F1044A" w:rsidP="00F1044A">
      <w:r w:rsidRPr="00954D98">
        <w:t xml:space="preserve">Accrual accounting records income and costs at the time they are incurred. Cash accounting records income and costs at the time of the associated actual cash flow. Differences in estimates arise where there is a difference between the timing of an activity and the associated cash flow. </w:t>
      </w:r>
    </w:p>
    <w:p w14:paraId="72B9901D" w14:textId="77777777" w:rsidR="00F1044A" w:rsidRPr="00954D98" w:rsidRDefault="00F1044A" w:rsidP="00D97599">
      <w:pPr>
        <w:pStyle w:val="Heading3"/>
      </w:pPr>
      <w:bookmarkStart w:id="67" w:name="_Toc148428080"/>
      <w:r w:rsidRPr="00954D98">
        <w:t>Net operating balance estimates</w:t>
      </w:r>
      <w:bookmarkEnd w:id="67"/>
    </w:p>
    <w:p w14:paraId="53DAACC8" w14:textId="28CC8788" w:rsidR="00F1044A" w:rsidRPr="00954D98" w:rsidRDefault="00F1044A" w:rsidP="00F1044A">
      <w:r w:rsidRPr="00954D98">
        <w:t>The net operating balance is an accrual measure, reflecting revenue minus expenses. It excludes the fiscal impact of the Commonwealth</w:t>
      </w:r>
      <w:r w:rsidR="00536CFF">
        <w:t>’</w:t>
      </w:r>
      <w:r w:rsidRPr="00954D98">
        <w:t>s net new capital expenditure.</w:t>
      </w:r>
    </w:p>
    <w:p w14:paraId="0723656D" w14:textId="007D9F8A" w:rsidR="00F1044A" w:rsidRPr="00954D98" w:rsidRDefault="00F1044A" w:rsidP="00F1044A">
      <w:r w:rsidRPr="00954D98">
        <w:t>The net operating balance is expected to be a deficit of $</w:t>
      </w:r>
      <w:r w:rsidR="009A2FC6" w:rsidRPr="00954D98">
        <w:t>43.6</w:t>
      </w:r>
      <w:r w:rsidRPr="00954D98">
        <w:t> billion (</w:t>
      </w:r>
      <w:r w:rsidR="00F879F7" w:rsidRPr="00954D98">
        <w:t>1</w:t>
      </w:r>
      <w:r w:rsidR="00FA1933" w:rsidRPr="00954D98">
        <w:t>.5</w:t>
      </w:r>
      <w:r w:rsidRPr="00954D98">
        <w:t> per cent of GDP) in</w:t>
      </w:r>
      <w:r w:rsidR="006B668D">
        <w:t> </w:t>
      </w:r>
      <w:r w:rsidR="00EF2048" w:rsidRPr="00954D98">
        <w:t>2025–26</w:t>
      </w:r>
      <w:r w:rsidRPr="00954D98">
        <w:t xml:space="preserve"> (Table 3.</w:t>
      </w:r>
      <w:r w:rsidR="00A25F73" w:rsidRPr="00954D98">
        <w:t>9</w:t>
      </w:r>
      <w:r w:rsidRPr="00954D98">
        <w:t>), compared to an expected deficit of $</w:t>
      </w:r>
      <w:r w:rsidR="001B1152" w:rsidRPr="00954D98">
        <w:t>35.</w:t>
      </w:r>
      <w:r w:rsidR="00A76BC7" w:rsidRPr="00954D98">
        <w:t>4</w:t>
      </w:r>
      <w:r w:rsidRPr="00954D98">
        <w:t> billion (</w:t>
      </w:r>
      <w:r w:rsidR="001A1494" w:rsidRPr="00954D98">
        <w:t>1.2</w:t>
      </w:r>
      <w:r w:rsidRPr="00954D98">
        <w:t> per cent of</w:t>
      </w:r>
      <w:r w:rsidR="00624B07" w:rsidRPr="00954D98">
        <w:t> </w:t>
      </w:r>
      <w:r w:rsidRPr="00954D98">
        <w:t xml:space="preserve">GDP) in the </w:t>
      </w:r>
      <w:r w:rsidR="001B1B1A" w:rsidRPr="00954D98">
        <w:t>2025 PEFO</w:t>
      </w:r>
      <w:r w:rsidRPr="00954D98">
        <w:t xml:space="preserve">. </w:t>
      </w:r>
    </w:p>
    <w:p w14:paraId="60837C4F" w14:textId="30FF9188" w:rsidR="00FE348E" w:rsidRPr="00954D98" w:rsidRDefault="00FE348E" w:rsidP="00FE348E">
      <w:pPr>
        <w:pStyle w:val="Heading3noTOC"/>
      </w:pPr>
      <w:r w:rsidRPr="00954D98">
        <w:t>Fiscal balance estimates</w:t>
      </w:r>
    </w:p>
    <w:p w14:paraId="2F44DDF5" w14:textId="77777777" w:rsidR="00FE348E" w:rsidRPr="00954D98" w:rsidRDefault="00FE348E" w:rsidP="00FE348E">
      <w:r w:rsidRPr="00954D98">
        <w:t xml:space="preserve">The fiscal balance is the accrual equivalent of the underlying cash balance and equals the net operating balance less net new capital expenditure. </w:t>
      </w:r>
    </w:p>
    <w:p w14:paraId="73F6C83B" w14:textId="2F445876" w:rsidR="00F1044A" w:rsidRPr="00954D98" w:rsidRDefault="00FE348E" w:rsidP="00AD793B">
      <w:r w:rsidRPr="00954D98">
        <w:t>The fiscal balance is expected to be a deficit of $54.8 billion (1.9 per cent of GDP) in 2025</w:t>
      </w:r>
      <w:r w:rsidRPr="00954D98">
        <w:rPr>
          <w:w w:val="1"/>
        </w:rPr>
        <w:t> </w:t>
      </w:r>
      <w:r w:rsidRPr="00954D98">
        <w:t>–</w:t>
      </w:r>
      <w:r w:rsidRPr="00954D98">
        <w:rPr>
          <w:w w:val="1"/>
        </w:rPr>
        <w:t> </w:t>
      </w:r>
      <w:r w:rsidRPr="00954D98">
        <w:t xml:space="preserve">26 (Table 3.9), compared to an expected deficit of $44.2 billion (1.5 per cent of GDP) in the 2025 PEFO. </w:t>
      </w:r>
      <w:bookmarkStart w:id="68" w:name="_Toc148428081"/>
      <w:r w:rsidR="00F1044A" w:rsidRPr="00954D98">
        <w:br w:type="page"/>
      </w:r>
    </w:p>
    <w:bookmarkEnd w:id="68"/>
    <w:p w14:paraId="4CA985B2" w14:textId="12786195" w:rsidR="00E81D2F" w:rsidRPr="00954D98" w:rsidRDefault="00F1044A" w:rsidP="00051521">
      <w:pPr>
        <w:pStyle w:val="TableHeading"/>
        <w:rPr>
          <w:rFonts w:eastAsiaTheme="minorHAnsi"/>
        </w:rPr>
      </w:pPr>
      <w:r w:rsidRPr="00954D98">
        <w:lastRenderedPageBreak/>
        <w:t>Table 3.</w:t>
      </w:r>
      <w:r w:rsidR="00F736A7" w:rsidRPr="00954D98">
        <w:t>9</w:t>
      </w:r>
      <w:r w:rsidRPr="00954D98">
        <w:t>: Australian Government general government sector accrual aggregates</w:t>
      </w:r>
    </w:p>
    <w:tbl>
      <w:tblPr>
        <w:tblW w:w="5000" w:type="pct"/>
        <w:tblCellMar>
          <w:left w:w="0" w:type="dxa"/>
          <w:right w:w="28" w:type="dxa"/>
        </w:tblCellMar>
        <w:tblLook w:val="04A0" w:firstRow="1" w:lastRow="0" w:firstColumn="1" w:lastColumn="0" w:noHBand="0" w:noVBand="1"/>
      </w:tblPr>
      <w:tblGrid>
        <w:gridCol w:w="1911"/>
        <w:gridCol w:w="622"/>
        <w:gridCol w:w="827"/>
        <w:gridCol w:w="623"/>
        <w:gridCol w:w="827"/>
        <w:gridCol w:w="623"/>
        <w:gridCol w:w="827"/>
        <w:gridCol w:w="623"/>
        <w:gridCol w:w="827"/>
      </w:tblGrid>
      <w:tr w:rsidR="00E81D2F" w:rsidRPr="00954D98" w14:paraId="54FD3CF2" w14:textId="77777777" w:rsidTr="00E81D2F">
        <w:trPr>
          <w:trHeight w:hRule="exact" w:val="225"/>
        </w:trPr>
        <w:tc>
          <w:tcPr>
            <w:tcW w:w="1240" w:type="pct"/>
            <w:tcBorders>
              <w:top w:val="single" w:sz="4" w:space="0" w:color="293F5B"/>
              <w:left w:val="nil"/>
              <w:bottom w:val="nil"/>
              <w:right w:val="nil"/>
            </w:tcBorders>
            <w:shd w:val="clear" w:color="000000" w:fill="FFFFFF"/>
            <w:noWrap/>
            <w:vAlign w:val="center"/>
            <w:hideMark/>
          </w:tcPr>
          <w:p w14:paraId="1E7AE60B"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3760" w:type="pct"/>
            <w:gridSpan w:val="8"/>
            <w:tcBorders>
              <w:top w:val="single" w:sz="4" w:space="0" w:color="293F5B"/>
              <w:left w:val="nil"/>
              <w:bottom w:val="single" w:sz="4" w:space="0" w:color="293F5B"/>
              <w:right w:val="nil"/>
            </w:tcBorders>
            <w:shd w:val="clear" w:color="000000" w:fill="FFFFFF"/>
            <w:vAlign w:val="center"/>
            <w:hideMark/>
          </w:tcPr>
          <w:p w14:paraId="6BD7E872" w14:textId="77777777" w:rsidR="00E81D2F" w:rsidRPr="00954D98" w:rsidRDefault="00E81D2F" w:rsidP="00E81D2F">
            <w:pPr>
              <w:spacing w:before="0" w:after="0" w:line="240" w:lineRule="auto"/>
              <w:jc w:val="center"/>
              <w:rPr>
                <w:rFonts w:ascii="Arial" w:hAnsi="Arial" w:cs="Arial"/>
                <w:sz w:val="16"/>
                <w:szCs w:val="16"/>
              </w:rPr>
            </w:pPr>
            <w:r w:rsidRPr="00954D98">
              <w:rPr>
                <w:rFonts w:ascii="Arial" w:hAnsi="Arial" w:cs="Arial"/>
                <w:sz w:val="16"/>
                <w:szCs w:val="16"/>
              </w:rPr>
              <w:t>Estimates</w:t>
            </w:r>
          </w:p>
        </w:tc>
      </w:tr>
      <w:tr w:rsidR="00E81D2F" w:rsidRPr="00954D98" w14:paraId="08C68C51"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12180089"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940" w:type="pct"/>
            <w:gridSpan w:val="2"/>
            <w:tcBorders>
              <w:top w:val="nil"/>
              <w:left w:val="nil"/>
              <w:bottom w:val="nil"/>
              <w:right w:val="nil"/>
            </w:tcBorders>
            <w:shd w:val="clear" w:color="000000" w:fill="E6F2FF"/>
            <w:noWrap/>
            <w:vAlign w:val="center"/>
            <w:hideMark/>
          </w:tcPr>
          <w:p w14:paraId="3DD93B78" w14:textId="77777777" w:rsidR="00E81D2F" w:rsidRPr="00954D98" w:rsidRDefault="00E81D2F" w:rsidP="00E81D2F">
            <w:pPr>
              <w:spacing w:before="0" w:after="0" w:line="240" w:lineRule="auto"/>
              <w:jc w:val="center"/>
              <w:rPr>
                <w:rFonts w:ascii="Arial" w:hAnsi="Arial" w:cs="Arial"/>
                <w:color w:val="FFFF00"/>
                <w:sz w:val="16"/>
                <w:szCs w:val="16"/>
              </w:rPr>
            </w:pPr>
            <w:r w:rsidRPr="00954D98">
              <w:rPr>
                <w:rFonts w:ascii="Arial" w:hAnsi="Arial" w:cs="Arial"/>
                <w:sz w:val="16"/>
                <w:szCs w:val="16"/>
              </w:rPr>
              <w:t>2025-26</w:t>
            </w:r>
          </w:p>
        </w:tc>
        <w:tc>
          <w:tcPr>
            <w:tcW w:w="940" w:type="pct"/>
            <w:gridSpan w:val="2"/>
            <w:tcBorders>
              <w:top w:val="nil"/>
              <w:left w:val="nil"/>
              <w:bottom w:val="nil"/>
              <w:right w:val="nil"/>
            </w:tcBorders>
            <w:shd w:val="clear" w:color="000000" w:fill="FFFFFF"/>
            <w:noWrap/>
            <w:vAlign w:val="center"/>
            <w:hideMark/>
          </w:tcPr>
          <w:p w14:paraId="51CB512B" w14:textId="77777777" w:rsidR="00E81D2F" w:rsidRPr="00954D98" w:rsidRDefault="00E81D2F" w:rsidP="00E81D2F">
            <w:pPr>
              <w:spacing w:before="0" w:after="0" w:line="240" w:lineRule="auto"/>
              <w:jc w:val="center"/>
              <w:rPr>
                <w:rFonts w:ascii="Arial" w:hAnsi="Arial" w:cs="Arial"/>
                <w:color w:val="FFFF00"/>
                <w:sz w:val="16"/>
                <w:szCs w:val="16"/>
              </w:rPr>
            </w:pPr>
            <w:r w:rsidRPr="00954D98">
              <w:rPr>
                <w:rFonts w:ascii="Arial" w:hAnsi="Arial" w:cs="Arial"/>
                <w:sz w:val="16"/>
                <w:szCs w:val="16"/>
              </w:rPr>
              <w:t>2026-27</w:t>
            </w:r>
          </w:p>
        </w:tc>
        <w:tc>
          <w:tcPr>
            <w:tcW w:w="940" w:type="pct"/>
            <w:gridSpan w:val="2"/>
            <w:tcBorders>
              <w:top w:val="nil"/>
              <w:left w:val="nil"/>
              <w:bottom w:val="nil"/>
              <w:right w:val="nil"/>
            </w:tcBorders>
            <w:shd w:val="clear" w:color="000000" w:fill="FFFFFF"/>
            <w:noWrap/>
            <w:vAlign w:val="center"/>
            <w:hideMark/>
          </w:tcPr>
          <w:p w14:paraId="7FF5D202" w14:textId="77777777" w:rsidR="00E81D2F" w:rsidRPr="00954D98" w:rsidRDefault="00E81D2F" w:rsidP="00E81D2F">
            <w:pPr>
              <w:spacing w:before="0" w:after="0" w:line="240" w:lineRule="auto"/>
              <w:jc w:val="center"/>
              <w:rPr>
                <w:rFonts w:ascii="Arial" w:hAnsi="Arial" w:cs="Arial"/>
                <w:color w:val="FFFF00"/>
                <w:sz w:val="16"/>
                <w:szCs w:val="16"/>
              </w:rPr>
            </w:pPr>
            <w:r w:rsidRPr="00954D98">
              <w:rPr>
                <w:rFonts w:ascii="Arial" w:hAnsi="Arial" w:cs="Arial"/>
                <w:sz w:val="16"/>
                <w:szCs w:val="16"/>
              </w:rPr>
              <w:t>2027-28</w:t>
            </w:r>
          </w:p>
        </w:tc>
        <w:tc>
          <w:tcPr>
            <w:tcW w:w="940" w:type="pct"/>
            <w:gridSpan w:val="2"/>
            <w:tcBorders>
              <w:top w:val="nil"/>
              <w:left w:val="nil"/>
              <w:bottom w:val="nil"/>
              <w:right w:val="nil"/>
            </w:tcBorders>
            <w:shd w:val="clear" w:color="000000" w:fill="FFFFFF"/>
            <w:noWrap/>
            <w:vAlign w:val="center"/>
            <w:hideMark/>
          </w:tcPr>
          <w:p w14:paraId="14868C71" w14:textId="77777777" w:rsidR="00E81D2F" w:rsidRPr="00954D98" w:rsidRDefault="00E81D2F" w:rsidP="00E81D2F">
            <w:pPr>
              <w:spacing w:before="0" w:after="0" w:line="240" w:lineRule="auto"/>
              <w:jc w:val="center"/>
              <w:rPr>
                <w:rFonts w:ascii="Arial" w:hAnsi="Arial" w:cs="Arial"/>
                <w:sz w:val="16"/>
                <w:szCs w:val="16"/>
              </w:rPr>
            </w:pPr>
            <w:r w:rsidRPr="00954D98">
              <w:rPr>
                <w:rFonts w:ascii="Arial" w:hAnsi="Arial" w:cs="Arial"/>
                <w:sz w:val="16"/>
                <w:szCs w:val="16"/>
              </w:rPr>
              <w:t>2028-29</w:t>
            </w:r>
          </w:p>
        </w:tc>
      </w:tr>
      <w:tr w:rsidR="00E81D2F" w:rsidRPr="00954D98" w14:paraId="2E374E57"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4401BAEB"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04" w:type="pct"/>
            <w:tcBorders>
              <w:top w:val="single" w:sz="4" w:space="0" w:color="293F5B"/>
              <w:left w:val="nil"/>
              <w:bottom w:val="single" w:sz="4" w:space="0" w:color="293F5B"/>
              <w:right w:val="nil"/>
            </w:tcBorders>
            <w:shd w:val="clear" w:color="000000" w:fill="E6F2FF"/>
            <w:noWrap/>
            <w:vAlign w:val="center"/>
            <w:hideMark/>
          </w:tcPr>
          <w:p w14:paraId="116CABC1"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$b</w:t>
            </w:r>
          </w:p>
        </w:tc>
        <w:tc>
          <w:tcPr>
            <w:tcW w:w="536" w:type="pct"/>
            <w:tcBorders>
              <w:top w:val="single" w:sz="4" w:space="0" w:color="293F5B"/>
              <w:left w:val="nil"/>
              <w:bottom w:val="single" w:sz="4" w:space="0" w:color="293F5B"/>
              <w:right w:val="nil"/>
            </w:tcBorders>
            <w:shd w:val="clear" w:color="000000" w:fill="E6F2FF"/>
            <w:noWrap/>
            <w:vAlign w:val="center"/>
            <w:hideMark/>
          </w:tcPr>
          <w:p w14:paraId="1105D18D"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GDP</w:t>
            </w:r>
          </w:p>
        </w:tc>
        <w:tc>
          <w:tcPr>
            <w:tcW w:w="404" w:type="pct"/>
            <w:tcBorders>
              <w:top w:val="single" w:sz="4" w:space="0" w:color="293F5B"/>
              <w:left w:val="nil"/>
              <w:bottom w:val="single" w:sz="4" w:space="0" w:color="293F5B"/>
              <w:right w:val="nil"/>
            </w:tcBorders>
            <w:shd w:val="clear" w:color="000000" w:fill="FFFFFF"/>
            <w:noWrap/>
            <w:vAlign w:val="center"/>
            <w:hideMark/>
          </w:tcPr>
          <w:p w14:paraId="2744B7CF"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$b</w:t>
            </w:r>
          </w:p>
        </w:tc>
        <w:tc>
          <w:tcPr>
            <w:tcW w:w="536" w:type="pct"/>
            <w:tcBorders>
              <w:top w:val="single" w:sz="4" w:space="0" w:color="293F5B"/>
              <w:left w:val="nil"/>
              <w:bottom w:val="single" w:sz="4" w:space="0" w:color="293F5B"/>
              <w:right w:val="nil"/>
            </w:tcBorders>
            <w:shd w:val="clear" w:color="000000" w:fill="FFFFFF"/>
            <w:noWrap/>
            <w:vAlign w:val="center"/>
            <w:hideMark/>
          </w:tcPr>
          <w:p w14:paraId="124C52C6"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GDP</w:t>
            </w:r>
          </w:p>
        </w:tc>
        <w:tc>
          <w:tcPr>
            <w:tcW w:w="404" w:type="pct"/>
            <w:tcBorders>
              <w:top w:val="single" w:sz="4" w:space="0" w:color="293F5B"/>
              <w:left w:val="nil"/>
              <w:bottom w:val="single" w:sz="4" w:space="0" w:color="293F5B"/>
              <w:right w:val="nil"/>
            </w:tcBorders>
            <w:shd w:val="clear" w:color="000000" w:fill="FFFFFF"/>
            <w:noWrap/>
            <w:vAlign w:val="center"/>
            <w:hideMark/>
          </w:tcPr>
          <w:p w14:paraId="15102FDA"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$b</w:t>
            </w:r>
          </w:p>
        </w:tc>
        <w:tc>
          <w:tcPr>
            <w:tcW w:w="536" w:type="pct"/>
            <w:tcBorders>
              <w:top w:val="single" w:sz="4" w:space="0" w:color="293F5B"/>
              <w:left w:val="nil"/>
              <w:bottom w:val="single" w:sz="4" w:space="0" w:color="293F5B"/>
              <w:right w:val="nil"/>
            </w:tcBorders>
            <w:shd w:val="clear" w:color="000000" w:fill="FFFFFF"/>
            <w:noWrap/>
            <w:vAlign w:val="center"/>
            <w:hideMark/>
          </w:tcPr>
          <w:p w14:paraId="29088155"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GDP</w:t>
            </w:r>
          </w:p>
        </w:tc>
        <w:tc>
          <w:tcPr>
            <w:tcW w:w="404" w:type="pct"/>
            <w:tcBorders>
              <w:top w:val="single" w:sz="4" w:space="0" w:color="293F5B"/>
              <w:left w:val="nil"/>
              <w:bottom w:val="single" w:sz="4" w:space="0" w:color="293F5B"/>
              <w:right w:val="nil"/>
            </w:tcBorders>
            <w:shd w:val="clear" w:color="000000" w:fill="FFFFFF"/>
            <w:noWrap/>
            <w:vAlign w:val="center"/>
            <w:hideMark/>
          </w:tcPr>
          <w:p w14:paraId="46566A21"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$b</w:t>
            </w:r>
          </w:p>
        </w:tc>
        <w:tc>
          <w:tcPr>
            <w:tcW w:w="536" w:type="pct"/>
            <w:tcBorders>
              <w:top w:val="single" w:sz="4" w:space="0" w:color="293F5B"/>
              <w:left w:val="nil"/>
              <w:bottom w:val="single" w:sz="4" w:space="0" w:color="293F5B"/>
              <w:right w:val="nil"/>
            </w:tcBorders>
            <w:shd w:val="clear" w:color="000000" w:fill="FFFFFF"/>
            <w:noWrap/>
            <w:vAlign w:val="center"/>
            <w:hideMark/>
          </w:tcPr>
          <w:p w14:paraId="7C323C11" w14:textId="77777777" w:rsidR="00E81D2F" w:rsidRPr="00954D98" w:rsidRDefault="00E81D2F" w:rsidP="00E81D2F">
            <w:pPr>
              <w:spacing w:before="0" w:after="0" w:line="240" w:lineRule="auto"/>
              <w:jc w:val="right"/>
              <w:rPr>
                <w:rFonts w:ascii="Arial" w:hAnsi="Arial" w:cs="Arial"/>
                <w:sz w:val="16"/>
                <w:szCs w:val="16"/>
              </w:rPr>
            </w:pPr>
            <w:r w:rsidRPr="00954D98">
              <w:rPr>
                <w:rFonts w:ascii="Arial" w:hAnsi="Arial" w:cs="Arial"/>
                <w:sz w:val="16"/>
                <w:szCs w:val="16"/>
              </w:rPr>
              <w:t>% GDP</w:t>
            </w:r>
          </w:p>
        </w:tc>
      </w:tr>
      <w:tr w:rsidR="00E81D2F" w:rsidRPr="00954D98" w14:paraId="506EAAA4" w14:textId="77777777" w:rsidTr="00E81D2F">
        <w:trPr>
          <w:trHeight w:hRule="exact" w:val="60"/>
        </w:trPr>
        <w:tc>
          <w:tcPr>
            <w:tcW w:w="1240" w:type="pct"/>
            <w:tcBorders>
              <w:top w:val="nil"/>
              <w:left w:val="nil"/>
              <w:bottom w:val="nil"/>
              <w:right w:val="nil"/>
            </w:tcBorders>
            <w:shd w:val="clear" w:color="000000" w:fill="FFFFFF"/>
            <w:noWrap/>
            <w:vAlign w:val="center"/>
            <w:hideMark/>
          </w:tcPr>
          <w:p w14:paraId="1AC52451"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E6F2FF"/>
            <w:noWrap/>
            <w:vAlign w:val="center"/>
            <w:hideMark/>
          </w:tcPr>
          <w:p w14:paraId="180F008F"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E6F2FF"/>
            <w:noWrap/>
            <w:vAlign w:val="center"/>
            <w:hideMark/>
          </w:tcPr>
          <w:p w14:paraId="12952C38"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7FCE11A5"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1F87D4B7"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38F82801"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232378B2"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22D9FF56"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20254256" w14:textId="77777777" w:rsidR="00E81D2F" w:rsidRPr="00954D98" w:rsidRDefault="00E81D2F" w:rsidP="00E81D2F">
            <w:pPr>
              <w:spacing w:before="0" w:after="0" w:line="240" w:lineRule="auto"/>
              <w:jc w:val="right"/>
              <w:rPr>
                <w:rFonts w:ascii="Arial" w:hAnsi="Arial" w:cs="Arial"/>
                <w:sz w:val="16"/>
                <w:szCs w:val="16"/>
              </w:rPr>
            </w:pPr>
            <w:r w:rsidRPr="00954D98">
              <w:rPr>
                <w:rFonts w:ascii="Arial" w:hAnsi="Arial" w:cs="Arial"/>
                <w:sz w:val="16"/>
                <w:szCs w:val="16"/>
              </w:rPr>
              <w:t> </w:t>
            </w:r>
          </w:p>
        </w:tc>
      </w:tr>
      <w:tr w:rsidR="00E81D2F" w:rsidRPr="00954D98" w14:paraId="414DEAA2"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409547C5"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Revenue</w:t>
            </w:r>
          </w:p>
        </w:tc>
        <w:tc>
          <w:tcPr>
            <w:tcW w:w="404" w:type="pct"/>
            <w:tcBorders>
              <w:top w:val="nil"/>
              <w:left w:val="nil"/>
              <w:bottom w:val="nil"/>
              <w:right w:val="nil"/>
            </w:tcBorders>
            <w:shd w:val="clear" w:color="000000" w:fill="E6F2FF"/>
            <w:noWrap/>
            <w:vAlign w:val="center"/>
            <w:hideMark/>
          </w:tcPr>
          <w:p w14:paraId="39EF2383"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6" w:type="pct"/>
            <w:tcBorders>
              <w:top w:val="nil"/>
              <w:left w:val="nil"/>
              <w:bottom w:val="nil"/>
              <w:right w:val="nil"/>
            </w:tcBorders>
            <w:shd w:val="clear" w:color="000000" w:fill="E6F2FF"/>
            <w:noWrap/>
            <w:vAlign w:val="center"/>
            <w:hideMark/>
          </w:tcPr>
          <w:p w14:paraId="2632355A" w14:textId="77777777" w:rsidR="00E81D2F" w:rsidRPr="00954D98" w:rsidRDefault="00E81D2F" w:rsidP="00E81D2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404" w:type="pct"/>
            <w:tcBorders>
              <w:top w:val="nil"/>
              <w:left w:val="nil"/>
              <w:bottom w:val="nil"/>
              <w:right w:val="nil"/>
            </w:tcBorders>
            <w:shd w:val="clear" w:color="000000" w:fill="FFFFFF"/>
            <w:noWrap/>
            <w:vAlign w:val="center"/>
            <w:hideMark/>
          </w:tcPr>
          <w:p w14:paraId="6F359296"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6" w:type="pct"/>
            <w:tcBorders>
              <w:top w:val="nil"/>
              <w:left w:val="nil"/>
              <w:bottom w:val="nil"/>
              <w:right w:val="nil"/>
            </w:tcBorders>
            <w:shd w:val="clear" w:color="000000" w:fill="FFFFFF"/>
            <w:noWrap/>
            <w:vAlign w:val="center"/>
            <w:hideMark/>
          </w:tcPr>
          <w:p w14:paraId="75457CF9" w14:textId="77777777" w:rsidR="00E81D2F" w:rsidRPr="00954D98" w:rsidRDefault="00E81D2F" w:rsidP="00E81D2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404" w:type="pct"/>
            <w:tcBorders>
              <w:top w:val="nil"/>
              <w:left w:val="nil"/>
              <w:bottom w:val="nil"/>
              <w:right w:val="nil"/>
            </w:tcBorders>
            <w:shd w:val="clear" w:color="000000" w:fill="FFFFFF"/>
            <w:noWrap/>
            <w:vAlign w:val="center"/>
            <w:hideMark/>
          </w:tcPr>
          <w:p w14:paraId="05D85FA9"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6" w:type="pct"/>
            <w:tcBorders>
              <w:top w:val="nil"/>
              <w:left w:val="nil"/>
              <w:bottom w:val="nil"/>
              <w:right w:val="nil"/>
            </w:tcBorders>
            <w:shd w:val="clear" w:color="000000" w:fill="FFFFFF"/>
            <w:noWrap/>
            <w:vAlign w:val="center"/>
            <w:hideMark/>
          </w:tcPr>
          <w:p w14:paraId="58DA8BF8" w14:textId="77777777" w:rsidR="00E81D2F" w:rsidRPr="00954D98" w:rsidRDefault="00E81D2F" w:rsidP="00E81D2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404" w:type="pct"/>
            <w:tcBorders>
              <w:top w:val="nil"/>
              <w:left w:val="nil"/>
              <w:bottom w:val="nil"/>
              <w:right w:val="nil"/>
            </w:tcBorders>
            <w:shd w:val="clear" w:color="000000" w:fill="FFFFFF"/>
            <w:noWrap/>
            <w:vAlign w:val="center"/>
            <w:hideMark/>
          </w:tcPr>
          <w:p w14:paraId="53387E10"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6" w:type="pct"/>
            <w:tcBorders>
              <w:top w:val="nil"/>
              <w:left w:val="nil"/>
              <w:bottom w:val="nil"/>
              <w:right w:val="nil"/>
            </w:tcBorders>
            <w:shd w:val="clear" w:color="000000" w:fill="FFFFFF"/>
            <w:noWrap/>
            <w:vAlign w:val="center"/>
            <w:hideMark/>
          </w:tcPr>
          <w:p w14:paraId="394904E7" w14:textId="77777777" w:rsidR="00E81D2F" w:rsidRPr="00954D98" w:rsidRDefault="00E81D2F" w:rsidP="00E81D2F">
            <w:pPr>
              <w:spacing w:before="0" w:after="0" w:line="240" w:lineRule="auto"/>
              <w:jc w:val="right"/>
              <w:rPr>
                <w:rFonts w:ascii="Arial" w:hAnsi="Arial" w:cs="Arial"/>
                <w:b/>
                <w:bCs/>
                <w:sz w:val="16"/>
                <w:szCs w:val="16"/>
              </w:rPr>
            </w:pPr>
            <w:r w:rsidRPr="00954D98">
              <w:rPr>
                <w:rFonts w:ascii="Arial" w:hAnsi="Arial" w:cs="Arial"/>
                <w:b/>
                <w:bCs/>
                <w:sz w:val="16"/>
                <w:szCs w:val="16"/>
              </w:rPr>
              <w:t> </w:t>
            </w:r>
          </w:p>
        </w:tc>
      </w:tr>
      <w:tr w:rsidR="00E81D2F" w:rsidRPr="00954D98" w14:paraId="0030C3B0"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652F2516" w14:textId="77777777" w:rsidR="00E81D2F" w:rsidRPr="00954D98" w:rsidRDefault="00E81D2F" w:rsidP="00E81D2F">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MYEFO</w:t>
            </w:r>
          </w:p>
        </w:tc>
        <w:tc>
          <w:tcPr>
            <w:tcW w:w="404" w:type="pct"/>
            <w:tcBorders>
              <w:top w:val="nil"/>
              <w:left w:val="nil"/>
              <w:bottom w:val="nil"/>
              <w:right w:val="nil"/>
            </w:tcBorders>
            <w:shd w:val="clear" w:color="000000" w:fill="E6F2FF"/>
            <w:noWrap/>
            <w:vAlign w:val="center"/>
            <w:hideMark/>
          </w:tcPr>
          <w:p w14:paraId="5CAEADD5"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765.6</w:t>
            </w:r>
          </w:p>
        </w:tc>
        <w:tc>
          <w:tcPr>
            <w:tcW w:w="536" w:type="pct"/>
            <w:tcBorders>
              <w:top w:val="nil"/>
              <w:left w:val="nil"/>
              <w:bottom w:val="nil"/>
              <w:right w:val="nil"/>
            </w:tcBorders>
            <w:shd w:val="clear" w:color="000000" w:fill="E6F2FF"/>
            <w:noWrap/>
            <w:vAlign w:val="center"/>
            <w:hideMark/>
          </w:tcPr>
          <w:p w14:paraId="344FB359"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26.2</w:t>
            </w:r>
          </w:p>
        </w:tc>
        <w:tc>
          <w:tcPr>
            <w:tcW w:w="404" w:type="pct"/>
            <w:tcBorders>
              <w:top w:val="nil"/>
              <w:left w:val="nil"/>
              <w:bottom w:val="nil"/>
              <w:right w:val="nil"/>
            </w:tcBorders>
            <w:shd w:val="clear" w:color="000000" w:fill="FFFFFF"/>
            <w:noWrap/>
            <w:vAlign w:val="center"/>
            <w:hideMark/>
          </w:tcPr>
          <w:p w14:paraId="70A0378B"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793.6</w:t>
            </w:r>
          </w:p>
        </w:tc>
        <w:tc>
          <w:tcPr>
            <w:tcW w:w="536" w:type="pct"/>
            <w:tcBorders>
              <w:top w:val="nil"/>
              <w:left w:val="nil"/>
              <w:bottom w:val="nil"/>
              <w:right w:val="nil"/>
            </w:tcBorders>
            <w:shd w:val="clear" w:color="000000" w:fill="FFFFFF"/>
            <w:noWrap/>
            <w:vAlign w:val="center"/>
            <w:hideMark/>
          </w:tcPr>
          <w:p w14:paraId="4D7FC402"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26.3</w:t>
            </w:r>
          </w:p>
        </w:tc>
        <w:tc>
          <w:tcPr>
            <w:tcW w:w="404" w:type="pct"/>
            <w:tcBorders>
              <w:top w:val="nil"/>
              <w:left w:val="nil"/>
              <w:bottom w:val="nil"/>
              <w:right w:val="nil"/>
            </w:tcBorders>
            <w:shd w:val="clear" w:color="000000" w:fill="FFFFFF"/>
            <w:noWrap/>
            <w:vAlign w:val="center"/>
            <w:hideMark/>
          </w:tcPr>
          <w:p w14:paraId="398F6BF3"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820.8</w:t>
            </w:r>
          </w:p>
        </w:tc>
        <w:tc>
          <w:tcPr>
            <w:tcW w:w="536" w:type="pct"/>
            <w:tcBorders>
              <w:top w:val="nil"/>
              <w:left w:val="nil"/>
              <w:bottom w:val="nil"/>
              <w:right w:val="nil"/>
            </w:tcBorders>
            <w:shd w:val="clear" w:color="000000" w:fill="FFFFFF"/>
            <w:noWrap/>
            <w:vAlign w:val="center"/>
            <w:hideMark/>
          </w:tcPr>
          <w:p w14:paraId="4E2D2058"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26.0</w:t>
            </w:r>
          </w:p>
        </w:tc>
        <w:tc>
          <w:tcPr>
            <w:tcW w:w="404" w:type="pct"/>
            <w:tcBorders>
              <w:top w:val="nil"/>
              <w:left w:val="nil"/>
              <w:bottom w:val="nil"/>
              <w:right w:val="nil"/>
            </w:tcBorders>
            <w:shd w:val="clear" w:color="000000" w:fill="FFFFFF"/>
            <w:noWrap/>
            <w:vAlign w:val="center"/>
            <w:hideMark/>
          </w:tcPr>
          <w:p w14:paraId="343EAC5B"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864.1</w:t>
            </w:r>
          </w:p>
        </w:tc>
        <w:tc>
          <w:tcPr>
            <w:tcW w:w="536" w:type="pct"/>
            <w:tcBorders>
              <w:top w:val="nil"/>
              <w:left w:val="nil"/>
              <w:bottom w:val="nil"/>
              <w:right w:val="nil"/>
            </w:tcBorders>
            <w:shd w:val="clear" w:color="000000" w:fill="FFFFFF"/>
            <w:noWrap/>
            <w:vAlign w:val="center"/>
            <w:hideMark/>
          </w:tcPr>
          <w:p w14:paraId="6366F779" w14:textId="77777777" w:rsidR="00E81D2F" w:rsidRPr="00954D98" w:rsidRDefault="00E81D2F" w:rsidP="00E81D2F">
            <w:pPr>
              <w:spacing w:before="0" w:after="0" w:line="240" w:lineRule="auto"/>
              <w:jc w:val="right"/>
              <w:rPr>
                <w:rFonts w:ascii="Arial" w:hAnsi="Arial" w:cs="Arial"/>
                <w:sz w:val="16"/>
                <w:szCs w:val="16"/>
              </w:rPr>
            </w:pPr>
            <w:r w:rsidRPr="00954D98">
              <w:rPr>
                <w:rFonts w:ascii="Arial" w:hAnsi="Arial" w:cs="Arial"/>
                <w:sz w:val="16"/>
                <w:szCs w:val="16"/>
              </w:rPr>
              <w:t>25.9</w:t>
            </w:r>
          </w:p>
        </w:tc>
      </w:tr>
      <w:tr w:rsidR="00E81D2F" w:rsidRPr="00954D98" w14:paraId="2D8366CD"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69CFEB89" w14:textId="77777777" w:rsidR="00E81D2F" w:rsidRPr="00954D98" w:rsidRDefault="00E81D2F" w:rsidP="00E81D2F">
            <w:pPr>
              <w:spacing w:before="0" w:after="0" w:line="240" w:lineRule="auto"/>
              <w:ind w:firstLineChars="200" w:firstLine="320"/>
              <w:rPr>
                <w:rFonts w:ascii="Arial" w:hAnsi="Arial" w:cs="Arial"/>
                <w:i/>
                <w:iCs/>
                <w:color w:val="FFFF00"/>
                <w:sz w:val="16"/>
                <w:szCs w:val="16"/>
              </w:rPr>
            </w:pPr>
            <w:r w:rsidRPr="00954D98">
              <w:rPr>
                <w:rFonts w:ascii="Arial" w:hAnsi="Arial" w:cs="Arial"/>
                <w:i/>
                <w:iCs/>
                <w:sz w:val="16"/>
                <w:szCs w:val="16"/>
              </w:rPr>
              <w:t>PEFO</w:t>
            </w:r>
          </w:p>
        </w:tc>
        <w:tc>
          <w:tcPr>
            <w:tcW w:w="404" w:type="pct"/>
            <w:tcBorders>
              <w:top w:val="nil"/>
              <w:left w:val="nil"/>
              <w:bottom w:val="nil"/>
              <w:right w:val="nil"/>
            </w:tcBorders>
            <w:shd w:val="clear" w:color="000000" w:fill="E6F2FF"/>
            <w:noWrap/>
            <w:vAlign w:val="center"/>
            <w:hideMark/>
          </w:tcPr>
          <w:p w14:paraId="688BD43D"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750.3</w:t>
            </w:r>
          </w:p>
        </w:tc>
        <w:tc>
          <w:tcPr>
            <w:tcW w:w="536" w:type="pct"/>
            <w:tcBorders>
              <w:top w:val="nil"/>
              <w:left w:val="nil"/>
              <w:bottom w:val="nil"/>
              <w:right w:val="nil"/>
            </w:tcBorders>
            <w:shd w:val="clear" w:color="000000" w:fill="E6F2FF"/>
            <w:noWrap/>
            <w:vAlign w:val="center"/>
            <w:hideMark/>
          </w:tcPr>
          <w:p w14:paraId="575A1ED8"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26.1</w:t>
            </w:r>
          </w:p>
        </w:tc>
        <w:tc>
          <w:tcPr>
            <w:tcW w:w="404" w:type="pct"/>
            <w:tcBorders>
              <w:top w:val="nil"/>
              <w:left w:val="nil"/>
              <w:bottom w:val="nil"/>
              <w:right w:val="nil"/>
            </w:tcBorders>
            <w:shd w:val="clear" w:color="000000" w:fill="FFFFFF"/>
            <w:noWrap/>
            <w:vAlign w:val="center"/>
            <w:hideMark/>
          </w:tcPr>
          <w:p w14:paraId="375E39E2"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783.6</w:t>
            </w:r>
          </w:p>
        </w:tc>
        <w:tc>
          <w:tcPr>
            <w:tcW w:w="536" w:type="pct"/>
            <w:tcBorders>
              <w:top w:val="nil"/>
              <w:left w:val="nil"/>
              <w:bottom w:val="nil"/>
              <w:right w:val="nil"/>
            </w:tcBorders>
            <w:shd w:val="clear" w:color="000000" w:fill="FFFFFF"/>
            <w:noWrap/>
            <w:vAlign w:val="center"/>
            <w:hideMark/>
          </w:tcPr>
          <w:p w14:paraId="34DF5EC8"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26.2</w:t>
            </w:r>
          </w:p>
        </w:tc>
        <w:tc>
          <w:tcPr>
            <w:tcW w:w="404" w:type="pct"/>
            <w:tcBorders>
              <w:top w:val="nil"/>
              <w:left w:val="nil"/>
              <w:bottom w:val="nil"/>
              <w:right w:val="nil"/>
            </w:tcBorders>
            <w:shd w:val="clear" w:color="000000" w:fill="FFFFFF"/>
            <w:noWrap/>
            <w:vAlign w:val="center"/>
            <w:hideMark/>
          </w:tcPr>
          <w:p w14:paraId="7843E3A9"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815.4</w:t>
            </w:r>
          </w:p>
        </w:tc>
        <w:tc>
          <w:tcPr>
            <w:tcW w:w="536" w:type="pct"/>
            <w:tcBorders>
              <w:top w:val="nil"/>
              <w:left w:val="nil"/>
              <w:bottom w:val="nil"/>
              <w:right w:val="nil"/>
            </w:tcBorders>
            <w:shd w:val="clear" w:color="000000" w:fill="FFFFFF"/>
            <w:noWrap/>
            <w:vAlign w:val="center"/>
            <w:hideMark/>
          </w:tcPr>
          <w:p w14:paraId="5F81D5C2"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25.9</w:t>
            </w:r>
          </w:p>
        </w:tc>
        <w:tc>
          <w:tcPr>
            <w:tcW w:w="404" w:type="pct"/>
            <w:tcBorders>
              <w:top w:val="nil"/>
              <w:left w:val="nil"/>
              <w:bottom w:val="nil"/>
              <w:right w:val="nil"/>
            </w:tcBorders>
            <w:shd w:val="clear" w:color="000000" w:fill="FFFFFF"/>
            <w:noWrap/>
            <w:vAlign w:val="center"/>
            <w:hideMark/>
          </w:tcPr>
          <w:p w14:paraId="12F26DFD"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862.5</w:t>
            </w:r>
          </w:p>
        </w:tc>
        <w:tc>
          <w:tcPr>
            <w:tcW w:w="536" w:type="pct"/>
            <w:tcBorders>
              <w:top w:val="nil"/>
              <w:left w:val="nil"/>
              <w:bottom w:val="nil"/>
              <w:right w:val="nil"/>
            </w:tcBorders>
            <w:shd w:val="clear" w:color="000000" w:fill="FFFFFF"/>
            <w:noWrap/>
            <w:vAlign w:val="center"/>
            <w:hideMark/>
          </w:tcPr>
          <w:p w14:paraId="797235B5" w14:textId="77777777" w:rsidR="00E81D2F" w:rsidRPr="00954D98" w:rsidRDefault="00E81D2F" w:rsidP="00E81D2F">
            <w:pPr>
              <w:spacing w:before="0" w:after="0" w:line="240" w:lineRule="auto"/>
              <w:jc w:val="right"/>
              <w:rPr>
                <w:rFonts w:ascii="Arial" w:hAnsi="Arial" w:cs="Arial"/>
                <w:i/>
                <w:iCs/>
                <w:sz w:val="16"/>
                <w:szCs w:val="16"/>
              </w:rPr>
            </w:pPr>
            <w:r w:rsidRPr="00954D98">
              <w:rPr>
                <w:rFonts w:ascii="Arial" w:hAnsi="Arial" w:cs="Arial"/>
                <w:i/>
                <w:iCs/>
                <w:sz w:val="16"/>
                <w:szCs w:val="16"/>
              </w:rPr>
              <w:t>26.0</w:t>
            </w:r>
          </w:p>
        </w:tc>
      </w:tr>
      <w:tr w:rsidR="00E81D2F" w:rsidRPr="00954D98" w14:paraId="0687895C"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250B9EAA" w14:textId="77777777" w:rsidR="00E81D2F" w:rsidRPr="00954D98" w:rsidRDefault="00E81D2F" w:rsidP="00E81D2F">
            <w:pPr>
              <w:spacing w:before="0" w:after="0" w:line="240" w:lineRule="auto"/>
              <w:ind w:firstLineChars="200" w:firstLine="320"/>
              <w:rPr>
                <w:rFonts w:ascii="Arial" w:hAnsi="Arial" w:cs="Arial"/>
                <w:i/>
                <w:iCs/>
                <w:color w:val="FFFF00"/>
                <w:sz w:val="16"/>
                <w:szCs w:val="16"/>
              </w:rPr>
            </w:pPr>
            <w:r w:rsidRPr="00954D98">
              <w:rPr>
                <w:rFonts w:ascii="Arial" w:hAnsi="Arial" w:cs="Arial"/>
                <w:i/>
                <w:iCs/>
                <w:sz w:val="16"/>
                <w:szCs w:val="16"/>
              </w:rPr>
              <w:t>Budget</w:t>
            </w:r>
          </w:p>
        </w:tc>
        <w:tc>
          <w:tcPr>
            <w:tcW w:w="404" w:type="pct"/>
            <w:tcBorders>
              <w:top w:val="nil"/>
              <w:left w:val="nil"/>
              <w:bottom w:val="nil"/>
              <w:right w:val="nil"/>
            </w:tcBorders>
            <w:shd w:val="clear" w:color="000000" w:fill="E6F2FF"/>
            <w:noWrap/>
            <w:vAlign w:val="center"/>
            <w:hideMark/>
          </w:tcPr>
          <w:p w14:paraId="49D2B194"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750.3</w:t>
            </w:r>
          </w:p>
        </w:tc>
        <w:tc>
          <w:tcPr>
            <w:tcW w:w="536" w:type="pct"/>
            <w:tcBorders>
              <w:top w:val="nil"/>
              <w:left w:val="nil"/>
              <w:bottom w:val="nil"/>
              <w:right w:val="nil"/>
            </w:tcBorders>
            <w:shd w:val="clear" w:color="000000" w:fill="E6F2FF"/>
            <w:noWrap/>
            <w:vAlign w:val="center"/>
            <w:hideMark/>
          </w:tcPr>
          <w:p w14:paraId="32F36218"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26.1</w:t>
            </w:r>
          </w:p>
        </w:tc>
        <w:tc>
          <w:tcPr>
            <w:tcW w:w="404" w:type="pct"/>
            <w:tcBorders>
              <w:top w:val="nil"/>
              <w:left w:val="nil"/>
              <w:bottom w:val="nil"/>
              <w:right w:val="nil"/>
            </w:tcBorders>
            <w:shd w:val="clear" w:color="000000" w:fill="FFFFFF"/>
            <w:noWrap/>
            <w:vAlign w:val="center"/>
            <w:hideMark/>
          </w:tcPr>
          <w:p w14:paraId="3E06F8B4"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783.6</w:t>
            </w:r>
          </w:p>
        </w:tc>
        <w:tc>
          <w:tcPr>
            <w:tcW w:w="536" w:type="pct"/>
            <w:tcBorders>
              <w:top w:val="nil"/>
              <w:left w:val="nil"/>
              <w:bottom w:val="nil"/>
              <w:right w:val="nil"/>
            </w:tcBorders>
            <w:shd w:val="clear" w:color="000000" w:fill="FFFFFF"/>
            <w:noWrap/>
            <w:vAlign w:val="center"/>
            <w:hideMark/>
          </w:tcPr>
          <w:p w14:paraId="2C7FDDE5"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26.2</w:t>
            </w:r>
          </w:p>
        </w:tc>
        <w:tc>
          <w:tcPr>
            <w:tcW w:w="404" w:type="pct"/>
            <w:tcBorders>
              <w:top w:val="nil"/>
              <w:left w:val="nil"/>
              <w:bottom w:val="nil"/>
              <w:right w:val="nil"/>
            </w:tcBorders>
            <w:shd w:val="clear" w:color="000000" w:fill="FFFFFF"/>
            <w:noWrap/>
            <w:vAlign w:val="center"/>
            <w:hideMark/>
          </w:tcPr>
          <w:p w14:paraId="40705F20"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815.4</w:t>
            </w:r>
          </w:p>
        </w:tc>
        <w:tc>
          <w:tcPr>
            <w:tcW w:w="536" w:type="pct"/>
            <w:tcBorders>
              <w:top w:val="nil"/>
              <w:left w:val="nil"/>
              <w:bottom w:val="nil"/>
              <w:right w:val="nil"/>
            </w:tcBorders>
            <w:shd w:val="clear" w:color="000000" w:fill="FFFFFF"/>
            <w:noWrap/>
            <w:vAlign w:val="center"/>
            <w:hideMark/>
          </w:tcPr>
          <w:p w14:paraId="31FE2CA9"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25.9</w:t>
            </w:r>
          </w:p>
        </w:tc>
        <w:tc>
          <w:tcPr>
            <w:tcW w:w="404" w:type="pct"/>
            <w:tcBorders>
              <w:top w:val="nil"/>
              <w:left w:val="nil"/>
              <w:bottom w:val="nil"/>
              <w:right w:val="nil"/>
            </w:tcBorders>
            <w:shd w:val="clear" w:color="000000" w:fill="FFFFFF"/>
            <w:noWrap/>
            <w:vAlign w:val="center"/>
            <w:hideMark/>
          </w:tcPr>
          <w:p w14:paraId="7F0427A8"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862.5</w:t>
            </w:r>
          </w:p>
        </w:tc>
        <w:tc>
          <w:tcPr>
            <w:tcW w:w="536" w:type="pct"/>
            <w:tcBorders>
              <w:top w:val="nil"/>
              <w:left w:val="nil"/>
              <w:bottom w:val="nil"/>
              <w:right w:val="nil"/>
            </w:tcBorders>
            <w:shd w:val="clear" w:color="000000" w:fill="FFFFFF"/>
            <w:noWrap/>
            <w:vAlign w:val="center"/>
            <w:hideMark/>
          </w:tcPr>
          <w:p w14:paraId="5D72572F" w14:textId="77777777" w:rsidR="00E81D2F" w:rsidRPr="00954D98" w:rsidRDefault="00E81D2F" w:rsidP="00E81D2F">
            <w:pPr>
              <w:spacing w:before="0" w:after="0" w:line="240" w:lineRule="auto"/>
              <w:jc w:val="right"/>
              <w:rPr>
                <w:rFonts w:ascii="Arial" w:hAnsi="Arial" w:cs="Arial"/>
                <w:i/>
                <w:iCs/>
                <w:sz w:val="16"/>
                <w:szCs w:val="16"/>
              </w:rPr>
            </w:pPr>
            <w:r w:rsidRPr="00954D98">
              <w:rPr>
                <w:rFonts w:ascii="Arial" w:hAnsi="Arial" w:cs="Arial"/>
                <w:i/>
                <w:iCs/>
                <w:sz w:val="16"/>
                <w:szCs w:val="16"/>
              </w:rPr>
              <w:t>26.0</w:t>
            </w:r>
          </w:p>
        </w:tc>
      </w:tr>
      <w:tr w:rsidR="00E81D2F" w:rsidRPr="00954D98" w14:paraId="2CD7AE97" w14:textId="77777777" w:rsidTr="00E81D2F">
        <w:trPr>
          <w:trHeight w:hRule="exact" w:val="60"/>
        </w:trPr>
        <w:tc>
          <w:tcPr>
            <w:tcW w:w="1240" w:type="pct"/>
            <w:tcBorders>
              <w:top w:val="nil"/>
              <w:left w:val="nil"/>
              <w:bottom w:val="nil"/>
              <w:right w:val="nil"/>
            </w:tcBorders>
            <w:shd w:val="clear" w:color="000000" w:fill="FFFFFF"/>
            <w:noWrap/>
            <w:vAlign w:val="center"/>
            <w:hideMark/>
          </w:tcPr>
          <w:p w14:paraId="18AD3563"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E6F2FF"/>
            <w:noWrap/>
            <w:vAlign w:val="center"/>
            <w:hideMark/>
          </w:tcPr>
          <w:p w14:paraId="47E5DBD3"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E6F2FF"/>
            <w:noWrap/>
            <w:vAlign w:val="center"/>
            <w:hideMark/>
          </w:tcPr>
          <w:p w14:paraId="582F04B8"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1ED4E33C"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681E26D9"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67C5398E"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143DFDEA"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2942C11E"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00F75DD7" w14:textId="77777777" w:rsidR="00E81D2F" w:rsidRPr="00954D98" w:rsidRDefault="00E81D2F" w:rsidP="00E81D2F">
            <w:pPr>
              <w:spacing w:before="0" w:after="0" w:line="240" w:lineRule="auto"/>
              <w:jc w:val="right"/>
              <w:rPr>
                <w:rFonts w:ascii="Arial" w:hAnsi="Arial" w:cs="Arial"/>
                <w:sz w:val="16"/>
                <w:szCs w:val="16"/>
              </w:rPr>
            </w:pPr>
            <w:r w:rsidRPr="00954D98">
              <w:rPr>
                <w:rFonts w:ascii="Arial" w:hAnsi="Arial" w:cs="Arial"/>
                <w:sz w:val="16"/>
                <w:szCs w:val="16"/>
              </w:rPr>
              <w:t> </w:t>
            </w:r>
          </w:p>
        </w:tc>
      </w:tr>
      <w:tr w:rsidR="00E81D2F" w:rsidRPr="00954D98" w14:paraId="7E2D9AE2"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69519425"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Expenses</w:t>
            </w:r>
          </w:p>
        </w:tc>
        <w:tc>
          <w:tcPr>
            <w:tcW w:w="404" w:type="pct"/>
            <w:tcBorders>
              <w:top w:val="nil"/>
              <w:left w:val="nil"/>
              <w:bottom w:val="nil"/>
              <w:right w:val="nil"/>
            </w:tcBorders>
            <w:shd w:val="clear" w:color="000000" w:fill="E6F2FF"/>
            <w:noWrap/>
            <w:vAlign w:val="center"/>
            <w:hideMark/>
          </w:tcPr>
          <w:p w14:paraId="79AD4B1B"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E6F2FF"/>
            <w:noWrap/>
            <w:vAlign w:val="center"/>
            <w:hideMark/>
          </w:tcPr>
          <w:p w14:paraId="0827567B"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682D4FF9"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2D61F281"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21A0F9AF"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3797789B"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48FA9778"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5091A32B" w14:textId="77777777" w:rsidR="00E81D2F" w:rsidRPr="00954D98" w:rsidRDefault="00E81D2F" w:rsidP="00E81D2F">
            <w:pPr>
              <w:spacing w:before="0" w:after="0" w:line="240" w:lineRule="auto"/>
              <w:jc w:val="right"/>
              <w:rPr>
                <w:rFonts w:ascii="Arial" w:hAnsi="Arial" w:cs="Arial"/>
                <w:sz w:val="16"/>
                <w:szCs w:val="16"/>
              </w:rPr>
            </w:pPr>
            <w:r w:rsidRPr="00954D98">
              <w:rPr>
                <w:rFonts w:ascii="Arial" w:hAnsi="Arial" w:cs="Arial"/>
                <w:sz w:val="16"/>
                <w:szCs w:val="16"/>
              </w:rPr>
              <w:t> </w:t>
            </w:r>
          </w:p>
        </w:tc>
      </w:tr>
      <w:tr w:rsidR="00E81D2F" w:rsidRPr="00954D98" w14:paraId="0EE9372F"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369BD061" w14:textId="77777777" w:rsidR="00E81D2F" w:rsidRPr="00954D98" w:rsidRDefault="00E81D2F" w:rsidP="00E81D2F">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MYEFO</w:t>
            </w:r>
          </w:p>
        </w:tc>
        <w:tc>
          <w:tcPr>
            <w:tcW w:w="404" w:type="pct"/>
            <w:tcBorders>
              <w:top w:val="nil"/>
              <w:left w:val="nil"/>
              <w:bottom w:val="nil"/>
              <w:right w:val="nil"/>
            </w:tcBorders>
            <w:shd w:val="clear" w:color="000000" w:fill="E6F2FF"/>
            <w:noWrap/>
            <w:vAlign w:val="center"/>
            <w:hideMark/>
          </w:tcPr>
          <w:p w14:paraId="1295F1E2"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809.2</w:t>
            </w:r>
          </w:p>
        </w:tc>
        <w:tc>
          <w:tcPr>
            <w:tcW w:w="536" w:type="pct"/>
            <w:tcBorders>
              <w:top w:val="nil"/>
              <w:left w:val="nil"/>
              <w:bottom w:val="nil"/>
              <w:right w:val="nil"/>
            </w:tcBorders>
            <w:shd w:val="clear" w:color="000000" w:fill="E6F2FF"/>
            <w:noWrap/>
            <w:vAlign w:val="center"/>
            <w:hideMark/>
          </w:tcPr>
          <w:p w14:paraId="1D6D1A02"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27.7</w:t>
            </w:r>
          </w:p>
        </w:tc>
        <w:tc>
          <w:tcPr>
            <w:tcW w:w="404" w:type="pct"/>
            <w:tcBorders>
              <w:top w:val="nil"/>
              <w:left w:val="nil"/>
              <w:bottom w:val="nil"/>
              <w:right w:val="nil"/>
            </w:tcBorders>
            <w:shd w:val="clear" w:color="000000" w:fill="FFFFFF"/>
            <w:noWrap/>
            <w:vAlign w:val="center"/>
            <w:hideMark/>
          </w:tcPr>
          <w:p w14:paraId="7D8B8D53"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819.0</w:t>
            </w:r>
          </w:p>
        </w:tc>
        <w:tc>
          <w:tcPr>
            <w:tcW w:w="536" w:type="pct"/>
            <w:tcBorders>
              <w:top w:val="nil"/>
              <w:left w:val="nil"/>
              <w:bottom w:val="nil"/>
              <w:right w:val="nil"/>
            </w:tcBorders>
            <w:shd w:val="clear" w:color="000000" w:fill="FFFFFF"/>
            <w:noWrap/>
            <w:vAlign w:val="center"/>
            <w:hideMark/>
          </w:tcPr>
          <w:p w14:paraId="6DB997BE"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27.1</w:t>
            </w:r>
          </w:p>
        </w:tc>
        <w:tc>
          <w:tcPr>
            <w:tcW w:w="404" w:type="pct"/>
            <w:tcBorders>
              <w:top w:val="nil"/>
              <w:left w:val="nil"/>
              <w:bottom w:val="nil"/>
              <w:right w:val="nil"/>
            </w:tcBorders>
            <w:shd w:val="clear" w:color="000000" w:fill="FFFFFF"/>
            <w:noWrap/>
            <w:vAlign w:val="center"/>
            <w:hideMark/>
          </w:tcPr>
          <w:p w14:paraId="03FF5820"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854.0</w:t>
            </w:r>
          </w:p>
        </w:tc>
        <w:tc>
          <w:tcPr>
            <w:tcW w:w="536" w:type="pct"/>
            <w:tcBorders>
              <w:top w:val="nil"/>
              <w:left w:val="nil"/>
              <w:bottom w:val="nil"/>
              <w:right w:val="nil"/>
            </w:tcBorders>
            <w:shd w:val="clear" w:color="000000" w:fill="FFFFFF"/>
            <w:noWrap/>
            <w:vAlign w:val="center"/>
            <w:hideMark/>
          </w:tcPr>
          <w:p w14:paraId="75E48017"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27.0</w:t>
            </w:r>
          </w:p>
        </w:tc>
        <w:tc>
          <w:tcPr>
            <w:tcW w:w="404" w:type="pct"/>
            <w:tcBorders>
              <w:top w:val="nil"/>
              <w:left w:val="nil"/>
              <w:bottom w:val="nil"/>
              <w:right w:val="nil"/>
            </w:tcBorders>
            <w:shd w:val="clear" w:color="000000" w:fill="FFFFFF"/>
            <w:noWrap/>
            <w:vAlign w:val="center"/>
            <w:hideMark/>
          </w:tcPr>
          <w:p w14:paraId="5A12E299"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897.5</w:t>
            </w:r>
          </w:p>
        </w:tc>
        <w:tc>
          <w:tcPr>
            <w:tcW w:w="536" w:type="pct"/>
            <w:tcBorders>
              <w:top w:val="nil"/>
              <w:left w:val="nil"/>
              <w:bottom w:val="nil"/>
              <w:right w:val="nil"/>
            </w:tcBorders>
            <w:shd w:val="clear" w:color="000000" w:fill="FFFFFF"/>
            <w:noWrap/>
            <w:vAlign w:val="center"/>
            <w:hideMark/>
          </w:tcPr>
          <w:p w14:paraId="218BE552" w14:textId="77777777" w:rsidR="00E81D2F" w:rsidRPr="00954D98" w:rsidRDefault="00E81D2F" w:rsidP="00E81D2F">
            <w:pPr>
              <w:spacing w:before="0" w:after="0" w:line="240" w:lineRule="auto"/>
              <w:jc w:val="right"/>
              <w:rPr>
                <w:rFonts w:ascii="Arial" w:hAnsi="Arial" w:cs="Arial"/>
                <w:sz w:val="16"/>
                <w:szCs w:val="16"/>
              </w:rPr>
            </w:pPr>
            <w:r w:rsidRPr="00954D98">
              <w:rPr>
                <w:rFonts w:ascii="Arial" w:hAnsi="Arial" w:cs="Arial"/>
                <w:sz w:val="16"/>
                <w:szCs w:val="16"/>
              </w:rPr>
              <w:t>26.9</w:t>
            </w:r>
          </w:p>
        </w:tc>
      </w:tr>
      <w:tr w:rsidR="00E81D2F" w:rsidRPr="00954D98" w14:paraId="2513E7B3"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23F6C8FD" w14:textId="77777777" w:rsidR="00E81D2F" w:rsidRPr="00954D98" w:rsidRDefault="00E81D2F" w:rsidP="00E81D2F">
            <w:pPr>
              <w:spacing w:before="0" w:after="0" w:line="240" w:lineRule="auto"/>
              <w:ind w:firstLineChars="200" w:firstLine="320"/>
              <w:rPr>
                <w:rFonts w:ascii="Arial" w:hAnsi="Arial" w:cs="Arial"/>
                <w:i/>
                <w:iCs/>
                <w:color w:val="FFFF00"/>
                <w:sz w:val="16"/>
                <w:szCs w:val="16"/>
              </w:rPr>
            </w:pPr>
            <w:r w:rsidRPr="00954D98">
              <w:rPr>
                <w:rFonts w:ascii="Arial" w:hAnsi="Arial" w:cs="Arial"/>
                <w:i/>
                <w:iCs/>
                <w:sz w:val="16"/>
                <w:szCs w:val="16"/>
              </w:rPr>
              <w:t>PEFO</w:t>
            </w:r>
          </w:p>
        </w:tc>
        <w:tc>
          <w:tcPr>
            <w:tcW w:w="404" w:type="pct"/>
            <w:tcBorders>
              <w:top w:val="nil"/>
              <w:left w:val="nil"/>
              <w:bottom w:val="nil"/>
              <w:right w:val="nil"/>
            </w:tcBorders>
            <w:shd w:val="clear" w:color="000000" w:fill="E6F2FF"/>
            <w:noWrap/>
            <w:vAlign w:val="center"/>
            <w:hideMark/>
          </w:tcPr>
          <w:p w14:paraId="4D894D41"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785.7</w:t>
            </w:r>
          </w:p>
        </w:tc>
        <w:tc>
          <w:tcPr>
            <w:tcW w:w="536" w:type="pct"/>
            <w:tcBorders>
              <w:top w:val="nil"/>
              <w:left w:val="nil"/>
              <w:bottom w:val="nil"/>
              <w:right w:val="nil"/>
            </w:tcBorders>
            <w:shd w:val="clear" w:color="000000" w:fill="E6F2FF"/>
            <w:noWrap/>
            <w:vAlign w:val="center"/>
            <w:hideMark/>
          </w:tcPr>
          <w:p w14:paraId="27658B0F"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27.3</w:t>
            </w:r>
          </w:p>
        </w:tc>
        <w:tc>
          <w:tcPr>
            <w:tcW w:w="404" w:type="pct"/>
            <w:tcBorders>
              <w:top w:val="nil"/>
              <w:left w:val="nil"/>
              <w:bottom w:val="nil"/>
              <w:right w:val="nil"/>
            </w:tcBorders>
            <w:shd w:val="clear" w:color="000000" w:fill="FFFFFF"/>
            <w:noWrap/>
            <w:vAlign w:val="center"/>
            <w:hideMark/>
          </w:tcPr>
          <w:p w14:paraId="7D948D1F"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806.5</w:t>
            </w:r>
          </w:p>
        </w:tc>
        <w:tc>
          <w:tcPr>
            <w:tcW w:w="536" w:type="pct"/>
            <w:tcBorders>
              <w:top w:val="nil"/>
              <w:left w:val="nil"/>
              <w:bottom w:val="nil"/>
              <w:right w:val="nil"/>
            </w:tcBorders>
            <w:shd w:val="clear" w:color="000000" w:fill="FFFFFF"/>
            <w:noWrap/>
            <w:vAlign w:val="center"/>
            <w:hideMark/>
          </w:tcPr>
          <w:p w14:paraId="46F6D3D3"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27.0</w:t>
            </w:r>
          </w:p>
        </w:tc>
        <w:tc>
          <w:tcPr>
            <w:tcW w:w="404" w:type="pct"/>
            <w:tcBorders>
              <w:top w:val="nil"/>
              <w:left w:val="nil"/>
              <w:bottom w:val="nil"/>
              <w:right w:val="nil"/>
            </w:tcBorders>
            <w:shd w:val="clear" w:color="000000" w:fill="FFFFFF"/>
            <w:noWrap/>
            <w:vAlign w:val="center"/>
            <w:hideMark/>
          </w:tcPr>
          <w:p w14:paraId="06291F58"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842.8</w:t>
            </w:r>
          </w:p>
        </w:tc>
        <w:tc>
          <w:tcPr>
            <w:tcW w:w="536" w:type="pct"/>
            <w:tcBorders>
              <w:top w:val="nil"/>
              <w:left w:val="nil"/>
              <w:bottom w:val="nil"/>
              <w:right w:val="nil"/>
            </w:tcBorders>
            <w:shd w:val="clear" w:color="000000" w:fill="FFFFFF"/>
            <w:noWrap/>
            <w:vAlign w:val="center"/>
            <w:hideMark/>
          </w:tcPr>
          <w:p w14:paraId="72A436B3"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26.8</w:t>
            </w:r>
          </w:p>
        </w:tc>
        <w:tc>
          <w:tcPr>
            <w:tcW w:w="404" w:type="pct"/>
            <w:tcBorders>
              <w:top w:val="nil"/>
              <w:left w:val="nil"/>
              <w:bottom w:val="nil"/>
              <w:right w:val="nil"/>
            </w:tcBorders>
            <w:shd w:val="clear" w:color="000000" w:fill="FFFFFF"/>
            <w:noWrap/>
            <w:vAlign w:val="center"/>
            <w:hideMark/>
          </w:tcPr>
          <w:p w14:paraId="20D37906"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889.6</w:t>
            </w:r>
          </w:p>
        </w:tc>
        <w:tc>
          <w:tcPr>
            <w:tcW w:w="536" w:type="pct"/>
            <w:tcBorders>
              <w:top w:val="nil"/>
              <w:left w:val="nil"/>
              <w:bottom w:val="nil"/>
              <w:right w:val="nil"/>
            </w:tcBorders>
            <w:shd w:val="clear" w:color="000000" w:fill="FFFFFF"/>
            <w:noWrap/>
            <w:vAlign w:val="center"/>
            <w:hideMark/>
          </w:tcPr>
          <w:p w14:paraId="6BD6A8BA" w14:textId="77777777" w:rsidR="00E81D2F" w:rsidRPr="00954D98" w:rsidRDefault="00E81D2F" w:rsidP="00E81D2F">
            <w:pPr>
              <w:spacing w:before="0" w:after="0" w:line="240" w:lineRule="auto"/>
              <w:jc w:val="right"/>
              <w:rPr>
                <w:rFonts w:ascii="Arial" w:hAnsi="Arial" w:cs="Arial"/>
                <w:i/>
                <w:iCs/>
                <w:sz w:val="16"/>
                <w:szCs w:val="16"/>
              </w:rPr>
            </w:pPr>
            <w:r w:rsidRPr="00954D98">
              <w:rPr>
                <w:rFonts w:ascii="Arial" w:hAnsi="Arial" w:cs="Arial"/>
                <w:i/>
                <w:iCs/>
                <w:sz w:val="16"/>
                <w:szCs w:val="16"/>
              </w:rPr>
              <w:t>26.8</w:t>
            </w:r>
          </w:p>
        </w:tc>
      </w:tr>
      <w:tr w:rsidR="00E81D2F" w:rsidRPr="00954D98" w14:paraId="040089AE"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07AC88E2" w14:textId="77777777" w:rsidR="00E81D2F" w:rsidRPr="00954D98" w:rsidRDefault="00E81D2F" w:rsidP="00E81D2F">
            <w:pPr>
              <w:spacing w:before="0" w:after="0" w:line="240" w:lineRule="auto"/>
              <w:ind w:firstLineChars="200" w:firstLine="320"/>
              <w:rPr>
                <w:rFonts w:ascii="Arial" w:hAnsi="Arial" w:cs="Arial"/>
                <w:i/>
                <w:iCs/>
                <w:color w:val="FFFF00"/>
                <w:sz w:val="16"/>
                <w:szCs w:val="16"/>
              </w:rPr>
            </w:pPr>
            <w:r w:rsidRPr="00954D98">
              <w:rPr>
                <w:rFonts w:ascii="Arial" w:hAnsi="Arial" w:cs="Arial"/>
                <w:i/>
                <w:iCs/>
                <w:sz w:val="16"/>
                <w:szCs w:val="16"/>
              </w:rPr>
              <w:t>Budget</w:t>
            </w:r>
          </w:p>
        </w:tc>
        <w:tc>
          <w:tcPr>
            <w:tcW w:w="404" w:type="pct"/>
            <w:tcBorders>
              <w:top w:val="nil"/>
              <w:left w:val="nil"/>
              <w:bottom w:val="nil"/>
              <w:right w:val="nil"/>
            </w:tcBorders>
            <w:shd w:val="clear" w:color="000000" w:fill="E6F2FF"/>
            <w:noWrap/>
            <w:vAlign w:val="center"/>
            <w:hideMark/>
          </w:tcPr>
          <w:p w14:paraId="010C0B31"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785.7</w:t>
            </w:r>
          </w:p>
        </w:tc>
        <w:tc>
          <w:tcPr>
            <w:tcW w:w="536" w:type="pct"/>
            <w:tcBorders>
              <w:top w:val="nil"/>
              <w:left w:val="nil"/>
              <w:bottom w:val="nil"/>
              <w:right w:val="nil"/>
            </w:tcBorders>
            <w:shd w:val="clear" w:color="000000" w:fill="E6F2FF"/>
            <w:noWrap/>
            <w:vAlign w:val="center"/>
            <w:hideMark/>
          </w:tcPr>
          <w:p w14:paraId="4615F60C"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27.3</w:t>
            </w:r>
          </w:p>
        </w:tc>
        <w:tc>
          <w:tcPr>
            <w:tcW w:w="404" w:type="pct"/>
            <w:tcBorders>
              <w:top w:val="nil"/>
              <w:left w:val="nil"/>
              <w:bottom w:val="nil"/>
              <w:right w:val="nil"/>
            </w:tcBorders>
            <w:shd w:val="clear" w:color="000000" w:fill="FFFFFF"/>
            <w:noWrap/>
            <w:vAlign w:val="center"/>
            <w:hideMark/>
          </w:tcPr>
          <w:p w14:paraId="538CFA62"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806.6</w:t>
            </w:r>
          </w:p>
        </w:tc>
        <w:tc>
          <w:tcPr>
            <w:tcW w:w="536" w:type="pct"/>
            <w:tcBorders>
              <w:top w:val="nil"/>
              <w:left w:val="nil"/>
              <w:bottom w:val="nil"/>
              <w:right w:val="nil"/>
            </w:tcBorders>
            <w:shd w:val="clear" w:color="000000" w:fill="FFFFFF"/>
            <w:noWrap/>
            <w:vAlign w:val="center"/>
            <w:hideMark/>
          </w:tcPr>
          <w:p w14:paraId="626E669A"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27.0</w:t>
            </w:r>
          </w:p>
        </w:tc>
        <w:tc>
          <w:tcPr>
            <w:tcW w:w="404" w:type="pct"/>
            <w:tcBorders>
              <w:top w:val="nil"/>
              <w:left w:val="nil"/>
              <w:bottom w:val="nil"/>
              <w:right w:val="nil"/>
            </w:tcBorders>
            <w:shd w:val="clear" w:color="000000" w:fill="FFFFFF"/>
            <w:noWrap/>
            <w:vAlign w:val="center"/>
            <w:hideMark/>
          </w:tcPr>
          <w:p w14:paraId="40631C74"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842.9</w:t>
            </w:r>
          </w:p>
        </w:tc>
        <w:tc>
          <w:tcPr>
            <w:tcW w:w="536" w:type="pct"/>
            <w:tcBorders>
              <w:top w:val="nil"/>
              <w:left w:val="nil"/>
              <w:bottom w:val="nil"/>
              <w:right w:val="nil"/>
            </w:tcBorders>
            <w:shd w:val="clear" w:color="000000" w:fill="FFFFFF"/>
            <w:noWrap/>
            <w:vAlign w:val="center"/>
            <w:hideMark/>
          </w:tcPr>
          <w:p w14:paraId="3547674E"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26.8</w:t>
            </w:r>
          </w:p>
        </w:tc>
        <w:tc>
          <w:tcPr>
            <w:tcW w:w="404" w:type="pct"/>
            <w:tcBorders>
              <w:top w:val="nil"/>
              <w:left w:val="nil"/>
              <w:bottom w:val="nil"/>
              <w:right w:val="nil"/>
            </w:tcBorders>
            <w:shd w:val="clear" w:color="000000" w:fill="FFFFFF"/>
            <w:noWrap/>
            <w:vAlign w:val="center"/>
            <w:hideMark/>
          </w:tcPr>
          <w:p w14:paraId="0F52FB06"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889.4</w:t>
            </w:r>
          </w:p>
        </w:tc>
        <w:tc>
          <w:tcPr>
            <w:tcW w:w="536" w:type="pct"/>
            <w:tcBorders>
              <w:top w:val="nil"/>
              <w:left w:val="nil"/>
              <w:bottom w:val="nil"/>
              <w:right w:val="nil"/>
            </w:tcBorders>
            <w:shd w:val="clear" w:color="000000" w:fill="FFFFFF"/>
            <w:noWrap/>
            <w:vAlign w:val="center"/>
            <w:hideMark/>
          </w:tcPr>
          <w:p w14:paraId="7D74C6EE" w14:textId="77777777" w:rsidR="00E81D2F" w:rsidRPr="00954D98" w:rsidRDefault="00E81D2F" w:rsidP="00E81D2F">
            <w:pPr>
              <w:spacing w:before="0" w:after="0" w:line="240" w:lineRule="auto"/>
              <w:jc w:val="right"/>
              <w:rPr>
                <w:rFonts w:ascii="Arial" w:hAnsi="Arial" w:cs="Arial"/>
                <w:i/>
                <w:iCs/>
                <w:sz w:val="16"/>
                <w:szCs w:val="16"/>
              </w:rPr>
            </w:pPr>
            <w:r w:rsidRPr="00954D98">
              <w:rPr>
                <w:rFonts w:ascii="Arial" w:hAnsi="Arial" w:cs="Arial"/>
                <w:i/>
                <w:iCs/>
                <w:sz w:val="16"/>
                <w:szCs w:val="16"/>
              </w:rPr>
              <w:t>26.8</w:t>
            </w:r>
          </w:p>
        </w:tc>
      </w:tr>
      <w:tr w:rsidR="00E81D2F" w:rsidRPr="00954D98" w14:paraId="3B8E49F7" w14:textId="77777777" w:rsidTr="00E81D2F">
        <w:trPr>
          <w:trHeight w:hRule="exact" w:val="60"/>
        </w:trPr>
        <w:tc>
          <w:tcPr>
            <w:tcW w:w="1240" w:type="pct"/>
            <w:tcBorders>
              <w:top w:val="nil"/>
              <w:left w:val="nil"/>
              <w:bottom w:val="nil"/>
              <w:right w:val="nil"/>
            </w:tcBorders>
            <w:shd w:val="clear" w:color="000000" w:fill="FFFFFF"/>
            <w:noWrap/>
            <w:vAlign w:val="center"/>
            <w:hideMark/>
          </w:tcPr>
          <w:p w14:paraId="23AE9D5F"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E6F2FF"/>
            <w:noWrap/>
            <w:vAlign w:val="center"/>
            <w:hideMark/>
          </w:tcPr>
          <w:p w14:paraId="7CD81216"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E6F2FF"/>
            <w:noWrap/>
            <w:vAlign w:val="center"/>
            <w:hideMark/>
          </w:tcPr>
          <w:p w14:paraId="083AC843"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522165F7"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66519456"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62B49EC0"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463B2116"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65713410"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42E7394E" w14:textId="77777777" w:rsidR="00E81D2F" w:rsidRPr="00954D98" w:rsidRDefault="00E81D2F" w:rsidP="00E81D2F">
            <w:pPr>
              <w:spacing w:before="0" w:after="0" w:line="240" w:lineRule="auto"/>
              <w:jc w:val="right"/>
              <w:rPr>
                <w:rFonts w:ascii="Arial" w:hAnsi="Arial" w:cs="Arial"/>
                <w:sz w:val="16"/>
                <w:szCs w:val="16"/>
              </w:rPr>
            </w:pPr>
            <w:r w:rsidRPr="00954D98">
              <w:rPr>
                <w:rFonts w:ascii="Arial" w:hAnsi="Arial" w:cs="Arial"/>
                <w:sz w:val="16"/>
                <w:szCs w:val="16"/>
              </w:rPr>
              <w:t> </w:t>
            </w:r>
          </w:p>
        </w:tc>
      </w:tr>
      <w:tr w:rsidR="00E81D2F" w:rsidRPr="00954D98" w14:paraId="0A8CFC2E"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5CB86065"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Net operating balance</w:t>
            </w:r>
          </w:p>
        </w:tc>
        <w:tc>
          <w:tcPr>
            <w:tcW w:w="404" w:type="pct"/>
            <w:tcBorders>
              <w:top w:val="nil"/>
              <w:left w:val="nil"/>
              <w:bottom w:val="nil"/>
              <w:right w:val="nil"/>
            </w:tcBorders>
            <w:shd w:val="clear" w:color="000000" w:fill="E6F2FF"/>
            <w:noWrap/>
            <w:vAlign w:val="center"/>
            <w:hideMark/>
          </w:tcPr>
          <w:p w14:paraId="2856F077"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6" w:type="pct"/>
            <w:tcBorders>
              <w:top w:val="nil"/>
              <w:left w:val="nil"/>
              <w:bottom w:val="nil"/>
              <w:right w:val="nil"/>
            </w:tcBorders>
            <w:shd w:val="clear" w:color="000000" w:fill="E6F2FF"/>
            <w:noWrap/>
            <w:vAlign w:val="center"/>
            <w:hideMark/>
          </w:tcPr>
          <w:p w14:paraId="2A53BCAE"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697A2292"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6" w:type="pct"/>
            <w:tcBorders>
              <w:top w:val="nil"/>
              <w:left w:val="nil"/>
              <w:bottom w:val="nil"/>
              <w:right w:val="nil"/>
            </w:tcBorders>
            <w:shd w:val="clear" w:color="000000" w:fill="FFFFFF"/>
            <w:noWrap/>
            <w:vAlign w:val="center"/>
            <w:hideMark/>
          </w:tcPr>
          <w:p w14:paraId="0D8D2032"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7A18D9E1"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6" w:type="pct"/>
            <w:tcBorders>
              <w:top w:val="nil"/>
              <w:left w:val="nil"/>
              <w:bottom w:val="nil"/>
              <w:right w:val="nil"/>
            </w:tcBorders>
            <w:shd w:val="clear" w:color="000000" w:fill="FFFFFF"/>
            <w:noWrap/>
            <w:vAlign w:val="center"/>
            <w:hideMark/>
          </w:tcPr>
          <w:p w14:paraId="266B8407"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05B4BA9E"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6" w:type="pct"/>
            <w:tcBorders>
              <w:top w:val="nil"/>
              <w:left w:val="nil"/>
              <w:bottom w:val="nil"/>
              <w:right w:val="nil"/>
            </w:tcBorders>
            <w:shd w:val="clear" w:color="000000" w:fill="FFFFFF"/>
            <w:noWrap/>
            <w:vAlign w:val="center"/>
            <w:hideMark/>
          </w:tcPr>
          <w:p w14:paraId="0167EA1D" w14:textId="77777777" w:rsidR="00E81D2F" w:rsidRPr="00954D98" w:rsidRDefault="00E81D2F" w:rsidP="00E81D2F">
            <w:pPr>
              <w:spacing w:before="0" w:after="0" w:line="240" w:lineRule="auto"/>
              <w:jc w:val="right"/>
              <w:rPr>
                <w:rFonts w:ascii="Arial" w:hAnsi="Arial" w:cs="Arial"/>
                <w:sz w:val="16"/>
                <w:szCs w:val="16"/>
              </w:rPr>
            </w:pPr>
            <w:r w:rsidRPr="00954D98">
              <w:rPr>
                <w:rFonts w:ascii="Arial" w:hAnsi="Arial" w:cs="Arial"/>
                <w:sz w:val="16"/>
                <w:szCs w:val="16"/>
              </w:rPr>
              <w:t> </w:t>
            </w:r>
          </w:p>
        </w:tc>
      </w:tr>
      <w:tr w:rsidR="00E81D2F" w:rsidRPr="00954D98" w14:paraId="1B11C409"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5DB3398A" w14:textId="77777777" w:rsidR="00E81D2F" w:rsidRPr="00954D98" w:rsidRDefault="00E81D2F" w:rsidP="00E81D2F">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MYEFO</w:t>
            </w:r>
          </w:p>
        </w:tc>
        <w:tc>
          <w:tcPr>
            <w:tcW w:w="404" w:type="pct"/>
            <w:tcBorders>
              <w:top w:val="nil"/>
              <w:left w:val="nil"/>
              <w:bottom w:val="nil"/>
              <w:right w:val="nil"/>
            </w:tcBorders>
            <w:shd w:val="clear" w:color="000000" w:fill="E6F2FF"/>
            <w:noWrap/>
            <w:vAlign w:val="center"/>
            <w:hideMark/>
          </w:tcPr>
          <w:p w14:paraId="3FB35DC1"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-43.6</w:t>
            </w:r>
          </w:p>
        </w:tc>
        <w:tc>
          <w:tcPr>
            <w:tcW w:w="536" w:type="pct"/>
            <w:tcBorders>
              <w:top w:val="nil"/>
              <w:left w:val="nil"/>
              <w:bottom w:val="nil"/>
              <w:right w:val="nil"/>
            </w:tcBorders>
            <w:shd w:val="clear" w:color="000000" w:fill="E6F2FF"/>
            <w:noWrap/>
            <w:vAlign w:val="center"/>
            <w:hideMark/>
          </w:tcPr>
          <w:p w14:paraId="5F208596"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-1.5</w:t>
            </w:r>
          </w:p>
        </w:tc>
        <w:tc>
          <w:tcPr>
            <w:tcW w:w="404" w:type="pct"/>
            <w:tcBorders>
              <w:top w:val="nil"/>
              <w:left w:val="nil"/>
              <w:bottom w:val="nil"/>
              <w:right w:val="nil"/>
            </w:tcBorders>
            <w:shd w:val="clear" w:color="000000" w:fill="FFFFFF"/>
            <w:noWrap/>
            <w:vAlign w:val="center"/>
            <w:hideMark/>
          </w:tcPr>
          <w:p w14:paraId="7DB1A87A"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-25.4</w:t>
            </w:r>
          </w:p>
        </w:tc>
        <w:tc>
          <w:tcPr>
            <w:tcW w:w="536" w:type="pct"/>
            <w:tcBorders>
              <w:top w:val="nil"/>
              <w:left w:val="nil"/>
              <w:bottom w:val="nil"/>
              <w:right w:val="nil"/>
            </w:tcBorders>
            <w:shd w:val="clear" w:color="000000" w:fill="FFFFFF"/>
            <w:noWrap/>
            <w:vAlign w:val="center"/>
            <w:hideMark/>
          </w:tcPr>
          <w:p w14:paraId="23993A1F"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-0.8</w:t>
            </w:r>
          </w:p>
        </w:tc>
        <w:tc>
          <w:tcPr>
            <w:tcW w:w="404" w:type="pct"/>
            <w:tcBorders>
              <w:top w:val="nil"/>
              <w:left w:val="nil"/>
              <w:bottom w:val="nil"/>
              <w:right w:val="nil"/>
            </w:tcBorders>
            <w:shd w:val="clear" w:color="000000" w:fill="FFFFFF"/>
            <w:noWrap/>
            <w:vAlign w:val="center"/>
            <w:hideMark/>
          </w:tcPr>
          <w:p w14:paraId="48577D05"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-33.2</w:t>
            </w:r>
          </w:p>
        </w:tc>
        <w:tc>
          <w:tcPr>
            <w:tcW w:w="536" w:type="pct"/>
            <w:tcBorders>
              <w:top w:val="nil"/>
              <w:left w:val="nil"/>
              <w:bottom w:val="nil"/>
              <w:right w:val="nil"/>
            </w:tcBorders>
            <w:shd w:val="clear" w:color="000000" w:fill="FFFFFF"/>
            <w:noWrap/>
            <w:vAlign w:val="center"/>
            <w:hideMark/>
          </w:tcPr>
          <w:p w14:paraId="5F6406C6"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-1.1</w:t>
            </w:r>
          </w:p>
        </w:tc>
        <w:tc>
          <w:tcPr>
            <w:tcW w:w="404" w:type="pct"/>
            <w:tcBorders>
              <w:top w:val="nil"/>
              <w:left w:val="nil"/>
              <w:bottom w:val="nil"/>
              <w:right w:val="nil"/>
            </w:tcBorders>
            <w:shd w:val="clear" w:color="000000" w:fill="FFFFFF"/>
            <w:noWrap/>
            <w:vAlign w:val="center"/>
            <w:hideMark/>
          </w:tcPr>
          <w:p w14:paraId="1B64D198"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-33.4</w:t>
            </w:r>
          </w:p>
        </w:tc>
        <w:tc>
          <w:tcPr>
            <w:tcW w:w="536" w:type="pct"/>
            <w:tcBorders>
              <w:top w:val="nil"/>
              <w:left w:val="nil"/>
              <w:bottom w:val="nil"/>
              <w:right w:val="nil"/>
            </w:tcBorders>
            <w:shd w:val="clear" w:color="000000" w:fill="FFFFFF"/>
            <w:noWrap/>
            <w:vAlign w:val="center"/>
            <w:hideMark/>
          </w:tcPr>
          <w:p w14:paraId="05C96AC5" w14:textId="77777777" w:rsidR="00E81D2F" w:rsidRPr="00954D98" w:rsidRDefault="00E81D2F" w:rsidP="00E81D2F">
            <w:pPr>
              <w:spacing w:before="0" w:after="0" w:line="240" w:lineRule="auto"/>
              <w:jc w:val="right"/>
              <w:rPr>
                <w:rFonts w:ascii="Arial" w:hAnsi="Arial" w:cs="Arial"/>
                <w:sz w:val="16"/>
                <w:szCs w:val="16"/>
              </w:rPr>
            </w:pPr>
            <w:r w:rsidRPr="00954D98">
              <w:rPr>
                <w:rFonts w:ascii="Arial" w:hAnsi="Arial" w:cs="Arial"/>
                <w:sz w:val="16"/>
                <w:szCs w:val="16"/>
              </w:rPr>
              <w:t>-1.0</w:t>
            </w:r>
          </w:p>
        </w:tc>
      </w:tr>
      <w:tr w:rsidR="00E81D2F" w:rsidRPr="00954D98" w14:paraId="5F746EFD"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139A5727" w14:textId="77777777" w:rsidR="00E81D2F" w:rsidRPr="00954D98" w:rsidRDefault="00E81D2F" w:rsidP="00E81D2F">
            <w:pPr>
              <w:spacing w:before="0" w:after="0" w:line="240" w:lineRule="auto"/>
              <w:ind w:firstLineChars="200" w:firstLine="320"/>
              <w:rPr>
                <w:rFonts w:ascii="Arial" w:hAnsi="Arial" w:cs="Arial"/>
                <w:i/>
                <w:iCs/>
                <w:color w:val="FFFF00"/>
                <w:sz w:val="16"/>
                <w:szCs w:val="16"/>
              </w:rPr>
            </w:pPr>
            <w:r w:rsidRPr="00954D98">
              <w:rPr>
                <w:rFonts w:ascii="Arial" w:hAnsi="Arial" w:cs="Arial"/>
                <w:i/>
                <w:iCs/>
                <w:sz w:val="16"/>
                <w:szCs w:val="16"/>
              </w:rPr>
              <w:t>PEFO</w:t>
            </w:r>
          </w:p>
        </w:tc>
        <w:tc>
          <w:tcPr>
            <w:tcW w:w="404" w:type="pct"/>
            <w:tcBorders>
              <w:top w:val="nil"/>
              <w:left w:val="nil"/>
              <w:bottom w:val="nil"/>
              <w:right w:val="nil"/>
            </w:tcBorders>
            <w:shd w:val="clear" w:color="000000" w:fill="E6F2FF"/>
            <w:noWrap/>
            <w:vAlign w:val="center"/>
            <w:hideMark/>
          </w:tcPr>
          <w:p w14:paraId="230E2A64"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-35.4</w:t>
            </w:r>
          </w:p>
        </w:tc>
        <w:tc>
          <w:tcPr>
            <w:tcW w:w="536" w:type="pct"/>
            <w:tcBorders>
              <w:top w:val="nil"/>
              <w:left w:val="nil"/>
              <w:bottom w:val="nil"/>
              <w:right w:val="nil"/>
            </w:tcBorders>
            <w:shd w:val="clear" w:color="000000" w:fill="E6F2FF"/>
            <w:noWrap/>
            <w:vAlign w:val="center"/>
            <w:hideMark/>
          </w:tcPr>
          <w:p w14:paraId="717D1325"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-1.2</w:t>
            </w:r>
          </w:p>
        </w:tc>
        <w:tc>
          <w:tcPr>
            <w:tcW w:w="404" w:type="pct"/>
            <w:tcBorders>
              <w:top w:val="nil"/>
              <w:left w:val="nil"/>
              <w:bottom w:val="nil"/>
              <w:right w:val="nil"/>
            </w:tcBorders>
            <w:shd w:val="clear" w:color="000000" w:fill="FFFFFF"/>
            <w:noWrap/>
            <w:vAlign w:val="center"/>
            <w:hideMark/>
          </w:tcPr>
          <w:p w14:paraId="665463F5"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-23.0</w:t>
            </w:r>
          </w:p>
        </w:tc>
        <w:tc>
          <w:tcPr>
            <w:tcW w:w="536" w:type="pct"/>
            <w:tcBorders>
              <w:top w:val="nil"/>
              <w:left w:val="nil"/>
              <w:bottom w:val="nil"/>
              <w:right w:val="nil"/>
            </w:tcBorders>
            <w:shd w:val="clear" w:color="000000" w:fill="FFFFFF"/>
            <w:noWrap/>
            <w:vAlign w:val="center"/>
            <w:hideMark/>
          </w:tcPr>
          <w:p w14:paraId="4E8B8F09"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-0.8</w:t>
            </w:r>
          </w:p>
        </w:tc>
        <w:tc>
          <w:tcPr>
            <w:tcW w:w="404" w:type="pct"/>
            <w:tcBorders>
              <w:top w:val="nil"/>
              <w:left w:val="nil"/>
              <w:bottom w:val="nil"/>
              <w:right w:val="nil"/>
            </w:tcBorders>
            <w:shd w:val="clear" w:color="000000" w:fill="FFFFFF"/>
            <w:noWrap/>
            <w:vAlign w:val="center"/>
            <w:hideMark/>
          </w:tcPr>
          <w:p w14:paraId="5AFB2EB9"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-27.4</w:t>
            </w:r>
          </w:p>
        </w:tc>
        <w:tc>
          <w:tcPr>
            <w:tcW w:w="536" w:type="pct"/>
            <w:tcBorders>
              <w:top w:val="nil"/>
              <w:left w:val="nil"/>
              <w:bottom w:val="nil"/>
              <w:right w:val="nil"/>
            </w:tcBorders>
            <w:shd w:val="clear" w:color="000000" w:fill="FFFFFF"/>
            <w:noWrap/>
            <w:vAlign w:val="center"/>
            <w:hideMark/>
          </w:tcPr>
          <w:p w14:paraId="713C62F8"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-0.9</w:t>
            </w:r>
          </w:p>
        </w:tc>
        <w:tc>
          <w:tcPr>
            <w:tcW w:w="404" w:type="pct"/>
            <w:tcBorders>
              <w:top w:val="nil"/>
              <w:left w:val="nil"/>
              <w:bottom w:val="nil"/>
              <w:right w:val="nil"/>
            </w:tcBorders>
            <w:shd w:val="clear" w:color="000000" w:fill="FFFFFF"/>
            <w:noWrap/>
            <w:vAlign w:val="center"/>
            <w:hideMark/>
          </w:tcPr>
          <w:p w14:paraId="34ADB649"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-27.1</w:t>
            </w:r>
          </w:p>
        </w:tc>
        <w:tc>
          <w:tcPr>
            <w:tcW w:w="536" w:type="pct"/>
            <w:tcBorders>
              <w:top w:val="nil"/>
              <w:left w:val="nil"/>
              <w:bottom w:val="nil"/>
              <w:right w:val="nil"/>
            </w:tcBorders>
            <w:shd w:val="clear" w:color="000000" w:fill="FFFFFF"/>
            <w:noWrap/>
            <w:vAlign w:val="center"/>
            <w:hideMark/>
          </w:tcPr>
          <w:p w14:paraId="0736E178" w14:textId="77777777" w:rsidR="00E81D2F" w:rsidRPr="00954D98" w:rsidRDefault="00E81D2F" w:rsidP="00E81D2F">
            <w:pPr>
              <w:spacing w:before="0" w:after="0" w:line="240" w:lineRule="auto"/>
              <w:jc w:val="right"/>
              <w:rPr>
                <w:rFonts w:ascii="Arial" w:hAnsi="Arial" w:cs="Arial"/>
                <w:i/>
                <w:iCs/>
                <w:sz w:val="16"/>
                <w:szCs w:val="16"/>
              </w:rPr>
            </w:pPr>
            <w:r w:rsidRPr="00954D98">
              <w:rPr>
                <w:rFonts w:ascii="Arial" w:hAnsi="Arial" w:cs="Arial"/>
                <w:i/>
                <w:iCs/>
                <w:sz w:val="16"/>
                <w:szCs w:val="16"/>
              </w:rPr>
              <w:t>-0.8</w:t>
            </w:r>
          </w:p>
        </w:tc>
      </w:tr>
      <w:tr w:rsidR="00E81D2F" w:rsidRPr="00954D98" w14:paraId="07810334"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10D2DB2C" w14:textId="77777777" w:rsidR="00E81D2F" w:rsidRPr="00954D98" w:rsidRDefault="00E81D2F" w:rsidP="00E81D2F">
            <w:pPr>
              <w:spacing w:before="0" w:after="0" w:line="240" w:lineRule="auto"/>
              <w:ind w:firstLineChars="200" w:firstLine="320"/>
              <w:rPr>
                <w:rFonts w:ascii="Arial" w:hAnsi="Arial" w:cs="Arial"/>
                <w:i/>
                <w:iCs/>
                <w:color w:val="FFFF00"/>
                <w:sz w:val="16"/>
                <w:szCs w:val="16"/>
              </w:rPr>
            </w:pPr>
            <w:r w:rsidRPr="00954D98">
              <w:rPr>
                <w:rFonts w:ascii="Arial" w:hAnsi="Arial" w:cs="Arial"/>
                <w:i/>
                <w:iCs/>
                <w:sz w:val="16"/>
                <w:szCs w:val="16"/>
              </w:rPr>
              <w:t>Budget</w:t>
            </w:r>
          </w:p>
        </w:tc>
        <w:tc>
          <w:tcPr>
            <w:tcW w:w="404" w:type="pct"/>
            <w:tcBorders>
              <w:top w:val="nil"/>
              <w:left w:val="nil"/>
              <w:bottom w:val="nil"/>
              <w:right w:val="nil"/>
            </w:tcBorders>
            <w:shd w:val="clear" w:color="000000" w:fill="E6F2FF"/>
            <w:noWrap/>
            <w:vAlign w:val="center"/>
            <w:hideMark/>
          </w:tcPr>
          <w:p w14:paraId="042ED2BF"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-35.4</w:t>
            </w:r>
          </w:p>
        </w:tc>
        <w:tc>
          <w:tcPr>
            <w:tcW w:w="536" w:type="pct"/>
            <w:tcBorders>
              <w:top w:val="nil"/>
              <w:left w:val="nil"/>
              <w:bottom w:val="nil"/>
              <w:right w:val="nil"/>
            </w:tcBorders>
            <w:shd w:val="clear" w:color="000000" w:fill="E6F2FF"/>
            <w:noWrap/>
            <w:vAlign w:val="center"/>
            <w:hideMark/>
          </w:tcPr>
          <w:p w14:paraId="13579FDD"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-1.2</w:t>
            </w:r>
          </w:p>
        </w:tc>
        <w:tc>
          <w:tcPr>
            <w:tcW w:w="404" w:type="pct"/>
            <w:tcBorders>
              <w:top w:val="nil"/>
              <w:left w:val="nil"/>
              <w:bottom w:val="nil"/>
              <w:right w:val="nil"/>
            </w:tcBorders>
            <w:shd w:val="clear" w:color="000000" w:fill="FFFFFF"/>
            <w:noWrap/>
            <w:vAlign w:val="center"/>
            <w:hideMark/>
          </w:tcPr>
          <w:p w14:paraId="239C96C9"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-23.0</w:t>
            </w:r>
          </w:p>
        </w:tc>
        <w:tc>
          <w:tcPr>
            <w:tcW w:w="536" w:type="pct"/>
            <w:tcBorders>
              <w:top w:val="nil"/>
              <w:left w:val="nil"/>
              <w:bottom w:val="nil"/>
              <w:right w:val="nil"/>
            </w:tcBorders>
            <w:shd w:val="clear" w:color="000000" w:fill="FFFFFF"/>
            <w:noWrap/>
            <w:vAlign w:val="center"/>
            <w:hideMark/>
          </w:tcPr>
          <w:p w14:paraId="49516B05"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-0.8</w:t>
            </w:r>
          </w:p>
        </w:tc>
        <w:tc>
          <w:tcPr>
            <w:tcW w:w="404" w:type="pct"/>
            <w:tcBorders>
              <w:top w:val="nil"/>
              <w:left w:val="nil"/>
              <w:bottom w:val="nil"/>
              <w:right w:val="nil"/>
            </w:tcBorders>
            <w:shd w:val="clear" w:color="000000" w:fill="FFFFFF"/>
            <w:noWrap/>
            <w:vAlign w:val="center"/>
            <w:hideMark/>
          </w:tcPr>
          <w:p w14:paraId="53837C07"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-27.5</w:t>
            </w:r>
          </w:p>
        </w:tc>
        <w:tc>
          <w:tcPr>
            <w:tcW w:w="536" w:type="pct"/>
            <w:tcBorders>
              <w:top w:val="nil"/>
              <w:left w:val="nil"/>
              <w:bottom w:val="nil"/>
              <w:right w:val="nil"/>
            </w:tcBorders>
            <w:shd w:val="clear" w:color="000000" w:fill="FFFFFF"/>
            <w:noWrap/>
            <w:vAlign w:val="center"/>
            <w:hideMark/>
          </w:tcPr>
          <w:p w14:paraId="7639F0E1"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-0.9</w:t>
            </w:r>
          </w:p>
        </w:tc>
        <w:tc>
          <w:tcPr>
            <w:tcW w:w="404" w:type="pct"/>
            <w:tcBorders>
              <w:top w:val="nil"/>
              <w:left w:val="nil"/>
              <w:bottom w:val="nil"/>
              <w:right w:val="nil"/>
            </w:tcBorders>
            <w:shd w:val="clear" w:color="000000" w:fill="FFFFFF"/>
            <w:noWrap/>
            <w:vAlign w:val="center"/>
            <w:hideMark/>
          </w:tcPr>
          <w:p w14:paraId="27DAEDDD"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-26.9</w:t>
            </w:r>
          </w:p>
        </w:tc>
        <w:tc>
          <w:tcPr>
            <w:tcW w:w="536" w:type="pct"/>
            <w:tcBorders>
              <w:top w:val="nil"/>
              <w:left w:val="nil"/>
              <w:bottom w:val="nil"/>
              <w:right w:val="nil"/>
            </w:tcBorders>
            <w:shd w:val="clear" w:color="000000" w:fill="FFFFFF"/>
            <w:noWrap/>
            <w:vAlign w:val="center"/>
            <w:hideMark/>
          </w:tcPr>
          <w:p w14:paraId="14E3F029" w14:textId="77777777" w:rsidR="00E81D2F" w:rsidRPr="00954D98" w:rsidRDefault="00E81D2F" w:rsidP="00E81D2F">
            <w:pPr>
              <w:spacing w:before="0" w:after="0" w:line="240" w:lineRule="auto"/>
              <w:jc w:val="right"/>
              <w:rPr>
                <w:rFonts w:ascii="Arial" w:hAnsi="Arial" w:cs="Arial"/>
                <w:i/>
                <w:iCs/>
                <w:sz w:val="16"/>
                <w:szCs w:val="16"/>
              </w:rPr>
            </w:pPr>
            <w:r w:rsidRPr="00954D98">
              <w:rPr>
                <w:rFonts w:ascii="Arial" w:hAnsi="Arial" w:cs="Arial"/>
                <w:i/>
                <w:iCs/>
                <w:sz w:val="16"/>
                <w:szCs w:val="16"/>
              </w:rPr>
              <w:t>-0.8</w:t>
            </w:r>
          </w:p>
        </w:tc>
      </w:tr>
      <w:tr w:rsidR="00E81D2F" w:rsidRPr="00954D98" w14:paraId="3C18A91F" w14:textId="77777777" w:rsidTr="00E81D2F">
        <w:trPr>
          <w:trHeight w:hRule="exact" w:val="60"/>
        </w:trPr>
        <w:tc>
          <w:tcPr>
            <w:tcW w:w="1240" w:type="pct"/>
            <w:tcBorders>
              <w:top w:val="nil"/>
              <w:left w:val="nil"/>
              <w:bottom w:val="nil"/>
              <w:right w:val="nil"/>
            </w:tcBorders>
            <w:shd w:val="clear" w:color="000000" w:fill="FFFFFF"/>
            <w:noWrap/>
            <w:vAlign w:val="center"/>
            <w:hideMark/>
          </w:tcPr>
          <w:p w14:paraId="7B649F1B"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E6F2FF"/>
            <w:noWrap/>
            <w:vAlign w:val="center"/>
            <w:hideMark/>
          </w:tcPr>
          <w:p w14:paraId="5E38B802"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E6F2FF"/>
            <w:noWrap/>
            <w:vAlign w:val="center"/>
            <w:hideMark/>
          </w:tcPr>
          <w:p w14:paraId="40F7FF77"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051050CD"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5DF87068"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1EFD3EDE"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74619280"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5E3E401E"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152EB669" w14:textId="77777777" w:rsidR="00E81D2F" w:rsidRPr="00954D98" w:rsidRDefault="00E81D2F" w:rsidP="00E81D2F">
            <w:pPr>
              <w:spacing w:before="0" w:after="0" w:line="240" w:lineRule="auto"/>
              <w:jc w:val="right"/>
              <w:rPr>
                <w:rFonts w:ascii="Arial" w:hAnsi="Arial" w:cs="Arial"/>
                <w:sz w:val="16"/>
                <w:szCs w:val="16"/>
              </w:rPr>
            </w:pPr>
            <w:r w:rsidRPr="00954D98">
              <w:rPr>
                <w:rFonts w:ascii="Arial" w:hAnsi="Arial" w:cs="Arial"/>
                <w:sz w:val="16"/>
                <w:szCs w:val="16"/>
              </w:rPr>
              <w:t> </w:t>
            </w:r>
          </w:p>
        </w:tc>
      </w:tr>
      <w:tr w:rsidR="00E81D2F" w:rsidRPr="00954D98" w14:paraId="39B698B3"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191CCEF9"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Net capital investment</w:t>
            </w:r>
          </w:p>
        </w:tc>
        <w:tc>
          <w:tcPr>
            <w:tcW w:w="404" w:type="pct"/>
            <w:tcBorders>
              <w:top w:val="nil"/>
              <w:left w:val="nil"/>
              <w:bottom w:val="nil"/>
              <w:right w:val="nil"/>
            </w:tcBorders>
            <w:shd w:val="clear" w:color="000000" w:fill="E6F2FF"/>
            <w:noWrap/>
            <w:vAlign w:val="center"/>
            <w:hideMark/>
          </w:tcPr>
          <w:p w14:paraId="013CEF97"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E6F2FF"/>
            <w:noWrap/>
            <w:vAlign w:val="center"/>
            <w:hideMark/>
          </w:tcPr>
          <w:p w14:paraId="19C03220"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7D4FA6ED"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73C3CB5E"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395DC1B8"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5CDD9153"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3B1D030E"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630B0B1F" w14:textId="77777777" w:rsidR="00E81D2F" w:rsidRPr="00954D98" w:rsidRDefault="00E81D2F" w:rsidP="00E81D2F">
            <w:pPr>
              <w:spacing w:before="0" w:after="0" w:line="240" w:lineRule="auto"/>
              <w:jc w:val="right"/>
              <w:rPr>
                <w:rFonts w:ascii="Arial" w:hAnsi="Arial" w:cs="Arial"/>
                <w:sz w:val="16"/>
                <w:szCs w:val="16"/>
              </w:rPr>
            </w:pPr>
            <w:r w:rsidRPr="00954D98">
              <w:rPr>
                <w:rFonts w:ascii="Arial" w:hAnsi="Arial" w:cs="Arial"/>
                <w:sz w:val="16"/>
                <w:szCs w:val="16"/>
              </w:rPr>
              <w:t> </w:t>
            </w:r>
          </w:p>
        </w:tc>
      </w:tr>
      <w:tr w:rsidR="00E81D2F" w:rsidRPr="00954D98" w14:paraId="021A88BA"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2D0CEF35" w14:textId="77777777" w:rsidR="00E81D2F" w:rsidRPr="00954D98" w:rsidRDefault="00E81D2F" w:rsidP="00E81D2F">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MYEFO</w:t>
            </w:r>
          </w:p>
        </w:tc>
        <w:tc>
          <w:tcPr>
            <w:tcW w:w="404" w:type="pct"/>
            <w:tcBorders>
              <w:top w:val="nil"/>
              <w:left w:val="nil"/>
              <w:bottom w:val="nil"/>
              <w:right w:val="nil"/>
            </w:tcBorders>
            <w:shd w:val="clear" w:color="000000" w:fill="E6F2FF"/>
            <w:noWrap/>
            <w:vAlign w:val="center"/>
            <w:hideMark/>
          </w:tcPr>
          <w:p w14:paraId="64419879"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11.2</w:t>
            </w:r>
          </w:p>
        </w:tc>
        <w:tc>
          <w:tcPr>
            <w:tcW w:w="536" w:type="pct"/>
            <w:tcBorders>
              <w:top w:val="nil"/>
              <w:left w:val="nil"/>
              <w:bottom w:val="nil"/>
              <w:right w:val="nil"/>
            </w:tcBorders>
            <w:shd w:val="clear" w:color="000000" w:fill="E6F2FF"/>
            <w:noWrap/>
            <w:vAlign w:val="center"/>
            <w:hideMark/>
          </w:tcPr>
          <w:p w14:paraId="43833A17"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0.4</w:t>
            </w:r>
          </w:p>
        </w:tc>
        <w:tc>
          <w:tcPr>
            <w:tcW w:w="404" w:type="pct"/>
            <w:tcBorders>
              <w:top w:val="nil"/>
              <w:left w:val="nil"/>
              <w:bottom w:val="nil"/>
              <w:right w:val="nil"/>
            </w:tcBorders>
            <w:shd w:val="clear" w:color="000000" w:fill="FFFFFF"/>
            <w:noWrap/>
            <w:vAlign w:val="center"/>
            <w:hideMark/>
          </w:tcPr>
          <w:p w14:paraId="1C585FEC"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10.4</w:t>
            </w:r>
          </w:p>
        </w:tc>
        <w:tc>
          <w:tcPr>
            <w:tcW w:w="536" w:type="pct"/>
            <w:tcBorders>
              <w:top w:val="nil"/>
              <w:left w:val="nil"/>
              <w:bottom w:val="nil"/>
              <w:right w:val="nil"/>
            </w:tcBorders>
            <w:shd w:val="clear" w:color="000000" w:fill="FFFFFF"/>
            <w:noWrap/>
            <w:vAlign w:val="center"/>
            <w:hideMark/>
          </w:tcPr>
          <w:p w14:paraId="056492DE"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0.3</w:t>
            </w:r>
          </w:p>
        </w:tc>
        <w:tc>
          <w:tcPr>
            <w:tcW w:w="404" w:type="pct"/>
            <w:tcBorders>
              <w:top w:val="nil"/>
              <w:left w:val="nil"/>
              <w:bottom w:val="nil"/>
              <w:right w:val="nil"/>
            </w:tcBorders>
            <w:shd w:val="clear" w:color="000000" w:fill="FFFFFF"/>
            <w:noWrap/>
            <w:vAlign w:val="center"/>
            <w:hideMark/>
          </w:tcPr>
          <w:p w14:paraId="7E62EF9D"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10.0</w:t>
            </w:r>
          </w:p>
        </w:tc>
        <w:tc>
          <w:tcPr>
            <w:tcW w:w="536" w:type="pct"/>
            <w:tcBorders>
              <w:top w:val="nil"/>
              <w:left w:val="nil"/>
              <w:bottom w:val="nil"/>
              <w:right w:val="nil"/>
            </w:tcBorders>
            <w:shd w:val="clear" w:color="000000" w:fill="FFFFFF"/>
            <w:noWrap/>
            <w:vAlign w:val="center"/>
            <w:hideMark/>
          </w:tcPr>
          <w:p w14:paraId="348F573E"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0.3</w:t>
            </w:r>
          </w:p>
        </w:tc>
        <w:tc>
          <w:tcPr>
            <w:tcW w:w="404" w:type="pct"/>
            <w:tcBorders>
              <w:top w:val="nil"/>
              <w:left w:val="nil"/>
              <w:bottom w:val="nil"/>
              <w:right w:val="nil"/>
            </w:tcBorders>
            <w:shd w:val="clear" w:color="000000" w:fill="FFFFFF"/>
            <w:noWrap/>
            <w:vAlign w:val="center"/>
            <w:hideMark/>
          </w:tcPr>
          <w:p w14:paraId="7A12AD14"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10.4</w:t>
            </w:r>
          </w:p>
        </w:tc>
        <w:tc>
          <w:tcPr>
            <w:tcW w:w="536" w:type="pct"/>
            <w:tcBorders>
              <w:top w:val="nil"/>
              <w:left w:val="nil"/>
              <w:bottom w:val="nil"/>
              <w:right w:val="nil"/>
            </w:tcBorders>
            <w:shd w:val="clear" w:color="000000" w:fill="FFFFFF"/>
            <w:noWrap/>
            <w:vAlign w:val="center"/>
            <w:hideMark/>
          </w:tcPr>
          <w:p w14:paraId="3986C403" w14:textId="77777777" w:rsidR="00E81D2F" w:rsidRPr="00954D98" w:rsidRDefault="00E81D2F" w:rsidP="00E81D2F">
            <w:pPr>
              <w:spacing w:before="0" w:after="0" w:line="240" w:lineRule="auto"/>
              <w:jc w:val="right"/>
              <w:rPr>
                <w:rFonts w:ascii="Arial" w:hAnsi="Arial" w:cs="Arial"/>
                <w:sz w:val="16"/>
                <w:szCs w:val="16"/>
              </w:rPr>
            </w:pPr>
            <w:r w:rsidRPr="00954D98">
              <w:rPr>
                <w:rFonts w:ascii="Arial" w:hAnsi="Arial" w:cs="Arial"/>
                <w:sz w:val="16"/>
                <w:szCs w:val="16"/>
              </w:rPr>
              <w:t>0.3</w:t>
            </w:r>
          </w:p>
        </w:tc>
      </w:tr>
      <w:tr w:rsidR="00E81D2F" w:rsidRPr="00954D98" w14:paraId="054F16C9"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4EFBEEAF" w14:textId="77777777" w:rsidR="00E81D2F" w:rsidRPr="00954D98" w:rsidRDefault="00E81D2F" w:rsidP="00E81D2F">
            <w:pPr>
              <w:spacing w:before="0" w:after="0" w:line="240" w:lineRule="auto"/>
              <w:ind w:firstLineChars="200" w:firstLine="320"/>
              <w:rPr>
                <w:rFonts w:ascii="Arial" w:hAnsi="Arial" w:cs="Arial"/>
                <w:i/>
                <w:iCs/>
                <w:color w:val="FFFF00"/>
                <w:sz w:val="16"/>
                <w:szCs w:val="16"/>
              </w:rPr>
            </w:pPr>
            <w:r w:rsidRPr="00954D98">
              <w:rPr>
                <w:rFonts w:ascii="Arial" w:hAnsi="Arial" w:cs="Arial"/>
                <w:i/>
                <w:iCs/>
                <w:sz w:val="16"/>
                <w:szCs w:val="16"/>
              </w:rPr>
              <w:t>PEFO</w:t>
            </w:r>
          </w:p>
        </w:tc>
        <w:tc>
          <w:tcPr>
            <w:tcW w:w="404" w:type="pct"/>
            <w:tcBorders>
              <w:top w:val="nil"/>
              <w:left w:val="nil"/>
              <w:bottom w:val="nil"/>
              <w:right w:val="nil"/>
            </w:tcBorders>
            <w:shd w:val="clear" w:color="000000" w:fill="E6F2FF"/>
            <w:noWrap/>
            <w:vAlign w:val="center"/>
            <w:hideMark/>
          </w:tcPr>
          <w:p w14:paraId="32008260"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8.8</w:t>
            </w:r>
          </w:p>
        </w:tc>
        <w:tc>
          <w:tcPr>
            <w:tcW w:w="536" w:type="pct"/>
            <w:tcBorders>
              <w:top w:val="nil"/>
              <w:left w:val="nil"/>
              <w:bottom w:val="nil"/>
              <w:right w:val="nil"/>
            </w:tcBorders>
            <w:shd w:val="clear" w:color="000000" w:fill="E6F2FF"/>
            <w:noWrap/>
            <w:vAlign w:val="center"/>
            <w:hideMark/>
          </w:tcPr>
          <w:p w14:paraId="58965C57"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0.3</w:t>
            </w:r>
          </w:p>
        </w:tc>
        <w:tc>
          <w:tcPr>
            <w:tcW w:w="404" w:type="pct"/>
            <w:tcBorders>
              <w:top w:val="nil"/>
              <w:left w:val="nil"/>
              <w:bottom w:val="nil"/>
              <w:right w:val="nil"/>
            </w:tcBorders>
            <w:shd w:val="clear" w:color="000000" w:fill="FFFFFF"/>
            <w:noWrap/>
            <w:vAlign w:val="center"/>
            <w:hideMark/>
          </w:tcPr>
          <w:p w14:paraId="1B6149AD"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9.1</w:t>
            </w:r>
          </w:p>
        </w:tc>
        <w:tc>
          <w:tcPr>
            <w:tcW w:w="536" w:type="pct"/>
            <w:tcBorders>
              <w:top w:val="nil"/>
              <w:left w:val="nil"/>
              <w:bottom w:val="nil"/>
              <w:right w:val="nil"/>
            </w:tcBorders>
            <w:shd w:val="clear" w:color="000000" w:fill="FFFFFF"/>
            <w:noWrap/>
            <w:vAlign w:val="center"/>
            <w:hideMark/>
          </w:tcPr>
          <w:p w14:paraId="7E54440A"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0.3</w:t>
            </w:r>
          </w:p>
        </w:tc>
        <w:tc>
          <w:tcPr>
            <w:tcW w:w="404" w:type="pct"/>
            <w:tcBorders>
              <w:top w:val="nil"/>
              <w:left w:val="nil"/>
              <w:bottom w:val="nil"/>
              <w:right w:val="nil"/>
            </w:tcBorders>
            <w:shd w:val="clear" w:color="000000" w:fill="FFFFFF"/>
            <w:noWrap/>
            <w:vAlign w:val="center"/>
            <w:hideMark/>
          </w:tcPr>
          <w:p w14:paraId="01C33DCE"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12.0</w:t>
            </w:r>
          </w:p>
        </w:tc>
        <w:tc>
          <w:tcPr>
            <w:tcW w:w="536" w:type="pct"/>
            <w:tcBorders>
              <w:top w:val="nil"/>
              <w:left w:val="nil"/>
              <w:bottom w:val="nil"/>
              <w:right w:val="nil"/>
            </w:tcBorders>
            <w:shd w:val="clear" w:color="000000" w:fill="FFFFFF"/>
            <w:noWrap/>
            <w:vAlign w:val="center"/>
            <w:hideMark/>
          </w:tcPr>
          <w:p w14:paraId="3A26B937"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0.4</w:t>
            </w:r>
          </w:p>
        </w:tc>
        <w:tc>
          <w:tcPr>
            <w:tcW w:w="404" w:type="pct"/>
            <w:tcBorders>
              <w:top w:val="nil"/>
              <w:left w:val="nil"/>
              <w:bottom w:val="nil"/>
              <w:right w:val="nil"/>
            </w:tcBorders>
            <w:shd w:val="clear" w:color="000000" w:fill="FFFFFF"/>
            <w:noWrap/>
            <w:vAlign w:val="center"/>
            <w:hideMark/>
          </w:tcPr>
          <w:p w14:paraId="7A9C415B"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10.2</w:t>
            </w:r>
          </w:p>
        </w:tc>
        <w:tc>
          <w:tcPr>
            <w:tcW w:w="536" w:type="pct"/>
            <w:tcBorders>
              <w:top w:val="nil"/>
              <w:left w:val="nil"/>
              <w:bottom w:val="nil"/>
              <w:right w:val="nil"/>
            </w:tcBorders>
            <w:shd w:val="clear" w:color="000000" w:fill="FFFFFF"/>
            <w:noWrap/>
            <w:vAlign w:val="center"/>
            <w:hideMark/>
          </w:tcPr>
          <w:p w14:paraId="578430C0" w14:textId="77777777" w:rsidR="00E81D2F" w:rsidRPr="00954D98" w:rsidRDefault="00E81D2F" w:rsidP="00E81D2F">
            <w:pPr>
              <w:spacing w:before="0" w:after="0" w:line="240" w:lineRule="auto"/>
              <w:jc w:val="right"/>
              <w:rPr>
                <w:rFonts w:ascii="Arial" w:hAnsi="Arial" w:cs="Arial"/>
                <w:i/>
                <w:iCs/>
                <w:sz w:val="16"/>
                <w:szCs w:val="16"/>
              </w:rPr>
            </w:pPr>
            <w:r w:rsidRPr="00954D98">
              <w:rPr>
                <w:rFonts w:ascii="Arial" w:hAnsi="Arial" w:cs="Arial"/>
                <w:i/>
                <w:iCs/>
                <w:sz w:val="16"/>
                <w:szCs w:val="16"/>
              </w:rPr>
              <w:t>0.3</w:t>
            </w:r>
          </w:p>
        </w:tc>
      </w:tr>
      <w:tr w:rsidR="00E81D2F" w:rsidRPr="00954D98" w14:paraId="02852DDD"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4629D91D" w14:textId="77777777" w:rsidR="00E81D2F" w:rsidRPr="00954D98" w:rsidRDefault="00E81D2F" w:rsidP="00E81D2F">
            <w:pPr>
              <w:spacing w:before="0" w:after="0" w:line="240" w:lineRule="auto"/>
              <w:ind w:firstLineChars="200" w:firstLine="320"/>
              <w:rPr>
                <w:rFonts w:ascii="Arial" w:hAnsi="Arial" w:cs="Arial"/>
                <w:i/>
                <w:iCs/>
                <w:color w:val="FFFF00"/>
                <w:sz w:val="16"/>
                <w:szCs w:val="16"/>
              </w:rPr>
            </w:pPr>
            <w:r w:rsidRPr="00954D98">
              <w:rPr>
                <w:rFonts w:ascii="Arial" w:hAnsi="Arial" w:cs="Arial"/>
                <w:i/>
                <w:iCs/>
                <w:sz w:val="16"/>
                <w:szCs w:val="16"/>
              </w:rPr>
              <w:t>Budget</w:t>
            </w:r>
          </w:p>
        </w:tc>
        <w:tc>
          <w:tcPr>
            <w:tcW w:w="404" w:type="pct"/>
            <w:tcBorders>
              <w:top w:val="nil"/>
              <w:left w:val="nil"/>
              <w:bottom w:val="nil"/>
              <w:right w:val="nil"/>
            </w:tcBorders>
            <w:shd w:val="clear" w:color="000000" w:fill="E6F2FF"/>
            <w:noWrap/>
            <w:vAlign w:val="center"/>
            <w:hideMark/>
          </w:tcPr>
          <w:p w14:paraId="4E7AFAEF"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8.8</w:t>
            </w:r>
          </w:p>
        </w:tc>
        <w:tc>
          <w:tcPr>
            <w:tcW w:w="536" w:type="pct"/>
            <w:tcBorders>
              <w:top w:val="nil"/>
              <w:left w:val="nil"/>
              <w:bottom w:val="nil"/>
              <w:right w:val="nil"/>
            </w:tcBorders>
            <w:shd w:val="clear" w:color="000000" w:fill="E6F2FF"/>
            <w:noWrap/>
            <w:vAlign w:val="center"/>
            <w:hideMark/>
          </w:tcPr>
          <w:p w14:paraId="5EF99503"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0.3</w:t>
            </w:r>
          </w:p>
        </w:tc>
        <w:tc>
          <w:tcPr>
            <w:tcW w:w="404" w:type="pct"/>
            <w:tcBorders>
              <w:top w:val="nil"/>
              <w:left w:val="nil"/>
              <w:bottom w:val="nil"/>
              <w:right w:val="nil"/>
            </w:tcBorders>
            <w:shd w:val="clear" w:color="000000" w:fill="FFFFFF"/>
            <w:noWrap/>
            <w:vAlign w:val="center"/>
            <w:hideMark/>
          </w:tcPr>
          <w:p w14:paraId="27D68D67"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9.1</w:t>
            </w:r>
          </w:p>
        </w:tc>
        <w:tc>
          <w:tcPr>
            <w:tcW w:w="536" w:type="pct"/>
            <w:tcBorders>
              <w:top w:val="nil"/>
              <w:left w:val="nil"/>
              <w:bottom w:val="nil"/>
              <w:right w:val="nil"/>
            </w:tcBorders>
            <w:shd w:val="clear" w:color="000000" w:fill="FFFFFF"/>
            <w:noWrap/>
            <w:vAlign w:val="center"/>
            <w:hideMark/>
          </w:tcPr>
          <w:p w14:paraId="6CFB5ED0"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0.3</w:t>
            </w:r>
          </w:p>
        </w:tc>
        <w:tc>
          <w:tcPr>
            <w:tcW w:w="404" w:type="pct"/>
            <w:tcBorders>
              <w:top w:val="nil"/>
              <w:left w:val="nil"/>
              <w:bottom w:val="nil"/>
              <w:right w:val="nil"/>
            </w:tcBorders>
            <w:shd w:val="clear" w:color="000000" w:fill="FFFFFF"/>
            <w:noWrap/>
            <w:vAlign w:val="center"/>
            <w:hideMark/>
          </w:tcPr>
          <w:p w14:paraId="02714CD3"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12.0</w:t>
            </w:r>
          </w:p>
        </w:tc>
        <w:tc>
          <w:tcPr>
            <w:tcW w:w="536" w:type="pct"/>
            <w:tcBorders>
              <w:top w:val="nil"/>
              <w:left w:val="nil"/>
              <w:bottom w:val="nil"/>
              <w:right w:val="nil"/>
            </w:tcBorders>
            <w:shd w:val="clear" w:color="000000" w:fill="FFFFFF"/>
            <w:noWrap/>
            <w:vAlign w:val="center"/>
            <w:hideMark/>
          </w:tcPr>
          <w:p w14:paraId="4F9CE67C"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0.4</w:t>
            </w:r>
          </w:p>
        </w:tc>
        <w:tc>
          <w:tcPr>
            <w:tcW w:w="404" w:type="pct"/>
            <w:tcBorders>
              <w:top w:val="nil"/>
              <w:left w:val="nil"/>
              <w:bottom w:val="nil"/>
              <w:right w:val="nil"/>
            </w:tcBorders>
            <w:shd w:val="clear" w:color="000000" w:fill="FFFFFF"/>
            <w:noWrap/>
            <w:vAlign w:val="center"/>
            <w:hideMark/>
          </w:tcPr>
          <w:p w14:paraId="514306DA"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10.2</w:t>
            </w:r>
          </w:p>
        </w:tc>
        <w:tc>
          <w:tcPr>
            <w:tcW w:w="536" w:type="pct"/>
            <w:tcBorders>
              <w:top w:val="nil"/>
              <w:left w:val="nil"/>
              <w:bottom w:val="nil"/>
              <w:right w:val="nil"/>
            </w:tcBorders>
            <w:shd w:val="clear" w:color="000000" w:fill="FFFFFF"/>
            <w:noWrap/>
            <w:vAlign w:val="center"/>
            <w:hideMark/>
          </w:tcPr>
          <w:p w14:paraId="136AC7F1" w14:textId="77777777" w:rsidR="00E81D2F" w:rsidRPr="00954D98" w:rsidRDefault="00E81D2F" w:rsidP="00E81D2F">
            <w:pPr>
              <w:spacing w:before="0" w:after="0" w:line="240" w:lineRule="auto"/>
              <w:jc w:val="right"/>
              <w:rPr>
                <w:rFonts w:ascii="Arial" w:hAnsi="Arial" w:cs="Arial"/>
                <w:i/>
                <w:iCs/>
                <w:sz w:val="16"/>
                <w:szCs w:val="16"/>
              </w:rPr>
            </w:pPr>
            <w:r w:rsidRPr="00954D98">
              <w:rPr>
                <w:rFonts w:ascii="Arial" w:hAnsi="Arial" w:cs="Arial"/>
                <w:i/>
                <w:iCs/>
                <w:sz w:val="16"/>
                <w:szCs w:val="16"/>
              </w:rPr>
              <w:t>0.3</w:t>
            </w:r>
          </w:p>
        </w:tc>
      </w:tr>
      <w:tr w:rsidR="00E81D2F" w:rsidRPr="00954D98" w14:paraId="59879906" w14:textId="77777777" w:rsidTr="00E81D2F">
        <w:trPr>
          <w:trHeight w:hRule="exact" w:val="60"/>
        </w:trPr>
        <w:tc>
          <w:tcPr>
            <w:tcW w:w="1240" w:type="pct"/>
            <w:tcBorders>
              <w:top w:val="nil"/>
              <w:left w:val="nil"/>
              <w:bottom w:val="nil"/>
              <w:right w:val="nil"/>
            </w:tcBorders>
            <w:shd w:val="clear" w:color="000000" w:fill="FFFFFF"/>
            <w:noWrap/>
            <w:vAlign w:val="center"/>
            <w:hideMark/>
          </w:tcPr>
          <w:p w14:paraId="4A3D2B6F" w14:textId="77777777" w:rsidR="00E81D2F" w:rsidRPr="00954D98" w:rsidRDefault="00E81D2F" w:rsidP="00E81D2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E6F2FF"/>
            <w:noWrap/>
            <w:vAlign w:val="center"/>
            <w:hideMark/>
          </w:tcPr>
          <w:p w14:paraId="27B82B5A"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E6F2FF"/>
            <w:noWrap/>
            <w:vAlign w:val="center"/>
            <w:hideMark/>
          </w:tcPr>
          <w:p w14:paraId="5F63E6FF"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16A1B389"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54713BA7"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170A47F1"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0076ACF7"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63D62CFC"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6" w:type="pct"/>
            <w:tcBorders>
              <w:top w:val="nil"/>
              <w:left w:val="nil"/>
              <w:bottom w:val="nil"/>
              <w:right w:val="nil"/>
            </w:tcBorders>
            <w:shd w:val="clear" w:color="000000" w:fill="FFFFFF"/>
            <w:noWrap/>
            <w:vAlign w:val="center"/>
            <w:hideMark/>
          </w:tcPr>
          <w:p w14:paraId="2A88B4AA" w14:textId="77777777" w:rsidR="00E81D2F" w:rsidRPr="00954D98" w:rsidRDefault="00E81D2F" w:rsidP="00E81D2F">
            <w:pPr>
              <w:spacing w:before="0" w:after="0" w:line="240" w:lineRule="auto"/>
              <w:jc w:val="right"/>
              <w:rPr>
                <w:rFonts w:ascii="Arial" w:hAnsi="Arial" w:cs="Arial"/>
                <w:sz w:val="16"/>
                <w:szCs w:val="16"/>
              </w:rPr>
            </w:pPr>
            <w:r w:rsidRPr="00954D98">
              <w:rPr>
                <w:rFonts w:ascii="Arial" w:hAnsi="Arial" w:cs="Arial"/>
                <w:sz w:val="16"/>
                <w:szCs w:val="16"/>
              </w:rPr>
              <w:t> </w:t>
            </w:r>
          </w:p>
        </w:tc>
      </w:tr>
      <w:tr w:rsidR="00E81D2F" w:rsidRPr="00954D98" w14:paraId="5095F915"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42066F05"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Fiscal balance</w:t>
            </w:r>
          </w:p>
        </w:tc>
        <w:tc>
          <w:tcPr>
            <w:tcW w:w="404" w:type="pct"/>
            <w:tcBorders>
              <w:top w:val="nil"/>
              <w:left w:val="nil"/>
              <w:bottom w:val="nil"/>
              <w:right w:val="nil"/>
            </w:tcBorders>
            <w:shd w:val="clear" w:color="000000" w:fill="E6F2FF"/>
            <w:noWrap/>
            <w:vAlign w:val="center"/>
            <w:hideMark/>
          </w:tcPr>
          <w:p w14:paraId="0BDDE59E"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6" w:type="pct"/>
            <w:tcBorders>
              <w:top w:val="nil"/>
              <w:left w:val="nil"/>
              <w:bottom w:val="nil"/>
              <w:right w:val="nil"/>
            </w:tcBorders>
            <w:shd w:val="clear" w:color="000000" w:fill="E6F2FF"/>
            <w:noWrap/>
            <w:vAlign w:val="center"/>
            <w:hideMark/>
          </w:tcPr>
          <w:p w14:paraId="5ABE86DC"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5A48830E"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6" w:type="pct"/>
            <w:tcBorders>
              <w:top w:val="nil"/>
              <w:left w:val="nil"/>
              <w:bottom w:val="nil"/>
              <w:right w:val="nil"/>
            </w:tcBorders>
            <w:shd w:val="clear" w:color="000000" w:fill="FFFFFF"/>
            <w:noWrap/>
            <w:vAlign w:val="center"/>
            <w:hideMark/>
          </w:tcPr>
          <w:p w14:paraId="2AD8A7D3"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54AB072B"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6" w:type="pct"/>
            <w:tcBorders>
              <w:top w:val="nil"/>
              <w:left w:val="nil"/>
              <w:bottom w:val="nil"/>
              <w:right w:val="nil"/>
            </w:tcBorders>
            <w:shd w:val="clear" w:color="000000" w:fill="FFFFFF"/>
            <w:noWrap/>
            <w:vAlign w:val="center"/>
            <w:hideMark/>
          </w:tcPr>
          <w:p w14:paraId="403EDB55"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404" w:type="pct"/>
            <w:tcBorders>
              <w:top w:val="nil"/>
              <w:left w:val="nil"/>
              <w:bottom w:val="nil"/>
              <w:right w:val="nil"/>
            </w:tcBorders>
            <w:shd w:val="clear" w:color="000000" w:fill="FFFFFF"/>
            <w:noWrap/>
            <w:vAlign w:val="center"/>
            <w:hideMark/>
          </w:tcPr>
          <w:p w14:paraId="46711622" w14:textId="77777777" w:rsidR="00E81D2F" w:rsidRPr="00954D98" w:rsidRDefault="00E81D2F" w:rsidP="00E81D2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6" w:type="pct"/>
            <w:tcBorders>
              <w:top w:val="nil"/>
              <w:left w:val="nil"/>
              <w:bottom w:val="nil"/>
              <w:right w:val="nil"/>
            </w:tcBorders>
            <w:shd w:val="clear" w:color="000000" w:fill="FFFFFF"/>
            <w:noWrap/>
            <w:vAlign w:val="center"/>
            <w:hideMark/>
          </w:tcPr>
          <w:p w14:paraId="7B6AF069" w14:textId="77777777" w:rsidR="00E81D2F" w:rsidRPr="00954D98" w:rsidRDefault="00E81D2F" w:rsidP="00E81D2F">
            <w:pPr>
              <w:spacing w:before="0" w:after="0" w:line="240" w:lineRule="auto"/>
              <w:jc w:val="right"/>
              <w:rPr>
                <w:rFonts w:ascii="Arial" w:hAnsi="Arial" w:cs="Arial"/>
                <w:sz w:val="16"/>
                <w:szCs w:val="16"/>
              </w:rPr>
            </w:pPr>
            <w:r w:rsidRPr="00954D98">
              <w:rPr>
                <w:rFonts w:ascii="Arial" w:hAnsi="Arial" w:cs="Arial"/>
                <w:sz w:val="16"/>
                <w:szCs w:val="16"/>
              </w:rPr>
              <w:t> </w:t>
            </w:r>
          </w:p>
        </w:tc>
      </w:tr>
      <w:tr w:rsidR="00E81D2F" w:rsidRPr="00954D98" w14:paraId="594C5D9A"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24818E18" w14:textId="77777777" w:rsidR="00E81D2F" w:rsidRPr="00954D98" w:rsidRDefault="00E81D2F" w:rsidP="00E81D2F">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MYEFO</w:t>
            </w:r>
          </w:p>
        </w:tc>
        <w:tc>
          <w:tcPr>
            <w:tcW w:w="404" w:type="pct"/>
            <w:tcBorders>
              <w:top w:val="nil"/>
              <w:left w:val="nil"/>
              <w:bottom w:val="nil"/>
              <w:right w:val="nil"/>
            </w:tcBorders>
            <w:shd w:val="clear" w:color="000000" w:fill="E6F2FF"/>
            <w:noWrap/>
            <w:vAlign w:val="center"/>
            <w:hideMark/>
          </w:tcPr>
          <w:p w14:paraId="1935050A"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-54.8</w:t>
            </w:r>
          </w:p>
        </w:tc>
        <w:tc>
          <w:tcPr>
            <w:tcW w:w="536" w:type="pct"/>
            <w:tcBorders>
              <w:top w:val="nil"/>
              <w:left w:val="nil"/>
              <w:bottom w:val="nil"/>
              <w:right w:val="nil"/>
            </w:tcBorders>
            <w:shd w:val="clear" w:color="000000" w:fill="E6F2FF"/>
            <w:noWrap/>
            <w:vAlign w:val="center"/>
            <w:hideMark/>
          </w:tcPr>
          <w:p w14:paraId="220F0DB4"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-1.9</w:t>
            </w:r>
          </w:p>
        </w:tc>
        <w:tc>
          <w:tcPr>
            <w:tcW w:w="404" w:type="pct"/>
            <w:tcBorders>
              <w:top w:val="nil"/>
              <w:left w:val="nil"/>
              <w:bottom w:val="nil"/>
              <w:right w:val="nil"/>
            </w:tcBorders>
            <w:shd w:val="clear" w:color="000000" w:fill="FFFFFF"/>
            <w:noWrap/>
            <w:vAlign w:val="center"/>
            <w:hideMark/>
          </w:tcPr>
          <w:p w14:paraId="368D674A"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-35.8</w:t>
            </w:r>
          </w:p>
        </w:tc>
        <w:tc>
          <w:tcPr>
            <w:tcW w:w="536" w:type="pct"/>
            <w:tcBorders>
              <w:top w:val="nil"/>
              <w:left w:val="nil"/>
              <w:bottom w:val="nil"/>
              <w:right w:val="nil"/>
            </w:tcBorders>
            <w:shd w:val="clear" w:color="000000" w:fill="FFFFFF"/>
            <w:noWrap/>
            <w:vAlign w:val="center"/>
            <w:hideMark/>
          </w:tcPr>
          <w:p w14:paraId="69C064DC"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-1.2</w:t>
            </w:r>
          </w:p>
        </w:tc>
        <w:tc>
          <w:tcPr>
            <w:tcW w:w="404" w:type="pct"/>
            <w:tcBorders>
              <w:top w:val="nil"/>
              <w:left w:val="nil"/>
              <w:bottom w:val="nil"/>
              <w:right w:val="nil"/>
            </w:tcBorders>
            <w:shd w:val="clear" w:color="000000" w:fill="FFFFFF"/>
            <w:noWrap/>
            <w:vAlign w:val="center"/>
            <w:hideMark/>
          </w:tcPr>
          <w:p w14:paraId="14EA4A1B"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-43.2</w:t>
            </w:r>
          </w:p>
        </w:tc>
        <w:tc>
          <w:tcPr>
            <w:tcW w:w="536" w:type="pct"/>
            <w:tcBorders>
              <w:top w:val="nil"/>
              <w:left w:val="nil"/>
              <w:bottom w:val="nil"/>
              <w:right w:val="nil"/>
            </w:tcBorders>
            <w:shd w:val="clear" w:color="000000" w:fill="FFFFFF"/>
            <w:noWrap/>
            <w:vAlign w:val="center"/>
            <w:hideMark/>
          </w:tcPr>
          <w:p w14:paraId="7B299CC9"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-1.4</w:t>
            </w:r>
          </w:p>
        </w:tc>
        <w:tc>
          <w:tcPr>
            <w:tcW w:w="404" w:type="pct"/>
            <w:tcBorders>
              <w:top w:val="nil"/>
              <w:left w:val="nil"/>
              <w:bottom w:val="nil"/>
              <w:right w:val="nil"/>
            </w:tcBorders>
            <w:shd w:val="clear" w:color="000000" w:fill="FFFFFF"/>
            <w:noWrap/>
            <w:vAlign w:val="center"/>
            <w:hideMark/>
          </w:tcPr>
          <w:p w14:paraId="0670C6F4" w14:textId="77777777" w:rsidR="00E81D2F" w:rsidRPr="00954D98" w:rsidRDefault="00E81D2F" w:rsidP="00E81D2F">
            <w:pPr>
              <w:spacing w:before="0" w:after="0" w:line="240" w:lineRule="auto"/>
              <w:jc w:val="right"/>
              <w:rPr>
                <w:rFonts w:ascii="Arial" w:hAnsi="Arial" w:cs="Arial"/>
                <w:color w:val="FFFF00"/>
                <w:sz w:val="16"/>
                <w:szCs w:val="16"/>
              </w:rPr>
            </w:pPr>
            <w:r w:rsidRPr="00954D98">
              <w:rPr>
                <w:rFonts w:ascii="Arial" w:hAnsi="Arial" w:cs="Arial"/>
                <w:sz w:val="16"/>
                <w:szCs w:val="16"/>
              </w:rPr>
              <w:t>-43.7</w:t>
            </w:r>
          </w:p>
        </w:tc>
        <w:tc>
          <w:tcPr>
            <w:tcW w:w="536" w:type="pct"/>
            <w:tcBorders>
              <w:top w:val="nil"/>
              <w:left w:val="nil"/>
              <w:bottom w:val="nil"/>
              <w:right w:val="nil"/>
            </w:tcBorders>
            <w:shd w:val="clear" w:color="000000" w:fill="FFFFFF"/>
            <w:noWrap/>
            <w:vAlign w:val="center"/>
            <w:hideMark/>
          </w:tcPr>
          <w:p w14:paraId="2F8D42E7" w14:textId="77777777" w:rsidR="00E81D2F" w:rsidRPr="00954D98" w:rsidRDefault="00E81D2F" w:rsidP="00E81D2F">
            <w:pPr>
              <w:spacing w:before="0" w:after="0" w:line="240" w:lineRule="auto"/>
              <w:jc w:val="right"/>
              <w:rPr>
                <w:rFonts w:ascii="Arial" w:hAnsi="Arial" w:cs="Arial"/>
                <w:sz w:val="16"/>
                <w:szCs w:val="16"/>
              </w:rPr>
            </w:pPr>
            <w:r w:rsidRPr="00954D98">
              <w:rPr>
                <w:rFonts w:ascii="Arial" w:hAnsi="Arial" w:cs="Arial"/>
                <w:sz w:val="16"/>
                <w:szCs w:val="16"/>
              </w:rPr>
              <w:t>-1.3</w:t>
            </w:r>
          </w:p>
        </w:tc>
      </w:tr>
      <w:tr w:rsidR="00E81D2F" w:rsidRPr="00954D98" w14:paraId="153492C2" w14:textId="77777777" w:rsidTr="00E81D2F">
        <w:trPr>
          <w:trHeight w:hRule="exact" w:val="225"/>
        </w:trPr>
        <w:tc>
          <w:tcPr>
            <w:tcW w:w="1240" w:type="pct"/>
            <w:tcBorders>
              <w:top w:val="nil"/>
              <w:left w:val="nil"/>
              <w:bottom w:val="nil"/>
              <w:right w:val="nil"/>
            </w:tcBorders>
            <w:shd w:val="clear" w:color="000000" w:fill="FFFFFF"/>
            <w:noWrap/>
            <w:vAlign w:val="center"/>
            <w:hideMark/>
          </w:tcPr>
          <w:p w14:paraId="61AFB3EF" w14:textId="77777777" w:rsidR="00E81D2F" w:rsidRPr="00954D98" w:rsidRDefault="00E81D2F" w:rsidP="00E81D2F">
            <w:pPr>
              <w:spacing w:before="0" w:after="0" w:line="240" w:lineRule="auto"/>
              <w:ind w:firstLineChars="200" w:firstLine="320"/>
              <w:rPr>
                <w:rFonts w:ascii="Arial" w:hAnsi="Arial" w:cs="Arial"/>
                <w:i/>
                <w:iCs/>
                <w:color w:val="FFFF00"/>
                <w:sz w:val="16"/>
                <w:szCs w:val="16"/>
              </w:rPr>
            </w:pPr>
            <w:r w:rsidRPr="00954D98">
              <w:rPr>
                <w:rFonts w:ascii="Arial" w:hAnsi="Arial" w:cs="Arial"/>
                <w:i/>
                <w:iCs/>
                <w:sz w:val="16"/>
                <w:szCs w:val="16"/>
              </w:rPr>
              <w:t>PEFO</w:t>
            </w:r>
          </w:p>
        </w:tc>
        <w:tc>
          <w:tcPr>
            <w:tcW w:w="404" w:type="pct"/>
            <w:tcBorders>
              <w:top w:val="nil"/>
              <w:left w:val="nil"/>
              <w:bottom w:val="nil"/>
              <w:right w:val="nil"/>
            </w:tcBorders>
            <w:shd w:val="clear" w:color="000000" w:fill="E6F2FF"/>
            <w:noWrap/>
            <w:vAlign w:val="center"/>
            <w:hideMark/>
          </w:tcPr>
          <w:p w14:paraId="2C96D39B"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-44.2</w:t>
            </w:r>
          </w:p>
        </w:tc>
        <w:tc>
          <w:tcPr>
            <w:tcW w:w="536" w:type="pct"/>
            <w:tcBorders>
              <w:top w:val="nil"/>
              <w:left w:val="nil"/>
              <w:bottom w:val="nil"/>
              <w:right w:val="nil"/>
            </w:tcBorders>
            <w:shd w:val="clear" w:color="000000" w:fill="E6F2FF"/>
            <w:noWrap/>
            <w:vAlign w:val="center"/>
            <w:hideMark/>
          </w:tcPr>
          <w:p w14:paraId="3140BDD9"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-1.5</w:t>
            </w:r>
          </w:p>
        </w:tc>
        <w:tc>
          <w:tcPr>
            <w:tcW w:w="404" w:type="pct"/>
            <w:tcBorders>
              <w:top w:val="nil"/>
              <w:left w:val="nil"/>
              <w:bottom w:val="nil"/>
              <w:right w:val="nil"/>
            </w:tcBorders>
            <w:shd w:val="clear" w:color="000000" w:fill="FFFFFF"/>
            <w:noWrap/>
            <w:vAlign w:val="center"/>
            <w:hideMark/>
          </w:tcPr>
          <w:p w14:paraId="1BBFEDD3"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-32.1</w:t>
            </w:r>
          </w:p>
        </w:tc>
        <w:tc>
          <w:tcPr>
            <w:tcW w:w="536" w:type="pct"/>
            <w:tcBorders>
              <w:top w:val="nil"/>
              <w:left w:val="nil"/>
              <w:bottom w:val="nil"/>
              <w:right w:val="nil"/>
            </w:tcBorders>
            <w:shd w:val="clear" w:color="000000" w:fill="FFFFFF"/>
            <w:noWrap/>
            <w:vAlign w:val="center"/>
            <w:hideMark/>
          </w:tcPr>
          <w:p w14:paraId="2D136FC6"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-1.1</w:t>
            </w:r>
          </w:p>
        </w:tc>
        <w:tc>
          <w:tcPr>
            <w:tcW w:w="404" w:type="pct"/>
            <w:tcBorders>
              <w:top w:val="nil"/>
              <w:left w:val="nil"/>
              <w:bottom w:val="nil"/>
              <w:right w:val="nil"/>
            </w:tcBorders>
            <w:shd w:val="clear" w:color="000000" w:fill="FFFFFF"/>
            <w:noWrap/>
            <w:vAlign w:val="center"/>
            <w:hideMark/>
          </w:tcPr>
          <w:p w14:paraId="5DB3DAA4"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-39.4</w:t>
            </w:r>
          </w:p>
        </w:tc>
        <w:tc>
          <w:tcPr>
            <w:tcW w:w="536" w:type="pct"/>
            <w:tcBorders>
              <w:top w:val="nil"/>
              <w:left w:val="nil"/>
              <w:bottom w:val="nil"/>
              <w:right w:val="nil"/>
            </w:tcBorders>
            <w:shd w:val="clear" w:color="000000" w:fill="FFFFFF"/>
            <w:noWrap/>
            <w:vAlign w:val="center"/>
            <w:hideMark/>
          </w:tcPr>
          <w:p w14:paraId="57D7AC01"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-1.3</w:t>
            </w:r>
          </w:p>
        </w:tc>
        <w:tc>
          <w:tcPr>
            <w:tcW w:w="404" w:type="pct"/>
            <w:tcBorders>
              <w:top w:val="nil"/>
              <w:left w:val="nil"/>
              <w:bottom w:val="nil"/>
              <w:right w:val="nil"/>
            </w:tcBorders>
            <w:shd w:val="clear" w:color="000000" w:fill="FFFFFF"/>
            <w:noWrap/>
            <w:vAlign w:val="center"/>
            <w:hideMark/>
          </w:tcPr>
          <w:p w14:paraId="07EE87D2"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-37.3</w:t>
            </w:r>
          </w:p>
        </w:tc>
        <w:tc>
          <w:tcPr>
            <w:tcW w:w="536" w:type="pct"/>
            <w:tcBorders>
              <w:top w:val="nil"/>
              <w:left w:val="nil"/>
              <w:bottom w:val="nil"/>
              <w:right w:val="nil"/>
            </w:tcBorders>
            <w:shd w:val="clear" w:color="000000" w:fill="FFFFFF"/>
            <w:noWrap/>
            <w:vAlign w:val="center"/>
            <w:hideMark/>
          </w:tcPr>
          <w:p w14:paraId="64DD3484" w14:textId="77777777" w:rsidR="00E81D2F" w:rsidRPr="00954D98" w:rsidRDefault="00E81D2F" w:rsidP="00E81D2F">
            <w:pPr>
              <w:spacing w:before="0" w:after="0" w:line="240" w:lineRule="auto"/>
              <w:jc w:val="right"/>
              <w:rPr>
                <w:rFonts w:ascii="Arial" w:hAnsi="Arial" w:cs="Arial"/>
                <w:i/>
                <w:iCs/>
                <w:sz w:val="16"/>
                <w:szCs w:val="16"/>
              </w:rPr>
            </w:pPr>
            <w:r w:rsidRPr="00954D98">
              <w:rPr>
                <w:rFonts w:ascii="Arial" w:hAnsi="Arial" w:cs="Arial"/>
                <w:i/>
                <w:iCs/>
                <w:sz w:val="16"/>
                <w:szCs w:val="16"/>
              </w:rPr>
              <w:t>-1.1</w:t>
            </w:r>
          </w:p>
        </w:tc>
      </w:tr>
      <w:tr w:rsidR="00E81D2F" w:rsidRPr="00954D98" w14:paraId="7C07624E" w14:textId="77777777" w:rsidTr="00E81D2F">
        <w:trPr>
          <w:trHeight w:hRule="exact" w:val="225"/>
        </w:trPr>
        <w:tc>
          <w:tcPr>
            <w:tcW w:w="1240" w:type="pct"/>
            <w:tcBorders>
              <w:top w:val="nil"/>
              <w:left w:val="nil"/>
              <w:bottom w:val="single" w:sz="4" w:space="0" w:color="293F5B"/>
              <w:right w:val="nil"/>
            </w:tcBorders>
            <w:shd w:val="clear" w:color="000000" w:fill="FFFFFF"/>
            <w:noWrap/>
            <w:vAlign w:val="center"/>
            <w:hideMark/>
          </w:tcPr>
          <w:p w14:paraId="1CEED80C" w14:textId="77777777" w:rsidR="00E81D2F" w:rsidRPr="00954D98" w:rsidRDefault="00E81D2F" w:rsidP="00E81D2F">
            <w:pPr>
              <w:spacing w:before="0" w:after="0" w:line="240" w:lineRule="auto"/>
              <w:ind w:firstLineChars="200" w:firstLine="320"/>
              <w:rPr>
                <w:rFonts w:ascii="Arial" w:hAnsi="Arial" w:cs="Arial"/>
                <w:i/>
                <w:iCs/>
                <w:color w:val="FFFF00"/>
                <w:sz w:val="16"/>
                <w:szCs w:val="16"/>
              </w:rPr>
            </w:pPr>
            <w:r w:rsidRPr="00954D98">
              <w:rPr>
                <w:rFonts w:ascii="Arial" w:hAnsi="Arial" w:cs="Arial"/>
                <w:i/>
                <w:iCs/>
                <w:sz w:val="16"/>
                <w:szCs w:val="16"/>
              </w:rPr>
              <w:t>Budget</w:t>
            </w:r>
          </w:p>
        </w:tc>
        <w:tc>
          <w:tcPr>
            <w:tcW w:w="404" w:type="pct"/>
            <w:tcBorders>
              <w:top w:val="nil"/>
              <w:left w:val="nil"/>
              <w:bottom w:val="single" w:sz="4" w:space="0" w:color="293F5B"/>
              <w:right w:val="nil"/>
            </w:tcBorders>
            <w:shd w:val="clear" w:color="000000" w:fill="E6F2FF"/>
            <w:noWrap/>
            <w:vAlign w:val="center"/>
            <w:hideMark/>
          </w:tcPr>
          <w:p w14:paraId="11E30759"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-44.2</w:t>
            </w:r>
          </w:p>
        </w:tc>
        <w:tc>
          <w:tcPr>
            <w:tcW w:w="536" w:type="pct"/>
            <w:tcBorders>
              <w:top w:val="nil"/>
              <w:left w:val="nil"/>
              <w:bottom w:val="single" w:sz="4" w:space="0" w:color="293F5B"/>
              <w:right w:val="nil"/>
            </w:tcBorders>
            <w:shd w:val="clear" w:color="000000" w:fill="E6F2FF"/>
            <w:noWrap/>
            <w:vAlign w:val="center"/>
            <w:hideMark/>
          </w:tcPr>
          <w:p w14:paraId="4D9DA3A5"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-1.5</w:t>
            </w:r>
          </w:p>
        </w:tc>
        <w:tc>
          <w:tcPr>
            <w:tcW w:w="404" w:type="pct"/>
            <w:tcBorders>
              <w:top w:val="nil"/>
              <w:left w:val="nil"/>
              <w:bottom w:val="single" w:sz="4" w:space="0" w:color="293F5B"/>
              <w:right w:val="nil"/>
            </w:tcBorders>
            <w:shd w:val="clear" w:color="000000" w:fill="FFFFFF"/>
            <w:noWrap/>
            <w:vAlign w:val="center"/>
            <w:hideMark/>
          </w:tcPr>
          <w:p w14:paraId="339BC144"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-32.2</w:t>
            </w:r>
          </w:p>
        </w:tc>
        <w:tc>
          <w:tcPr>
            <w:tcW w:w="536" w:type="pct"/>
            <w:tcBorders>
              <w:top w:val="nil"/>
              <w:left w:val="nil"/>
              <w:bottom w:val="single" w:sz="4" w:space="0" w:color="293F5B"/>
              <w:right w:val="nil"/>
            </w:tcBorders>
            <w:shd w:val="clear" w:color="000000" w:fill="FFFFFF"/>
            <w:noWrap/>
            <w:vAlign w:val="center"/>
            <w:hideMark/>
          </w:tcPr>
          <w:p w14:paraId="79521CC0"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-1.1</w:t>
            </w:r>
          </w:p>
        </w:tc>
        <w:tc>
          <w:tcPr>
            <w:tcW w:w="404" w:type="pct"/>
            <w:tcBorders>
              <w:top w:val="nil"/>
              <w:left w:val="nil"/>
              <w:bottom w:val="single" w:sz="4" w:space="0" w:color="293F5B"/>
              <w:right w:val="nil"/>
            </w:tcBorders>
            <w:shd w:val="clear" w:color="000000" w:fill="FFFFFF"/>
            <w:noWrap/>
            <w:vAlign w:val="center"/>
            <w:hideMark/>
          </w:tcPr>
          <w:p w14:paraId="5E25E3CA"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-39.5</w:t>
            </w:r>
          </w:p>
        </w:tc>
        <w:tc>
          <w:tcPr>
            <w:tcW w:w="536" w:type="pct"/>
            <w:tcBorders>
              <w:top w:val="nil"/>
              <w:left w:val="nil"/>
              <w:bottom w:val="single" w:sz="4" w:space="0" w:color="293F5B"/>
              <w:right w:val="nil"/>
            </w:tcBorders>
            <w:shd w:val="clear" w:color="000000" w:fill="FFFFFF"/>
            <w:noWrap/>
            <w:vAlign w:val="center"/>
            <w:hideMark/>
          </w:tcPr>
          <w:p w14:paraId="6EA0A7E7"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-1.3</w:t>
            </w:r>
          </w:p>
        </w:tc>
        <w:tc>
          <w:tcPr>
            <w:tcW w:w="404" w:type="pct"/>
            <w:tcBorders>
              <w:top w:val="nil"/>
              <w:left w:val="nil"/>
              <w:bottom w:val="single" w:sz="4" w:space="0" w:color="293F5B"/>
              <w:right w:val="nil"/>
            </w:tcBorders>
            <w:shd w:val="clear" w:color="000000" w:fill="FFFFFF"/>
            <w:noWrap/>
            <w:vAlign w:val="center"/>
            <w:hideMark/>
          </w:tcPr>
          <w:p w14:paraId="24563BDC" w14:textId="77777777" w:rsidR="00E81D2F" w:rsidRPr="00954D98" w:rsidRDefault="00E81D2F" w:rsidP="00E81D2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-37.1</w:t>
            </w:r>
          </w:p>
        </w:tc>
        <w:tc>
          <w:tcPr>
            <w:tcW w:w="536" w:type="pct"/>
            <w:tcBorders>
              <w:top w:val="nil"/>
              <w:left w:val="nil"/>
              <w:bottom w:val="single" w:sz="4" w:space="0" w:color="293F5B"/>
              <w:right w:val="nil"/>
            </w:tcBorders>
            <w:shd w:val="clear" w:color="000000" w:fill="FFFFFF"/>
            <w:noWrap/>
            <w:vAlign w:val="center"/>
            <w:hideMark/>
          </w:tcPr>
          <w:p w14:paraId="1B4332FA" w14:textId="77777777" w:rsidR="00E81D2F" w:rsidRPr="00954D98" w:rsidRDefault="00E81D2F" w:rsidP="00E81D2F">
            <w:pPr>
              <w:spacing w:before="0" w:after="0" w:line="240" w:lineRule="auto"/>
              <w:jc w:val="right"/>
              <w:rPr>
                <w:rFonts w:ascii="Arial" w:hAnsi="Arial" w:cs="Arial"/>
                <w:i/>
                <w:iCs/>
                <w:sz w:val="16"/>
                <w:szCs w:val="16"/>
              </w:rPr>
            </w:pPr>
            <w:r w:rsidRPr="00954D98">
              <w:rPr>
                <w:rFonts w:ascii="Arial" w:hAnsi="Arial" w:cs="Arial"/>
                <w:i/>
                <w:iCs/>
                <w:sz w:val="16"/>
                <w:szCs w:val="16"/>
              </w:rPr>
              <w:t>-1.1</w:t>
            </w:r>
          </w:p>
        </w:tc>
      </w:tr>
    </w:tbl>
    <w:p w14:paraId="4D9C1E3A" w14:textId="117A0E04" w:rsidR="00B51253" w:rsidRPr="00954D98" w:rsidRDefault="00F1044A" w:rsidP="00C2512A">
      <w:r w:rsidRPr="00954D98">
        <w:t>Table 3.</w:t>
      </w:r>
      <w:r w:rsidR="00FC6EB9" w:rsidRPr="00954D98">
        <w:t>10</w:t>
      </w:r>
      <w:r w:rsidRPr="00954D98">
        <w:t xml:space="preserve"> provides a reconciliation of fiscal balance estimates, including the impact of policy decisions and parameter and other variations on revenue and expenses since the </w:t>
      </w:r>
      <w:r w:rsidR="001B1B1A" w:rsidRPr="00954D98">
        <w:t>2025</w:t>
      </w:r>
      <w:r w:rsidR="00324596">
        <w:t> </w:t>
      </w:r>
      <w:r w:rsidR="001B1B1A" w:rsidRPr="00954D98">
        <w:t>PEFO</w:t>
      </w:r>
      <w:r w:rsidRPr="00954D98">
        <w:t>.</w:t>
      </w:r>
      <w:r w:rsidR="00307453" w:rsidRPr="00954D98">
        <w:t xml:space="preserve"> </w:t>
      </w:r>
      <w:r w:rsidR="00B51253" w:rsidRPr="00954D98">
        <w:br w:type="page"/>
      </w:r>
    </w:p>
    <w:p w14:paraId="679714C7" w14:textId="733DC77D" w:rsidR="00C63093" w:rsidRPr="00954D98" w:rsidRDefault="00F1044A" w:rsidP="00C63093">
      <w:pPr>
        <w:pStyle w:val="TableHeading"/>
        <w:rPr>
          <w:rFonts w:eastAsiaTheme="minorHAnsi"/>
        </w:rPr>
      </w:pPr>
      <w:r w:rsidRPr="00954D98">
        <w:lastRenderedPageBreak/>
        <w:t>Table 3.</w:t>
      </w:r>
      <w:r w:rsidR="006221BC" w:rsidRPr="00954D98">
        <w:t>10</w:t>
      </w:r>
      <w:r w:rsidRPr="00954D98">
        <w:t>: Reconciliation of general government sector fiscal balance estimates</w:t>
      </w:r>
    </w:p>
    <w:tbl>
      <w:tblPr>
        <w:tblW w:w="5000" w:type="pct"/>
        <w:tblCellMar>
          <w:left w:w="0" w:type="dxa"/>
          <w:right w:w="28" w:type="dxa"/>
        </w:tblCellMar>
        <w:tblLook w:val="04A0" w:firstRow="1" w:lastRow="0" w:firstColumn="1" w:lastColumn="0" w:noHBand="0" w:noVBand="1"/>
      </w:tblPr>
      <w:tblGrid>
        <w:gridCol w:w="3524"/>
        <w:gridCol w:w="777"/>
        <w:gridCol w:w="777"/>
        <w:gridCol w:w="777"/>
        <w:gridCol w:w="777"/>
        <w:gridCol w:w="100"/>
        <w:gridCol w:w="978"/>
      </w:tblGrid>
      <w:tr w:rsidR="00F5171A" w:rsidRPr="00954D98" w14:paraId="1B151748" w14:textId="77777777" w:rsidTr="00F5171A">
        <w:trPr>
          <w:trHeight w:hRule="exact" w:val="225"/>
        </w:trPr>
        <w:tc>
          <w:tcPr>
            <w:tcW w:w="2285" w:type="pct"/>
            <w:tcBorders>
              <w:top w:val="single" w:sz="4" w:space="0" w:color="293F5B"/>
              <w:left w:val="nil"/>
              <w:bottom w:val="nil"/>
              <w:right w:val="nil"/>
            </w:tcBorders>
            <w:shd w:val="clear" w:color="000000" w:fill="FFFFFF"/>
            <w:noWrap/>
            <w:vAlign w:val="bottom"/>
            <w:hideMark/>
          </w:tcPr>
          <w:p w14:paraId="4CC899D0" w14:textId="77777777" w:rsidR="00F5171A" w:rsidRPr="00954D98" w:rsidRDefault="00F5171A" w:rsidP="00F5171A">
            <w:pPr>
              <w:spacing w:before="0" w:after="0" w:line="240" w:lineRule="auto"/>
              <w:rPr>
                <w:rFonts w:ascii="Calibri" w:hAnsi="Calibri" w:cs="Calibri"/>
                <w:color w:val="FFFF00"/>
                <w:sz w:val="22"/>
                <w:szCs w:val="22"/>
              </w:rPr>
            </w:pPr>
            <w:r w:rsidRPr="00954D98">
              <w:rPr>
                <w:rFonts w:ascii="Calibri" w:hAnsi="Calibri" w:cs="Calibri"/>
                <w:sz w:val="22"/>
                <w:szCs w:val="22"/>
              </w:rPr>
              <w:t> </w:t>
            </w:r>
          </w:p>
        </w:tc>
        <w:tc>
          <w:tcPr>
            <w:tcW w:w="2015" w:type="pct"/>
            <w:gridSpan w:val="4"/>
            <w:tcBorders>
              <w:top w:val="single" w:sz="4" w:space="0" w:color="auto"/>
              <w:left w:val="nil"/>
              <w:bottom w:val="single" w:sz="4" w:space="0" w:color="293F5B"/>
              <w:right w:val="nil"/>
            </w:tcBorders>
            <w:shd w:val="clear" w:color="000000" w:fill="FFFFFF"/>
            <w:noWrap/>
            <w:vAlign w:val="center"/>
            <w:hideMark/>
          </w:tcPr>
          <w:p w14:paraId="46C1B1EE" w14:textId="77777777" w:rsidR="00F5171A" w:rsidRPr="00954D98" w:rsidRDefault="00F5171A" w:rsidP="00F5171A">
            <w:pPr>
              <w:spacing w:before="0" w:after="0" w:line="240" w:lineRule="auto"/>
              <w:jc w:val="center"/>
              <w:rPr>
                <w:rFonts w:ascii="Arial" w:hAnsi="Arial" w:cs="Arial"/>
                <w:color w:val="FFFF00"/>
                <w:sz w:val="16"/>
                <w:szCs w:val="16"/>
              </w:rPr>
            </w:pPr>
            <w:r w:rsidRPr="00954D98">
              <w:rPr>
                <w:rFonts w:ascii="Arial" w:hAnsi="Arial" w:cs="Arial"/>
                <w:sz w:val="16"/>
                <w:szCs w:val="16"/>
              </w:rPr>
              <w:t>Estimates</w:t>
            </w:r>
          </w:p>
        </w:tc>
        <w:tc>
          <w:tcPr>
            <w:tcW w:w="65" w:type="pct"/>
            <w:tcBorders>
              <w:top w:val="single" w:sz="4" w:space="0" w:color="293F5B"/>
              <w:left w:val="nil"/>
              <w:bottom w:val="nil"/>
              <w:right w:val="nil"/>
            </w:tcBorders>
            <w:shd w:val="clear" w:color="000000" w:fill="FFFFFF"/>
            <w:noWrap/>
            <w:vAlign w:val="center"/>
            <w:hideMark/>
          </w:tcPr>
          <w:p w14:paraId="0FD3CA7C" w14:textId="77777777" w:rsidR="00F5171A" w:rsidRPr="00954D98" w:rsidRDefault="00F5171A" w:rsidP="00F5171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635" w:type="pct"/>
            <w:tcBorders>
              <w:top w:val="single" w:sz="4" w:space="0" w:color="293F5B"/>
              <w:left w:val="nil"/>
              <w:bottom w:val="single" w:sz="4" w:space="0" w:color="293F5B"/>
              <w:right w:val="nil"/>
            </w:tcBorders>
            <w:shd w:val="clear" w:color="000000" w:fill="FFFFFF"/>
            <w:noWrap/>
            <w:vAlign w:val="center"/>
            <w:hideMark/>
          </w:tcPr>
          <w:p w14:paraId="4B0BB46A" w14:textId="77777777" w:rsidR="00F5171A" w:rsidRPr="00954D98" w:rsidRDefault="00F5171A" w:rsidP="00F5171A">
            <w:pPr>
              <w:spacing w:before="0" w:after="0" w:line="240" w:lineRule="auto"/>
              <w:rPr>
                <w:rFonts w:ascii="Arial" w:hAnsi="Arial" w:cs="Arial"/>
                <w:sz w:val="16"/>
                <w:szCs w:val="16"/>
              </w:rPr>
            </w:pPr>
            <w:r w:rsidRPr="00954D98">
              <w:rPr>
                <w:rFonts w:ascii="Arial" w:hAnsi="Arial" w:cs="Arial"/>
                <w:sz w:val="16"/>
                <w:szCs w:val="16"/>
              </w:rPr>
              <w:t> </w:t>
            </w:r>
          </w:p>
        </w:tc>
      </w:tr>
      <w:tr w:rsidR="00F5171A" w:rsidRPr="00954D98" w14:paraId="52486E3A" w14:textId="77777777" w:rsidTr="00F5171A">
        <w:trPr>
          <w:trHeight w:hRule="exact" w:val="225"/>
        </w:trPr>
        <w:tc>
          <w:tcPr>
            <w:tcW w:w="2285" w:type="pct"/>
            <w:tcBorders>
              <w:top w:val="nil"/>
              <w:left w:val="nil"/>
              <w:bottom w:val="nil"/>
              <w:right w:val="nil"/>
            </w:tcBorders>
            <w:shd w:val="clear" w:color="000000" w:fill="FFFFFF"/>
            <w:noWrap/>
            <w:vAlign w:val="bottom"/>
            <w:hideMark/>
          </w:tcPr>
          <w:p w14:paraId="132AF7A8" w14:textId="77777777" w:rsidR="00F5171A" w:rsidRPr="00954D98" w:rsidRDefault="00F5171A" w:rsidP="00F5171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4" w:type="pct"/>
            <w:tcBorders>
              <w:top w:val="single" w:sz="4" w:space="0" w:color="293F5B"/>
              <w:left w:val="nil"/>
              <w:bottom w:val="nil"/>
              <w:right w:val="nil"/>
            </w:tcBorders>
            <w:shd w:val="clear" w:color="000000" w:fill="E6F2FF"/>
            <w:noWrap/>
            <w:vAlign w:val="center"/>
            <w:hideMark/>
          </w:tcPr>
          <w:p w14:paraId="726B9AFB"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2025-26</w:t>
            </w:r>
          </w:p>
        </w:tc>
        <w:tc>
          <w:tcPr>
            <w:tcW w:w="504" w:type="pct"/>
            <w:tcBorders>
              <w:top w:val="single" w:sz="4" w:space="0" w:color="293F5B"/>
              <w:left w:val="nil"/>
              <w:bottom w:val="nil"/>
              <w:right w:val="nil"/>
            </w:tcBorders>
            <w:shd w:val="clear" w:color="000000" w:fill="FFFFFF"/>
            <w:noWrap/>
            <w:vAlign w:val="center"/>
            <w:hideMark/>
          </w:tcPr>
          <w:p w14:paraId="25257CCE"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2026-27</w:t>
            </w:r>
          </w:p>
        </w:tc>
        <w:tc>
          <w:tcPr>
            <w:tcW w:w="504" w:type="pct"/>
            <w:tcBorders>
              <w:top w:val="single" w:sz="4" w:space="0" w:color="293F5B"/>
              <w:left w:val="nil"/>
              <w:bottom w:val="nil"/>
              <w:right w:val="nil"/>
            </w:tcBorders>
            <w:shd w:val="clear" w:color="000000" w:fill="FFFFFF"/>
            <w:noWrap/>
            <w:vAlign w:val="center"/>
            <w:hideMark/>
          </w:tcPr>
          <w:p w14:paraId="2A31BAC9"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2027-28</w:t>
            </w:r>
          </w:p>
        </w:tc>
        <w:tc>
          <w:tcPr>
            <w:tcW w:w="504" w:type="pct"/>
            <w:tcBorders>
              <w:top w:val="single" w:sz="4" w:space="0" w:color="293F5B"/>
              <w:left w:val="nil"/>
              <w:bottom w:val="nil"/>
              <w:right w:val="nil"/>
            </w:tcBorders>
            <w:shd w:val="clear" w:color="000000" w:fill="FFFFFF"/>
            <w:noWrap/>
            <w:vAlign w:val="center"/>
            <w:hideMark/>
          </w:tcPr>
          <w:p w14:paraId="50D78397"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2028-29</w:t>
            </w:r>
          </w:p>
        </w:tc>
        <w:tc>
          <w:tcPr>
            <w:tcW w:w="65" w:type="pct"/>
            <w:tcBorders>
              <w:top w:val="nil"/>
              <w:left w:val="nil"/>
              <w:bottom w:val="nil"/>
              <w:right w:val="nil"/>
            </w:tcBorders>
            <w:shd w:val="clear" w:color="000000" w:fill="FFFFFF"/>
            <w:noWrap/>
            <w:vAlign w:val="center"/>
            <w:hideMark/>
          </w:tcPr>
          <w:p w14:paraId="76E01823"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nil"/>
              <w:left w:val="nil"/>
              <w:bottom w:val="nil"/>
              <w:right w:val="nil"/>
            </w:tcBorders>
            <w:shd w:val="clear" w:color="000000" w:fill="FFFFFF"/>
            <w:noWrap/>
            <w:vAlign w:val="center"/>
            <w:hideMark/>
          </w:tcPr>
          <w:p w14:paraId="0E0AE038"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Total</w:t>
            </w:r>
          </w:p>
        </w:tc>
      </w:tr>
      <w:tr w:rsidR="002C4687" w:rsidRPr="00954D98" w14:paraId="78B765CE" w14:textId="77777777" w:rsidTr="00F5171A">
        <w:trPr>
          <w:trHeight w:val="225"/>
        </w:trPr>
        <w:tc>
          <w:tcPr>
            <w:tcW w:w="2285" w:type="pct"/>
            <w:tcBorders>
              <w:top w:val="nil"/>
              <w:left w:val="nil"/>
              <w:bottom w:val="nil"/>
              <w:right w:val="nil"/>
            </w:tcBorders>
            <w:shd w:val="clear" w:color="000000" w:fill="FFFFFF"/>
            <w:noWrap/>
            <w:vAlign w:val="center"/>
            <w:hideMark/>
          </w:tcPr>
          <w:p w14:paraId="3FB99584" w14:textId="77777777" w:rsidR="00F5171A" w:rsidRPr="00954D98" w:rsidRDefault="00F5171A" w:rsidP="00F5171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single" w:sz="4" w:space="0" w:color="293F5B"/>
              <w:right w:val="nil"/>
            </w:tcBorders>
            <w:shd w:val="clear" w:color="000000" w:fill="E6F2FF"/>
            <w:noWrap/>
            <w:vAlign w:val="center"/>
            <w:hideMark/>
          </w:tcPr>
          <w:p w14:paraId="4DA9B8C0"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04" w:type="pct"/>
            <w:tcBorders>
              <w:top w:val="nil"/>
              <w:left w:val="nil"/>
              <w:bottom w:val="single" w:sz="4" w:space="0" w:color="293F5B"/>
              <w:right w:val="nil"/>
            </w:tcBorders>
            <w:shd w:val="clear" w:color="000000" w:fill="FFFFFF"/>
            <w:noWrap/>
            <w:vAlign w:val="center"/>
            <w:hideMark/>
          </w:tcPr>
          <w:p w14:paraId="032188C0"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04" w:type="pct"/>
            <w:tcBorders>
              <w:top w:val="nil"/>
              <w:left w:val="nil"/>
              <w:bottom w:val="single" w:sz="4" w:space="0" w:color="293F5B"/>
              <w:right w:val="nil"/>
            </w:tcBorders>
            <w:shd w:val="clear" w:color="000000" w:fill="FFFFFF"/>
            <w:noWrap/>
            <w:vAlign w:val="center"/>
            <w:hideMark/>
          </w:tcPr>
          <w:p w14:paraId="3887EFEA"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04" w:type="pct"/>
            <w:tcBorders>
              <w:top w:val="nil"/>
              <w:left w:val="nil"/>
              <w:bottom w:val="single" w:sz="4" w:space="0" w:color="293F5B"/>
              <w:right w:val="nil"/>
            </w:tcBorders>
            <w:shd w:val="clear" w:color="000000" w:fill="FFFFFF"/>
            <w:noWrap/>
            <w:vAlign w:val="center"/>
            <w:hideMark/>
          </w:tcPr>
          <w:p w14:paraId="520BA665"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65" w:type="pct"/>
            <w:tcBorders>
              <w:top w:val="nil"/>
              <w:left w:val="nil"/>
              <w:bottom w:val="nil"/>
              <w:right w:val="nil"/>
            </w:tcBorders>
            <w:shd w:val="clear" w:color="000000" w:fill="FFFFFF"/>
            <w:noWrap/>
            <w:vAlign w:val="center"/>
            <w:hideMark/>
          </w:tcPr>
          <w:p w14:paraId="23FB5EFD"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nil"/>
              <w:left w:val="nil"/>
              <w:bottom w:val="single" w:sz="4" w:space="0" w:color="293F5B"/>
              <w:right w:val="nil"/>
            </w:tcBorders>
            <w:shd w:val="clear" w:color="000000" w:fill="FFFFFF"/>
            <w:noWrap/>
            <w:vAlign w:val="center"/>
            <w:hideMark/>
          </w:tcPr>
          <w:p w14:paraId="7D77D1C5"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$m</w:t>
            </w:r>
          </w:p>
        </w:tc>
      </w:tr>
      <w:tr w:rsidR="00F5171A" w:rsidRPr="00954D98" w14:paraId="72AE3E89" w14:textId="77777777" w:rsidTr="00F5171A">
        <w:trPr>
          <w:trHeight w:hRule="exact" w:val="210"/>
        </w:trPr>
        <w:tc>
          <w:tcPr>
            <w:tcW w:w="2285" w:type="pct"/>
            <w:tcBorders>
              <w:top w:val="nil"/>
              <w:left w:val="nil"/>
              <w:bottom w:val="nil"/>
              <w:right w:val="nil"/>
            </w:tcBorders>
            <w:shd w:val="clear" w:color="000000" w:fill="FFFFFF"/>
            <w:noWrap/>
            <w:vAlign w:val="center"/>
            <w:hideMark/>
          </w:tcPr>
          <w:p w14:paraId="2EC977C3" w14:textId="77777777" w:rsidR="00F5171A" w:rsidRPr="00954D98" w:rsidRDefault="00F5171A" w:rsidP="00F5171A">
            <w:pPr>
              <w:spacing w:before="0" w:after="0" w:line="240" w:lineRule="auto"/>
              <w:rPr>
                <w:rFonts w:ascii="Arial" w:hAnsi="Arial" w:cs="Arial"/>
                <w:b/>
                <w:bCs/>
                <w:color w:val="FFFF00"/>
                <w:sz w:val="16"/>
                <w:szCs w:val="16"/>
              </w:rPr>
            </w:pPr>
            <w:r w:rsidRPr="00954D98">
              <w:rPr>
                <w:rFonts w:ascii="Arial" w:hAnsi="Arial" w:cs="Arial"/>
                <w:b/>
                <w:bCs/>
                <w:sz w:val="16"/>
                <w:szCs w:val="16"/>
              </w:rPr>
              <w:t>2025-26 Budget fiscal balance</w:t>
            </w:r>
          </w:p>
        </w:tc>
        <w:tc>
          <w:tcPr>
            <w:tcW w:w="504" w:type="pct"/>
            <w:tcBorders>
              <w:top w:val="nil"/>
              <w:left w:val="nil"/>
              <w:bottom w:val="nil"/>
              <w:right w:val="nil"/>
            </w:tcBorders>
            <w:shd w:val="clear" w:color="000000" w:fill="E6F2FF"/>
            <w:noWrap/>
            <w:vAlign w:val="center"/>
            <w:hideMark/>
          </w:tcPr>
          <w:p w14:paraId="02044B49" w14:textId="77777777" w:rsidR="00F5171A" w:rsidRPr="00954D98" w:rsidRDefault="00F5171A" w:rsidP="00F5171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-44,178</w:t>
            </w:r>
          </w:p>
        </w:tc>
        <w:tc>
          <w:tcPr>
            <w:tcW w:w="504" w:type="pct"/>
            <w:tcBorders>
              <w:top w:val="nil"/>
              <w:left w:val="nil"/>
              <w:bottom w:val="nil"/>
              <w:right w:val="nil"/>
            </w:tcBorders>
            <w:shd w:val="clear" w:color="000000" w:fill="FFFFFF"/>
            <w:noWrap/>
            <w:vAlign w:val="center"/>
            <w:hideMark/>
          </w:tcPr>
          <w:p w14:paraId="79C8E205" w14:textId="77777777" w:rsidR="00F5171A" w:rsidRPr="00954D98" w:rsidRDefault="00F5171A" w:rsidP="00F5171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-32,174</w:t>
            </w:r>
          </w:p>
        </w:tc>
        <w:tc>
          <w:tcPr>
            <w:tcW w:w="504" w:type="pct"/>
            <w:tcBorders>
              <w:top w:val="nil"/>
              <w:left w:val="nil"/>
              <w:bottom w:val="nil"/>
              <w:right w:val="nil"/>
            </w:tcBorders>
            <w:shd w:val="clear" w:color="000000" w:fill="FFFFFF"/>
            <w:noWrap/>
            <w:vAlign w:val="center"/>
            <w:hideMark/>
          </w:tcPr>
          <w:p w14:paraId="2A93C3FE" w14:textId="77777777" w:rsidR="00F5171A" w:rsidRPr="00954D98" w:rsidRDefault="00F5171A" w:rsidP="00F5171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-39,545</w:t>
            </w:r>
          </w:p>
        </w:tc>
        <w:tc>
          <w:tcPr>
            <w:tcW w:w="504" w:type="pct"/>
            <w:tcBorders>
              <w:top w:val="nil"/>
              <w:left w:val="nil"/>
              <w:bottom w:val="nil"/>
              <w:right w:val="nil"/>
            </w:tcBorders>
            <w:shd w:val="clear" w:color="000000" w:fill="FFFFFF"/>
            <w:noWrap/>
            <w:vAlign w:val="center"/>
            <w:hideMark/>
          </w:tcPr>
          <w:p w14:paraId="01D2C084" w14:textId="77777777" w:rsidR="00F5171A" w:rsidRPr="00954D98" w:rsidRDefault="00F5171A" w:rsidP="00F5171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-37,087</w:t>
            </w:r>
          </w:p>
        </w:tc>
        <w:tc>
          <w:tcPr>
            <w:tcW w:w="65" w:type="pct"/>
            <w:tcBorders>
              <w:top w:val="nil"/>
              <w:left w:val="nil"/>
              <w:bottom w:val="nil"/>
              <w:right w:val="nil"/>
            </w:tcBorders>
            <w:shd w:val="clear" w:color="000000" w:fill="FFFFFF"/>
            <w:noWrap/>
            <w:vAlign w:val="center"/>
            <w:hideMark/>
          </w:tcPr>
          <w:p w14:paraId="0D30483F" w14:textId="77777777" w:rsidR="00F5171A" w:rsidRPr="00954D98" w:rsidRDefault="00F5171A" w:rsidP="00F5171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35" w:type="pct"/>
            <w:tcBorders>
              <w:top w:val="nil"/>
              <w:left w:val="nil"/>
              <w:bottom w:val="nil"/>
              <w:right w:val="nil"/>
            </w:tcBorders>
            <w:shd w:val="clear" w:color="000000" w:fill="FFFFFF"/>
            <w:vAlign w:val="center"/>
            <w:hideMark/>
          </w:tcPr>
          <w:p w14:paraId="10504686" w14:textId="77777777" w:rsidR="00F5171A" w:rsidRPr="00954D98" w:rsidRDefault="00F5171A" w:rsidP="00F5171A">
            <w:pPr>
              <w:spacing w:before="0" w:after="0" w:line="240" w:lineRule="auto"/>
              <w:jc w:val="right"/>
              <w:rPr>
                <w:rFonts w:ascii="Arial" w:hAnsi="Arial" w:cs="Arial"/>
                <w:b/>
                <w:bCs/>
                <w:sz w:val="16"/>
                <w:szCs w:val="16"/>
              </w:rPr>
            </w:pPr>
            <w:r w:rsidRPr="00954D98">
              <w:rPr>
                <w:rFonts w:ascii="Arial" w:hAnsi="Arial" w:cs="Arial"/>
                <w:b/>
                <w:bCs/>
                <w:sz w:val="16"/>
                <w:szCs w:val="16"/>
              </w:rPr>
              <w:t>-152,985</w:t>
            </w:r>
          </w:p>
        </w:tc>
      </w:tr>
      <w:tr w:rsidR="00F5171A" w:rsidRPr="00954D98" w14:paraId="4B5B69D7" w14:textId="77777777" w:rsidTr="00F5171A">
        <w:trPr>
          <w:trHeight w:hRule="exact" w:val="200"/>
        </w:trPr>
        <w:tc>
          <w:tcPr>
            <w:tcW w:w="2285" w:type="pct"/>
            <w:tcBorders>
              <w:top w:val="nil"/>
              <w:left w:val="nil"/>
              <w:bottom w:val="nil"/>
              <w:right w:val="nil"/>
            </w:tcBorders>
            <w:shd w:val="clear" w:color="000000" w:fill="FFFFFF"/>
            <w:noWrap/>
            <w:vAlign w:val="center"/>
            <w:hideMark/>
          </w:tcPr>
          <w:p w14:paraId="21A203BF" w14:textId="77777777" w:rsidR="00F5171A" w:rsidRPr="00954D98" w:rsidRDefault="00F5171A" w:rsidP="00F5171A">
            <w:pPr>
              <w:spacing w:before="0" w:after="0" w:line="240" w:lineRule="auto"/>
              <w:rPr>
                <w:rFonts w:ascii="Arial" w:hAnsi="Arial" w:cs="Arial"/>
                <w:color w:val="FFFF00"/>
                <w:sz w:val="16"/>
                <w:szCs w:val="16"/>
              </w:rPr>
            </w:pPr>
            <w:r w:rsidRPr="00954D98">
              <w:rPr>
                <w:rFonts w:ascii="Arial" w:hAnsi="Arial" w:cs="Arial"/>
                <w:sz w:val="16"/>
                <w:szCs w:val="16"/>
              </w:rPr>
              <w:t>Per cent of GDP</w:t>
            </w:r>
          </w:p>
        </w:tc>
        <w:tc>
          <w:tcPr>
            <w:tcW w:w="504" w:type="pct"/>
            <w:tcBorders>
              <w:top w:val="nil"/>
              <w:left w:val="nil"/>
              <w:bottom w:val="nil"/>
              <w:right w:val="nil"/>
            </w:tcBorders>
            <w:shd w:val="clear" w:color="000000" w:fill="E6F2FF"/>
            <w:noWrap/>
            <w:vAlign w:val="center"/>
            <w:hideMark/>
          </w:tcPr>
          <w:p w14:paraId="5F767CE5"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-1.5</w:t>
            </w:r>
          </w:p>
        </w:tc>
        <w:tc>
          <w:tcPr>
            <w:tcW w:w="504" w:type="pct"/>
            <w:tcBorders>
              <w:top w:val="nil"/>
              <w:left w:val="nil"/>
              <w:bottom w:val="nil"/>
              <w:right w:val="nil"/>
            </w:tcBorders>
            <w:shd w:val="clear" w:color="000000" w:fill="FFFFFF"/>
            <w:noWrap/>
            <w:vAlign w:val="center"/>
            <w:hideMark/>
          </w:tcPr>
          <w:p w14:paraId="5FA2341B"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-1.1</w:t>
            </w:r>
          </w:p>
        </w:tc>
        <w:tc>
          <w:tcPr>
            <w:tcW w:w="504" w:type="pct"/>
            <w:tcBorders>
              <w:top w:val="nil"/>
              <w:left w:val="nil"/>
              <w:bottom w:val="nil"/>
              <w:right w:val="nil"/>
            </w:tcBorders>
            <w:shd w:val="clear" w:color="000000" w:fill="FFFFFF"/>
            <w:noWrap/>
            <w:vAlign w:val="center"/>
            <w:hideMark/>
          </w:tcPr>
          <w:p w14:paraId="6CB5E49F"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-1.3</w:t>
            </w:r>
          </w:p>
        </w:tc>
        <w:tc>
          <w:tcPr>
            <w:tcW w:w="504" w:type="pct"/>
            <w:tcBorders>
              <w:top w:val="nil"/>
              <w:left w:val="nil"/>
              <w:bottom w:val="nil"/>
              <w:right w:val="nil"/>
            </w:tcBorders>
            <w:shd w:val="clear" w:color="000000" w:fill="FFFFFF"/>
            <w:noWrap/>
            <w:vAlign w:val="center"/>
            <w:hideMark/>
          </w:tcPr>
          <w:p w14:paraId="1910886C"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-1.1</w:t>
            </w:r>
          </w:p>
        </w:tc>
        <w:tc>
          <w:tcPr>
            <w:tcW w:w="65" w:type="pct"/>
            <w:tcBorders>
              <w:top w:val="nil"/>
              <w:left w:val="nil"/>
              <w:bottom w:val="nil"/>
              <w:right w:val="nil"/>
            </w:tcBorders>
            <w:shd w:val="clear" w:color="000000" w:fill="FFFFFF"/>
            <w:noWrap/>
            <w:vAlign w:val="center"/>
            <w:hideMark/>
          </w:tcPr>
          <w:p w14:paraId="2A4E5700"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nil"/>
              <w:left w:val="nil"/>
              <w:bottom w:val="nil"/>
              <w:right w:val="nil"/>
            </w:tcBorders>
            <w:shd w:val="clear" w:color="000000" w:fill="FFFFFF"/>
            <w:noWrap/>
            <w:vAlign w:val="center"/>
            <w:hideMark/>
          </w:tcPr>
          <w:p w14:paraId="1A6C6495"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 </w:t>
            </w:r>
          </w:p>
        </w:tc>
      </w:tr>
      <w:tr w:rsidR="00F5171A" w:rsidRPr="00954D98" w14:paraId="1A9FB67F" w14:textId="77777777" w:rsidTr="00F5171A">
        <w:trPr>
          <w:trHeight w:hRule="exact" w:val="60"/>
        </w:trPr>
        <w:tc>
          <w:tcPr>
            <w:tcW w:w="2285" w:type="pct"/>
            <w:tcBorders>
              <w:top w:val="nil"/>
              <w:left w:val="nil"/>
              <w:bottom w:val="nil"/>
              <w:right w:val="nil"/>
            </w:tcBorders>
            <w:shd w:val="clear" w:color="000000" w:fill="FFFFFF"/>
            <w:noWrap/>
            <w:vAlign w:val="center"/>
            <w:hideMark/>
          </w:tcPr>
          <w:p w14:paraId="0CF84269" w14:textId="77777777" w:rsidR="00F5171A" w:rsidRPr="00954D98" w:rsidRDefault="00F5171A" w:rsidP="00F5171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E6F2FF"/>
            <w:noWrap/>
            <w:vAlign w:val="center"/>
            <w:hideMark/>
          </w:tcPr>
          <w:p w14:paraId="2B187FCD"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65EBA427"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1C054D5A"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12753FBA"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5" w:type="pct"/>
            <w:tcBorders>
              <w:top w:val="nil"/>
              <w:left w:val="nil"/>
              <w:bottom w:val="nil"/>
              <w:right w:val="nil"/>
            </w:tcBorders>
            <w:shd w:val="clear" w:color="000000" w:fill="FFFFFF"/>
            <w:noWrap/>
            <w:vAlign w:val="center"/>
            <w:hideMark/>
          </w:tcPr>
          <w:p w14:paraId="371A87BB"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nil"/>
              <w:left w:val="nil"/>
              <w:bottom w:val="nil"/>
              <w:right w:val="nil"/>
            </w:tcBorders>
            <w:shd w:val="clear" w:color="000000" w:fill="FFFFFF"/>
            <w:noWrap/>
            <w:vAlign w:val="center"/>
            <w:hideMark/>
          </w:tcPr>
          <w:p w14:paraId="0FD5DD83"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 </w:t>
            </w:r>
          </w:p>
        </w:tc>
      </w:tr>
      <w:tr w:rsidR="00F5171A" w:rsidRPr="00954D98" w14:paraId="2B676A1E" w14:textId="77777777" w:rsidTr="00F5171A">
        <w:trPr>
          <w:trHeight w:hRule="exact" w:val="60"/>
        </w:trPr>
        <w:tc>
          <w:tcPr>
            <w:tcW w:w="2285" w:type="pct"/>
            <w:tcBorders>
              <w:top w:val="nil"/>
              <w:left w:val="nil"/>
              <w:bottom w:val="nil"/>
              <w:right w:val="nil"/>
            </w:tcBorders>
            <w:shd w:val="clear" w:color="000000" w:fill="FFFFFF"/>
            <w:noWrap/>
            <w:vAlign w:val="center"/>
            <w:hideMark/>
          </w:tcPr>
          <w:p w14:paraId="7C28D9AF" w14:textId="77777777" w:rsidR="00F5171A" w:rsidRPr="00954D98" w:rsidRDefault="00F5171A" w:rsidP="00F5171A">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04" w:type="pct"/>
            <w:tcBorders>
              <w:top w:val="nil"/>
              <w:left w:val="nil"/>
              <w:bottom w:val="nil"/>
              <w:right w:val="nil"/>
            </w:tcBorders>
            <w:shd w:val="clear" w:color="000000" w:fill="E6F2FF"/>
            <w:noWrap/>
            <w:vAlign w:val="center"/>
            <w:hideMark/>
          </w:tcPr>
          <w:p w14:paraId="46340D94"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55F9BC1C"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68B253BD"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1C436423"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5" w:type="pct"/>
            <w:tcBorders>
              <w:top w:val="nil"/>
              <w:left w:val="nil"/>
              <w:bottom w:val="nil"/>
              <w:right w:val="nil"/>
            </w:tcBorders>
            <w:shd w:val="clear" w:color="000000" w:fill="FFFFFF"/>
            <w:noWrap/>
            <w:vAlign w:val="center"/>
            <w:hideMark/>
          </w:tcPr>
          <w:p w14:paraId="60654A76"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nil"/>
              <w:left w:val="nil"/>
              <w:bottom w:val="nil"/>
              <w:right w:val="nil"/>
            </w:tcBorders>
            <w:shd w:val="clear" w:color="000000" w:fill="FFFFFF"/>
            <w:noWrap/>
            <w:vAlign w:val="center"/>
            <w:hideMark/>
          </w:tcPr>
          <w:p w14:paraId="28E6701A"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 </w:t>
            </w:r>
          </w:p>
        </w:tc>
      </w:tr>
      <w:tr w:rsidR="00F5171A" w:rsidRPr="00954D98" w14:paraId="6AD89788" w14:textId="77777777" w:rsidTr="00F5171A">
        <w:trPr>
          <w:trHeight w:hRule="exact" w:val="225"/>
        </w:trPr>
        <w:tc>
          <w:tcPr>
            <w:tcW w:w="2285" w:type="pct"/>
            <w:tcBorders>
              <w:top w:val="nil"/>
              <w:left w:val="nil"/>
              <w:bottom w:val="nil"/>
              <w:right w:val="nil"/>
            </w:tcBorders>
            <w:shd w:val="clear" w:color="000000" w:fill="FFFFFF"/>
            <w:noWrap/>
            <w:vAlign w:val="center"/>
            <w:hideMark/>
          </w:tcPr>
          <w:p w14:paraId="395EBE1E" w14:textId="77777777" w:rsidR="00F5171A" w:rsidRPr="00954D98" w:rsidRDefault="00F5171A" w:rsidP="00F5171A">
            <w:pPr>
              <w:spacing w:before="0" w:after="0" w:line="240" w:lineRule="auto"/>
              <w:rPr>
                <w:rFonts w:ascii="Arial" w:hAnsi="Arial" w:cs="Arial"/>
                <w:b/>
                <w:bCs/>
                <w:color w:val="FFFF00"/>
                <w:sz w:val="16"/>
                <w:szCs w:val="16"/>
              </w:rPr>
            </w:pPr>
            <w:r w:rsidRPr="00954D98">
              <w:rPr>
                <w:rFonts w:ascii="Arial" w:hAnsi="Arial" w:cs="Arial"/>
                <w:b/>
                <w:bCs/>
                <w:sz w:val="16"/>
                <w:szCs w:val="16"/>
              </w:rPr>
              <w:t>2025 PEFO fiscal balance</w:t>
            </w:r>
          </w:p>
        </w:tc>
        <w:tc>
          <w:tcPr>
            <w:tcW w:w="504" w:type="pct"/>
            <w:tcBorders>
              <w:top w:val="nil"/>
              <w:left w:val="nil"/>
              <w:bottom w:val="nil"/>
              <w:right w:val="nil"/>
            </w:tcBorders>
            <w:shd w:val="clear" w:color="000000" w:fill="E6F2FF"/>
            <w:noWrap/>
            <w:vAlign w:val="center"/>
            <w:hideMark/>
          </w:tcPr>
          <w:p w14:paraId="02B047BD" w14:textId="77777777" w:rsidR="00F5171A" w:rsidRPr="00954D98" w:rsidRDefault="00F5171A" w:rsidP="00F5171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-44,221</w:t>
            </w:r>
          </w:p>
        </w:tc>
        <w:tc>
          <w:tcPr>
            <w:tcW w:w="504" w:type="pct"/>
            <w:tcBorders>
              <w:top w:val="nil"/>
              <w:left w:val="nil"/>
              <w:bottom w:val="nil"/>
              <w:right w:val="nil"/>
            </w:tcBorders>
            <w:shd w:val="clear" w:color="000000" w:fill="FFFFFF"/>
            <w:noWrap/>
            <w:vAlign w:val="center"/>
            <w:hideMark/>
          </w:tcPr>
          <w:p w14:paraId="3FBCD209" w14:textId="77777777" w:rsidR="00F5171A" w:rsidRPr="00954D98" w:rsidRDefault="00F5171A" w:rsidP="00F5171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-32,116</w:t>
            </w:r>
          </w:p>
        </w:tc>
        <w:tc>
          <w:tcPr>
            <w:tcW w:w="504" w:type="pct"/>
            <w:tcBorders>
              <w:top w:val="nil"/>
              <w:left w:val="nil"/>
              <w:bottom w:val="nil"/>
              <w:right w:val="nil"/>
            </w:tcBorders>
            <w:shd w:val="clear" w:color="000000" w:fill="FFFFFF"/>
            <w:noWrap/>
            <w:vAlign w:val="center"/>
            <w:hideMark/>
          </w:tcPr>
          <w:p w14:paraId="49D27BD6" w14:textId="77777777" w:rsidR="00F5171A" w:rsidRPr="00954D98" w:rsidRDefault="00F5171A" w:rsidP="00F5171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-39,385</w:t>
            </w:r>
          </w:p>
        </w:tc>
        <w:tc>
          <w:tcPr>
            <w:tcW w:w="504" w:type="pct"/>
            <w:tcBorders>
              <w:top w:val="nil"/>
              <w:left w:val="nil"/>
              <w:bottom w:val="nil"/>
              <w:right w:val="nil"/>
            </w:tcBorders>
            <w:shd w:val="clear" w:color="000000" w:fill="FFFFFF"/>
            <w:noWrap/>
            <w:vAlign w:val="center"/>
            <w:hideMark/>
          </w:tcPr>
          <w:p w14:paraId="2AE5A60C" w14:textId="77777777" w:rsidR="00F5171A" w:rsidRPr="00954D98" w:rsidRDefault="00F5171A" w:rsidP="00F5171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-37,261</w:t>
            </w:r>
          </w:p>
        </w:tc>
        <w:tc>
          <w:tcPr>
            <w:tcW w:w="65" w:type="pct"/>
            <w:tcBorders>
              <w:top w:val="nil"/>
              <w:left w:val="nil"/>
              <w:bottom w:val="nil"/>
              <w:right w:val="nil"/>
            </w:tcBorders>
            <w:shd w:val="clear" w:color="000000" w:fill="FFFFFF"/>
            <w:noWrap/>
            <w:vAlign w:val="center"/>
            <w:hideMark/>
          </w:tcPr>
          <w:p w14:paraId="471FE404" w14:textId="77777777" w:rsidR="00F5171A" w:rsidRPr="00954D98" w:rsidRDefault="00F5171A" w:rsidP="00F5171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35" w:type="pct"/>
            <w:tcBorders>
              <w:top w:val="nil"/>
              <w:left w:val="nil"/>
              <w:bottom w:val="nil"/>
              <w:right w:val="nil"/>
            </w:tcBorders>
            <w:shd w:val="clear" w:color="000000" w:fill="FFFFFF"/>
            <w:noWrap/>
            <w:vAlign w:val="center"/>
            <w:hideMark/>
          </w:tcPr>
          <w:p w14:paraId="2D7B3623" w14:textId="77777777" w:rsidR="00F5171A" w:rsidRPr="00954D98" w:rsidRDefault="00F5171A" w:rsidP="00F5171A">
            <w:pPr>
              <w:spacing w:before="0" w:after="0" w:line="240" w:lineRule="auto"/>
              <w:jc w:val="right"/>
              <w:rPr>
                <w:rFonts w:ascii="Arial" w:hAnsi="Arial" w:cs="Arial"/>
                <w:b/>
                <w:bCs/>
                <w:sz w:val="16"/>
                <w:szCs w:val="16"/>
              </w:rPr>
            </w:pPr>
            <w:r w:rsidRPr="00954D98">
              <w:rPr>
                <w:rFonts w:ascii="Arial" w:hAnsi="Arial" w:cs="Arial"/>
                <w:b/>
                <w:bCs/>
                <w:sz w:val="16"/>
                <w:szCs w:val="16"/>
              </w:rPr>
              <w:t>-152,984</w:t>
            </w:r>
          </w:p>
        </w:tc>
      </w:tr>
      <w:tr w:rsidR="00F5171A" w:rsidRPr="00954D98" w14:paraId="3D82A34D" w14:textId="77777777" w:rsidTr="00F5171A">
        <w:trPr>
          <w:trHeight w:hRule="exact" w:val="225"/>
        </w:trPr>
        <w:tc>
          <w:tcPr>
            <w:tcW w:w="2285" w:type="pct"/>
            <w:tcBorders>
              <w:top w:val="nil"/>
              <w:left w:val="nil"/>
              <w:bottom w:val="nil"/>
              <w:right w:val="nil"/>
            </w:tcBorders>
            <w:shd w:val="clear" w:color="000000" w:fill="FFFFFF"/>
            <w:noWrap/>
            <w:vAlign w:val="center"/>
            <w:hideMark/>
          </w:tcPr>
          <w:p w14:paraId="123A2CCD" w14:textId="77777777" w:rsidR="00F5171A" w:rsidRPr="00954D98" w:rsidRDefault="00F5171A" w:rsidP="00F5171A">
            <w:pPr>
              <w:spacing w:before="0" w:after="0" w:line="240" w:lineRule="auto"/>
              <w:rPr>
                <w:rFonts w:ascii="Arial" w:hAnsi="Arial" w:cs="Arial"/>
                <w:color w:val="FFFF00"/>
                <w:sz w:val="16"/>
                <w:szCs w:val="16"/>
              </w:rPr>
            </w:pPr>
            <w:r w:rsidRPr="00954D98">
              <w:rPr>
                <w:rFonts w:ascii="Arial" w:hAnsi="Arial" w:cs="Arial"/>
                <w:sz w:val="16"/>
                <w:szCs w:val="16"/>
              </w:rPr>
              <w:t>Per cent of GDP</w:t>
            </w:r>
          </w:p>
        </w:tc>
        <w:tc>
          <w:tcPr>
            <w:tcW w:w="504" w:type="pct"/>
            <w:tcBorders>
              <w:top w:val="nil"/>
              <w:left w:val="nil"/>
              <w:bottom w:val="nil"/>
              <w:right w:val="nil"/>
            </w:tcBorders>
            <w:shd w:val="clear" w:color="000000" w:fill="E6F2FF"/>
            <w:noWrap/>
            <w:vAlign w:val="center"/>
            <w:hideMark/>
          </w:tcPr>
          <w:p w14:paraId="5CD579A1"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-1.5</w:t>
            </w:r>
          </w:p>
        </w:tc>
        <w:tc>
          <w:tcPr>
            <w:tcW w:w="504" w:type="pct"/>
            <w:tcBorders>
              <w:top w:val="nil"/>
              <w:left w:val="nil"/>
              <w:bottom w:val="nil"/>
              <w:right w:val="nil"/>
            </w:tcBorders>
            <w:shd w:val="clear" w:color="000000" w:fill="FFFFFF"/>
            <w:noWrap/>
            <w:vAlign w:val="center"/>
            <w:hideMark/>
          </w:tcPr>
          <w:p w14:paraId="04A8086F"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-1.1</w:t>
            </w:r>
          </w:p>
        </w:tc>
        <w:tc>
          <w:tcPr>
            <w:tcW w:w="504" w:type="pct"/>
            <w:tcBorders>
              <w:top w:val="nil"/>
              <w:left w:val="nil"/>
              <w:bottom w:val="nil"/>
              <w:right w:val="nil"/>
            </w:tcBorders>
            <w:shd w:val="clear" w:color="000000" w:fill="FFFFFF"/>
            <w:noWrap/>
            <w:vAlign w:val="center"/>
            <w:hideMark/>
          </w:tcPr>
          <w:p w14:paraId="3D582FDD"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-1.3</w:t>
            </w:r>
          </w:p>
        </w:tc>
        <w:tc>
          <w:tcPr>
            <w:tcW w:w="504" w:type="pct"/>
            <w:tcBorders>
              <w:top w:val="nil"/>
              <w:left w:val="nil"/>
              <w:bottom w:val="nil"/>
              <w:right w:val="nil"/>
            </w:tcBorders>
            <w:shd w:val="clear" w:color="000000" w:fill="FFFFFF"/>
            <w:noWrap/>
            <w:vAlign w:val="center"/>
            <w:hideMark/>
          </w:tcPr>
          <w:p w14:paraId="7B310B32"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-1.1</w:t>
            </w:r>
          </w:p>
        </w:tc>
        <w:tc>
          <w:tcPr>
            <w:tcW w:w="65" w:type="pct"/>
            <w:tcBorders>
              <w:top w:val="nil"/>
              <w:left w:val="nil"/>
              <w:bottom w:val="nil"/>
              <w:right w:val="nil"/>
            </w:tcBorders>
            <w:shd w:val="clear" w:color="000000" w:fill="FFFFFF"/>
            <w:noWrap/>
            <w:vAlign w:val="center"/>
            <w:hideMark/>
          </w:tcPr>
          <w:p w14:paraId="23877C2B"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nil"/>
              <w:left w:val="nil"/>
              <w:bottom w:val="nil"/>
              <w:right w:val="nil"/>
            </w:tcBorders>
            <w:shd w:val="clear" w:color="000000" w:fill="FFFFFF"/>
            <w:noWrap/>
            <w:vAlign w:val="center"/>
            <w:hideMark/>
          </w:tcPr>
          <w:p w14:paraId="1FB352F7"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 </w:t>
            </w:r>
          </w:p>
        </w:tc>
      </w:tr>
      <w:tr w:rsidR="00F5171A" w:rsidRPr="00954D98" w14:paraId="5DAC2CC4" w14:textId="77777777" w:rsidTr="00F5171A">
        <w:trPr>
          <w:trHeight w:hRule="exact" w:val="60"/>
        </w:trPr>
        <w:tc>
          <w:tcPr>
            <w:tcW w:w="2285" w:type="pct"/>
            <w:tcBorders>
              <w:top w:val="nil"/>
              <w:left w:val="nil"/>
              <w:bottom w:val="nil"/>
              <w:right w:val="nil"/>
            </w:tcBorders>
            <w:shd w:val="clear" w:color="000000" w:fill="FFFFFF"/>
            <w:noWrap/>
            <w:vAlign w:val="center"/>
            <w:hideMark/>
          </w:tcPr>
          <w:p w14:paraId="57BF8515" w14:textId="77777777" w:rsidR="00F5171A" w:rsidRPr="00954D98" w:rsidRDefault="00F5171A" w:rsidP="00F5171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E6F2FF"/>
            <w:noWrap/>
            <w:vAlign w:val="center"/>
            <w:hideMark/>
          </w:tcPr>
          <w:p w14:paraId="696154BD"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55FCB5E5"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5ADAE6DC"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1AD76981"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5" w:type="pct"/>
            <w:tcBorders>
              <w:top w:val="nil"/>
              <w:left w:val="nil"/>
              <w:bottom w:val="nil"/>
              <w:right w:val="nil"/>
            </w:tcBorders>
            <w:shd w:val="clear" w:color="000000" w:fill="FFFFFF"/>
            <w:noWrap/>
            <w:vAlign w:val="center"/>
            <w:hideMark/>
          </w:tcPr>
          <w:p w14:paraId="54F73CB3"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nil"/>
              <w:left w:val="nil"/>
              <w:bottom w:val="nil"/>
              <w:right w:val="nil"/>
            </w:tcBorders>
            <w:shd w:val="clear" w:color="000000" w:fill="FFFFFF"/>
            <w:noWrap/>
            <w:vAlign w:val="center"/>
            <w:hideMark/>
          </w:tcPr>
          <w:p w14:paraId="2BE079C4"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 </w:t>
            </w:r>
          </w:p>
        </w:tc>
      </w:tr>
      <w:tr w:rsidR="00F5171A" w:rsidRPr="00954D98" w14:paraId="5D6D5F2F" w14:textId="77777777" w:rsidTr="00F5171A">
        <w:trPr>
          <w:trHeight w:hRule="exact" w:val="225"/>
        </w:trPr>
        <w:tc>
          <w:tcPr>
            <w:tcW w:w="2285" w:type="pct"/>
            <w:tcBorders>
              <w:top w:val="nil"/>
              <w:left w:val="nil"/>
              <w:bottom w:val="nil"/>
              <w:right w:val="nil"/>
            </w:tcBorders>
            <w:shd w:val="clear" w:color="000000" w:fill="FFFFFF"/>
            <w:noWrap/>
            <w:vAlign w:val="center"/>
            <w:hideMark/>
          </w:tcPr>
          <w:p w14:paraId="313E4FDE" w14:textId="77777777" w:rsidR="00F5171A" w:rsidRPr="00954D98" w:rsidRDefault="00F5171A" w:rsidP="00F5171A">
            <w:pPr>
              <w:spacing w:before="0" w:after="0" w:line="240" w:lineRule="auto"/>
              <w:rPr>
                <w:rFonts w:ascii="Arial" w:hAnsi="Arial" w:cs="Arial"/>
                <w:b/>
                <w:bCs/>
                <w:color w:val="FFFF00"/>
                <w:sz w:val="16"/>
                <w:szCs w:val="16"/>
              </w:rPr>
            </w:pPr>
            <w:r w:rsidRPr="00954D98">
              <w:rPr>
                <w:rFonts w:ascii="Arial" w:hAnsi="Arial" w:cs="Arial"/>
                <w:b/>
                <w:bCs/>
                <w:sz w:val="16"/>
                <w:szCs w:val="16"/>
              </w:rPr>
              <w:t>Changes from 2025 PEFO</w:t>
            </w:r>
          </w:p>
        </w:tc>
        <w:tc>
          <w:tcPr>
            <w:tcW w:w="504" w:type="pct"/>
            <w:tcBorders>
              <w:top w:val="nil"/>
              <w:left w:val="nil"/>
              <w:bottom w:val="nil"/>
              <w:right w:val="nil"/>
            </w:tcBorders>
            <w:shd w:val="clear" w:color="000000" w:fill="E6F2FF"/>
            <w:noWrap/>
            <w:vAlign w:val="center"/>
            <w:hideMark/>
          </w:tcPr>
          <w:p w14:paraId="3E8ACA5F"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6D82665E"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3E9E0568"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4F4237EE"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5" w:type="pct"/>
            <w:tcBorders>
              <w:top w:val="nil"/>
              <w:left w:val="nil"/>
              <w:bottom w:val="nil"/>
              <w:right w:val="nil"/>
            </w:tcBorders>
            <w:shd w:val="clear" w:color="000000" w:fill="FFFFFF"/>
            <w:noWrap/>
            <w:vAlign w:val="center"/>
            <w:hideMark/>
          </w:tcPr>
          <w:p w14:paraId="3A687470"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nil"/>
              <w:left w:val="nil"/>
              <w:bottom w:val="nil"/>
              <w:right w:val="nil"/>
            </w:tcBorders>
            <w:shd w:val="clear" w:color="000000" w:fill="FFFFFF"/>
            <w:noWrap/>
            <w:vAlign w:val="center"/>
            <w:hideMark/>
          </w:tcPr>
          <w:p w14:paraId="5447B165"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 </w:t>
            </w:r>
          </w:p>
        </w:tc>
      </w:tr>
      <w:tr w:rsidR="00F5171A" w:rsidRPr="00954D98" w14:paraId="6EF82E87" w14:textId="77777777" w:rsidTr="00F5171A">
        <w:trPr>
          <w:trHeight w:hRule="exact" w:val="225"/>
        </w:trPr>
        <w:tc>
          <w:tcPr>
            <w:tcW w:w="2285" w:type="pct"/>
            <w:tcBorders>
              <w:top w:val="nil"/>
              <w:left w:val="nil"/>
              <w:bottom w:val="nil"/>
              <w:right w:val="nil"/>
            </w:tcBorders>
            <w:shd w:val="clear" w:color="000000" w:fill="FFFFFF"/>
            <w:noWrap/>
            <w:vAlign w:val="center"/>
            <w:hideMark/>
          </w:tcPr>
          <w:p w14:paraId="47E972B4" w14:textId="77777777" w:rsidR="00F5171A" w:rsidRPr="00954D98" w:rsidRDefault="00F5171A" w:rsidP="00F5171A">
            <w:pPr>
              <w:spacing w:before="0" w:after="0" w:line="240" w:lineRule="auto"/>
              <w:ind w:firstLineChars="100" w:firstLine="161"/>
              <w:rPr>
                <w:rFonts w:ascii="Arial" w:hAnsi="Arial" w:cs="Arial"/>
                <w:b/>
                <w:bCs/>
                <w:color w:val="FFFF00"/>
                <w:sz w:val="16"/>
                <w:szCs w:val="16"/>
              </w:rPr>
            </w:pPr>
            <w:r w:rsidRPr="00954D98">
              <w:rPr>
                <w:rFonts w:ascii="Arial" w:hAnsi="Arial" w:cs="Arial"/>
                <w:b/>
                <w:bCs/>
                <w:sz w:val="16"/>
                <w:szCs w:val="16"/>
              </w:rPr>
              <w:t>to 2025-26 MYEFO</w:t>
            </w:r>
          </w:p>
        </w:tc>
        <w:tc>
          <w:tcPr>
            <w:tcW w:w="504" w:type="pct"/>
            <w:tcBorders>
              <w:top w:val="nil"/>
              <w:left w:val="nil"/>
              <w:bottom w:val="nil"/>
              <w:right w:val="nil"/>
            </w:tcBorders>
            <w:shd w:val="clear" w:color="000000" w:fill="E6F2FF"/>
            <w:noWrap/>
            <w:vAlign w:val="center"/>
            <w:hideMark/>
          </w:tcPr>
          <w:p w14:paraId="61E23B0E"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3F0075DB"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0FB6305F"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5B6A6FDF"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5" w:type="pct"/>
            <w:tcBorders>
              <w:top w:val="nil"/>
              <w:left w:val="nil"/>
              <w:bottom w:val="nil"/>
              <w:right w:val="nil"/>
            </w:tcBorders>
            <w:shd w:val="clear" w:color="000000" w:fill="FFFFFF"/>
            <w:noWrap/>
            <w:vAlign w:val="center"/>
            <w:hideMark/>
          </w:tcPr>
          <w:p w14:paraId="1D52A32B"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nil"/>
              <w:left w:val="nil"/>
              <w:bottom w:val="nil"/>
              <w:right w:val="nil"/>
            </w:tcBorders>
            <w:shd w:val="clear" w:color="000000" w:fill="FFFFFF"/>
            <w:noWrap/>
            <w:vAlign w:val="center"/>
            <w:hideMark/>
          </w:tcPr>
          <w:p w14:paraId="064A6458"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 </w:t>
            </w:r>
          </w:p>
        </w:tc>
      </w:tr>
      <w:tr w:rsidR="00F5171A" w:rsidRPr="00954D98" w14:paraId="66C21188" w14:textId="77777777" w:rsidTr="00F5171A">
        <w:trPr>
          <w:trHeight w:hRule="exact" w:val="225"/>
        </w:trPr>
        <w:tc>
          <w:tcPr>
            <w:tcW w:w="2285" w:type="pct"/>
            <w:tcBorders>
              <w:top w:val="nil"/>
              <w:left w:val="nil"/>
              <w:bottom w:val="nil"/>
              <w:right w:val="nil"/>
            </w:tcBorders>
            <w:shd w:val="clear" w:color="000000" w:fill="FFFFFF"/>
            <w:noWrap/>
            <w:vAlign w:val="center"/>
            <w:hideMark/>
          </w:tcPr>
          <w:p w14:paraId="421DD17A" w14:textId="77777777" w:rsidR="00F5171A" w:rsidRPr="00954D98" w:rsidRDefault="00F5171A" w:rsidP="00F5171A">
            <w:pPr>
              <w:spacing w:before="0" w:after="0" w:line="240" w:lineRule="auto"/>
              <w:rPr>
                <w:rFonts w:ascii="Arial" w:hAnsi="Arial" w:cs="Arial"/>
                <w:color w:val="FFFF00"/>
                <w:sz w:val="16"/>
                <w:szCs w:val="16"/>
              </w:rPr>
            </w:pPr>
            <w:r w:rsidRPr="00954D98">
              <w:rPr>
                <w:rFonts w:ascii="Arial" w:hAnsi="Arial" w:cs="Arial"/>
                <w:sz w:val="16"/>
                <w:szCs w:val="16"/>
              </w:rPr>
              <w:t>Effect of policy decisions(a)(b)</w:t>
            </w:r>
          </w:p>
        </w:tc>
        <w:tc>
          <w:tcPr>
            <w:tcW w:w="504" w:type="pct"/>
            <w:tcBorders>
              <w:top w:val="nil"/>
              <w:left w:val="nil"/>
              <w:bottom w:val="nil"/>
              <w:right w:val="nil"/>
            </w:tcBorders>
            <w:shd w:val="clear" w:color="000000" w:fill="E6F2FF"/>
            <w:noWrap/>
            <w:vAlign w:val="center"/>
            <w:hideMark/>
          </w:tcPr>
          <w:p w14:paraId="0CFA0679"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6ED6F891"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480ABDC0"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5F1E37F4"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5" w:type="pct"/>
            <w:tcBorders>
              <w:top w:val="nil"/>
              <w:left w:val="nil"/>
              <w:bottom w:val="nil"/>
              <w:right w:val="nil"/>
            </w:tcBorders>
            <w:shd w:val="clear" w:color="000000" w:fill="FFFFFF"/>
            <w:noWrap/>
            <w:vAlign w:val="center"/>
            <w:hideMark/>
          </w:tcPr>
          <w:p w14:paraId="2555773D"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nil"/>
              <w:left w:val="nil"/>
              <w:bottom w:val="nil"/>
              <w:right w:val="nil"/>
            </w:tcBorders>
            <w:shd w:val="clear" w:color="000000" w:fill="FFFFFF"/>
            <w:noWrap/>
            <w:vAlign w:val="center"/>
            <w:hideMark/>
          </w:tcPr>
          <w:p w14:paraId="5ACC32B4"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 </w:t>
            </w:r>
          </w:p>
        </w:tc>
      </w:tr>
      <w:tr w:rsidR="00F5171A" w:rsidRPr="00954D98" w14:paraId="348F11BE" w14:textId="77777777" w:rsidTr="00F5171A">
        <w:trPr>
          <w:trHeight w:hRule="exact" w:val="225"/>
        </w:trPr>
        <w:tc>
          <w:tcPr>
            <w:tcW w:w="2285" w:type="pct"/>
            <w:tcBorders>
              <w:top w:val="nil"/>
              <w:left w:val="nil"/>
              <w:bottom w:val="nil"/>
              <w:right w:val="nil"/>
            </w:tcBorders>
            <w:shd w:val="clear" w:color="000000" w:fill="FFFFFF"/>
            <w:noWrap/>
            <w:vAlign w:val="center"/>
            <w:hideMark/>
          </w:tcPr>
          <w:p w14:paraId="3E278F0F" w14:textId="77777777" w:rsidR="00F5171A" w:rsidRPr="00954D98" w:rsidRDefault="00F5171A" w:rsidP="00F5171A">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Revenue</w:t>
            </w:r>
          </w:p>
        </w:tc>
        <w:tc>
          <w:tcPr>
            <w:tcW w:w="504" w:type="pct"/>
            <w:tcBorders>
              <w:top w:val="nil"/>
              <w:left w:val="nil"/>
              <w:bottom w:val="nil"/>
              <w:right w:val="nil"/>
            </w:tcBorders>
            <w:shd w:val="clear" w:color="000000" w:fill="E6F2FF"/>
            <w:noWrap/>
            <w:vAlign w:val="center"/>
            <w:hideMark/>
          </w:tcPr>
          <w:p w14:paraId="0EA80792"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-895</w:t>
            </w:r>
          </w:p>
        </w:tc>
        <w:tc>
          <w:tcPr>
            <w:tcW w:w="504" w:type="pct"/>
            <w:tcBorders>
              <w:top w:val="nil"/>
              <w:left w:val="nil"/>
              <w:bottom w:val="nil"/>
              <w:right w:val="nil"/>
            </w:tcBorders>
            <w:shd w:val="clear" w:color="000000" w:fill="FFFFFF"/>
            <w:noWrap/>
            <w:vAlign w:val="center"/>
            <w:hideMark/>
          </w:tcPr>
          <w:p w14:paraId="5F372CB3"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-676</w:t>
            </w:r>
          </w:p>
        </w:tc>
        <w:tc>
          <w:tcPr>
            <w:tcW w:w="504" w:type="pct"/>
            <w:tcBorders>
              <w:top w:val="nil"/>
              <w:left w:val="nil"/>
              <w:bottom w:val="nil"/>
              <w:right w:val="nil"/>
            </w:tcBorders>
            <w:shd w:val="clear" w:color="000000" w:fill="FFFFFF"/>
            <w:noWrap/>
            <w:vAlign w:val="center"/>
            <w:hideMark/>
          </w:tcPr>
          <w:p w14:paraId="62BAC5DD"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-1,334</w:t>
            </w:r>
          </w:p>
        </w:tc>
        <w:tc>
          <w:tcPr>
            <w:tcW w:w="504" w:type="pct"/>
            <w:tcBorders>
              <w:top w:val="nil"/>
              <w:left w:val="nil"/>
              <w:bottom w:val="nil"/>
              <w:right w:val="nil"/>
            </w:tcBorders>
            <w:shd w:val="clear" w:color="000000" w:fill="FFFFFF"/>
            <w:noWrap/>
            <w:vAlign w:val="center"/>
            <w:hideMark/>
          </w:tcPr>
          <w:p w14:paraId="32458C46"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-971</w:t>
            </w:r>
          </w:p>
        </w:tc>
        <w:tc>
          <w:tcPr>
            <w:tcW w:w="65" w:type="pct"/>
            <w:tcBorders>
              <w:top w:val="nil"/>
              <w:left w:val="nil"/>
              <w:bottom w:val="nil"/>
              <w:right w:val="nil"/>
            </w:tcBorders>
            <w:shd w:val="clear" w:color="000000" w:fill="FFFFFF"/>
            <w:noWrap/>
            <w:vAlign w:val="center"/>
            <w:hideMark/>
          </w:tcPr>
          <w:p w14:paraId="31231CDE"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635" w:type="pct"/>
            <w:tcBorders>
              <w:top w:val="nil"/>
              <w:left w:val="nil"/>
              <w:bottom w:val="nil"/>
              <w:right w:val="nil"/>
            </w:tcBorders>
            <w:shd w:val="clear" w:color="000000" w:fill="FFFFFF"/>
            <w:noWrap/>
            <w:vAlign w:val="center"/>
            <w:hideMark/>
          </w:tcPr>
          <w:p w14:paraId="2B173669" w14:textId="77777777" w:rsidR="00F5171A" w:rsidRPr="00954D98" w:rsidRDefault="00F5171A" w:rsidP="00F5171A">
            <w:pPr>
              <w:spacing w:before="0" w:after="0" w:line="240" w:lineRule="auto"/>
              <w:jc w:val="right"/>
              <w:rPr>
                <w:rFonts w:ascii="Arial" w:hAnsi="Arial" w:cs="Arial"/>
                <w:i/>
                <w:iCs/>
                <w:sz w:val="16"/>
                <w:szCs w:val="16"/>
              </w:rPr>
            </w:pPr>
            <w:r w:rsidRPr="00954D98">
              <w:rPr>
                <w:rFonts w:ascii="Arial" w:hAnsi="Arial" w:cs="Arial"/>
                <w:i/>
                <w:iCs/>
                <w:sz w:val="16"/>
                <w:szCs w:val="16"/>
              </w:rPr>
              <w:t>-3,877</w:t>
            </w:r>
          </w:p>
        </w:tc>
      </w:tr>
      <w:tr w:rsidR="00F5171A" w:rsidRPr="00954D98" w14:paraId="272DD8BD" w14:textId="77777777" w:rsidTr="00F5171A">
        <w:trPr>
          <w:trHeight w:hRule="exact" w:val="225"/>
        </w:trPr>
        <w:tc>
          <w:tcPr>
            <w:tcW w:w="2285" w:type="pct"/>
            <w:tcBorders>
              <w:top w:val="nil"/>
              <w:left w:val="nil"/>
              <w:bottom w:val="nil"/>
              <w:right w:val="nil"/>
            </w:tcBorders>
            <w:shd w:val="clear" w:color="000000" w:fill="FFFFFF"/>
            <w:noWrap/>
            <w:vAlign w:val="center"/>
            <w:hideMark/>
          </w:tcPr>
          <w:p w14:paraId="6FA87751" w14:textId="77777777" w:rsidR="00F5171A" w:rsidRPr="00954D98" w:rsidRDefault="00F5171A" w:rsidP="00F5171A">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 xml:space="preserve">Expenses </w:t>
            </w:r>
          </w:p>
        </w:tc>
        <w:tc>
          <w:tcPr>
            <w:tcW w:w="504" w:type="pct"/>
            <w:tcBorders>
              <w:top w:val="nil"/>
              <w:left w:val="nil"/>
              <w:bottom w:val="nil"/>
              <w:right w:val="nil"/>
            </w:tcBorders>
            <w:shd w:val="clear" w:color="000000" w:fill="E6F2FF"/>
            <w:noWrap/>
            <w:vAlign w:val="center"/>
            <w:hideMark/>
          </w:tcPr>
          <w:p w14:paraId="2CF661B4"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661</w:t>
            </w:r>
          </w:p>
        </w:tc>
        <w:tc>
          <w:tcPr>
            <w:tcW w:w="504" w:type="pct"/>
            <w:tcBorders>
              <w:top w:val="nil"/>
              <w:left w:val="nil"/>
              <w:bottom w:val="nil"/>
              <w:right w:val="nil"/>
            </w:tcBorders>
            <w:shd w:val="clear" w:color="000000" w:fill="FFFFFF"/>
            <w:noWrap/>
            <w:vAlign w:val="center"/>
            <w:hideMark/>
          </w:tcPr>
          <w:p w14:paraId="030EF2DD"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1,334</w:t>
            </w:r>
          </w:p>
        </w:tc>
        <w:tc>
          <w:tcPr>
            <w:tcW w:w="504" w:type="pct"/>
            <w:tcBorders>
              <w:top w:val="nil"/>
              <w:left w:val="nil"/>
              <w:bottom w:val="nil"/>
              <w:right w:val="nil"/>
            </w:tcBorders>
            <w:shd w:val="clear" w:color="000000" w:fill="FFFFFF"/>
            <w:noWrap/>
            <w:vAlign w:val="center"/>
            <w:hideMark/>
          </w:tcPr>
          <w:p w14:paraId="6F87ABCC"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-1,766</w:t>
            </w:r>
          </w:p>
        </w:tc>
        <w:tc>
          <w:tcPr>
            <w:tcW w:w="504" w:type="pct"/>
            <w:tcBorders>
              <w:top w:val="nil"/>
              <w:left w:val="nil"/>
              <w:bottom w:val="nil"/>
              <w:right w:val="nil"/>
            </w:tcBorders>
            <w:shd w:val="clear" w:color="000000" w:fill="FFFFFF"/>
            <w:noWrap/>
            <w:vAlign w:val="center"/>
            <w:hideMark/>
          </w:tcPr>
          <w:p w14:paraId="42D6B510"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-3,755</w:t>
            </w:r>
          </w:p>
        </w:tc>
        <w:tc>
          <w:tcPr>
            <w:tcW w:w="65" w:type="pct"/>
            <w:tcBorders>
              <w:top w:val="nil"/>
              <w:left w:val="nil"/>
              <w:bottom w:val="nil"/>
              <w:right w:val="nil"/>
            </w:tcBorders>
            <w:shd w:val="clear" w:color="000000" w:fill="FFFFFF"/>
            <w:noWrap/>
            <w:vAlign w:val="center"/>
            <w:hideMark/>
          </w:tcPr>
          <w:p w14:paraId="41ECEC45"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635" w:type="pct"/>
            <w:tcBorders>
              <w:top w:val="nil"/>
              <w:left w:val="nil"/>
              <w:bottom w:val="nil"/>
              <w:right w:val="nil"/>
            </w:tcBorders>
            <w:shd w:val="clear" w:color="000000" w:fill="FFFFFF"/>
            <w:noWrap/>
            <w:vAlign w:val="center"/>
            <w:hideMark/>
          </w:tcPr>
          <w:p w14:paraId="3930FB84" w14:textId="77777777" w:rsidR="00F5171A" w:rsidRPr="00954D98" w:rsidRDefault="00F5171A" w:rsidP="00F5171A">
            <w:pPr>
              <w:spacing w:before="0" w:after="0" w:line="240" w:lineRule="auto"/>
              <w:jc w:val="right"/>
              <w:rPr>
                <w:rFonts w:ascii="Arial" w:hAnsi="Arial" w:cs="Arial"/>
                <w:i/>
                <w:iCs/>
                <w:sz w:val="16"/>
                <w:szCs w:val="16"/>
              </w:rPr>
            </w:pPr>
            <w:r w:rsidRPr="00954D98">
              <w:rPr>
                <w:rFonts w:ascii="Arial" w:hAnsi="Arial" w:cs="Arial"/>
                <w:i/>
                <w:iCs/>
                <w:sz w:val="16"/>
                <w:szCs w:val="16"/>
              </w:rPr>
              <w:t>-3,526</w:t>
            </w:r>
          </w:p>
        </w:tc>
      </w:tr>
      <w:tr w:rsidR="002C4687" w:rsidRPr="00954D98" w14:paraId="7C1082CF" w14:textId="77777777" w:rsidTr="00F5171A">
        <w:trPr>
          <w:trHeight w:hRule="exact" w:val="225"/>
        </w:trPr>
        <w:tc>
          <w:tcPr>
            <w:tcW w:w="2285" w:type="pct"/>
            <w:tcBorders>
              <w:top w:val="nil"/>
              <w:left w:val="nil"/>
              <w:bottom w:val="nil"/>
              <w:right w:val="nil"/>
            </w:tcBorders>
            <w:shd w:val="clear" w:color="000000" w:fill="FFFFFF"/>
            <w:noWrap/>
            <w:vAlign w:val="center"/>
            <w:hideMark/>
          </w:tcPr>
          <w:p w14:paraId="24E07FB6" w14:textId="77777777" w:rsidR="00F5171A" w:rsidRPr="00954D98" w:rsidRDefault="00F5171A" w:rsidP="00F5171A">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Net capital investment</w:t>
            </w:r>
          </w:p>
        </w:tc>
        <w:tc>
          <w:tcPr>
            <w:tcW w:w="504" w:type="pct"/>
            <w:tcBorders>
              <w:top w:val="nil"/>
              <w:left w:val="nil"/>
              <w:bottom w:val="single" w:sz="4" w:space="0" w:color="auto"/>
              <w:right w:val="nil"/>
            </w:tcBorders>
            <w:shd w:val="clear" w:color="000000" w:fill="E6F2FF"/>
            <w:noWrap/>
            <w:vAlign w:val="center"/>
            <w:hideMark/>
          </w:tcPr>
          <w:p w14:paraId="539033AC"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609</w:t>
            </w:r>
          </w:p>
        </w:tc>
        <w:tc>
          <w:tcPr>
            <w:tcW w:w="504" w:type="pct"/>
            <w:tcBorders>
              <w:top w:val="nil"/>
              <w:left w:val="nil"/>
              <w:bottom w:val="single" w:sz="4" w:space="0" w:color="auto"/>
              <w:right w:val="nil"/>
            </w:tcBorders>
            <w:shd w:val="clear" w:color="000000" w:fill="FFFFFF"/>
            <w:noWrap/>
            <w:vAlign w:val="center"/>
            <w:hideMark/>
          </w:tcPr>
          <w:p w14:paraId="5E1B1D0F"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795</w:t>
            </w:r>
          </w:p>
        </w:tc>
        <w:tc>
          <w:tcPr>
            <w:tcW w:w="504" w:type="pct"/>
            <w:tcBorders>
              <w:top w:val="nil"/>
              <w:left w:val="nil"/>
              <w:bottom w:val="single" w:sz="4" w:space="0" w:color="auto"/>
              <w:right w:val="nil"/>
            </w:tcBorders>
            <w:shd w:val="clear" w:color="000000" w:fill="FFFFFF"/>
            <w:noWrap/>
            <w:vAlign w:val="center"/>
            <w:hideMark/>
          </w:tcPr>
          <w:p w14:paraId="51369E8B"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366</w:t>
            </w:r>
          </w:p>
        </w:tc>
        <w:tc>
          <w:tcPr>
            <w:tcW w:w="504" w:type="pct"/>
            <w:tcBorders>
              <w:top w:val="nil"/>
              <w:left w:val="nil"/>
              <w:bottom w:val="single" w:sz="4" w:space="0" w:color="auto"/>
              <w:right w:val="nil"/>
            </w:tcBorders>
            <w:shd w:val="clear" w:color="000000" w:fill="FFFFFF"/>
            <w:noWrap/>
            <w:vAlign w:val="center"/>
            <w:hideMark/>
          </w:tcPr>
          <w:p w14:paraId="376D0906"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103</w:t>
            </w:r>
          </w:p>
        </w:tc>
        <w:tc>
          <w:tcPr>
            <w:tcW w:w="65" w:type="pct"/>
            <w:tcBorders>
              <w:top w:val="nil"/>
              <w:left w:val="nil"/>
              <w:bottom w:val="nil"/>
              <w:right w:val="nil"/>
            </w:tcBorders>
            <w:shd w:val="clear" w:color="000000" w:fill="FFFFFF"/>
            <w:noWrap/>
            <w:vAlign w:val="center"/>
            <w:hideMark/>
          </w:tcPr>
          <w:p w14:paraId="6CFFEC71"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635" w:type="pct"/>
            <w:tcBorders>
              <w:top w:val="nil"/>
              <w:left w:val="nil"/>
              <w:bottom w:val="single" w:sz="4" w:space="0" w:color="293F5B"/>
              <w:right w:val="nil"/>
            </w:tcBorders>
            <w:shd w:val="clear" w:color="000000" w:fill="FFFFFF"/>
            <w:noWrap/>
            <w:vAlign w:val="center"/>
            <w:hideMark/>
          </w:tcPr>
          <w:p w14:paraId="311E8CE9" w14:textId="77777777" w:rsidR="00F5171A" w:rsidRPr="00954D98" w:rsidRDefault="00F5171A" w:rsidP="00F5171A">
            <w:pPr>
              <w:spacing w:before="0" w:after="0" w:line="240" w:lineRule="auto"/>
              <w:jc w:val="right"/>
              <w:rPr>
                <w:rFonts w:ascii="Arial" w:hAnsi="Arial" w:cs="Arial"/>
                <w:i/>
                <w:iCs/>
                <w:sz w:val="16"/>
                <w:szCs w:val="16"/>
              </w:rPr>
            </w:pPr>
            <w:r w:rsidRPr="00954D98">
              <w:rPr>
                <w:rFonts w:ascii="Arial" w:hAnsi="Arial" w:cs="Arial"/>
                <w:i/>
                <w:iCs/>
                <w:sz w:val="16"/>
                <w:szCs w:val="16"/>
              </w:rPr>
              <w:t>1,873</w:t>
            </w:r>
          </w:p>
        </w:tc>
      </w:tr>
      <w:tr w:rsidR="002C4687" w:rsidRPr="00954D98" w14:paraId="117A5AC8" w14:textId="77777777" w:rsidTr="00F5171A">
        <w:trPr>
          <w:trHeight w:hRule="exact" w:val="225"/>
        </w:trPr>
        <w:tc>
          <w:tcPr>
            <w:tcW w:w="2285" w:type="pct"/>
            <w:tcBorders>
              <w:top w:val="nil"/>
              <w:left w:val="nil"/>
              <w:bottom w:val="nil"/>
              <w:right w:val="nil"/>
            </w:tcBorders>
            <w:shd w:val="clear" w:color="000000" w:fill="FFFFFF"/>
            <w:noWrap/>
            <w:vAlign w:val="bottom"/>
            <w:hideMark/>
          </w:tcPr>
          <w:p w14:paraId="207739EF" w14:textId="77777777" w:rsidR="00F5171A" w:rsidRPr="00954D98" w:rsidRDefault="00F5171A" w:rsidP="00F5171A">
            <w:pPr>
              <w:spacing w:before="0" w:after="0" w:line="240" w:lineRule="auto"/>
              <w:rPr>
                <w:rFonts w:ascii="Arial" w:hAnsi="Arial" w:cs="Arial"/>
                <w:color w:val="FFFF00"/>
                <w:sz w:val="16"/>
                <w:szCs w:val="16"/>
              </w:rPr>
            </w:pPr>
            <w:r w:rsidRPr="00954D98">
              <w:rPr>
                <w:rFonts w:ascii="Arial" w:hAnsi="Arial" w:cs="Arial"/>
                <w:sz w:val="16"/>
                <w:szCs w:val="16"/>
              </w:rPr>
              <w:t>Total policy decisions impact on fiscal balance</w:t>
            </w:r>
          </w:p>
        </w:tc>
        <w:tc>
          <w:tcPr>
            <w:tcW w:w="504" w:type="pct"/>
            <w:tcBorders>
              <w:top w:val="single" w:sz="4" w:space="0" w:color="293F5B"/>
              <w:left w:val="nil"/>
              <w:bottom w:val="single" w:sz="4" w:space="0" w:color="293F5B"/>
              <w:right w:val="nil"/>
            </w:tcBorders>
            <w:shd w:val="clear" w:color="000000" w:fill="E6F2FF"/>
            <w:vAlign w:val="center"/>
            <w:hideMark/>
          </w:tcPr>
          <w:p w14:paraId="18F64DAF"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-2,165</w:t>
            </w:r>
          </w:p>
        </w:tc>
        <w:tc>
          <w:tcPr>
            <w:tcW w:w="504" w:type="pct"/>
            <w:tcBorders>
              <w:top w:val="single" w:sz="4" w:space="0" w:color="293F5B"/>
              <w:left w:val="nil"/>
              <w:bottom w:val="single" w:sz="4" w:space="0" w:color="293F5B"/>
              <w:right w:val="nil"/>
            </w:tcBorders>
            <w:shd w:val="clear" w:color="000000" w:fill="FFFFFF"/>
            <w:vAlign w:val="center"/>
            <w:hideMark/>
          </w:tcPr>
          <w:p w14:paraId="3C0EED78"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-2,805</w:t>
            </w:r>
          </w:p>
        </w:tc>
        <w:tc>
          <w:tcPr>
            <w:tcW w:w="504" w:type="pct"/>
            <w:tcBorders>
              <w:top w:val="single" w:sz="4" w:space="0" w:color="293F5B"/>
              <w:left w:val="nil"/>
              <w:bottom w:val="single" w:sz="4" w:space="0" w:color="293F5B"/>
              <w:right w:val="nil"/>
            </w:tcBorders>
            <w:shd w:val="clear" w:color="000000" w:fill="FFFFFF"/>
            <w:vAlign w:val="center"/>
            <w:hideMark/>
          </w:tcPr>
          <w:p w14:paraId="23B8E598"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65</w:t>
            </w:r>
          </w:p>
        </w:tc>
        <w:tc>
          <w:tcPr>
            <w:tcW w:w="504" w:type="pct"/>
            <w:tcBorders>
              <w:top w:val="single" w:sz="4" w:space="0" w:color="293F5B"/>
              <w:left w:val="nil"/>
              <w:bottom w:val="single" w:sz="4" w:space="0" w:color="293F5B"/>
              <w:right w:val="nil"/>
            </w:tcBorders>
            <w:shd w:val="clear" w:color="000000" w:fill="FFFFFF"/>
            <w:vAlign w:val="center"/>
            <w:hideMark/>
          </w:tcPr>
          <w:p w14:paraId="074CB943"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2,681</w:t>
            </w:r>
          </w:p>
        </w:tc>
        <w:tc>
          <w:tcPr>
            <w:tcW w:w="65" w:type="pct"/>
            <w:tcBorders>
              <w:top w:val="nil"/>
              <w:left w:val="nil"/>
              <w:bottom w:val="nil"/>
              <w:right w:val="nil"/>
            </w:tcBorders>
            <w:shd w:val="clear" w:color="000000" w:fill="FFFFFF"/>
            <w:vAlign w:val="center"/>
            <w:hideMark/>
          </w:tcPr>
          <w:p w14:paraId="256BE5EE" w14:textId="77777777" w:rsidR="00F5171A" w:rsidRPr="00954D98" w:rsidRDefault="00F5171A" w:rsidP="00F5171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635" w:type="pct"/>
            <w:tcBorders>
              <w:top w:val="single" w:sz="4" w:space="0" w:color="293F5B"/>
              <w:left w:val="nil"/>
              <w:bottom w:val="single" w:sz="4" w:space="0" w:color="293F5B"/>
              <w:right w:val="nil"/>
            </w:tcBorders>
            <w:shd w:val="clear" w:color="000000" w:fill="FFFFFF"/>
            <w:noWrap/>
            <w:vAlign w:val="center"/>
            <w:hideMark/>
          </w:tcPr>
          <w:p w14:paraId="3760A3D8"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-2,224</w:t>
            </w:r>
          </w:p>
        </w:tc>
      </w:tr>
      <w:tr w:rsidR="00F5171A" w:rsidRPr="00954D98" w14:paraId="5E82A6C0" w14:textId="77777777" w:rsidTr="00F5171A">
        <w:trPr>
          <w:trHeight w:hRule="exact" w:val="60"/>
        </w:trPr>
        <w:tc>
          <w:tcPr>
            <w:tcW w:w="2285" w:type="pct"/>
            <w:tcBorders>
              <w:top w:val="nil"/>
              <w:left w:val="nil"/>
              <w:bottom w:val="nil"/>
              <w:right w:val="nil"/>
            </w:tcBorders>
            <w:shd w:val="clear" w:color="000000" w:fill="FFFFFF"/>
            <w:noWrap/>
            <w:vAlign w:val="center"/>
            <w:hideMark/>
          </w:tcPr>
          <w:p w14:paraId="1DF95ECF" w14:textId="77777777" w:rsidR="00F5171A" w:rsidRPr="00954D98" w:rsidRDefault="00F5171A" w:rsidP="00F5171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E6F2FF"/>
            <w:noWrap/>
            <w:vAlign w:val="center"/>
            <w:hideMark/>
          </w:tcPr>
          <w:p w14:paraId="02B6EEDD"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3EF64896"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094B7418"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2EB17FC8"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5" w:type="pct"/>
            <w:tcBorders>
              <w:top w:val="nil"/>
              <w:left w:val="nil"/>
              <w:bottom w:val="nil"/>
              <w:right w:val="nil"/>
            </w:tcBorders>
            <w:shd w:val="clear" w:color="000000" w:fill="FFFFFF"/>
            <w:noWrap/>
            <w:vAlign w:val="center"/>
            <w:hideMark/>
          </w:tcPr>
          <w:p w14:paraId="6A7FE4EF"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nil"/>
              <w:left w:val="nil"/>
              <w:bottom w:val="nil"/>
              <w:right w:val="nil"/>
            </w:tcBorders>
            <w:shd w:val="clear" w:color="000000" w:fill="FFFFFF"/>
            <w:noWrap/>
            <w:vAlign w:val="center"/>
            <w:hideMark/>
          </w:tcPr>
          <w:p w14:paraId="477E9764"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 </w:t>
            </w:r>
          </w:p>
        </w:tc>
      </w:tr>
      <w:tr w:rsidR="00F5171A" w:rsidRPr="00954D98" w14:paraId="363AB292" w14:textId="77777777" w:rsidTr="00F5171A">
        <w:trPr>
          <w:trHeight w:hRule="exact" w:val="225"/>
        </w:trPr>
        <w:tc>
          <w:tcPr>
            <w:tcW w:w="2285" w:type="pct"/>
            <w:tcBorders>
              <w:top w:val="nil"/>
              <w:left w:val="nil"/>
              <w:bottom w:val="nil"/>
              <w:right w:val="nil"/>
            </w:tcBorders>
            <w:shd w:val="clear" w:color="000000" w:fill="FFFFFF"/>
            <w:noWrap/>
            <w:vAlign w:val="center"/>
            <w:hideMark/>
          </w:tcPr>
          <w:p w14:paraId="55440245" w14:textId="77777777" w:rsidR="00F5171A" w:rsidRPr="00954D98" w:rsidRDefault="00F5171A" w:rsidP="00F5171A">
            <w:pPr>
              <w:spacing w:before="0" w:after="0" w:line="240" w:lineRule="auto"/>
              <w:rPr>
                <w:rFonts w:ascii="Arial" w:hAnsi="Arial" w:cs="Arial"/>
                <w:color w:val="FFFF00"/>
                <w:sz w:val="16"/>
                <w:szCs w:val="16"/>
              </w:rPr>
            </w:pPr>
            <w:r w:rsidRPr="00954D98">
              <w:rPr>
                <w:rFonts w:ascii="Arial" w:hAnsi="Arial" w:cs="Arial"/>
                <w:sz w:val="16"/>
                <w:szCs w:val="16"/>
              </w:rPr>
              <w:t>Effect of parameter and other variations(b)</w:t>
            </w:r>
          </w:p>
        </w:tc>
        <w:tc>
          <w:tcPr>
            <w:tcW w:w="504" w:type="pct"/>
            <w:tcBorders>
              <w:top w:val="nil"/>
              <w:left w:val="nil"/>
              <w:bottom w:val="nil"/>
              <w:right w:val="nil"/>
            </w:tcBorders>
            <w:shd w:val="clear" w:color="000000" w:fill="E6F2FF"/>
            <w:noWrap/>
            <w:vAlign w:val="center"/>
            <w:hideMark/>
          </w:tcPr>
          <w:p w14:paraId="2D17E7D6"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0925BD42"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07DA4F84"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5D2939D1"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5" w:type="pct"/>
            <w:tcBorders>
              <w:top w:val="nil"/>
              <w:left w:val="nil"/>
              <w:bottom w:val="nil"/>
              <w:right w:val="nil"/>
            </w:tcBorders>
            <w:shd w:val="clear" w:color="000000" w:fill="FFFFFF"/>
            <w:noWrap/>
            <w:vAlign w:val="center"/>
            <w:hideMark/>
          </w:tcPr>
          <w:p w14:paraId="119BEFFA"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nil"/>
              <w:left w:val="nil"/>
              <w:bottom w:val="nil"/>
              <w:right w:val="nil"/>
            </w:tcBorders>
            <w:shd w:val="clear" w:color="000000" w:fill="FFFFFF"/>
            <w:noWrap/>
            <w:vAlign w:val="center"/>
            <w:hideMark/>
          </w:tcPr>
          <w:p w14:paraId="265216A0"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 </w:t>
            </w:r>
          </w:p>
        </w:tc>
      </w:tr>
      <w:tr w:rsidR="00F5171A" w:rsidRPr="00954D98" w14:paraId="32041B7A" w14:textId="77777777" w:rsidTr="00F5171A">
        <w:trPr>
          <w:trHeight w:hRule="exact" w:val="225"/>
        </w:trPr>
        <w:tc>
          <w:tcPr>
            <w:tcW w:w="2285" w:type="pct"/>
            <w:tcBorders>
              <w:top w:val="nil"/>
              <w:left w:val="nil"/>
              <w:bottom w:val="nil"/>
              <w:right w:val="nil"/>
            </w:tcBorders>
            <w:shd w:val="clear" w:color="000000" w:fill="FFFFFF"/>
            <w:noWrap/>
            <w:vAlign w:val="center"/>
            <w:hideMark/>
          </w:tcPr>
          <w:p w14:paraId="04E15898" w14:textId="77777777" w:rsidR="00F5171A" w:rsidRPr="00954D98" w:rsidRDefault="00F5171A" w:rsidP="00F5171A">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Revenue</w:t>
            </w:r>
          </w:p>
        </w:tc>
        <w:tc>
          <w:tcPr>
            <w:tcW w:w="504" w:type="pct"/>
            <w:tcBorders>
              <w:top w:val="nil"/>
              <w:left w:val="nil"/>
              <w:bottom w:val="nil"/>
              <w:right w:val="nil"/>
            </w:tcBorders>
            <w:shd w:val="clear" w:color="000000" w:fill="E6F2FF"/>
            <w:noWrap/>
            <w:vAlign w:val="center"/>
            <w:hideMark/>
          </w:tcPr>
          <w:p w14:paraId="5410729E"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16,221</w:t>
            </w:r>
          </w:p>
        </w:tc>
        <w:tc>
          <w:tcPr>
            <w:tcW w:w="504" w:type="pct"/>
            <w:tcBorders>
              <w:top w:val="nil"/>
              <w:left w:val="nil"/>
              <w:bottom w:val="nil"/>
              <w:right w:val="nil"/>
            </w:tcBorders>
            <w:shd w:val="clear" w:color="000000" w:fill="FFFFFF"/>
            <w:noWrap/>
            <w:vAlign w:val="center"/>
            <w:hideMark/>
          </w:tcPr>
          <w:p w14:paraId="160A0878"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10,718</w:t>
            </w:r>
          </w:p>
        </w:tc>
        <w:tc>
          <w:tcPr>
            <w:tcW w:w="504" w:type="pct"/>
            <w:tcBorders>
              <w:top w:val="nil"/>
              <w:left w:val="nil"/>
              <w:bottom w:val="nil"/>
              <w:right w:val="nil"/>
            </w:tcBorders>
            <w:shd w:val="clear" w:color="000000" w:fill="FFFFFF"/>
            <w:noWrap/>
            <w:vAlign w:val="center"/>
            <w:hideMark/>
          </w:tcPr>
          <w:p w14:paraId="19F39ABE"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6,664</w:t>
            </w:r>
          </w:p>
        </w:tc>
        <w:tc>
          <w:tcPr>
            <w:tcW w:w="504" w:type="pct"/>
            <w:tcBorders>
              <w:top w:val="nil"/>
              <w:left w:val="nil"/>
              <w:bottom w:val="nil"/>
              <w:right w:val="nil"/>
            </w:tcBorders>
            <w:shd w:val="clear" w:color="000000" w:fill="FFFFFF"/>
            <w:noWrap/>
            <w:vAlign w:val="center"/>
            <w:hideMark/>
          </w:tcPr>
          <w:p w14:paraId="318438E0"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2,555</w:t>
            </w:r>
          </w:p>
        </w:tc>
        <w:tc>
          <w:tcPr>
            <w:tcW w:w="65" w:type="pct"/>
            <w:tcBorders>
              <w:top w:val="nil"/>
              <w:left w:val="nil"/>
              <w:bottom w:val="nil"/>
              <w:right w:val="nil"/>
            </w:tcBorders>
            <w:shd w:val="clear" w:color="000000" w:fill="FFFFFF"/>
            <w:noWrap/>
            <w:vAlign w:val="center"/>
            <w:hideMark/>
          </w:tcPr>
          <w:p w14:paraId="3886B8A6"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635" w:type="pct"/>
            <w:tcBorders>
              <w:top w:val="nil"/>
              <w:left w:val="nil"/>
              <w:bottom w:val="nil"/>
              <w:right w:val="nil"/>
            </w:tcBorders>
            <w:shd w:val="clear" w:color="000000" w:fill="FFFFFF"/>
            <w:noWrap/>
            <w:vAlign w:val="center"/>
            <w:hideMark/>
          </w:tcPr>
          <w:p w14:paraId="236698E4" w14:textId="77777777" w:rsidR="00F5171A" w:rsidRPr="00954D98" w:rsidRDefault="00F5171A" w:rsidP="00F5171A">
            <w:pPr>
              <w:spacing w:before="0" w:after="0" w:line="240" w:lineRule="auto"/>
              <w:jc w:val="right"/>
              <w:rPr>
                <w:rFonts w:ascii="Arial" w:hAnsi="Arial" w:cs="Arial"/>
                <w:i/>
                <w:iCs/>
                <w:sz w:val="16"/>
                <w:szCs w:val="16"/>
              </w:rPr>
            </w:pPr>
            <w:r w:rsidRPr="00954D98">
              <w:rPr>
                <w:rFonts w:ascii="Arial" w:hAnsi="Arial" w:cs="Arial"/>
                <w:i/>
                <w:iCs/>
                <w:sz w:val="16"/>
                <w:szCs w:val="16"/>
              </w:rPr>
              <w:t>36,156</w:t>
            </w:r>
          </w:p>
        </w:tc>
      </w:tr>
      <w:tr w:rsidR="00F5171A" w:rsidRPr="00954D98" w14:paraId="116709FC" w14:textId="77777777" w:rsidTr="00F5171A">
        <w:trPr>
          <w:trHeight w:hRule="exact" w:val="225"/>
        </w:trPr>
        <w:tc>
          <w:tcPr>
            <w:tcW w:w="2285" w:type="pct"/>
            <w:tcBorders>
              <w:top w:val="nil"/>
              <w:left w:val="nil"/>
              <w:bottom w:val="nil"/>
              <w:right w:val="nil"/>
            </w:tcBorders>
            <w:shd w:val="clear" w:color="000000" w:fill="FFFFFF"/>
            <w:noWrap/>
            <w:vAlign w:val="center"/>
            <w:hideMark/>
          </w:tcPr>
          <w:p w14:paraId="629ED715" w14:textId="77777777" w:rsidR="00F5171A" w:rsidRPr="00954D98" w:rsidRDefault="00F5171A" w:rsidP="00F5171A">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 xml:space="preserve">Expenses </w:t>
            </w:r>
          </w:p>
        </w:tc>
        <w:tc>
          <w:tcPr>
            <w:tcW w:w="504" w:type="pct"/>
            <w:tcBorders>
              <w:top w:val="nil"/>
              <w:left w:val="nil"/>
              <w:bottom w:val="nil"/>
              <w:right w:val="nil"/>
            </w:tcBorders>
            <w:shd w:val="clear" w:color="000000" w:fill="E6F2FF"/>
            <w:noWrap/>
            <w:vAlign w:val="center"/>
            <w:hideMark/>
          </w:tcPr>
          <w:p w14:paraId="02AE3093"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22,856</w:t>
            </w:r>
          </w:p>
        </w:tc>
        <w:tc>
          <w:tcPr>
            <w:tcW w:w="504" w:type="pct"/>
            <w:tcBorders>
              <w:top w:val="nil"/>
              <w:left w:val="nil"/>
              <w:bottom w:val="nil"/>
              <w:right w:val="nil"/>
            </w:tcBorders>
            <w:shd w:val="clear" w:color="000000" w:fill="FFFFFF"/>
            <w:noWrap/>
            <w:vAlign w:val="center"/>
            <w:hideMark/>
          </w:tcPr>
          <w:p w14:paraId="6F8A391D"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11,097</w:t>
            </w:r>
          </w:p>
        </w:tc>
        <w:tc>
          <w:tcPr>
            <w:tcW w:w="504" w:type="pct"/>
            <w:tcBorders>
              <w:top w:val="nil"/>
              <w:left w:val="nil"/>
              <w:bottom w:val="nil"/>
              <w:right w:val="nil"/>
            </w:tcBorders>
            <w:shd w:val="clear" w:color="000000" w:fill="FFFFFF"/>
            <w:noWrap/>
            <w:vAlign w:val="center"/>
            <w:hideMark/>
          </w:tcPr>
          <w:p w14:paraId="24BDF2D8"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12,969</w:t>
            </w:r>
          </w:p>
        </w:tc>
        <w:tc>
          <w:tcPr>
            <w:tcW w:w="504" w:type="pct"/>
            <w:tcBorders>
              <w:top w:val="nil"/>
              <w:left w:val="nil"/>
              <w:bottom w:val="nil"/>
              <w:right w:val="nil"/>
            </w:tcBorders>
            <w:shd w:val="clear" w:color="000000" w:fill="FFFFFF"/>
            <w:noWrap/>
            <w:vAlign w:val="center"/>
            <w:hideMark/>
          </w:tcPr>
          <w:p w14:paraId="261A02D7"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11,639</w:t>
            </w:r>
          </w:p>
        </w:tc>
        <w:tc>
          <w:tcPr>
            <w:tcW w:w="65" w:type="pct"/>
            <w:tcBorders>
              <w:top w:val="nil"/>
              <w:left w:val="nil"/>
              <w:bottom w:val="nil"/>
              <w:right w:val="nil"/>
            </w:tcBorders>
            <w:shd w:val="clear" w:color="000000" w:fill="FFFFFF"/>
            <w:noWrap/>
            <w:vAlign w:val="center"/>
            <w:hideMark/>
          </w:tcPr>
          <w:p w14:paraId="4EEBB8B0"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635" w:type="pct"/>
            <w:tcBorders>
              <w:top w:val="nil"/>
              <w:left w:val="nil"/>
              <w:bottom w:val="nil"/>
              <w:right w:val="nil"/>
            </w:tcBorders>
            <w:shd w:val="clear" w:color="000000" w:fill="FFFFFF"/>
            <w:noWrap/>
            <w:vAlign w:val="center"/>
            <w:hideMark/>
          </w:tcPr>
          <w:p w14:paraId="441915D3" w14:textId="77777777" w:rsidR="00F5171A" w:rsidRPr="00954D98" w:rsidRDefault="00F5171A" w:rsidP="00F5171A">
            <w:pPr>
              <w:spacing w:before="0" w:after="0" w:line="240" w:lineRule="auto"/>
              <w:jc w:val="right"/>
              <w:rPr>
                <w:rFonts w:ascii="Arial" w:hAnsi="Arial" w:cs="Arial"/>
                <w:i/>
                <w:iCs/>
                <w:sz w:val="16"/>
                <w:szCs w:val="16"/>
              </w:rPr>
            </w:pPr>
            <w:r w:rsidRPr="00954D98">
              <w:rPr>
                <w:rFonts w:ascii="Arial" w:hAnsi="Arial" w:cs="Arial"/>
                <w:i/>
                <w:iCs/>
                <w:sz w:val="16"/>
                <w:szCs w:val="16"/>
              </w:rPr>
              <w:t>58,561</w:t>
            </w:r>
          </w:p>
        </w:tc>
      </w:tr>
      <w:tr w:rsidR="00F5171A" w:rsidRPr="00954D98" w14:paraId="53017416" w14:textId="77777777" w:rsidTr="00F5171A">
        <w:trPr>
          <w:trHeight w:hRule="exact" w:val="225"/>
        </w:trPr>
        <w:tc>
          <w:tcPr>
            <w:tcW w:w="2285" w:type="pct"/>
            <w:tcBorders>
              <w:top w:val="nil"/>
              <w:left w:val="nil"/>
              <w:bottom w:val="nil"/>
              <w:right w:val="nil"/>
            </w:tcBorders>
            <w:shd w:val="clear" w:color="000000" w:fill="FFFFFF"/>
            <w:noWrap/>
            <w:vAlign w:val="center"/>
            <w:hideMark/>
          </w:tcPr>
          <w:p w14:paraId="38F6C337" w14:textId="77777777" w:rsidR="00F5171A" w:rsidRPr="00954D98" w:rsidRDefault="00F5171A" w:rsidP="00F5171A">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Net capital investment</w:t>
            </w:r>
          </w:p>
        </w:tc>
        <w:tc>
          <w:tcPr>
            <w:tcW w:w="504" w:type="pct"/>
            <w:tcBorders>
              <w:top w:val="nil"/>
              <w:left w:val="nil"/>
              <w:bottom w:val="single" w:sz="4" w:space="0" w:color="293F5B"/>
              <w:right w:val="nil"/>
            </w:tcBorders>
            <w:shd w:val="clear" w:color="000000" w:fill="E6F2FF"/>
            <w:noWrap/>
            <w:vAlign w:val="center"/>
            <w:hideMark/>
          </w:tcPr>
          <w:p w14:paraId="6DABF76F"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1,790</w:t>
            </w:r>
          </w:p>
        </w:tc>
        <w:tc>
          <w:tcPr>
            <w:tcW w:w="504" w:type="pct"/>
            <w:tcBorders>
              <w:top w:val="nil"/>
              <w:left w:val="nil"/>
              <w:bottom w:val="single" w:sz="4" w:space="0" w:color="293F5B"/>
              <w:right w:val="nil"/>
            </w:tcBorders>
            <w:shd w:val="clear" w:color="000000" w:fill="FFFFFF"/>
            <w:noWrap/>
            <w:vAlign w:val="center"/>
            <w:hideMark/>
          </w:tcPr>
          <w:p w14:paraId="79405116"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492</w:t>
            </w:r>
          </w:p>
        </w:tc>
        <w:tc>
          <w:tcPr>
            <w:tcW w:w="504" w:type="pct"/>
            <w:tcBorders>
              <w:top w:val="nil"/>
              <w:left w:val="nil"/>
              <w:bottom w:val="single" w:sz="4" w:space="0" w:color="293F5B"/>
              <w:right w:val="nil"/>
            </w:tcBorders>
            <w:shd w:val="clear" w:color="000000" w:fill="FFFFFF"/>
            <w:noWrap/>
            <w:vAlign w:val="center"/>
            <w:hideMark/>
          </w:tcPr>
          <w:p w14:paraId="3373AB42"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-2,413</w:t>
            </w:r>
          </w:p>
        </w:tc>
        <w:tc>
          <w:tcPr>
            <w:tcW w:w="504" w:type="pct"/>
            <w:tcBorders>
              <w:top w:val="nil"/>
              <w:left w:val="nil"/>
              <w:bottom w:val="single" w:sz="4" w:space="0" w:color="293F5B"/>
              <w:right w:val="nil"/>
            </w:tcBorders>
            <w:shd w:val="clear" w:color="000000" w:fill="FFFFFF"/>
            <w:noWrap/>
            <w:vAlign w:val="center"/>
            <w:hideMark/>
          </w:tcPr>
          <w:p w14:paraId="777DDCF6"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77</w:t>
            </w:r>
          </w:p>
        </w:tc>
        <w:tc>
          <w:tcPr>
            <w:tcW w:w="65" w:type="pct"/>
            <w:tcBorders>
              <w:top w:val="nil"/>
              <w:left w:val="nil"/>
              <w:bottom w:val="nil"/>
              <w:right w:val="nil"/>
            </w:tcBorders>
            <w:shd w:val="clear" w:color="000000" w:fill="FFFFFF"/>
            <w:noWrap/>
            <w:vAlign w:val="center"/>
            <w:hideMark/>
          </w:tcPr>
          <w:p w14:paraId="3292CF57" w14:textId="77777777" w:rsidR="00F5171A" w:rsidRPr="00954D98" w:rsidRDefault="00F5171A" w:rsidP="00F5171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635" w:type="pct"/>
            <w:tcBorders>
              <w:top w:val="nil"/>
              <w:left w:val="nil"/>
              <w:bottom w:val="nil"/>
              <w:right w:val="nil"/>
            </w:tcBorders>
            <w:shd w:val="clear" w:color="000000" w:fill="FFFFFF"/>
            <w:noWrap/>
            <w:vAlign w:val="center"/>
            <w:hideMark/>
          </w:tcPr>
          <w:p w14:paraId="45290DC1" w14:textId="77777777" w:rsidR="00F5171A" w:rsidRPr="00954D98" w:rsidRDefault="00F5171A" w:rsidP="00F5171A">
            <w:pPr>
              <w:spacing w:before="0" w:after="0" w:line="240" w:lineRule="auto"/>
              <w:jc w:val="right"/>
              <w:rPr>
                <w:rFonts w:ascii="Arial" w:hAnsi="Arial" w:cs="Arial"/>
                <w:i/>
                <w:iCs/>
                <w:sz w:val="16"/>
                <w:szCs w:val="16"/>
              </w:rPr>
            </w:pPr>
            <w:r w:rsidRPr="00954D98">
              <w:rPr>
                <w:rFonts w:ascii="Arial" w:hAnsi="Arial" w:cs="Arial"/>
                <w:i/>
                <w:iCs/>
                <w:sz w:val="16"/>
                <w:szCs w:val="16"/>
              </w:rPr>
              <w:t>-54</w:t>
            </w:r>
          </w:p>
        </w:tc>
      </w:tr>
      <w:tr w:rsidR="002C4687" w:rsidRPr="00954D98" w14:paraId="3595BD15" w14:textId="77777777" w:rsidTr="00F5171A">
        <w:trPr>
          <w:trHeight w:hRule="exact" w:val="225"/>
        </w:trPr>
        <w:tc>
          <w:tcPr>
            <w:tcW w:w="2285" w:type="pct"/>
            <w:tcBorders>
              <w:top w:val="nil"/>
              <w:left w:val="nil"/>
              <w:bottom w:val="nil"/>
              <w:right w:val="nil"/>
            </w:tcBorders>
            <w:shd w:val="clear" w:color="000000" w:fill="FFFFFF"/>
            <w:noWrap/>
            <w:vAlign w:val="bottom"/>
            <w:hideMark/>
          </w:tcPr>
          <w:p w14:paraId="79CF5B10" w14:textId="77777777" w:rsidR="00F5171A" w:rsidRPr="00954D98" w:rsidRDefault="00F5171A" w:rsidP="00F5171A">
            <w:pPr>
              <w:spacing w:before="0" w:after="0" w:line="240" w:lineRule="auto"/>
              <w:rPr>
                <w:rFonts w:ascii="Arial" w:hAnsi="Arial" w:cs="Arial"/>
                <w:color w:val="FFFF00"/>
                <w:sz w:val="16"/>
                <w:szCs w:val="16"/>
              </w:rPr>
            </w:pPr>
            <w:r w:rsidRPr="00954D98">
              <w:rPr>
                <w:rFonts w:ascii="Arial" w:hAnsi="Arial" w:cs="Arial"/>
                <w:sz w:val="16"/>
                <w:szCs w:val="16"/>
              </w:rPr>
              <w:t xml:space="preserve">Total parameter and other variations impact on </w:t>
            </w:r>
          </w:p>
        </w:tc>
        <w:tc>
          <w:tcPr>
            <w:tcW w:w="504" w:type="pct"/>
            <w:tcBorders>
              <w:top w:val="single" w:sz="4" w:space="0" w:color="293F5B"/>
              <w:left w:val="nil"/>
              <w:bottom w:val="nil"/>
              <w:right w:val="nil"/>
            </w:tcBorders>
            <w:shd w:val="clear" w:color="000000" w:fill="E6F2FF"/>
            <w:noWrap/>
            <w:vAlign w:val="center"/>
            <w:hideMark/>
          </w:tcPr>
          <w:p w14:paraId="22E5644F"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single" w:sz="4" w:space="0" w:color="293F5B"/>
              <w:left w:val="nil"/>
              <w:bottom w:val="nil"/>
              <w:right w:val="nil"/>
            </w:tcBorders>
            <w:shd w:val="clear" w:color="000000" w:fill="FFFFFF"/>
            <w:noWrap/>
            <w:vAlign w:val="center"/>
            <w:hideMark/>
          </w:tcPr>
          <w:p w14:paraId="5545E8F7"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single" w:sz="4" w:space="0" w:color="293F5B"/>
              <w:left w:val="nil"/>
              <w:bottom w:val="nil"/>
              <w:right w:val="nil"/>
            </w:tcBorders>
            <w:shd w:val="clear" w:color="000000" w:fill="FFFFFF"/>
            <w:noWrap/>
            <w:vAlign w:val="center"/>
            <w:hideMark/>
          </w:tcPr>
          <w:p w14:paraId="76072365"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single" w:sz="4" w:space="0" w:color="293F5B"/>
              <w:left w:val="nil"/>
              <w:bottom w:val="nil"/>
              <w:right w:val="nil"/>
            </w:tcBorders>
            <w:shd w:val="clear" w:color="000000" w:fill="FFFFFF"/>
            <w:noWrap/>
            <w:vAlign w:val="center"/>
            <w:hideMark/>
          </w:tcPr>
          <w:p w14:paraId="0AE5C777"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5" w:type="pct"/>
            <w:tcBorders>
              <w:top w:val="nil"/>
              <w:left w:val="nil"/>
              <w:bottom w:val="nil"/>
              <w:right w:val="nil"/>
            </w:tcBorders>
            <w:shd w:val="clear" w:color="000000" w:fill="FFFFFF"/>
            <w:noWrap/>
            <w:vAlign w:val="center"/>
            <w:hideMark/>
          </w:tcPr>
          <w:p w14:paraId="2C21D7C1"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single" w:sz="4" w:space="0" w:color="293F5B"/>
              <w:left w:val="nil"/>
              <w:bottom w:val="nil"/>
              <w:right w:val="nil"/>
            </w:tcBorders>
            <w:shd w:val="clear" w:color="000000" w:fill="FFFFFF"/>
            <w:noWrap/>
            <w:vAlign w:val="center"/>
            <w:hideMark/>
          </w:tcPr>
          <w:p w14:paraId="295ED172"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 </w:t>
            </w:r>
          </w:p>
        </w:tc>
      </w:tr>
      <w:tr w:rsidR="00F5171A" w:rsidRPr="00954D98" w14:paraId="6DC4B567" w14:textId="77777777" w:rsidTr="00F5171A">
        <w:trPr>
          <w:trHeight w:hRule="exact" w:val="225"/>
        </w:trPr>
        <w:tc>
          <w:tcPr>
            <w:tcW w:w="2285" w:type="pct"/>
            <w:tcBorders>
              <w:top w:val="nil"/>
              <w:left w:val="nil"/>
              <w:bottom w:val="nil"/>
              <w:right w:val="nil"/>
            </w:tcBorders>
            <w:shd w:val="clear" w:color="000000" w:fill="FFFFFF"/>
            <w:noWrap/>
            <w:vAlign w:val="bottom"/>
            <w:hideMark/>
          </w:tcPr>
          <w:p w14:paraId="4C83B116" w14:textId="77777777" w:rsidR="00F5171A" w:rsidRPr="00954D98" w:rsidRDefault="00F5171A" w:rsidP="00F5171A">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fiscal balance</w:t>
            </w:r>
          </w:p>
        </w:tc>
        <w:tc>
          <w:tcPr>
            <w:tcW w:w="504" w:type="pct"/>
            <w:tcBorders>
              <w:top w:val="nil"/>
              <w:left w:val="nil"/>
              <w:bottom w:val="single" w:sz="4" w:space="0" w:color="auto"/>
              <w:right w:val="nil"/>
            </w:tcBorders>
            <w:shd w:val="clear" w:color="000000" w:fill="E6F2FF"/>
            <w:noWrap/>
            <w:vAlign w:val="center"/>
            <w:hideMark/>
          </w:tcPr>
          <w:p w14:paraId="732D6664"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-8,426</w:t>
            </w:r>
          </w:p>
        </w:tc>
        <w:tc>
          <w:tcPr>
            <w:tcW w:w="504" w:type="pct"/>
            <w:tcBorders>
              <w:top w:val="nil"/>
              <w:left w:val="nil"/>
              <w:bottom w:val="single" w:sz="4" w:space="0" w:color="auto"/>
              <w:right w:val="nil"/>
            </w:tcBorders>
            <w:shd w:val="clear" w:color="000000" w:fill="FFFFFF"/>
            <w:noWrap/>
            <w:vAlign w:val="center"/>
            <w:hideMark/>
          </w:tcPr>
          <w:p w14:paraId="2FBDFC85"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-871</w:t>
            </w:r>
          </w:p>
        </w:tc>
        <w:tc>
          <w:tcPr>
            <w:tcW w:w="504" w:type="pct"/>
            <w:tcBorders>
              <w:top w:val="nil"/>
              <w:left w:val="nil"/>
              <w:bottom w:val="single" w:sz="4" w:space="0" w:color="auto"/>
              <w:right w:val="nil"/>
            </w:tcBorders>
            <w:shd w:val="clear" w:color="000000" w:fill="FFFFFF"/>
            <w:noWrap/>
            <w:vAlign w:val="center"/>
            <w:hideMark/>
          </w:tcPr>
          <w:p w14:paraId="268D4D44"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-3,893</w:t>
            </w:r>
          </w:p>
        </w:tc>
        <w:tc>
          <w:tcPr>
            <w:tcW w:w="504" w:type="pct"/>
            <w:tcBorders>
              <w:top w:val="nil"/>
              <w:left w:val="nil"/>
              <w:bottom w:val="single" w:sz="4" w:space="0" w:color="auto"/>
              <w:right w:val="nil"/>
            </w:tcBorders>
            <w:shd w:val="clear" w:color="000000" w:fill="FFFFFF"/>
            <w:noWrap/>
            <w:vAlign w:val="center"/>
            <w:hideMark/>
          </w:tcPr>
          <w:p w14:paraId="15D9E01B"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-9,161</w:t>
            </w:r>
          </w:p>
        </w:tc>
        <w:tc>
          <w:tcPr>
            <w:tcW w:w="65" w:type="pct"/>
            <w:tcBorders>
              <w:top w:val="nil"/>
              <w:left w:val="nil"/>
              <w:bottom w:val="nil"/>
              <w:right w:val="nil"/>
            </w:tcBorders>
            <w:shd w:val="clear" w:color="000000" w:fill="FFFFFF"/>
            <w:noWrap/>
            <w:vAlign w:val="center"/>
            <w:hideMark/>
          </w:tcPr>
          <w:p w14:paraId="62771A56"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nil"/>
              <w:left w:val="nil"/>
              <w:bottom w:val="nil"/>
              <w:right w:val="nil"/>
            </w:tcBorders>
            <w:shd w:val="clear" w:color="000000" w:fill="FFFFFF"/>
            <w:noWrap/>
            <w:vAlign w:val="center"/>
            <w:hideMark/>
          </w:tcPr>
          <w:p w14:paraId="0E3A4DBB"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-22,351</w:t>
            </w:r>
          </w:p>
        </w:tc>
      </w:tr>
      <w:tr w:rsidR="00F5171A" w:rsidRPr="00954D98" w14:paraId="6F75F8AE" w14:textId="77777777" w:rsidTr="00F5171A">
        <w:trPr>
          <w:trHeight w:hRule="exact" w:val="60"/>
        </w:trPr>
        <w:tc>
          <w:tcPr>
            <w:tcW w:w="2285" w:type="pct"/>
            <w:tcBorders>
              <w:top w:val="nil"/>
              <w:left w:val="nil"/>
              <w:bottom w:val="nil"/>
              <w:right w:val="nil"/>
            </w:tcBorders>
            <w:shd w:val="clear" w:color="000000" w:fill="FFFFFF"/>
            <w:noWrap/>
            <w:vAlign w:val="center"/>
            <w:hideMark/>
          </w:tcPr>
          <w:p w14:paraId="2E7032A5" w14:textId="77777777" w:rsidR="00F5171A" w:rsidRPr="00954D98" w:rsidRDefault="00F5171A" w:rsidP="00F5171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E6F2FF"/>
            <w:noWrap/>
            <w:vAlign w:val="center"/>
            <w:hideMark/>
          </w:tcPr>
          <w:p w14:paraId="2153B218"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22E40781"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2100AFF7"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4" w:type="pct"/>
            <w:tcBorders>
              <w:top w:val="nil"/>
              <w:left w:val="nil"/>
              <w:bottom w:val="nil"/>
              <w:right w:val="nil"/>
            </w:tcBorders>
            <w:shd w:val="clear" w:color="000000" w:fill="FFFFFF"/>
            <w:noWrap/>
            <w:vAlign w:val="center"/>
            <w:hideMark/>
          </w:tcPr>
          <w:p w14:paraId="326B50E0"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5" w:type="pct"/>
            <w:tcBorders>
              <w:top w:val="nil"/>
              <w:left w:val="nil"/>
              <w:bottom w:val="nil"/>
              <w:right w:val="nil"/>
            </w:tcBorders>
            <w:shd w:val="clear" w:color="000000" w:fill="FFFFFF"/>
            <w:noWrap/>
            <w:vAlign w:val="center"/>
            <w:hideMark/>
          </w:tcPr>
          <w:p w14:paraId="5A0A796A"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single" w:sz="4" w:space="0" w:color="auto"/>
              <w:left w:val="nil"/>
              <w:bottom w:val="nil"/>
              <w:right w:val="nil"/>
            </w:tcBorders>
            <w:shd w:val="clear" w:color="000000" w:fill="FFFFFF"/>
            <w:noWrap/>
            <w:vAlign w:val="center"/>
            <w:hideMark/>
          </w:tcPr>
          <w:p w14:paraId="5EE0C1C1"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 </w:t>
            </w:r>
          </w:p>
        </w:tc>
      </w:tr>
      <w:tr w:rsidR="00F5171A" w:rsidRPr="00954D98" w14:paraId="0ABCB140" w14:textId="77777777" w:rsidTr="00F5171A">
        <w:trPr>
          <w:trHeight w:hRule="exact" w:val="225"/>
        </w:trPr>
        <w:tc>
          <w:tcPr>
            <w:tcW w:w="2285" w:type="pct"/>
            <w:tcBorders>
              <w:top w:val="nil"/>
              <w:left w:val="nil"/>
              <w:bottom w:val="nil"/>
              <w:right w:val="nil"/>
            </w:tcBorders>
            <w:shd w:val="clear" w:color="000000" w:fill="FFFFFF"/>
            <w:noWrap/>
            <w:vAlign w:val="center"/>
            <w:hideMark/>
          </w:tcPr>
          <w:p w14:paraId="1BD216CF" w14:textId="77777777" w:rsidR="00F5171A" w:rsidRPr="00954D98" w:rsidRDefault="00F5171A" w:rsidP="00F5171A">
            <w:pPr>
              <w:spacing w:before="0" w:after="0" w:line="240" w:lineRule="auto"/>
              <w:rPr>
                <w:rFonts w:ascii="Arial" w:hAnsi="Arial" w:cs="Arial"/>
                <w:b/>
                <w:bCs/>
                <w:color w:val="FFFF00"/>
                <w:sz w:val="16"/>
                <w:szCs w:val="16"/>
              </w:rPr>
            </w:pPr>
            <w:r w:rsidRPr="00954D98">
              <w:rPr>
                <w:rFonts w:ascii="Arial" w:hAnsi="Arial" w:cs="Arial"/>
                <w:b/>
                <w:bCs/>
                <w:sz w:val="16"/>
                <w:szCs w:val="16"/>
              </w:rPr>
              <w:t>2025-26 MYEFO fiscal balance</w:t>
            </w:r>
          </w:p>
        </w:tc>
        <w:tc>
          <w:tcPr>
            <w:tcW w:w="504" w:type="pct"/>
            <w:tcBorders>
              <w:top w:val="nil"/>
              <w:left w:val="nil"/>
              <w:bottom w:val="nil"/>
              <w:right w:val="nil"/>
            </w:tcBorders>
            <w:shd w:val="clear" w:color="000000" w:fill="E6F2FF"/>
            <w:noWrap/>
            <w:vAlign w:val="center"/>
            <w:hideMark/>
          </w:tcPr>
          <w:p w14:paraId="65C1D6BE" w14:textId="77777777" w:rsidR="00F5171A" w:rsidRPr="00954D98" w:rsidRDefault="00F5171A" w:rsidP="00F5171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-54,812</w:t>
            </w:r>
          </w:p>
        </w:tc>
        <w:tc>
          <w:tcPr>
            <w:tcW w:w="504" w:type="pct"/>
            <w:tcBorders>
              <w:top w:val="nil"/>
              <w:left w:val="nil"/>
              <w:bottom w:val="nil"/>
              <w:right w:val="nil"/>
            </w:tcBorders>
            <w:shd w:val="clear" w:color="000000" w:fill="FFFFFF"/>
            <w:noWrap/>
            <w:vAlign w:val="center"/>
            <w:hideMark/>
          </w:tcPr>
          <w:p w14:paraId="5858252B" w14:textId="77777777" w:rsidR="00F5171A" w:rsidRPr="00954D98" w:rsidRDefault="00F5171A" w:rsidP="00F5171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-35,792</w:t>
            </w:r>
          </w:p>
        </w:tc>
        <w:tc>
          <w:tcPr>
            <w:tcW w:w="504" w:type="pct"/>
            <w:tcBorders>
              <w:top w:val="nil"/>
              <w:left w:val="nil"/>
              <w:bottom w:val="nil"/>
              <w:right w:val="nil"/>
            </w:tcBorders>
            <w:shd w:val="clear" w:color="000000" w:fill="FFFFFF"/>
            <w:noWrap/>
            <w:vAlign w:val="center"/>
            <w:hideMark/>
          </w:tcPr>
          <w:p w14:paraId="4896BCE9" w14:textId="77777777" w:rsidR="00F5171A" w:rsidRPr="00954D98" w:rsidRDefault="00F5171A" w:rsidP="00F5171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-43,213</w:t>
            </w:r>
          </w:p>
        </w:tc>
        <w:tc>
          <w:tcPr>
            <w:tcW w:w="504" w:type="pct"/>
            <w:tcBorders>
              <w:top w:val="nil"/>
              <w:left w:val="nil"/>
              <w:bottom w:val="nil"/>
              <w:right w:val="nil"/>
            </w:tcBorders>
            <w:shd w:val="clear" w:color="000000" w:fill="FFFFFF"/>
            <w:noWrap/>
            <w:vAlign w:val="center"/>
            <w:hideMark/>
          </w:tcPr>
          <w:p w14:paraId="59DA0BC3" w14:textId="77777777" w:rsidR="00F5171A" w:rsidRPr="00954D98" w:rsidRDefault="00F5171A" w:rsidP="00F5171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-43,741</w:t>
            </w:r>
          </w:p>
        </w:tc>
        <w:tc>
          <w:tcPr>
            <w:tcW w:w="65" w:type="pct"/>
            <w:tcBorders>
              <w:top w:val="nil"/>
              <w:left w:val="nil"/>
              <w:bottom w:val="nil"/>
              <w:right w:val="nil"/>
            </w:tcBorders>
            <w:shd w:val="clear" w:color="000000" w:fill="FFFFFF"/>
            <w:noWrap/>
            <w:vAlign w:val="center"/>
            <w:hideMark/>
          </w:tcPr>
          <w:p w14:paraId="1D021EDE" w14:textId="77777777" w:rsidR="00F5171A" w:rsidRPr="00954D98" w:rsidRDefault="00F5171A" w:rsidP="00F5171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35" w:type="pct"/>
            <w:tcBorders>
              <w:top w:val="nil"/>
              <w:left w:val="nil"/>
              <w:bottom w:val="nil"/>
              <w:right w:val="nil"/>
            </w:tcBorders>
            <w:shd w:val="clear" w:color="000000" w:fill="FFFFFF"/>
            <w:noWrap/>
            <w:vAlign w:val="center"/>
            <w:hideMark/>
          </w:tcPr>
          <w:p w14:paraId="7566FB1E" w14:textId="77777777" w:rsidR="00F5171A" w:rsidRPr="00954D98" w:rsidRDefault="00F5171A" w:rsidP="00F5171A">
            <w:pPr>
              <w:spacing w:before="0" w:after="0" w:line="240" w:lineRule="auto"/>
              <w:jc w:val="right"/>
              <w:rPr>
                <w:rFonts w:ascii="Arial" w:hAnsi="Arial" w:cs="Arial"/>
                <w:b/>
                <w:bCs/>
                <w:sz w:val="16"/>
                <w:szCs w:val="16"/>
              </w:rPr>
            </w:pPr>
            <w:r w:rsidRPr="00954D98">
              <w:rPr>
                <w:rFonts w:ascii="Arial" w:hAnsi="Arial" w:cs="Arial"/>
                <w:b/>
                <w:bCs/>
                <w:sz w:val="16"/>
                <w:szCs w:val="16"/>
              </w:rPr>
              <w:t>-177,558</w:t>
            </w:r>
          </w:p>
        </w:tc>
      </w:tr>
      <w:tr w:rsidR="00F5171A" w:rsidRPr="00954D98" w14:paraId="58F19335" w14:textId="77777777" w:rsidTr="00F5171A">
        <w:trPr>
          <w:trHeight w:hRule="exact" w:val="225"/>
        </w:trPr>
        <w:tc>
          <w:tcPr>
            <w:tcW w:w="2285" w:type="pct"/>
            <w:tcBorders>
              <w:top w:val="nil"/>
              <w:left w:val="nil"/>
              <w:bottom w:val="single" w:sz="4" w:space="0" w:color="293F5B"/>
              <w:right w:val="nil"/>
            </w:tcBorders>
            <w:shd w:val="clear" w:color="000000" w:fill="FFFFFF"/>
            <w:noWrap/>
            <w:vAlign w:val="center"/>
            <w:hideMark/>
          </w:tcPr>
          <w:p w14:paraId="03E8A7C4" w14:textId="77777777" w:rsidR="00F5171A" w:rsidRPr="00954D98" w:rsidRDefault="00F5171A" w:rsidP="00F5171A">
            <w:pPr>
              <w:spacing w:before="0" w:after="0" w:line="240" w:lineRule="auto"/>
              <w:rPr>
                <w:rFonts w:ascii="Arial" w:hAnsi="Arial" w:cs="Arial"/>
                <w:color w:val="FFFF00"/>
                <w:sz w:val="16"/>
                <w:szCs w:val="16"/>
              </w:rPr>
            </w:pPr>
            <w:r w:rsidRPr="00954D98">
              <w:rPr>
                <w:rFonts w:ascii="Arial" w:hAnsi="Arial" w:cs="Arial"/>
                <w:sz w:val="16"/>
                <w:szCs w:val="16"/>
              </w:rPr>
              <w:t>Per cent of GDP</w:t>
            </w:r>
          </w:p>
        </w:tc>
        <w:tc>
          <w:tcPr>
            <w:tcW w:w="504" w:type="pct"/>
            <w:tcBorders>
              <w:top w:val="nil"/>
              <w:left w:val="nil"/>
              <w:bottom w:val="single" w:sz="4" w:space="0" w:color="293F5B"/>
              <w:right w:val="nil"/>
            </w:tcBorders>
            <w:shd w:val="clear" w:color="000000" w:fill="E6F2FF"/>
            <w:noWrap/>
            <w:vAlign w:val="center"/>
            <w:hideMark/>
          </w:tcPr>
          <w:p w14:paraId="0F78B092"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-1.9</w:t>
            </w:r>
          </w:p>
        </w:tc>
        <w:tc>
          <w:tcPr>
            <w:tcW w:w="504" w:type="pct"/>
            <w:tcBorders>
              <w:top w:val="nil"/>
              <w:left w:val="nil"/>
              <w:bottom w:val="single" w:sz="4" w:space="0" w:color="293F5B"/>
              <w:right w:val="nil"/>
            </w:tcBorders>
            <w:shd w:val="clear" w:color="000000" w:fill="FFFFFF"/>
            <w:noWrap/>
            <w:vAlign w:val="center"/>
            <w:hideMark/>
          </w:tcPr>
          <w:p w14:paraId="241A8484"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-1.2</w:t>
            </w:r>
          </w:p>
        </w:tc>
        <w:tc>
          <w:tcPr>
            <w:tcW w:w="504" w:type="pct"/>
            <w:tcBorders>
              <w:top w:val="nil"/>
              <w:left w:val="nil"/>
              <w:bottom w:val="single" w:sz="4" w:space="0" w:color="293F5B"/>
              <w:right w:val="nil"/>
            </w:tcBorders>
            <w:shd w:val="clear" w:color="000000" w:fill="FFFFFF"/>
            <w:noWrap/>
            <w:vAlign w:val="center"/>
            <w:hideMark/>
          </w:tcPr>
          <w:p w14:paraId="285A8DA0"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-1.4</w:t>
            </w:r>
          </w:p>
        </w:tc>
        <w:tc>
          <w:tcPr>
            <w:tcW w:w="504" w:type="pct"/>
            <w:tcBorders>
              <w:top w:val="nil"/>
              <w:left w:val="nil"/>
              <w:bottom w:val="single" w:sz="4" w:space="0" w:color="293F5B"/>
              <w:right w:val="nil"/>
            </w:tcBorders>
            <w:shd w:val="clear" w:color="000000" w:fill="FFFFFF"/>
            <w:noWrap/>
            <w:vAlign w:val="center"/>
            <w:hideMark/>
          </w:tcPr>
          <w:p w14:paraId="34F80C84"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-1.3</w:t>
            </w:r>
          </w:p>
        </w:tc>
        <w:tc>
          <w:tcPr>
            <w:tcW w:w="65" w:type="pct"/>
            <w:tcBorders>
              <w:top w:val="nil"/>
              <w:left w:val="nil"/>
              <w:bottom w:val="single" w:sz="4" w:space="0" w:color="293F5B"/>
              <w:right w:val="nil"/>
            </w:tcBorders>
            <w:shd w:val="clear" w:color="000000" w:fill="FFFFFF"/>
            <w:noWrap/>
            <w:vAlign w:val="center"/>
            <w:hideMark/>
          </w:tcPr>
          <w:p w14:paraId="2B04F22E" w14:textId="77777777" w:rsidR="00F5171A" w:rsidRPr="00954D98" w:rsidRDefault="00F5171A" w:rsidP="00F5171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35" w:type="pct"/>
            <w:tcBorders>
              <w:top w:val="nil"/>
              <w:left w:val="nil"/>
              <w:bottom w:val="single" w:sz="4" w:space="0" w:color="293F5B"/>
              <w:right w:val="nil"/>
            </w:tcBorders>
            <w:shd w:val="clear" w:color="000000" w:fill="FFFFFF"/>
            <w:noWrap/>
            <w:vAlign w:val="center"/>
            <w:hideMark/>
          </w:tcPr>
          <w:p w14:paraId="77CB9A76" w14:textId="77777777" w:rsidR="00F5171A" w:rsidRPr="00954D98" w:rsidRDefault="00F5171A" w:rsidP="00F5171A">
            <w:pPr>
              <w:spacing w:before="0" w:after="0" w:line="240" w:lineRule="auto"/>
              <w:jc w:val="right"/>
              <w:rPr>
                <w:rFonts w:ascii="Arial" w:hAnsi="Arial" w:cs="Arial"/>
                <w:sz w:val="16"/>
                <w:szCs w:val="16"/>
              </w:rPr>
            </w:pPr>
            <w:r w:rsidRPr="00954D98">
              <w:rPr>
                <w:rFonts w:ascii="Arial" w:hAnsi="Arial" w:cs="Arial"/>
                <w:sz w:val="16"/>
                <w:szCs w:val="16"/>
              </w:rPr>
              <w:t> </w:t>
            </w:r>
          </w:p>
        </w:tc>
      </w:tr>
    </w:tbl>
    <w:p w14:paraId="240D3EBF" w14:textId="543D540B" w:rsidR="00F1044A" w:rsidRPr="00954D98" w:rsidRDefault="00F1044A" w:rsidP="00F1044A">
      <w:pPr>
        <w:pStyle w:val="ChartandTableFootnoteAlpha"/>
        <w:numPr>
          <w:ilvl w:val="0"/>
          <w:numId w:val="31"/>
        </w:numPr>
        <w:rPr>
          <w:rFonts w:eastAsiaTheme="minorHAnsi"/>
          <w:color w:val="auto"/>
        </w:rPr>
      </w:pPr>
      <w:r w:rsidRPr="00954D98">
        <w:rPr>
          <w:rFonts w:eastAsiaTheme="minorHAnsi"/>
          <w:color w:val="auto"/>
        </w:rPr>
        <w:t>Excludes secondary impacts on public debt interest of policy decisions and offsets from the Contingency Reserve for decisions taken.</w:t>
      </w:r>
    </w:p>
    <w:p w14:paraId="2B2CE18E" w14:textId="50E412E9" w:rsidR="00F1044A" w:rsidRPr="00954D98" w:rsidRDefault="00F1044A" w:rsidP="00A34C2A">
      <w:pPr>
        <w:pStyle w:val="ChartandTableFootnoteAlpha"/>
        <w:numPr>
          <w:ilvl w:val="0"/>
          <w:numId w:val="31"/>
        </w:numPr>
        <w:rPr>
          <w:rFonts w:eastAsiaTheme="minorHAnsi"/>
          <w:color w:val="auto"/>
        </w:rPr>
      </w:pPr>
      <w:r w:rsidRPr="00954D98">
        <w:rPr>
          <w:rFonts w:eastAsiaTheme="minorHAnsi"/>
          <w:color w:val="auto"/>
        </w:rPr>
        <w:t>A positive number for revenue improves the fiscal balance, while a positive number for expenses and net capital investment worsens the fiscal balance.</w:t>
      </w:r>
    </w:p>
    <w:p w14:paraId="73D5D8F4" w14:textId="77777777" w:rsidR="00F1044A" w:rsidRPr="00954D98" w:rsidRDefault="00F1044A" w:rsidP="00F1044A">
      <w:pPr>
        <w:pStyle w:val="TableLine"/>
      </w:pPr>
    </w:p>
    <w:p w14:paraId="6DF0F6B5" w14:textId="5722F5D5" w:rsidR="00F1044A" w:rsidRPr="00954D98" w:rsidRDefault="00F1044A" w:rsidP="00F1044A">
      <w:pPr>
        <w:pStyle w:val="Heading4"/>
      </w:pPr>
      <w:bookmarkStart w:id="69" w:name="_Toc148428082"/>
      <w:r w:rsidRPr="00954D98">
        <w:t xml:space="preserve">Revenue </w:t>
      </w:r>
      <w:r w:rsidRPr="00954D98">
        <w:rPr>
          <w:rStyle w:val="Heading3Char"/>
          <w:b/>
        </w:rPr>
        <w:t>estimates</w:t>
      </w:r>
      <w:bookmarkEnd w:id="69"/>
    </w:p>
    <w:p w14:paraId="27FBFC67" w14:textId="698537C7" w:rsidR="00F1044A" w:rsidRPr="00954D98" w:rsidRDefault="00F1044A" w:rsidP="00F1044A">
      <w:r w:rsidRPr="00954D98">
        <w:t>Revenue is the accrual accounting equivalent of cash</w:t>
      </w:r>
      <w:r w:rsidR="00536CFF">
        <w:noBreakHyphen/>
      </w:r>
      <w:r w:rsidRPr="00954D98">
        <w:t xml:space="preserve">based receipts. Changes in revenue are generally driven by the same factors as receipts. Revenue amounts can be higher or lower than the cash equivalents as they include amounts that a taxpayer is liable to pay </w:t>
      </w:r>
      <w:r w:rsidR="00363836" w:rsidRPr="00954D98">
        <w:br/>
      </w:r>
      <w:r w:rsidRPr="00954D98">
        <w:t xml:space="preserve">but has not paid. The differences between the accrual and cash amounts generally reflect timing differences. </w:t>
      </w:r>
    </w:p>
    <w:p w14:paraId="2E36BCE0" w14:textId="6596833D" w:rsidR="00F1044A" w:rsidRPr="00954D98" w:rsidRDefault="00F1044A" w:rsidP="00F1044A">
      <w:r w:rsidRPr="00954D98">
        <w:t>Total revenue has been revised up by $</w:t>
      </w:r>
      <w:r w:rsidR="00D52677" w:rsidRPr="00954D98">
        <w:t>15</w:t>
      </w:r>
      <w:r w:rsidRPr="00954D98">
        <w:t>.</w:t>
      </w:r>
      <w:r w:rsidR="00D52677" w:rsidRPr="00954D98">
        <w:t>3</w:t>
      </w:r>
      <w:r w:rsidRPr="00954D98">
        <w:t xml:space="preserve"> billion in </w:t>
      </w:r>
      <w:r w:rsidR="00EF2048" w:rsidRPr="00954D98">
        <w:t>2025–26</w:t>
      </w:r>
      <w:r w:rsidRPr="00954D98">
        <w:t xml:space="preserve"> since the </w:t>
      </w:r>
      <w:r w:rsidR="001B1B1A" w:rsidRPr="00954D98">
        <w:t>2025 PEFO</w:t>
      </w:r>
      <w:r w:rsidRPr="00954D98">
        <w:t xml:space="preserve"> (Table</w:t>
      </w:r>
      <w:r w:rsidR="00A438F5" w:rsidRPr="00954D98">
        <w:t> </w:t>
      </w:r>
      <w:r w:rsidRPr="00954D98">
        <w:t>3.</w:t>
      </w:r>
      <w:r w:rsidR="001E68CD" w:rsidRPr="00954D98">
        <w:t>11</w:t>
      </w:r>
      <w:r w:rsidRPr="00954D98">
        <w:t xml:space="preserve">). </w:t>
      </w:r>
      <w:r w:rsidRPr="00954D98">
        <w:br w:type="page"/>
      </w:r>
    </w:p>
    <w:p w14:paraId="1C182788" w14:textId="6C00B44F" w:rsidR="00DA5359" w:rsidRPr="00954D98" w:rsidRDefault="00F1044A" w:rsidP="00DA5359">
      <w:pPr>
        <w:pStyle w:val="TableHeading"/>
        <w:rPr>
          <w:rFonts w:eastAsiaTheme="minorHAnsi"/>
        </w:rPr>
      </w:pPr>
      <w:r w:rsidRPr="00954D98">
        <w:lastRenderedPageBreak/>
        <w:t>Table 3.</w:t>
      </w:r>
      <w:r w:rsidR="002367CE" w:rsidRPr="00954D98">
        <w:t>11</w:t>
      </w:r>
      <w:r w:rsidRPr="00954D98">
        <w:t>: Reconciliation of 202</w:t>
      </w:r>
      <w:r w:rsidR="00ED3B1F" w:rsidRPr="00954D98">
        <w:t>5</w:t>
      </w:r>
      <w:r w:rsidRPr="00954D98">
        <w:t>–2</w:t>
      </w:r>
      <w:r w:rsidR="00ED3B1F" w:rsidRPr="00954D98">
        <w:t>6</w:t>
      </w:r>
      <w:r w:rsidRPr="00954D98">
        <w:t xml:space="preserve"> general government (accrual) revenue</w:t>
      </w:r>
    </w:p>
    <w:tbl>
      <w:tblPr>
        <w:tblW w:w="5000" w:type="pct"/>
        <w:tblCellMar>
          <w:left w:w="0" w:type="dxa"/>
          <w:right w:w="28" w:type="dxa"/>
        </w:tblCellMar>
        <w:tblLook w:val="04A0" w:firstRow="1" w:lastRow="0" w:firstColumn="1" w:lastColumn="0" w:noHBand="0" w:noVBand="1"/>
      </w:tblPr>
      <w:tblGrid>
        <w:gridCol w:w="4079"/>
        <w:gridCol w:w="927"/>
        <w:gridCol w:w="927"/>
        <w:gridCol w:w="128"/>
        <w:gridCol w:w="867"/>
        <w:gridCol w:w="782"/>
      </w:tblGrid>
      <w:tr w:rsidR="00867BAA" w:rsidRPr="00954D98" w14:paraId="3D8BFDFB" w14:textId="77777777" w:rsidTr="00867BAA">
        <w:trPr>
          <w:trHeight w:hRule="exact" w:val="225"/>
        </w:trPr>
        <w:tc>
          <w:tcPr>
            <w:tcW w:w="2646" w:type="pct"/>
            <w:tcBorders>
              <w:top w:val="single" w:sz="4" w:space="0" w:color="293F5B"/>
              <w:left w:val="nil"/>
              <w:bottom w:val="nil"/>
              <w:right w:val="nil"/>
            </w:tcBorders>
            <w:shd w:val="clear" w:color="000000" w:fill="FFFFFF"/>
            <w:noWrap/>
            <w:vAlign w:val="center"/>
            <w:hideMark/>
          </w:tcPr>
          <w:p w14:paraId="4F31BBE6"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1202" w:type="pct"/>
            <w:gridSpan w:val="2"/>
            <w:tcBorders>
              <w:top w:val="single" w:sz="4" w:space="0" w:color="auto"/>
              <w:left w:val="nil"/>
              <w:bottom w:val="single" w:sz="4" w:space="0" w:color="293F5B"/>
              <w:right w:val="nil"/>
            </w:tcBorders>
            <w:shd w:val="clear" w:color="000000" w:fill="FFFFFF"/>
            <w:noWrap/>
            <w:vAlign w:val="center"/>
            <w:hideMark/>
          </w:tcPr>
          <w:p w14:paraId="42024963" w14:textId="77777777" w:rsidR="00867BAA" w:rsidRPr="00954D98" w:rsidRDefault="00867BAA" w:rsidP="00867BAA">
            <w:pPr>
              <w:spacing w:before="0" w:after="0" w:line="240" w:lineRule="auto"/>
              <w:jc w:val="center"/>
              <w:rPr>
                <w:rFonts w:ascii="Arial" w:hAnsi="Arial" w:cs="Arial"/>
                <w:color w:val="FFFF00"/>
                <w:sz w:val="16"/>
                <w:szCs w:val="16"/>
              </w:rPr>
            </w:pPr>
            <w:r w:rsidRPr="00954D98">
              <w:rPr>
                <w:rFonts w:ascii="Arial" w:hAnsi="Arial" w:cs="Arial"/>
                <w:sz w:val="16"/>
                <w:szCs w:val="16"/>
              </w:rPr>
              <w:t>Estimates</w:t>
            </w:r>
          </w:p>
        </w:tc>
        <w:tc>
          <w:tcPr>
            <w:tcW w:w="83" w:type="pct"/>
            <w:tcBorders>
              <w:top w:val="single" w:sz="4" w:space="0" w:color="293F5B"/>
              <w:left w:val="nil"/>
              <w:bottom w:val="nil"/>
              <w:right w:val="nil"/>
            </w:tcBorders>
            <w:shd w:val="clear" w:color="000000" w:fill="FFFFFF"/>
            <w:noWrap/>
            <w:vAlign w:val="center"/>
            <w:hideMark/>
          </w:tcPr>
          <w:p w14:paraId="6CC624D7"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1068" w:type="pct"/>
            <w:gridSpan w:val="2"/>
            <w:tcBorders>
              <w:top w:val="single" w:sz="4" w:space="0" w:color="293F5B"/>
              <w:left w:val="nil"/>
              <w:bottom w:val="single" w:sz="4" w:space="0" w:color="293F5B"/>
              <w:right w:val="nil"/>
            </w:tcBorders>
            <w:shd w:val="clear" w:color="000000" w:fill="FFFFFF"/>
            <w:noWrap/>
            <w:vAlign w:val="center"/>
            <w:hideMark/>
          </w:tcPr>
          <w:p w14:paraId="0880500F" w14:textId="77777777" w:rsidR="00867BAA" w:rsidRPr="00954D98" w:rsidRDefault="00867BAA" w:rsidP="00867BAA">
            <w:pPr>
              <w:spacing w:before="0" w:after="0" w:line="240" w:lineRule="auto"/>
              <w:jc w:val="center"/>
              <w:rPr>
                <w:rFonts w:ascii="Arial" w:hAnsi="Arial" w:cs="Arial"/>
                <w:sz w:val="16"/>
                <w:szCs w:val="16"/>
              </w:rPr>
            </w:pPr>
            <w:r w:rsidRPr="00954D98">
              <w:rPr>
                <w:rFonts w:ascii="Arial" w:hAnsi="Arial" w:cs="Arial"/>
                <w:sz w:val="16"/>
                <w:szCs w:val="16"/>
              </w:rPr>
              <w:t>Change on PEFO</w:t>
            </w:r>
          </w:p>
        </w:tc>
      </w:tr>
      <w:tr w:rsidR="00867BAA" w:rsidRPr="00954D98" w14:paraId="16A75733"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3E9B584E"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601" w:type="pct"/>
            <w:tcBorders>
              <w:top w:val="single" w:sz="4" w:space="0" w:color="293F5B"/>
              <w:left w:val="nil"/>
              <w:bottom w:val="nil"/>
              <w:right w:val="nil"/>
            </w:tcBorders>
            <w:shd w:val="clear" w:color="000000" w:fill="FFFFFF"/>
            <w:noWrap/>
            <w:vAlign w:val="center"/>
            <w:hideMark/>
          </w:tcPr>
          <w:p w14:paraId="6897852C"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PEFO</w:t>
            </w:r>
          </w:p>
        </w:tc>
        <w:tc>
          <w:tcPr>
            <w:tcW w:w="601" w:type="pct"/>
            <w:tcBorders>
              <w:top w:val="single" w:sz="4" w:space="0" w:color="293F5B"/>
              <w:left w:val="nil"/>
              <w:bottom w:val="nil"/>
              <w:right w:val="nil"/>
            </w:tcBorders>
            <w:shd w:val="clear" w:color="000000" w:fill="E6F2FF"/>
            <w:noWrap/>
            <w:vAlign w:val="center"/>
            <w:hideMark/>
          </w:tcPr>
          <w:p w14:paraId="17DCC4D9"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MYEFO</w:t>
            </w:r>
          </w:p>
        </w:tc>
        <w:tc>
          <w:tcPr>
            <w:tcW w:w="83" w:type="pct"/>
            <w:tcBorders>
              <w:top w:val="nil"/>
              <w:left w:val="nil"/>
              <w:bottom w:val="nil"/>
              <w:right w:val="nil"/>
            </w:tcBorders>
            <w:shd w:val="clear" w:color="000000" w:fill="FFFFFF"/>
            <w:noWrap/>
            <w:vAlign w:val="center"/>
            <w:hideMark/>
          </w:tcPr>
          <w:p w14:paraId="0B7886D6"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1068" w:type="pct"/>
            <w:gridSpan w:val="2"/>
            <w:tcBorders>
              <w:top w:val="single" w:sz="4" w:space="0" w:color="293F5B"/>
              <w:left w:val="nil"/>
              <w:bottom w:val="nil"/>
              <w:right w:val="nil"/>
            </w:tcBorders>
            <w:shd w:val="clear" w:color="000000" w:fill="FFFFFF"/>
            <w:noWrap/>
            <w:vAlign w:val="center"/>
            <w:hideMark/>
          </w:tcPr>
          <w:p w14:paraId="29D97697" w14:textId="77777777" w:rsidR="00867BAA" w:rsidRPr="00954D98" w:rsidRDefault="00867BAA" w:rsidP="00867BAA">
            <w:pPr>
              <w:spacing w:before="0" w:after="0" w:line="240" w:lineRule="auto"/>
              <w:jc w:val="center"/>
              <w:rPr>
                <w:rFonts w:ascii="Arial" w:hAnsi="Arial" w:cs="Arial"/>
                <w:sz w:val="16"/>
                <w:szCs w:val="16"/>
              </w:rPr>
            </w:pPr>
            <w:r w:rsidRPr="00954D98">
              <w:rPr>
                <w:rFonts w:ascii="Arial" w:hAnsi="Arial" w:cs="Arial"/>
                <w:sz w:val="16"/>
                <w:szCs w:val="16"/>
              </w:rPr>
              <w:t xml:space="preserve"> </w:t>
            </w:r>
          </w:p>
        </w:tc>
      </w:tr>
      <w:tr w:rsidR="002C4687" w:rsidRPr="00954D98" w14:paraId="57CFDF8B" w14:textId="77777777" w:rsidTr="00867BAA">
        <w:trPr>
          <w:trHeight w:val="225"/>
        </w:trPr>
        <w:tc>
          <w:tcPr>
            <w:tcW w:w="2646" w:type="pct"/>
            <w:tcBorders>
              <w:top w:val="nil"/>
              <w:left w:val="nil"/>
              <w:bottom w:val="nil"/>
              <w:right w:val="nil"/>
            </w:tcBorders>
            <w:shd w:val="clear" w:color="000000" w:fill="FFFFFF"/>
            <w:vAlign w:val="center"/>
            <w:hideMark/>
          </w:tcPr>
          <w:p w14:paraId="2CC8F8ED"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601" w:type="pct"/>
            <w:tcBorders>
              <w:top w:val="nil"/>
              <w:left w:val="nil"/>
              <w:bottom w:val="single" w:sz="4" w:space="0" w:color="293F5B"/>
              <w:right w:val="nil"/>
            </w:tcBorders>
            <w:shd w:val="clear" w:color="000000" w:fill="FFFFFF"/>
            <w:vAlign w:val="center"/>
            <w:hideMark/>
          </w:tcPr>
          <w:p w14:paraId="350254D2"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601" w:type="pct"/>
            <w:tcBorders>
              <w:top w:val="nil"/>
              <w:left w:val="nil"/>
              <w:bottom w:val="single" w:sz="4" w:space="0" w:color="293F5B"/>
              <w:right w:val="nil"/>
            </w:tcBorders>
            <w:shd w:val="clear" w:color="000000" w:fill="E6F2FF"/>
            <w:vAlign w:val="center"/>
            <w:hideMark/>
          </w:tcPr>
          <w:p w14:paraId="357CC306"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83" w:type="pct"/>
            <w:tcBorders>
              <w:top w:val="nil"/>
              <w:left w:val="nil"/>
              <w:bottom w:val="nil"/>
              <w:right w:val="nil"/>
            </w:tcBorders>
            <w:shd w:val="clear" w:color="000000" w:fill="FFFFFF"/>
            <w:vAlign w:val="center"/>
            <w:hideMark/>
          </w:tcPr>
          <w:p w14:paraId="0E5282A4"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single" w:sz="4" w:space="0" w:color="293F5B"/>
              <w:right w:val="nil"/>
            </w:tcBorders>
            <w:shd w:val="clear" w:color="000000" w:fill="FFFFFF"/>
            <w:vAlign w:val="center"/>
            <w:hideMark/>
          </w:tcPr>
          <w:p w14:paraId="0E6A8FAB"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07" w:type="pct"/>
            <w:tcBorders>
              <w:top w:val="nil"/>
              <w:left w:val="nil"/>
              <w:bottom w:val="single" w:sz="4" w:space="0" w:color="293F5B"/>
              <w:right w:val="nil"/>
            </w:tcBorders>
            <w:shd w:val="clear" w:color="000000" w:fill="FFFFFF"/>
            <w:vAlign w:val="center"/>
            <w:hideMark/>
          </w:tcPr>
          <w:p w14:paraId="29164E8A"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w:t>
            </w:r>
          </w:p>
        </w:tc>
      </w:tr>
      <w:tr w:rsidR="00867BAA" w:rsidRPr="00954D98" w14:paraId="39466938"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5CBFC869"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Individuals and other withholding taxes</w:t>
            </w:r>
          </w:p>
        </w:tc>
        <w:tc>
          <w:tcPr>
            <w:tcW w:w="601" w:type="pct"/>
            <w:tcBorders>
              <w:top w:val="nil"/>
              <w:left w:val="nil"/>
              <w:bottom w:val="nil"/>
              <w:right w:val="nil"/>
            </w:tcBorders>
            <w:shd w:val="clear" w:color="000000" w:fill="FFFFFF"/>
            <w:noWrap/>
            <w:vAlign w:val="center"/>
            <w:hideMark/>
          </w:tcPr>
          <w:p w14:paraId="44785A15"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01" w:type="pct"/>
            <w:tcBorders>
              <w:top w:val="nil"/>
              <w:left w:val="nil"/>
              <w:bottom w:val="nil"/>
              <w:right w:val="nil"/>
            </w:tcBorders>
            <w:shd w:val="clear" w:color="000000" w:fill="E6F2FF"/>
            <w:noWrap/>
            <w:vAlign w:val="center"/>
            <w:hideMark/>
          </w:tcPr>
          <w:p w14:paraId="5824ADB8"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83" w:type="pct"/>
            <w:tcBorders>
              <w:top w:val="nil"/>
              <w:left w:val="nil"/>
              <w:bottom w:val="nil"/>
              <w:right w:val="nil"/>
            </w:tcBorders>
            <w:shd w:val="clear" w:color="000000" w:fill="FFFFFF"/>
            <w:noWrap/>
            <w:vAlign w:val="center"/>
            <w:hideMark/>
          </w:tcPr>
          <w:p w14:paraId="122960BC"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5870CD8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7" w:type="pct"/>
            <w:tcBorders>
              <w:top w:val="nil"/>
              <w:left w:val="nil"/>
              <w:bottom w:val="nil"/>
              <w:right w:val="nil"/>
            </w:tcBorders>
            <w:shd w:val="clear" w:color="000000" w:fill="FFFFFF"/>
            <w:noWrap/>
            <w:vAlign w:val="center"/>
            <w:hideMark/>
          </w:tcPr>
          <w:p w14:paraId="7A8AC8CD"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 </w:t>
            </w:r>
          </w:p>
        </w:tc>
      </w:tr>
      <w:tr w:rsidR="00867BAA" w:rsidRPr="00954D98" w14:paraId="381B3FFC"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5D3F4FDA" w14:textId="77777777" w:rsidR="00867BAA" w:rsidRPr="00954D98" w:rsidRDefault="00867BAA" w:rsidP="00867BAA">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Gross income tax withholding</w:t>
            </w:r>
          </w:p>
        </w:tc>
        <w:tc>
          <w:tcPr>
            <w:tcW w:w="601" w:type="pct"/>
            <w:tcBorders>
              <w:top w:val="nil"/>
              <w:left w:val="nil"/>
              <w:bottom w:val="nil"/>
              <w:right w:val="nil"/>
            </w:tcBorders>
            <w:shd w:val="clear" w:color="000000" w:fill="FFFFFF"/>
            <w:noWrap/>
            <w:vAlign w:val="center"/>
            <w:hideMark/>
          </w:tcPr>
          <w:p w14:paraId="60E7351C"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314,100</w:t>
            </w:r>
          </w:p>
        </w:tc>
        <w:tc>
          <w:tcPr>
            <w:tcW w:w="601" w:type="pct"/>
            <w:tcBorders>
              <w:top w:val="nil"/>
              <w:left w:val="nil"/>
              <w:bottom w:val="nil"/>
              <w:right w:val="nil"/>
            </w:tcBorders>
            <w:shd w:val="clear" w:color="000000" w:fill="E6F2FF"/>
            <w:noWrap/>
            <w:vAlign w:val="center"/>
            <w:hideMark/>
          </w:tcPr>
          <w:p w14:paraId="20ED67FD"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315,800</w:t>
            </w:r>
          </w:p>
        </w:tc>
        <w:tc>
          <w:tcPr>
            <w:tcW w:w="83" w:type="pct"/>
            <w:tcBorders>
              <w:top w:val="nil"/>
              <w:left w:val="nil"/>
              <w:bottom w:val="nil"/>
              <w:right w:val="nil"/>
            </w:tcBorders>
            <w:shd w:val="clear" w:color="000000" w:fill="FFFFFF"/>
            <w:noWrap/>
            <w:vAlign w:val="center"/>
            <w:hideMark/>
          </w:tcPr>
          <w:p w14:paraId="4EBB0F34"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794323DD"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1,700</w:t>
            </w:r>
          </w:p>
        </w:tc>
        <w:tc>
          <w:tcPr>
            <w:tcW w:w="507" w:type="pct"/>
            <w:tcBorders>
              <w:top w:val="nil"/>
              <w:left w:val="nil"/>
              <w:bottom w:val="nil"/>
              <w:right w:val="nil"/>
            </w:tcBorders>
            <w:shd w:val="clear" w:color="000000" w:fill="FFFFFF"/>
            <w:noWrap/>
            <w:vAlign w:val="center"/>
            <w:hideMark/>
          </w:tcPr>
          <w:p w14:paraId="1FC3DDA8"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0.5</w:t>
            </w:r>
          </w:p>
        </w:tc>
      </w:tr>
      <w:tr w:rsidR="00867BAA" w:rsidRPr="00954D98" w14:paraId="5F585800"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08728B1B" w14:textId="77777777" w:rsidR="00867BAA" w:rsidRPr="00954D98" w:rsidRDefault="00867BAA" w:rsidP="00867BAA">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Gross other individuals</w:t>
            </w:r>
          </w:p>
        </w:tc>
        <w:tc>
          <w:tcPr>
            <w:tcW w:w="601" w:type="pct"/>
            <w:tcBorders>
              <w:top w:val="nil"/>
              <w:left w:val="nil"/>
              <w:bottom w:val="nil"/>
              <w:right w:val="nil"/>
            </w:tcBorders>
            <w:shd w:val="clear" w:color="000000" w:fill="FFFFFF"/>
            <w:noWrap/>
            <w:vAlign w:val="center"/>
            <w:hideMark/>
          </w:tcPr>
          <w:p w14:paraId="2D4F3525"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84,500</w:t>
            </w:r>
          </w:p>
        </w:tc>
        <w:tc>
          <w:tcPr>
            <w:tcW w:w="601" w:type="pct"/>
            <w:tcBorders>
              <w:top w:val="nil"/>
              <w:left w:val="nil"/>
              <w:bottom w:val="nil"/>
              <w:right w:val="nil"/>
            </w:tcBorders>
            <w:shd w:val="clear" w:color="000000" w:fill="E6F2FF"/>
            <w:noWrap/>
            <w:vAlign w:val="center"/>
            <w:hideMark/>
          </w:tcPr>
          <w:p w14:paraId="52B697F8"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91,600</w:t>
            </w:r>
          </w:p>
        </w:tc>
        <w:tc>
          <w:tcPr>
            <w:tcW w:w="83" w:type="pct"/>
            <w:tcBorders>
              <w:top w:val="nil"/>
              <w:left w:val="nil"/>
              <w:bottom w:val="nil"/>
              <w:right w:val="nil"/>
            </w:tcBorders>
            <w:shd w:val="clear" w:color="000000" w:fill="FFFFFF"/>
            <w:noWrap/>
            <w:vAlign w:val="center"/>
            <w:hideMark/>
          </w:tcPr>
          <w:p w14:paraId="41F0E288"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512F424A"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7,100</w:t>
            </w:r>
          </w:p>
        </w:tc>
        <w:tc>
          <w:tcPr>
            <w:tcW w:w="507" w:type="pct"/>
            <w:tcBorders>
              <w:top w:val="nil"/>
              <w:left w:val="nil"/>
              <w:bottom w:val="nil"/>
              <w:right w:val="nil"/>
            </w:tcBorders>
            <w:shd w:val="clear" w:color="000000" w:fill="FFFFFF"/>
            <w:noWrap/>
            <w:vAlign w:val="center"/>
            <w:hideMark/>
          </w:tcPr>
          <w:p w14:paraId="1D0EE448"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8.4</w:t>
            </w:r>
          </w:p>
        </w:tc>
      </w:tr>
      <w:tr w:rsidR="002C4687" w:rsidRPr="00954D98" w14:paraId="1C944829"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5B34DA88" w14:textId="77777777" w:rsidR="00867BAA" w:rsidRPr="00954D98" w:rsidRDefault="00867BAA" w:rsidP="00867BAA">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less:</w:t>
            </w:r>
            <w:r w:rsidRPr="00954D98">
              <w:rPr>
                <w:rFonts w:ascii="Arial" w:hAnsi="Arial" w:cs="Arial"/>
                <w:sz w:val="16"/>
                <w:szCs w:val="16"/>
              </w:rPr>
              <w:t xml:space="preserve"> Refunds</w:t>
            </w:r>
          </w:p>
        </w:tc>
        <w:tc>
          <w:tcPr>
            <w:tcW w:w="601" w:type="pct"/>
            <w:tcBorders>
              <w:top w:val="nil"/>
              <w:left w:val="nil"/>
              <w:bottom w:val="single" w:sz="4" w:space="0" w:color="293F5B"/>
              <w:right w:val="nil"/>
            </w:tcBorders>
            <w:shd w:val="clear" w:color="000000" w:fill="FFFFFF"/>
            <w:noWrap/>
            <w:vAlign w:val="center"/>
            <w:hideMark/>
          </w:tcPr>
          <w:p w14:paraId="15B067C7"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40,800</w:t>
            </w:r>
          </w:p>
        </w:tc>
        <w:tc>
          <w:tcPr>
            <w:tcW w:w="601" w:type="pct"/>
            <w:tcBorders>
              <w:top w:val="nil"/>
              <w:left w:val="nil"/>
              <w:bottom w:val="single" w:sz="4" w:space="0" w:color="293F5B"/>
              <w:right w:val="nil"/>
            </w:tcBorders>
            <w:shd w:val="clear" w:color="000000" w:fill="E6F2FF"/>
            <w:noWrap/>
            <w:vAlign w:val="center"/>
            <w:hideMark/>
          </w:tcPr>
          <w:p w14:paraId="2B8A0500"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40,600</w:t>
            </w:r>
          </w:p>
        </w:tc>
        <w:tc>
          <w:tcPr>
            <w:tcW w:w="83" w:type="pct"/>
            <w:tcBorders>
              <w:top w:val="nil"/>
              <w:left w:val="nil"/>
              <w:bottom w:val="nil"/>
              <w:right w:val="nil"/>
            </w:tcBorders>
            <w:shd w:val="clear" w:color="000000" w:fill="FFFFFF"/>
            <w:noWrap/>
            <w:vAlign w:val="center"/>
            <w:hideMark/>
          </w:tcPr>
          <w:p w14:paraId="68EEA451"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single" w:sz="4" w:space="0" w:color="293F5B"/>
              <w:right w:val="nil"/>
            </w:tcBorders>
            <w:shd w:val="clear" w:color="000000" w:fill="FFFFFF"/>
            <w:noWrap/>
            <w:vAlign w:val="center"/>
            <w:hideMark/>
          </w:tcPr>
          <w:p w14:paraId="2622B708"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-200</w:t>
            </w:r>
          </w:p>
        </w:tc>
        <w:tc>
          <w:tcPr>
            <w:tcW w:w="507" w:type="pct"/>
            <w:tcBorders>
              <w:top w:val="nil"/>
              <w:left w:val="nil"/>
              <w:bottom w:val="single" w:sz="4" w:space="0" w:color="293F5B"/>
              <w:right w:val="nil"/>
            </w:tcBorders>
            <w:shd w:val="clear" w:color="000000" w:fill="FFFFFF"/>
            <w:noWrap/>
            <w:vAlign w:val="center"/>
            <w:hideMark/>
          </w:tcPr>
          <w:p w14:paraId="1CD46E32"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-0.5</w:t>
            </w:r>
          </w:p>
        </w:tc>
      </w:tr>
      <w:tr w:rsidR="00867BAA" w:rsidRPr="00954D98" w14:paraId="4789E9BA"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7FA1181E"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Total individuals and other withholding tax</w:t>
            </w:r>
          </w:p>
        </w:tc>
        <w:tc>
          <w:tcPr>
            <w:tcW w:w="601" w:type="pct"/>
            <w:tcBorders>
              <w:top w:val="nil"/>
              <w:left w:val="nil"/>
              <w:bottom w:val="nil"/>
              <w:right w:val="nil"/>
            </w:tcBorders>
            <w:shd w:val="clear" w:color="000000" w:fill="FFFFFF"/>
            <w:noWrap/>
            <w:vAlign w:val="center"/>
            <w:hideMark/>
          </w:tcPr>
          <w:p w14:paraId="6227452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357,800</w:t>
            </w:r>
          </w:p>
        </w:tc>
        <w:tc>
          <w:tcPr>
            <w:tcW w:w="601" w:type="pct"/>
            <w:tcBorders>
              <w:top w:val="nil"/>
              <w:left w:val="nil"/>
              <w:bottom w:val="nil"/>
              <w:right w:val="nil"/>
            </w:tcBorders>
            <w:shd w:val="clear" w:color="000000" w:fill="E6F2FF"/>
            <w:noWrap/>
            <w:vAlign w:val="center"/>
            <w:hideMark/>
          </w:tcPr>
          <w:p w14:paraId="179619E2"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366,800</w:t>
            </w:r>
          </w:p>
        </w:tc>
        <w:tc>
          <w:tcPr>
            <w:tcW w:w="83" w:type="pct"/>
            <w:tcBorders>
              <w:top w:val="nil"/>
              <w:left w:val="nil"/>
              <w:bottom w:val="nil"/>
              <w:right w:val="nil"/>
            </w:tcBorders>
            <w:shd w:val="clear" w:color="000000" w:fill="FFFFFF"/>
            <w:noWrap/>
            <w:vAlign w:val="center"/>
            <w:hideMark/>
          </w:tcPr>
          <w:p w14:paraId="746BA59A"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60BCEF1E"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9,000</w:t>
            </w:r>
          </w:p>
        </w:tc>
        <w:tc>
          <w:tcPr>
            <w:tcW w:w="507" w:type="pct"/>
            <w:tcBorders>
              <w:top w:val="nil"/>
              <w:left w:val="nil"/>
              <w:bottom w:val="nil"/>
              <w:right w:val="nil"/>
            </w:tcBorders>
            <w:shd w:val="clear" w:color="000000" w:fill="FFFFFF"/>
            <w:noWrap/>
            <w:vAlign w:val="center"/>
            <w:hideMark/>
          </w:tcPr>
          <w:p w14:paraId="4B2E3A93"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2.5</w:t>
            </w:r>
          </w:p>
        </w:tc>
      </w:tr>
      <w:tr w:rsidR="00867BAA" w:rsidRPr="00954D98" w14:paraId="1A8A7A43"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10D8539F"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Fringe benefits tax</w:t>
            </w:r>
          </w:p>
        </w:tc>
        <w:tc>
          <w:tcPr>
            <w:tcW w:w="601" w:type="pct"/>
            <w:tcBorders>
              <w:top w:val="nil"/>
              <w:left w:val="nil"/>
              <w:bottom w:val="nil"/>
              <w:right w:val="nil"/>
            </w:tcBorders>
            <w:shd w:val="clear" w:color="000000" w:fill="FFFFFF"/>
            <w:noWrap/>
            <w:vAlign w:val="center"/>
            <w:hideMark/>
          </w:tcPr>
          <w:p w14:paraId="560CC670"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5,150</w:t>
            </w:r>
          </w:p>
        </w:tc>
        <w:tc>
          <w:tcPr>
            <w:tcW w:w="601" w:type="pct"/>
            <w:tcBorders>
              <w:top w:val="nil"/>
              <w:left w:val="nil"/>
              <w:bottom w:val="nil"/>
              <w:right w:val="nil"/>
            </w:tcBorders>
            <w:shd w:val="clear" w:color="000000" w:fill="E6F2FF"/>
            <w:noWrap/>
            <w:vAlign w:val="center"/>
            <w:hideMark/>
          </w:tcPr>
          <w:p w14:paraId="4325A20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5,560</w:t>
            </w:r>
          </w:p>
        </w:tc>
        <w:tc>
          <w:tcPr>
            <w:tcW w:w="83" w:type="pct"/>
            <w:tcBorders>
              <w:top w:val="nil"/>
              <w:left w:val="nil"/>
              <w:bottom w:val="nil"/>
              <w:right w:val="nil"/>
            </w:tcBorders>
            <w:shd w:val="clear" w:color="000000" w:fill="FFFFFF"/>
            <w:noWrap/>
            <w:vAlign w:val="center"/>
            <w:hideMark/>
          </w:tcPr>
          <w:p w14:paraId="15C6FE75"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0E1C7C4A"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410</w:t>
            </w:r>
          </w:p>
        </w:tc>
        <w:tc>
          <w:tcPr>
            <w:tcW w:w="507" w:type="pct"/>
            <w:tcBorders>
              <w:top w:val="nil"/>
              <w:left w:val="nil"/>
              <w:bottom w:val="nil"/>
              <w:right w:val="nil"/>
            </w:tcBorders>
            <w:shd w:val="clear" w:color="000000" w:fill="FFFFFF"/>
            <w:noWrap/>
            <w:vAlign w:val="center"/>
            <w:hideMark/>
          </w:tcPr>
          <w:p w14:paraId="75D8D5AE"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8.0</w:t>
            </w:r>
          </w:p>
        </w:tc>
      </w:tr>
      <w:tr w:rsidR="00867BAA" w:rsidRPr="00954D98" w14:paraId="4D603076"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4D810E2B"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Company tax</w:t>
            </w:r>
          </w:p>
        </w:tc>
        <w:tc>
          <w:tcPr>
            <w:tcW w:w="601" w:type="pct"/>
            <w:tcBorders>
              <w:top w:val="nil"/>
              <w:left w:val="nil"/>
              <w:bottom w:val="nil"/>
              <w:right w:val="nil"/>
            </w:tcBorders>
            <w:shd w:val="clear" w:color="000000" w:fill="FFFFFF"/>
            <w:noWrap/>
            <w:vAlign w:val="center"/>
            <w:hideMark/>
          </w:tcPr>
          <w:p w14:paraId="6B095971"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143,500</w:t>
            </w:r>
          </w:p>
        </w:tc>
        <w:tc>
          <w:tcPr>
            <w:tcW w:w="601" w:type="pct"/>
            <w:tcBorders>
              <w:top w:val="nil"/>
              <w:left w:val="nil"/>
              <w:bottom w:val="nil"/>
              <w:right w:val="nil"/>
            </w:tcBorders>
            <w:shd w:val="clear" w:color="000000" w:fill="E6F2FF"/>
            <w:noWrap/>
            <w:vAlign w:val="center"/>
            <w:hideMark/>
          </w:tcPr>
          <w:p w14:paraId="60B92B60"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147,800</w:t>
            </w:r>
          </w:p>
        </w:tc>
        <w:tc>
          <w:tcPr>
            <w:tcW w:w="83" w:type="pct"/>
            <w:tcBorders>
              <w:top w:val="nil"/>
              <w:left w:val="nil"/>
              <w:bottom w:val="nil"/>
              <w:right w:val="nil"/>
            </w:tcBorders>
            <w:shd w:val="clear" w:color="000000" w:fill="FFFFFF"/>
            <w:noWrap/>
            <w:vAlign w:val="center"/>
            <w:hideMark/>
          </w:tcPr>
          <w:p w14:paraId="3AC1EE4C"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3CDFAD14"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4,300</w:t>
            </w:r>
          </w:p>
        </w:tc>
        <w:tc>
          <w:tcPr>
            <w:tcW w:w="507" w:type="pct"/>
            <w:tcBorders>
              <w:top w:val="nil"/>
              <w:left w:val="nil"/>
              <w:bottom w:val="nil"/>
              <w:right w:val="nil"/>
            </w:tcBorders>
            <w:shd w:val="clear" w:color="000000" w:fill="FFFFFF"/>
            <w:noWrap/>
            <w:vAlign w:val="center"/>
            <w:hideMark/>
          </w:tcPr>
          <w:p w14:paraId="6BFFBF71"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3.0</w:t>
            </w:r>
          </w:p>
        </w:tc>
      </w:tr>
      <w:tr w:rsidR="00867BAA" w:rsidRPr="00954D98" w14:paraId="465D0628"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7E2FF39C"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Superannuation fund taxes</w:t>
            </w:r>
          </w:p>
        </w:tc>
        <w:tc>
          <w:tcPr>
            <w:tcW w:w="601" w:type="pct"/>
            <w:tcBorders>
              <w:top w:val="nil"/>
              <w:left w:val="nil"/>
              <w:bottom w:val="nil"/>
              <w:right w:val="nil"/>
            </w:tcBorders>
            <w:shd w:val="clear" w:color="000000" w:fill="FFFFFF"/>
            <w:noWrap/>
            <w:vAlign w:val="center"/>
            <w:hideMark/>
          </w:tcPr>
          <w:p w14:paraId="10A19239"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25,580</w:t>
            </w:r>
          </w:p>
        </w:tc>
        <w:tc>
          <w:tcPr>
            <w:tcW w:w="601" w:type="pct"/>
            <w:tcBorders>
              <w:top w:val="nil"/>
              <w:left w:val="nil"/>
              <w:bottom w:val="nil"/>
              <w:right w:val="nil"/>
            </w:tcBorders>
            <w:shd w:val="clear" w:color="000000" w:fill="E6F2FF"/>
            <w:noWrap/>
            <w:vAlign w:val="center"/>
            <w:hideMark/>
          </w:tcPr>
          <w:p w14:paraId="21735393"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29,880</w:t>
            </w:r>
          </w:p>
        </w:tc>
        <w:tc>
          <w:tcPr>
            <w:tcW w:w="83" w:type="pct"/>
            <w:tcBorders>
              <w:top w:val="nil"/>
              <w:left w:val="nil"/>
              <w:bottom w:val="nil"/>
              <w:right w:val="nil"/>
            </w:tcBorders>
            <w:shd w:val="clear" w:color="000000" w:fill="FFFFFF"/>
            <w:noWrap/>
            <w:vAlign w:val="center"/>
            <w:hideMark/>
          </w:tcPr>
          <w:p w14:paraId="6059F116"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7582CC27"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4,300</w:t>
            </w:r>
          </w:p>
        </w:tc>
        <w:tc>
          <w:tcPr>
            <w:tcW w:w="507" w:type="pct"/>
            <w:tcBorders>
              <w:top w:val="nil"/>
              <w:left w:val="nil"/>
              <w:bottom w:val="nil"/>
              <w:right w:val="nil"/>
            </w:tcBorders>
            <w:shd w:val="clear" w:color="000000" w:fill="FFFFFF"/>
            <w:noWrap/>
            <w:vAlign w:val="center"/>
            <w:hideMark/>
          </w:tcPr>
          <w:p w14:paraId="35DEFB57"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16.8</w:t>
            </w:r>
          </w:p>
        </w:tc>
      </w:tr>
      <w:tr w:rsidR="00867BAA" w:rsidRPr="00954D98" w14:paraId="43DCCE9C"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79C2064B"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Petroleum resource rent tax</w:t>
            </w:r>
          </w:p>
        </w:tc>
        <w:tc>
          <w:tcPr>
            <w:tcW w:w="601" w:type="pct"/>
            <w:tcBorders>
              <w:top w:val="nil"/>
              <w:left w:val="nil"/>
              <w:bottom w:val="nil"/>
              <w:right w:val="nil"/>
            </w:tcBorders>
            <w:shd w:val="clear" w:color="000000" w:fill="FFFFFF"/>
            <w:noWrap/>
            <w:vAlign w:val="center"/>
            <w:hideMark/>
          </w:tcPr>
          <w:p w14:paraId="23785C51"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1,980</w:t>
            </w:r>
          </w:p>
        </w:tc>
        <w:tc>
          <w:tcPr>
            <w:tcW w:w="601" w:type="pct"/>
            <w:tcBorders>
              <w:top w:val="nil"/>
              <w:left w:val="nil"/>
              <w:bottom w:val="nil"/>
              <w:right w:val="nil"/>
            </w:tcBorders>
            <w:shd w:val="clear" w:color="000000" w:fill="E6F2FF"/>
            <w:noWrap/>
            <w:vAlign w:val="center"/>
            <w:hideMark/>
          </w:tcPr>
          <w:p w14:paraId="5B7A46A6"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1,820</w:t>
            </w:r>
          </w:p>
        </w:tc>
        <w:tc>
          <w:tcPr>
            <w:tcW w:w="83" w:type="pct"/>
            <w:tcBorders>
              <w:top w:val="nil"/>
              <w:left w:val="nil"/>
              <w:bottom w:val="nil"/>
              <w:right w:val="nil"/>
            </w:tcBorders>
            <w:shd w:val="clear" w:color="000000" w:fill="FFFFFF"/>
            <w:noWrap/>
            <w:vAlign w:val="center"/>
            <w:hideMark/>
          </w:tcPr>
          <w:p w14:paraId="7CF5231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single" w:sz="4" w:space="0" w:color="293F5B"/>
              <w:right w:val="nil"/>
            </w:tcBorders>
            <w:shd w:val="clear" w:color="000000" w:fill="FFFFFF"/>
            <w:noWrap/>
            <w:vAlign w:val="center"/>
            <w:hideMark/>
          </w:tcPr>
          <w:p w14:paraId="63514DC7"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-160</w:t>
            </w:r>
          </w:p>
        </w:tc>
        <w:tc>
          <w:tcPr>
            <w:tcW w:w="507" w:type="pct"/>
            <w:tcBorders>
              <w:top w:val="nil"/>
              <w:left w:val="nil"/>
              <w:bottom w:val="single" w:sz="4" w:space="0" w:color="293F5B"/>
              <w:right w:val="nil"/>
            </w:tcBorders>
            <w:shd w:val="clear" w:color="000000" w:fill="FFFFFF"/>
            <w:noWrap/>
            <w:vAlign w:val="center"/>
            <w:hideMark/>
          </w:tcPr>
          <w:p w14:paraId="4121AC53"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-8.1</w:t>
            </w:r>
          </w:p>
        </w:tc>
      </w:tr>
      <w:tr w:rsidR="00867BAA" w:rsidRPr="00954D98" w14:paraId="71307B65"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08EF0414" w14:textId="77777777" w:rsidR="00867BAA" w:rsidRPr="00954D98" w:rsidRDefault="00867BAA" w:rsidP="00867BAA">
            <w:pPr>
              <w:spacing w:before="0" w:after="0" w:line="240" w:lineRule="auto"/>
              <w:rPr>
                <w:rFonts w:ascii="Arial" w:hAnsi="Arial" w:cs="Arial"/>
                <w:b/>
                <w:bCs/>
                <w:color w:val="FFFF00"/>
                <w:sz w:val="16"/>
                <w:szCs w:val="16"/>
              </w:rPr>
            </w:pPr>
            <w:r w:rsidRPr="00954D98">
              <w:rPr>
                <w:rFonts w:ascii="Arial" w:hAnsi="Arial" w:cs="Arial"/>
                <w:b/>
                <w:bCs/>
                <w:sz w:val="16"/>
                <w:szCs w:val="16"/>
              </w:rPr>
              <w:t>Income taxation revenue</w:t>
            </w:r>
          </w:p>
        </w:tc>
        <w:tc>
          <w:tcPr>
            <w:tcW w:w="601" w:type="pct"/>
            <w:tcBorders>
              <w:top w:val="single" w:sz="4" w:space="0" w:color="293F5B"/>
              <w:left w:val="nil"/>
              <w:bottom w:val="single" w:sz="4" w:space="0" w:color="293F5B"/>
              <w:right w:val="nil"/>
            </w:tcBorders>
            <w:shd w:val="clear" w:color="000000" w:fill="FFFFFF"/>
            <w:noWrap/>
            <w:vAlign w:val="center"/>
            <w:hideMark/>
          </w:tcPr>
          <w:p w14:paraId="547C18BB"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534,010</w:t>
            </w:r>
          </w:p>
        </w:tc>
        <w:tc>
          <w:tcPr>
            <w:tcW w:w="601" w:type="pct"/>
            <w:tcBorders>
              <w:top w:val="single" w:sz="4" w:space="0" w:color="293F5B"/>
              <w:left w:val="nil"/>
              <w:bottom w:val="single" w:sz="4" w:space="0" w:color="293F5B"/>
              <w:right w:val="nil"/>
            </w:tcBorders>
            <w:shd w:val="clear" w:color="000000" w:fill="E6F2FF"/>
            <w:noWrap/>
            <w:vAlign w:val="center"/>
            <w:hideMark/>
          </w:tcPr>
          <w:p w14:paraId="37CD90E1"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551,860</w:t>
            </w:r>
          </w:p>
        </w:tc>
        <w:tc>
          <w:tcPr>
            <w:tcW w:w="83" w:type="pct"/>
            <w:tcBorders>
              <w:top w:val="nil"/>
              <w:left w:val="nil"/>
              <w:bottom w:val="nil"/>
              <w:right w:val="nil"/>
            </w:tcBorders>
            <w:shd w:val="clear" w:color="000000" w:fill="FFFFFF"/>
            <w:noWrap/>
            <w:vAlign w:val="center"/>
            <w:hideMark/>
          </w:tcPr>
          <w:p w14:paraId="643BE47F"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single" w:sz="4" w:space="0" w:color="293F5B"/>
              <w:left w:val="nil"/>
              <w:bottom w:val="single" w:sz="4" w:space="0" w:color="293F5B"/>
              <w:right w:val="nil"/>
            </w:tcBorders>
            <w:shd w:val="clear" w:color="000000" w:fill="FFFFFF"/>
            <w:noWrap/>
            <w:vAlign w:val="center"/>
            <w:hideMark/>
          </w:tcPr>
          <w:p w14:paraId="68B9D764"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17,850</w:t>
            </w:r>
          </w:p>
        </w:tc>
        <w:tc>
          <w:tcPr>
            <w:tcW w:w="507" w:type="pct"/>
            <w:tcBorders>
              <w:top w:val="single" w:sz="4" w:space="0" w:color="293F5B"/>
              <w:left w:val="nil"/>
              <w:bottom w:val="single" w:sz="4" w:space="0" w:color="293F5B"/>
              <w:right w:val="nil"/>
            </w:tcBorders>
            <w:shd w:val="clear" w:color="000000" w:fill="FFFFFF"/>
            <w:noWrap/>
            <w:vAlign w:val="center"/>
            <w:hideMark/>
          </w:tcPr>
          <w:p w14:paraId="3C890FD0" w14:textId="77777777" w:rsidR="00867BAA" w:rsidRPr="00954D98" w:rsidRDefault="00867BAA" w:rsidP="00867BAA">
            <w:pPr>
              <w:spacing w:before="0" w:after="0" w:line="240" w:lineRule="auto"/>
              <w:jc w:val="right"/>
              <w:rPr>
                <w:rFonts w:ascii="Arial" w:hAnsi="Arial" w:cs="Arial"/>
                <w:b/>
                <w:bCs/>
                <w:sz w:val="16"/>
                <w:szCs w:val="16"/>
              </w:rPr>
            </w:pPr>
            <w:r w:rsidRPr="00954D98">
              <w:rPr>
                <w:rFonts w:ascii="Arial" w:hAnsi="Arial" w:cs="Arial"/>
                <w:b/>
                <w:bCs/>
                <w:sz w:val="16"/>
                <w:szCs w:val="16"/>
              </w:rPr>
              <w:t>3.3</w:t>
            </w:r>
          </w:p>
        </w:tc>
      </w:tr>
      <w:tr w:rsidR="00867BAA" w:rsidRPr="00954D98" w14:paraId="78FF0CBE" w14:textId="77777777" w:rsidTr="00867BAA">
        <w:trPr>
          <w:trHeight w:hRule="exact" w:val="60"/>
        </w:trPr>
        <w:tc>
          <w:tcPr>
            <w:tcW w:w="2646" w:type="pct"/>
            <w:tcBorders>
              <w:top w:val="nil"/>
              <w:left w:val="nil"/>
              <w:bottom w:val="nil"/>
              <w:right w:val="nil"/>
            </w:tcBorders>
            <w:shd w:val="clear" w:color="000000" w:fill="FFFFFF"/>
            <w:noWrap/>
            <w:vAlign w:val="center"/>
            <w:hideMark/>
          </w:tcPr>
          <w:p w14:paraId="6BFAD3EA" w14:textId="77777777" w:rsidR="00867BAA" w:rsidRPr="00954D98" w:rsidRDefault="00867BAA" w:rsidP="00867BAA">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601" w:type="pct"/>
            <w:tcBorders>
              <w:top w:val="nil"/>
              <w:left w:val="nil"/>
              <w:bottom w:val="nil"/>
              <w:right w:val="nil"/>
            </w:tcBorders>
            <w:shd w:val="clear" w:color="000000" w:fill="FFFFFF"/>
            <w:noWrap/>
            <w:vAlign w:val="center"/>
            <w:hideMark/>
          </w:tcPr>
          <w:p w14:paraId="10A0AC86"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01" w:type="pct"/>
            <w:tcBorders>
              <w:top w:val="nil"/>
              <w:left w:val="nil"/>
              <w:bottom w:val="nil"/>
              <w:right w:val="nil"/>
            </w:tcBorders>
            <w:shd w:val="clear" w:color="000000" w:fill="E6F2FF"/>
            <w:noWrap/>
            <w:vAlign w:val="center"/>
            <w:hideMark/>
          </w:tcPr>
          <w:p w14:paraId="7F075589"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83" w:type="pct"/>
            <w:tcBorders>
              <w:top w:val="nil"/>
              <w:left w:val="nil"/>
              <w:bottom w:val="nil"/>
              <w:right w:val="nil"/>
            </w:tcBorders>
            <w:shd w:val="clear" w:color="000000" w:fill="FFFFFF"/>
            <w:noWrap/>
            <w:vAlign w:val="center"/>
            <w:hideMark/>
          </w:tcPr>
          <w:p w14:paraId="57696633"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nil"/>
              <w:left w:val="nil"/>
              <w:bottom w:val="nil"/>
              <w:right w:val="nil"/>
            </w:tcBorders>
            <w:shd w:val="clear" w:color="000000" w:fill="FFFFFF"/>
            <w:noWrap/>
            <w:vAlign w:val="center"/>
            <w:hideMark/>
          </w:tcPr>
          <w:p w14:paraId="01828F11"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7" w:type="pct"/>
            <w:tcBorders>
              <w:top w:val="nil"/>
              <w:left w:val="nil"/>
              <w:bottom w:val="nil"/>
              <w:right w:val="nil"/>
            </w:tcBorders>
            <w:shd w:val="clear" w:color="000000" w:fill="FFFFFF"/>
            <w:noWrap/>
            <w:vAlign w:val="center"/>
            <w:hideMark/>
          </w:tcPr>
          <w:p w14:paraId="08B73F2B"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 </w:t>
            </w:r>
          </w:p>
        </w:tc>
      </w:tr>
      <w:tr w:rsidR="00867BAA" w:rsidRPr="00954D98" w14:paraId="2D6F8018"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6B98BC3C"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Goods and services tax</w:t>
            </w:r>
          </w:p>
        </w:tc>
        <w:tc>
          <w:tcPr>
            <w:tcW w:w="601" w:type="pct"/>
            <w:tcBorders>
              <w:top w:val="nil"/>
              <w:left w:val="nil"/>
              <w:bottom w:val="nil"/>
              <w:right w:val="nil"/>
            </w:tcBorders>
            <w:shd w:val="clear" w:color="000000" w:fill="FFFFFF"/>
            <w:noWrap/>
            <w:vAlign w:val="center"/>
            <w:hideMark/>
          </w:tcPr>
          <w:p w14:paraId="5D7A3EE9"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99,300</w:t>
            </w:r>
          </w:p>
        </w:tc>
        <w:tc>
          <w:tcPr>
            <w:tcW w:w="601" w:type="pct"/>
            <w:tcBorders>
              <w:top w:val="nil"/>
              <w:left w:val="nil"/>
              <w:bottom w:val="nil"/>
              <w:right w:val="nil"/>
            </w:tcBorders>
            <w:shd w:val="clear" w:color="000000" w:fill="E6F2FF"/>
            <w:noWrap/>
            <w:vAlign w:val="center"/>
            <w:hideMark/>
          </w:tcPr>
          <w:p w14:paraId="35CC46E3"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101,030</w:t>
            </w:r>
          </w:p>
        </w:tc>
        <w:tc>
          <w:tcPr>
            <w:tcW w:w="83" w:type="pct"/>
            <w:tcBorders>
              <w:top w:val="nil"/>
              <w:left w:val="nil"/>
              <w:bottom w:val="nil"/>
              <w:right w:val="nil"/>
            </w:tcBorders>
            <w:shd w:val="clear" w:color="000000" w:fill="FFFFFF"/>
            <w:noWrap/>
            <w:vAlign w:val="center"/>
            <w:hideMark/>
          </w:tcPr>
          <w:p w14:paraId="78C84EEC"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nil"/>
              <w:left w:val="nil"/>
              <w:bottom w:val="nil"/>
              <w:right w:val="nil"/>
            </w:tcBorders>
            <w:shd w:val="clear" w:color="000000" w:fill="FFFFFF"/>
            <w:noWrap/>
            <w:vAlign w:val="center"/>
            <w:hideMark/>
          </w:tcPr>
          <w:p w14:paraId="3788B97B"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1,730</w:t>
            </w:r>
          </w:p>
        </w:tc>
        <w:tc>
          <w:tcPr>
            <w:tcW w:w="507" w:type="pct"/>
            <w:tcBorders>
              <w:top w:val="nil"/>
              <w:left w:val="nil"/>
              <w:bottom w:val="nil"/>
              <w:right w:val="nil"/>
            </w:tcBorders>
            <w:shd w:val="clear" w:color="000000" w:fill="FFFFFF"/>
            <w:noWrap/>
            <w:vAlign w:val="center"/>
            <w:hideMark/>
          </w:tcPr>
          <w:p w14:paraId="1340865E"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1.7</w:t>
            </w:r>
          </w:p>
        </w:tc>
      </w:tr>
      <w:tr w:rsidR="00867BAA" w:rsidRPr="00954D98" w14:paraId="0BEAB1D8"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2991D82F"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Wine equalisation tax</w:t>
            </w:r>
          </w:p>
        </w:tc>
        <w:tc>
          <w:tcPr>
            <w:tcW w:w="601" w:type="pct"/>
            <w:tcBorders>
              <w:top w:val="nil"/>
              <w:left w:val="nil"/>
              <w:bottom w:val="nil"/>
              <w:right w:val="nil"/>
            </w:tcBorders>
            <w:shd w:val="clear" w:color="000000" w:fill="FFFFFF"/>
            <w:noWrap/>
            <w:vAlign w:val="center"/>
            <w:hideMark/>
          </w:tcPr>
          <w:p w14:paraId="5B1F5724"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1,210</w:t>
            </w:r>
          </w:p>
        </w:tc>
        <w:tc>
          <w:tcPr>
            <w:tcW w:w="601" w:type="pct"/>
            <w:tcBorders>
              <w:top w:val="nil"/>
              <w:left w:val="nil"/>
              <w:bottom w:val="nil"/>
              <w:right w:val="nil"/>
            </w:tcBorders>
            <w:shd w:val="clear" w:color="000000" w:fill="E6F2FF"/>
            <w:noWrap/>
            <w:vAlign w:val="center"/>
            <w:hideMark/>
          </w:tcPr>
          <w:p w14:paraId="5C5EF8A3"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1,110</w:t>
            </w:r>
          </w:p>
        </w:tc>
        <w:tc>
          <w:tcPr>
            <w:tcW w:w="83" w:type="pct"/>
            <w:tcBorders>
              <w:top w:val="nil"/>
              <w:left w:val="nil"/>
              <w:bottom w:val="nil"/>
              <w:right w:val="nil"/>
            </w:tcBorders>
            <w:shd w:val="clear" w:color="000000" w:fill="FFFFFF"/>
            <w:noWrap/>
            <w:vAlign w:val="center"/>
            <w:hideMark/>
          </w:tcPr>
          <w:p w14:paraId="42756905"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nil"/>
              <w:left w:val="nil"/>
              <w:bottom w:val="nil"/>
              <w:right w:val="nil"/>
            </w:tcBorders>
            <w:shd w:val="clear" w:color="000000" w:fill="FFFFFF"/>
            <w:noWrap/>
            <w:vAlign w:val="center"/>
            <w:hideMark/>
          </w:tcPr>
          <w:p w14:paraId="2D4ABC8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-100</w:t>
            </w:r>
          </w:p>
        </w:tc>
        <w:tc>
          <w:tcPr>
            <w:tcW w:w="507" w:type="pct"/>
            <w:tcBorders>
              <w:top w:val="nil"/>
              <w:left w:val="nil"/>
              <w:bottom w:val="nil"/>
              <w:right w:val="nil"/>
            </w:tcBorders>
            <w:shd w:val="clear" w:color="000000" w:fill="FFFFFF"/>
            <w:noWrap/>
            <w:vAlign w:val="center"/>
            <w:hideMark/>
          </w:tcPr>
          <w:p w14:paraId="27308853"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-8.3</w:t>
            </w:r>
          </w:p>
        </w:tc>
      </w:tr>
      <w:tr w:rsidR="00867BAA" w:rsidRPr="00954D98" w14:paraId="5B7147B1"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45B56F34"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Luxury car tax</w:t>
            </w:r>
          </w:p>
        </w:tc>
        <w:tc>
          <w:tcPr>
            <w:tcW w:w="601" w:type="pct"/>
            <w:tcBorders>
              <w:top w:val="nil"/>
              <w:left w:val="nil"/>
              <w:bottom w:val="nil"/>
              <w:right w:val="nil"/>
            </w:tcBorders>
            <w:shd w:val="clear" w:color="000000" w:fill="FFFFFF"/>
            <w:noWrap/>
            <w:vAlign w:val="center"/>
            <w:hideMark/>
          </w:tcPr>
          <w:p w14:paraId="5C77FF85"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1,210</w:t>
            </w:r>
          </w:p>
        </w:tc>
        <w:tc>
          <w:tcPr>
            <w:tcW w:w="601" w:type="pct"/>
            <w:tcBorders>
              <w:top w:val="nil"/>
              <w:left w:val="nil"/>
              <w:bottom w:val="nil"/>
              <w:right w:val="nil"/>
            </w:tcBorders>
            <w:shd w:val="clear" w:color="000000" w:fill="E6F2FF"/>
            <w:noWrap/>
            <w:vAlign w:val="center"/>
            <w:hideMark/>
          </w:tcPr>
          <w:p w14:paraId="02928529"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1,130</w:t>
            </w:r>
          </w:p>
        </w:tc>
        <w:tc>
          <w:tcPr>
            <w:tcW w:w="83" w:type="pct"/>
            <w:tcBorders>
              <w:top w:val="nil"/>
              <w:left w:val="nil"/>
              <w:bottom w:val="nil"/>
              <w:right w:val="nil"/>
            </w:tcBorders>
            <w:shd w:val="clear" w:color="000000" w:fill="FFFFFF"/>
            <w:noWrap/>
            <w:vAlign w:val="center"/>
            <w:hideMark/>
          </w:tcPr>
          <w:p w14:paraId="4A0B2254"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nil"/>
              <w:left w:val="nil"/>
              <w:bottom w:val="nil"/>
              <w:right w:val="nil"/>
            </w:tcBorders>
            <w:shd w:val="clear" w:color="000000" w:fill="FFFFFF"/>
            <w:noWrap/>
            <w:vAlign w:val="center"/>
            <w:hideMark/>
          </w:tcPr>
          <w:p w14:paraId="2830BF58"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-80</w:t>
            </w:r>
          </w:p>
        </w:tc>
        <w:tc>
          <w:tcPr>
            <w:tcW w:w="507" w:type="pct"/>
            <w:tcBorders>
              <w:top w:val="nil"/>
              <w:left w:val="nil"/>
              <w:bottom w:val="nil"/>
              <w:right w:val="nil"/>
            </w:tcBorders>
            <w:shd w:val="clear" w:color="000000" w:fill="FFFFFF"/>
            <w:noWrap/>
            <w:vAlign w:val="center"/>
            <w:hideMark/>
          </w:tcPr>
          <w:p w14:paraId="712960BE"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-6.6</w:t>
            </w:r>
          </w:p>
        </w:tc>
      </w:tr>
      <w:tr w:rsidR="00867BAA" w:rsidRPr="00954D98" w14:paraId="1A861551"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23D83615"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 xml:space="preserve">Excise and customs duty  </w:t>
            </w:r>
          </w:p>
        </w:tc>
        <w:tc>
          <w:tcPr>
            <w:tcW w:w="601" w:type="pct"/>
            <w:tcBorders>
              <w:top w:val="nil"/>
              <w:left w:val="nil"/>
              <w:bottom w:val="nil"/>
              <w:right w:val="nil"/>
            </w:tcBorders>
            <w:shd w:val="clear" w:color="000000" w:fill="FFFFFF"/>
            <w:noWrap/>
            <w:vAlign w:val="center"/>
            <w:hideMark/>
          </w:tcPr>
          <w:p w14:paraId="389F82D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01" w:type="pct"/>
            <w:tcBorders>
              <w:top w:val="nil"/>
              <w:left w:val="nil"/>
              <w:bottom w:val="nil"/>
              <w:right w:val="nil"/>
            </w:tcBorders>
            <w:shd w:val="clear" w:color="000000" w:fill="E6F2FF"/>
            <w:noWrap/>
            <w:vAlign w:val="center"/>
            <w:hideMark/>
          </w:tcPr>
          <w:p w14:paraId="5A6C642D"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83" w:type="pct"/>
            <w:tcBorders>
              <w:top w:val="nil"/>
              <w:left w:val="nil"/>
              <w:bottom w:val="nil"/>
              <w:right w:val="nil"/>
            </w:tcBorders>
            <w:shd w:val="clear" w:color="000000" w:fill="FFFFFF"/>
            <w:noWrap/>
            <w:vAlign w:val="center"/>
            <w:hideMark/>
          </w:tcPr>
          <w:p w14:paraId="0B4BF0E9"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7B65D6F5"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7" w:type="pct"/>
            <w:tcBorders>
              <w:top w:val="nil"/>
              <w:left w:val="nil"/>
              <w:bottom w:val="nil"/>
              <w:right w:val="nil"/>
            </w:tcBorders>
            <w:shd w:val="clear" w:color="000000" w:fill="FFFFFF"/>
            <w:noWrap/>
            <w:vAlign w:val="center"/>
            <w:hideMark/>
          </w:tcPr>
          <w:p w14:paraId="0CF47DAD"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 </w:t>
            </w:r>
          </w:p>
        </w:tc>
      </w:tr>
      <w:tr w:rsidR="00867BAA" w:rsidRPr="00954D98" w14:paraId="422161A7"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24EC7222" w14:textId="77777777" w:rsidR="00867BAA" w:rsidRPr="00954D98" w:rsidRDefault="00867BAA" w:rsidP="00867BAA">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Petrol</w:t>
            </w:r>
          </w:p>
        </w:tc>
        <w:tc>
          <w:tcPr>
            <w:tcW w:w="601" w:type="pct"/>
            <w:tcBorders>
              <w:top w:val="nil"/>
              <w:left w:val="nil"/>
              <w:bottom w:val="nil"/>
              <w:right w:val="nil"/>
            </w:tcBorders>
            <w:shd w:val="clear" w:color="000000" w:fill="FFFFFF"/>
            <w:noWrap/>
            <w:vAlign w:val="center"/>
            <w:hideMark/>
          </w:tcPr>
          <w:p w14:paraId="1DE3548D"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7,450</w:t>
            </w:r>
          </w:p>
        </w:tc>
        <w:tc>
          <w:tcPr>
            <w:tcW w:w="601" w:type="pct"/>
            <w:tcBorders>
              <w:top w:val="nil"/>
              <w:left w:val="nil"/>
              <w:bottom w:val="nil"/>
              <w:right w:val="nil"/>
            </w:tcBorders>
            <w:shd w:val="clear" w:color="000000" w:fill="E6F2FF"/>
            <w:noWrap/>
            <w:vAlign w:val="center"/>
            <w:hideMark/>
          </w:tcPr>
          <w:p w14:paraId="352F62AA"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7,320</w:t>
            </w:r>
          </w:p>
        </w:tc>
        <w:tc>
          <w:tcPr>
            <w:tcW w:w="83" w:type="pct"/>
            <w:tcBorders>
              <w:top w:val="nil"/>
              <w:left w:val="nil"/>
              <w:bottom w:val="nil"/>
              <w:right w:val="nil"/>
            </w:tcBorders>
            <w:shd w:val="clear" w:color="000000" w:fill="FFFFFF"/>
            <w:noWrap/>
            <w:vAlign w:val="center"/>
            <w:hideMark/>
          </w:tcPr>
          <w:p w14:paraId="75E8EB7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039F5BE1"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-130</w:t>
            </w:r>
          </w:p>
        </w:tc>
        <w:tc>
          <w:tcPr>
            <w:tcW w:w="507" w:type="pct"/>
            <w:tcBorders>
              <w:top w:val="nil"/>
              <w:left w:val="nil"/>
              <w:bottom w:val="nil"/>
              <w:right w:val="nil"/>
            </w:tcBorders>
            <w:shd w:val="clear" w:color="000000" w:fill="FFFFFF"/>
            <w:noWrap/>
            <w:vAlign w:val="center"/>
            <w:hideMark/>
          </w:tcPr>
          <w:p w14:paraId="13947A38"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-1.7</w:t>
            </w:r>
          </w:p>
        </w:tc>
      </w:tr>
      <w:tr w:rsidR="00867BAA" w:rsidRPr="00954D98" w14:paraId="2BA90904"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15AC1D0F" w14:textId="77777777" w:rsidR="00867BAA" w:rsidRPr="00954D98" w:rsidRDefault="00867BAA" w:rsidP="00867BAA">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Diesel</w:t>
            </w:r>
          </w:p>
        </w:tc>
        <w:tc>
          <w:tcPr>
            <w:tcW w:w="601" w:type="pct"/>
            <w:tcBorders>
              <w:top w:val="nil"/>
              <w:left w:val="nil"/>
              <w:bottom w:val="nil"/>
              <w:right w:val="nil"/>
            </w:tcBorders>
            <w:shd w:val="clear" w:color="000000" w:fill="FFFFFF"/>
            <w:noWrap/>
            <w:vAlign w:val="center"/>
            <w:hideMark/>
          </w:tcPr>
          <w:p w14:paraId="06E396AE"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17,850</w:t>
            </w:r>
          </w:p>
        </w:tc>
        <w:tc>
          <w:tcPr>
            <w:tcW w:w="601" w:type="pct"/>
            <w:tcBorders>
              <w:top w:val="nil"/>
              <w:left w:val="nil"/>
              <w:bottom w:val="nil"/>
              <w:right w:val="nil"/>
            </w:tcBorders>
            <w:shd w:val="clear" w:color="000000" w:fill="E6F2FF"/>
            <w:noWrap/>
            <w:vAlign w:val="center"/>
            <w:hideMark/>
          </w:tcPr>
          <w:p w14:paraId="64183699"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17,660</w:t>
            </w:r>
          </w:p>
        </w:tc>
        <w:tc>
          <w:tcPr>
            <w:tcW w:w="83" w:type="pct"/>
            <w:tcBorders>
              <w:top w:val="nil"/>
              <w:left w:val="nil"/>
              <w:bottom w:val="nil"/>
              <w:right w:val="nil"/>
            </w:tcBorders>
            <w:shd w:val="clear" w:color="000000" w:fill="FFFFFF"/>
            <w:noWrap/>
            <w:vAlign w:val="center"/>
            <w:hideMark/>
          </w:tcPr>
          <w:p w14:paraId="0FF37DED"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0B32A79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-190</w:t>
            </w:r>
          </w:p>
        </w:tc>
        <w:tc>
          <w:tcPr>
            <w:tcW w:w="507" w:type="pct"/>
            <w:tcBorders>
              <w:top w:val="nil"/>
              <w:left w:val="nil"/>
              <w:bottom w:val="nil"/>
              <w:right w:val="nil"/>
            </w:tcBorders>
            <w:shd w:val="clear" w:color="000000" w:fill="FFFFFF"/>
            <w:noWrap/>
            <w:vAlign w:val="center"/>
            <w:hideMark/>
          </w:tcPr>
          <w:p w14:paraId="31552CEB"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-1.1</w:t>
            </w:r>
          </w:p>
        </w:tc>
      </w:tr>
      <w:tr w:rsidR="00867BAA" w:rsidRPr="00954D98" w14:paraId="5DBA8308"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0ECBA989" w14:textId="77777777" w:rsidR="00867BAA" w:rsidRPr="00954D98" w:rsidRDefault="00867BAA" w:rsidP="00867BAA">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Other fuel products</w:t>
            </w:r>
          </w:p>
        </w:tc>
        <w:tc>
          <w:tcPr>
            <w:tcW w:w="601" w:type="pct"/>
            <w:tcBorders>
              <w:top w:val="nil"/>
              <w:left w:val="nil"/>
              <w:bottom w:val="nil"/>
              <w:right w:val="nil"/>
            </w:tcBorders>
            <w:shd w:val="clear" w:color="000000" w:fill="FFFFFF"/>
            <w:noWrap/>
            <w:vAlign w:val="center"/>
            <w:hideMark/>
          </w:tcPr>
          <w:p w14:paraId="3633A065"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2,020</w:t>
            </w:r>
          </w:p>
        </w:tc>
        <w:tc>
          <w:tcPr>
            <w:tcW w:w="601" w:type="pct"/>
            <w:tcBorders>
              <w:top w:val="nil"/>
              <w:left w:val="nil"/>
              <w:bottom w:val="nil"/>
              <w:right w:val="nil"/>
            </w:tcBorders>
            <w:shd w:val="clear" w:color="000000" w:fill="E6F2FF"/>
            <w:noWrap/>
            <w:vAlign w:val="center"/>
            <w:hideMark/>
          </w:tcPr>
          <w:p w14:paraId="759D224C"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1,680</w:t>
            </w:r>
          </w:p>
        </w:tc>
        <w:tc>
          <w:tcPr>
            <w:tcW w:w="83" w:type="pct"/>
            <w:tcBorders>
              <w:top w:val="nil"/>
              <w:left w:val="nil"/>
              <w:bottom w:val="nil"/>
              <w:right w:val="nil"/>
            </w:tcBorders>
            <w:shd w:val="clear" w:color="000000" w:fill="FFFFFF"/>
            <w:noWrap/>
            <w:vAlign w:val="center"/>
            <w:hideMark/>
          </w:tcPr>
          <w:p w14:paraId="2839B51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48E63550"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-340</w:t>
            </w:r>
          </w:p>
        </w:tc>
        <w:tc>
          <w:tcPr>
            <w:tcW w:w="507" w:type="pct"/>
            <w:tcBorders>
              <w:top w:val="nil"/>
              <w:left w:val="nil"/>
              <w:bottom w:val="nil"/>
              <w:right w:val="nil"/>
            </w:tcBorders>
            <w:shd w:val="clear" w:color="000000" w:fill="FFFFFF"/>
            <w:noWrap/>
            <w:vAlign w:val="center"/>
            <w:hideMark/>
          </w:tcPr>
          <w:p w14:paraId="429809BE"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-16.8</w:t>
            </w:r>
          </w:p>
        </w:tc>
      </w:tr>
      <w:tr w:rsidR="00867BAA" w:rsidRPr="00954D98" w14:paraId="6F960CE9"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5741AEE9" w14:textId="77777777" w:rsidR="00867BAA" w:rsidRPr="00954D98" w:rsidRDefault="00867BAA" w:rsidP="00867BAA">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Tobacco</w:t>
            </w:r>
          </w:p>
        </w:tc>
        <w:tc>
          <w:tcPr>
            <w:tcW w:w="601" w:type="pct"/>
            <w:tcBorders>
              <w:top w:val="nil"/>
              <w:left w:val="nil"/>
              <w:bottom w:val="nil"/>
              <w:right w:val="nil"/>
            </w:tcBorders>
            <w:shd w:val="clear" w:color="000000" w:fill="FFFFFF"/>
            <w:noWrap/>
            <w:vAlign w:val="center"/>
            <w:hideMark/>
          </w:tcPr>
          <w:p w14:paraId="0DDFF4CB"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7,050</w:t>
            </w:r>
          </w:p>
        </w:tc>
        <w:tc>
          <w:tcPr>
            <w:tcW w:w="601" w:type="pct"/>
            <w:tcBorders>
              <w:top w:val="nil"/>
              <w:left w:val="nil"/>
              <w:bottom w:val="nil"/>
              <w:right w:val="nil"/>
            </w:tcBorders>
            <w:shd w:val="clear" w:color="000000" w:fill="E6F2FF"/>
            <w:noWrap/>
            <w:vAlign w:val="center"/>
            <w:hideMark/>
          </w:tcPr>
          <w:p w14:paraId="63BEC28C"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5,450</w:t>
            </w:r>
          </w:p>
        </w:tc>
        <w:tc>
          <w:tcPr>
            <w:tcW w:w="83" w:type="pct"/>
            <w:tcBorders>
              <w:top w:val="nil"/>
              <w:left w:val="nil"/>
              <w:bottom w:val="nil"/>
              <w:right w:val="nil"/>
            </w:tcBorders>
            <w:shd w:val="clear" w:color="000000" w:fill="FFFFFF"/>
            <w:noWrap/>
            <w:vAlign w:val="center"/>
            <w:hideMark/>
          </w:tcPr>
          <w:p w14:paraId="283A548B"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60CA309C"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-1,600</w:t>
            </w:r>
          </w:p>
        </w:tc>
        <w:tc>
          <w:tcPr>
            <w:tcW w:w="507" w:type="pct"/>
            <w:tcBorders>
              <w:top w:val="nil"/>
              <w:left w:val="nil"/>
              <w:bottom w:val="nil"/>
              <w:right w:val="nil"/>
            </w:tcBorders>
            <w:shd w:val="clear" w:color="000000" w:fill="FFFFFF"/>
            <w:noWrap/>
            <w:vAlign w:val="center"/>
            <w:hideMark/>
          </w:tcPr>
          <w:p w14:paraId="47B7C1E3"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-22.7</w:t>
            </w:r>
          </w:p>
        </w:tc>
      </w:tr>
      <w:tr w:rsidR="00867BAA" w:rsidRPr="00954D98" w14:paraId="204F88BA"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6A7A329D" w14:textId="77777777" w:rsidR="00867BAA" w:rsidRPr="00954D98" w:rsidRDefault="00867BAA" w:rsidP="00867BAA">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Beer</w:t>
            </w:r>
          </w:p>
        </w:tc>
        <w:tc>
          <w:tcPr>
            <w:tcW w:w="601" w:type="pct"/>
            <w:tcBorders>
              <w:top w:val="nil"/>
              <w:left w:val="nil"/>
              <w:bottom w:val="nil"/>
              <w:right w:val="nil"/>
            </w:tcBorders>
            <w:shd w:val="clear" w:color="000000" w:fill="FFFFFF"/>
            <w:noWrap/>
            <w:vAlign w:val="center"/>
            <w:hideMark/>
          </w:tcPr>
          <w:p w14:paraId="6CF4A77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2,780</w:t>
            </w:r>
          </w:p>
        </w:tc>
        <w:tc>
          <w:tcPr>
            <w:tcW w:w="601" w:type="pct"/>
            <w:tcBorders>
              <w:top w:val="nil"/>
              <w:left w:val="nil"/>
              <w:bottom w:val="nil"/>
              <w:right w:val="nil"/>
            </w:tcBorders>
            <w:shd w:val="clear" w:color="000000" w:fill="E6F2FF"/>
            <w:noWrap/>
            <w:vAlign w:val="center"/>
            <w:hideMark/>
          </w:tcPr>
          <w:p w14:paraId="00CA93A6"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2,720</w:t>
            </w:r>
          </w:p>
        </w:tc>
        <w:tc>
          <w:tcPr>
            <w:tcW w:w="83" w:type="pct"/>
            <w:tcBorders>
              <w:top w:val="nil"/>
              <w:left w:val="nil"/>
              <w:bottom w:val="nil"/>
              <w:right w:val="nil"/>
            </w:tcBorders>
            <w:shd w:val="clear" w:color="000000" w:fill="FFFFFF"/>
            <w:noWrap/>
            <w:vAlign w:val="center"/>
            <w:hideMark/>
          </w:tcPr>
          <w:p w14:paraId="768EF8FB"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65F29F6E"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-60</w:t>
            </w:r>
          </w:p>
        </w:tc>
        <w:tc>
          <w:tcPr>
            <w:tcW w:w="507" w:type="pct"/>
            <w:tcBorders>
              <w:top w:val="nil"/>
              <w:left w:val="nil"/>
              <w:bottom w:val="nil"/>
              <w:right w:val="nil"/>
            </w:tcBorders>
            <w:shd w:val="clear" w:color="000000" w:fill="FFFFFF"/>
            <w:noWrap/>
            <w:vAlign w:val="center"/>
            <w:hideMark/>
          </w:tcPr>
          <w:p w14:paraId="27DB3A12"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-2.2</w:t>
            </w:r>
          </w:p>
        </w:tc>
      </w:tr>
      <w:tr w:rsidR="00867BAA" w:rsidRPr="00954D98" w14:paraId="0F25E397"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263D064A" w14:textId="77777777" w:rsidR="00867BAA" w:rsidRPr="00954D98" w:rsidRDefault="00867BAA" w:rsidP="00867BAA">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Spirits</w:t>
            </w:r>
          </w:p>
        </w:tc>
        <w:tc>
          <w:tcPr>
            <w:tcW w:w="601" w:type="pct"/>
            <w:tcBorders>
              <w:top w:val="nil"/>
              <w:left w:val="nil"/>
              <w:bottom w:val="nil"/>
              <w:right w:val="nil"/>
            </w:tcBorders>
            <w:shd w:val="clear" w:color="000000" w:fill="FFFFFF"/>
            <w:noWrap/>
            <w:vAlign w:val="center"/>
            <w:hideMark/>
          </w:tcPr>
          <w:p w14:paraId="0E26F9A3"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3,380</w:t>
            </w:r>
          </w:p>
        </w:tc>
        <w:tc>
          <w:tcPr>
            <w:tcW w:w="601" w:type="pct"/>
            <w:tcBorders>
              <w:top w:val="nil"/>
              <w:left w:val="nil"/>
              <w:bottom w:val="nil"/>
              <w:right w:val="nil"/>
            </w:tcBorders>
            <w:shd w:val="clear" w:color="000000" w:fill="E6F2FF"/>
            <w:noWrap/>
            <w:vAlign w:val="center"/>
            <w:hideMark/>
          </w:tcPr>
          <w:p w14:paraId="084390E6"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3,270</w:t>
            </w:r>
          </w:p>
        </w:tc>
        <w:tc>
          <w:tcPr>
            <w:tcW w:w="83" w:type="pct"/>
            <w:tcBorders>
              <w:top w:val="nil"/>
              <w:left w:val="nil"/>
              <w:bottom w:val="nil"/>
              <w:right w:val="nil"/>
            </w:tcBorders>
            <w:shd w:val="clear" w:color="000000" w:fill="FFFFFF"/>
            <w:noWrap/>
            <w:vAlign w:val="center"/>
            <w:hideMark/>
          </w:tcPr>
          <w:p w14:paraId="231A8140"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4ADD48D8"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-110</w:t>
            </w:r>
          </w:p>
        </w:tc>
        <w:tc>
          <w:tcPr>
            <w:tcW w:w="507" w:type="pct"/>
            <w:tcBorders>
              <w:top w:val="nil"/>
              <w:left w:val="nil"/>
              <w:bottom w:val="nil"/>
              <w:right w:val="nil"/>
            </w:tcBorders>
            <w:shd w:val="clear" w:color="000000" w:fill="FFFFFF"/>
            <w:noWrap/>
            <w:vAlign w:val="center"/>
            <w:hideMark/>
          </w:tcPr>
          <w:p w14:paraId="26406315"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-3.3</w:t>
            </w:r>
          </w:p>
        </w:tc>
      </w:tr>
      <w:tr w:rsidR="00867BAA" w:rsidRPr="00954D98" w14:paraId="5FAE34B3"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3B98CBDB" w14:textId="77777777" w:rsidR="00867BAA" w:rsidRPr="00954D98" w:rsidRDefault="00867BAA" w:rsidP="00867BAA">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Other alcoholic beverages(a)</w:t>
            </w:r>
          </w:p>
        </w:tc>
        <w:tc>
          <w:tcPr>
            <w:tcW w:w="601" w:type="pct"/>
            <w:tcBorders>
              <w:top w:val="nil"/>
              <w:left w:val="nil"/>
              <w:bottom w:val="nil"/>
              <w:right w:val="nil"/>
            </w:tcBorders>
            <w:shd w:val="clear" w:color="000000" w:fill="FFFFFF"/>
            <w:noWrap/>
            <w:vAlign w:val="center"/>
            <w:hideMark/>
          </w:tcPr>
          <w:p w14:paraId="6FD16CA5"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1,830</w:t>
            </w:r>
          </w:p>
        </w:tc>
        <w:tc>
          <w:tcPr>
            <w:tcW w:w="601" w:type="pct"/>
            <w:tcBorders>
              <w:top w:val="nil"/>
              <w:left w:val="nil"/>
              <w:bottom w:val="nil"/>
              <w:right w:val="nil"/>
            </w:tcBorders>
            <w:shd w:val="clear" w:color="000000" w:fill="E6F2FF"/>
            <w:noWrap/>
            <w:vAlign w:val="center"/>
            <w:hideMark/>
          </w:tcPr>
          <w:p w14:paraId="5041D8D9"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1,810</w:t>
            </w:r>
          </w:p>
        </w:tc>
        <w:tc>
          <w:tcPr>
            <w:tcW w:w="83" w:type="pct"/>
            <w:tcBorders>
              <w:top w:val="nil"/>
              <w:left w:val="nil"/>
              <w:bottom w:val="nil"/>
              <w:right w:val="nil"/>
            </w:tcBorders>
            <w:shd w:val="clear" w:color="000000" w:fill="FFFFFF"/>
            <w:noWrap/>
            <w:vAlign w:val="center"/>
            <w:hideMark/>
          </w:tcPr>
          <w:p w14:paraId="0928CDA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7D6765AC"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-20</w:t>
            </w:r>
          </w:p>
        </w:tc>
        <w:tc>
          <w:tcPr>
            <w:tcW w:w="507" w:type="pct"/>
            <w:tcBorders>
              <w:top w:val="nil"/>
              <w:left w:val="nil"/>
              <w:bottom w:val="nil"/>
              <w:right w:val="nil"/>
            </w:tcBorders>
            <w:shd w:val="clear" w:color="000000" w:fill="FFFFFF"/>
            <w:noWrap/>
            <w:vAlign w:val="center"/>
            <w:hideMark/>
          </w:tcPr>
          <w:p w14:paraId="02B4730C"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-1.1</w:t>
            </w:r>
          </w:p>
        </w:tc>
      </w:tr>
      <w:tr w:rsidR="00867BAA" w:rsidRPr="00954D98" w14:paraId="09E8CC00"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3928B0B7" w14:textId="77777777" w:rsidR="00867BAA" w:rsidRPr="00954D98" w:rsidRDefault="00867BAA" w:rsidP="00867BAA">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Other customs duty</w:t>
            </w:r>
          </w:p>
        </w:tc>
        <w:tc>
          <w:tcPr>
            <w:tcW w:w="601" w:type="pct"/>
            <w:tcBorders>
              <w:top w:val="nil"/>
              <w:left w:val="nil"/>
              <w:bottom w:val="nil"/>
              <w:right w:val="nil"/>
            </w:tcBorders>
            <w:shd w:val="clear" w:color="000000" w:fill="FFFFFF"/>
            <w:noWrap/>
            <w:vAlign w:val="center"/>
            <w:hideMark/>
          </w:tcPr>
          <w:p w14:paraId="6910265C"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01" w:type="pct"/>
            <w:tcBorders>
              <w:top w:val="nil"/>
              <w:left w:val="nil"/>
              <w:bottom w:val="nil"/>
              <w:right w:val="nil"/>
            </w:tcBorders>
            <w:shd w:val="clear" w:color="000000" w:fill="E6F2FF"/>
            <w:noWrap/>
            <w:vAlign w:val="center"/>
            <w:hideMark/>
          </w:tcPr>
          <w:p w14:paraId="2B9C7502"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83" w:type="pct"/>
            <w:tcBorders>
              <w:top w:val="nil"/>
              <w:left w:val="nil"/>
              <w:bottom w:val="nil"/>
              <w:right w:val="nil"/>
            </w:tcBorders>
            <w:shd w:val="clear" w:color="000000" w:fill="FFFFFF"/>
            <w:noWrap/>
            <w:vAlign w:val="center"/>
            <w:hideMark/>
          </w:tcPr>
          <w:p w14:paraId="2C41A28C"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6D05A003"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7" w:type="pct"/>
            <w:tcBorders>
              <w:top w:val="nil"/>
              <w:left w:val="nil"/>
              <w:bottom w:val="nil"/>
              <w:right w:val="nil"/>
            </w:tcBorders>
            <w:shd w:val="clear" w:color="000000" w:fill="FFFFFF"/>
            <w:noWrap/>
            <w:vAlign w:val="center"/>
            <w:hideMark/>
          </w:tcPr>
          <w:p w14:paraId="0BD8740D"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 </w:t>
            </w:r>
          </w:p>
        </w:tc>
      </w:tr>
      <w:tr w:rsidR="00867BAA" w:rsidRPr="00954D98" w14:paraId="4E66B6BE" w14:textId="77777777" w:rsidTr="00867BAA">
        <w:trPr>
          <w:trHeight w:hRule="exact" w:val="225"/>
        </w:trPr>
        <w:tc>
          <w:tcPr>
            <w:tcW w:w="2646" w:type="pct"/>
            <w:tcBorders>
              <w:top w:val="nil"/>
              <w:left w:val="nil"/>
              <w:bottom w:val="nil"/>
              <w:right w:val="nil"/>
            </w:tcBorders>
            <w:shd w:val="clear" w:color="000000" w:fill="FFFFFF"/>
            <w:noWrap/>
            <w:vAlign w:val="bottom"/>
            <w:hideMark/>
          </w:tcPr>
          <w:p w14:paraId="42E6D518" w14:textId="77777777" w:rsidR="00867BAA" w:rsidRPr="00954D98" w:rsidRDefault="00867BAA" w:rsidP="00867BAA">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Textiles, clothing and footwear</w:t>
            </w:r>
          </w:p>
        </w:tc>
        <w:tc>
          <w:tcPr>
            <w:tcW w:w="601" w:type="pct"/>
            <w:tcBorders>
              <w:top w:val="nil"/>
              <w:left w:val="nil"/>
              <w:bottom w:val="nil"/>
              <w:right w:val="nil"/>
            </w:tcBorders>
            <w:shd w:val="clear" w:color="000000" w:fill="FFFFFF"/>
            <w:noWrap/>
            <w:vAlign w:val="center"/>
            <w:hideMark/>
          </w:tcPr>
          <w:p w14:paraId="2C89E34B"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170</w:t>
            </w:r>
          </w:p>
        </w:tc>
        <w:tc>
          <w:tcPr>
            <w:tcW w:w="601" w:type="pct"/>
            <w:tcBorders>
              <w:top w:val="nil"/>
              <w:left w:val="nil"/>
              <w:bottom w:val="nil"/>
              <w:right w:val="nil"/>
            </w:tcBorders>
            <w:shd w:val="clear" w:color="000000" w:fill="E6F2FF"/>
            <w:noWrap/>
            <w:vAlign w:val="center"/>
            <w:hideMark/>
          </w:tcPr>
          <w:p w14:paraId="40E18B77"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160</w:t>
            </w:r>
          </w:p>
        </w:tc>
        <w:tc>
          <w:tcPr>
            <w:tcW w:w="83" w:type="pct"/>
            <w:tcBorders>
              <w:top w:val="nil"/>
              <w:left w:val="nil"/>
              <w:bottom w:val="nil"/>
              <w:right w:val="nil"/>
            </w:tcBorders>
            <w:shd w:val="clear" w:color="000000" w:fill="FFFFFF"/>
            <w:noWrap/>
            <w:vAlign w:val="center"/>
            <w:hideMark/>
          </w:tcPr>
          <w:p w14:paraId="27B01831"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299CDFFA"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-10</w:t>
            </w:r>
          </w:p>
        </w:tc>
        <w:tc>
          <w:tcPr>
            <w:tcW w:w="507" w:type="pct"/>
            <w:tcBorders>
              <w:top w:val="nil"/>
              <w:left w:val="nil"/>
              <w:bottom w:val="nil"/>
              <w:right w:val="nil"/>
            </w:tcBorders>
            <w:shd w:val="clear" w:color="000000" w:fill="FFFFFF"/>
            <w:noWrap/>
            <w:vAlign w:val="center"/>
            <w:hideMark/>
          </w:tcPr>
          <w:p w14:paraId="02493AF0"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-5.9</w:t>
            </w:r>
          </w:p>
        </w:tc>
      </w:tr>
      <w:tr w:rsidR="00867BAA" w:rsidRPr="00954D98" w14:paraId="3461FCB4" w14:textId="77777777" w:rsidTr="00867BAA">
        <w:trPr>
          <w:trHeight w:hRule="exact" w:val="225"/>
        </w:trPr>
        <w:tc>
          <w:tcPr>
            <w:tcW w:w="2646" w:type="pct"/>
            <w:tcBorders>
              <w:top w:val="nil"/>
              <w:left w:val="nil"/>
              <w:bottom w:val="nil"/>
              <w:right w:val="nil"/>
            </w:tcBorders>
            <w:shd w:val="clear" w:color="000000" w:fill="FFFFFF"/>
            <w:noWrap/>
            <w:vAlign w:val="bottom"/>
            <w:hideMark/>
          </w:tcPr>
          <w:p w14:paraId="557D81A6" w14:textId="77777777" w:rsidR="00867BAA" w:rsidRPr="00954D98" w:rsidRDefault="00867BAA" w:rsidP="00867BAA">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Passenger motor vehicles</w:t>
            </w:r>
          </w:p>
        </w:tc>
        <w:tc>
          <w:tcPr>
            <w:tcW w:w="601" w:type="pct"/>
            <w:tcBorders>
              <w:top w:val="nil"/>
              <w:left w:val="nil"/>
              <w:bottom w:val="nil"/>
              <w:right w:val="nil"/>
            </w:tcBorders>
            <w:shd w:val="clear" w:color="000000" w:fill="FFFFFF"/>
            <w:noWrap/>
            <w:vAlign w:val="center"/>
            <w:hideMark/>
          </w:tcPr>
          <w:p w14:paraId="4AE399FE"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380</w:t>
            </w:r>
          </w:p>
        </w:tc>
        <w:tc>
          <w:tcPr>
            <w:tcW w:w="601" w:type="pct"/>
            <w:tcBorders>
              <w:top w:val="nil"/>
              <w:left w:val="nil"/>
              <w:bottom w:val="nil"/>
              <w:right w:val="nil"/>
            </w:tcBorders>
            <w:shd w:val="clear" w:color="000000" w:fill="E6F2FF"/>
            <w:noWrap/>
            <w:vAlign w:val="center"/>
            <w:hideMark/>
          </w:tcPr>
          <w:p w14:paraId="18977334"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300</w:t>
            </w:r>
          </w:p>
        </w:tc>
        <w:tc>
          <w:tcPr>
            <w:tcW w:w="83" w:type="pct"/>
            <w:tcBorders>
              <w:top w:val="nil"/>
              <w:left w:val="nil"/>
              <w:bottom w:val="nil"/>
              <w:right w:val="nil"/>
            </w:tcBorders>
            <w:shd w:val="clear" w:color="000000" w:fill="FFFFFF"/>
            <w:noWrap/>
            <w:vAlign w:val="center"/>
            <w:hideMark/>
          </w:tcPr>
          <w:p w14:paraId="052B41C6"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6786FF07"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-80</w:t>
            </w:r>
          </w:p>
        </w:tc>
        <w:tc>
          <w:tcPr>
            <w:tcW w:w="507" w:type="pct"/>
            <w:tcBorders>
              <w:top w:val="nil"/>
              <w:left w:val="nil"/>
              <w:bottom w:val="nil"/>
              <w:right w:val="nil"/>
            </w:tcBorders>
            <w:shd w:val="clear" w:color="000000" w:fill="FFFFFF"/>
            <w:noWrap/>
            <w:vAlign w:val="center"/>
            <w:hideMark/>
          </w:tcPr>
          <w:p w14:paraId="40F28EED"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-21.1</w:t>
            </w:r>
          </w:p>
        </w:tc>
      </w:tr>
      <w:tr w:rsidR="00867BAA" w:rsidRPr="00954D98" w14:paraId="166A4819"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2E2860BB" w14:textId="77777777" w:rsidR="00867BAA" w:rsidRPr="00954D98" w:rsidRDefault="00867BAA" w:rsidP="00867BAA">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Other imports</w:t>
            </w:r>
          </w:p>
        </w:tc>
        <w:tc>
          <w:tcPr>
            <w:tcW w:w="601" w:type="pct"/>
            <w:tcBorders>
              <w:top w:val="nil"/>
              <w:left w:val="nil"/>
              <w:bottom w:val="nil"/>
              <w:right w:val="nil"/>
            </w:tcBorders>
            <w:shd w:val="clear" w:color="000000" w:fill="FFFFFF"/>
            <w:noWrap/>
            <w:vAlign w:val="center"/>
            <w:hideMark/>
          </w:tcPr>
          <w:p w14:paraId="5E13A984"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1,620</w:t>
            </w:r>
          </w:p>
        </w:tc>
        <w:tc>
          <w:tcPr>
            <w:tcW w:w="601" w:type="pct"/>
            <w:tcBorders>
              <w:top w:val="nil"/>
              <w:left w:val="nil"/>
              <w:bottom w:val="nil"/>
              <w:right w:val="nil"/>
            </w:tcBorders>
            <w:shd w:val="clear" w:color="000000" w:fill="E6F2FF"/>
            <w:noWrap/>
            <w:vAlign w:val="center"/>
            <w:hideMark/>
          </w:tcPr>
          <w:p w14:paraId="335B2703"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1,550</w:t>
            </w:r>
          </w:p>
        </w:tc>
        <w:tc>
          <w:tcPr>
            <w:tcW w:w="83" w:type="pct"/>
            <w:tcBorders>
              <w:top w:val="nil"/>
              <w:left w:val="nil"/>
              <w:bottom w:val="nil"/>
              <w:right w:val="nil"/>
            </w:tcBorders>
            <w:shd w:val="clear" w:color="000000" w:fill="FFFFFF"/>
            <w:noWrap/>
            <w:vAlign w:val="center"/>
            <w:hideMark/>
          </w:tcPr>
          <w:p w14:paraId="4AF473C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1F0B9E3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-70</w:t>
            </w:r>
          </w:p>
        </w:tc>
        <w:tc>
          <w:tcPr>
            <w:tcW w:w="507" w:type="pct"/>
            <w:tcBorders>
              <w:top w:val="nil"/>
              <w:left w:val="nil"/>
              <w:bottom w:val="nil"/>
              <w:right w:val="nil"/>
            </w:tcBorders>
            <w:shd w:val="clear" w:color="000000" w:fill="FFFFFF"/>
            <w:noWrap/>
            <w:vAlign w:val="center"/>
            <w:hideMark/>
          </w:tcPr>
          <w:p w14:paraId="1BC2ACC2"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-4.3</w:t>
            </w:r>
          </w:p>
        </w:tc>
      </w:tr>
      <w:tr w:rsidR="002C4687" w:rsidRPr="00954D98" w14:paraId="1407461E" w14:textId="77777777" w:rsidTr="00867BAA">
        <w:trPr>
          <w:trHeight w:hRule="exact" w:val="225"/>
        </w:trPr>
        <w:tc>
          <w:tcPr>
            <w:tcW w:w="2646" w:type="pct"/>
            <w:tcBorders>
              <w:top w:val="nil"/>
              <w:left w:val="nil"/>
              <w:bottom w:val="nil"/>
              <w:right w:val="nil"/>
            </w:tcBorders>
            <w:shd w:val="clear" w:color="000000" w:fill="FFFFFF"/>
            <w:noWrap/>
            <w:vAlign w:val="bottom"/>
            <w:hideMark/>
          </w:tcPr>
          <w:p w14:paraId="065CB4B6" w14:textId="77777777" w:rsidR="00867BAA" w:rsidRPr="00954D98" w:rsidRDefault="00867BAA" w:rsidP="00867BAA">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less:</w:t>
            </w:r>
            <w:r w:rsidRPr="00954D98">
              <w:rPr>
                <w:rFonts w:ascii="Arial" w:hAnsi="Arial" w:cs="Arial"/>
                <w:sz w:val="16"/>
                <w:szCs w:val="16"/>
              </w:rPr>
              <w:t xml:space="preserve"> Refunds and drawbacks</w:t>
            </w:r>
          </w:p>
        </w:tc>
        <w:tc>
          <w:tcPr>
            <w:tcW w:w="601" w:type="pct"/>
            <w:tcBorders>
              <w:top w:val="nil"/>
              <w:left w:val="nil"/>
              <w:bottom w:val="single" w:sz="4" w:space="0" w:color="293F5B"/>
              <w:right w:val="nil"/>
            </w:tcBorders>
            <w:shd w:val="clear" w:color="000000" w:fill="FFFFFF"/>
            <w:noWrap/>
            <w:vAlign w:val="center"/>
            <w:hideMark/>
          </w:tcPr>
          <w:p w14:paraId="2D8D647D"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730</w:t>
            </w:r>
          </w:p>
        </w:tc>
        <w:tc>
          <w:tcPr>
            <w:tcW w:w="601" w:type="pct"/>
            <w:tcBorders>
              <w:top w:val="nil"/>
              <w:left w:val="nil"/>
              <w:bottom w:val="single" w:sz="4" w:space="0" w:color="293F5B"/>
              <w:right w:val="nil"/>
            </w:tcBorders>
            <w:shd w:val="clear" w:color="000000" w:fill="E6F2FF"/>
            <w:noWrap/>
            <w:vAlign w:val="center"/>
            <w:hideMark/>
          </w:tcPr>
          <w:p w14:paraId="2454D5F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1,380</w:t>
            </w:r>
          </w:p>
        </w:tc>
        <w:tc>
          <w:tcPr>
            <w:tcW w:w="83" w:type="pct"/>
            <w:tcBorders>
              <w:top w:val="nil"/>
              <w:left w:val="nil"/>
              <w:bottom w:val="nil"/>
              <w:right w:val="nil"/>
            </w:tcBorders>
            <w:shd w:val="clear" w:color="000000" w:fill="FFFFFF"/>
            <w:noWrap/>
            <w:vAlign w:val="center"/>
            <w:hideMark/>
          </w:tcPr>
          <w:p w14:paraId="65A24F28"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single" w:sz="4" w:space="0" w:color="293F5B"/>
              <w:right w:val="nil"/>
            </w:tcBorders>
            <w:shd w:val="clear" w:color="000000" w:fill="FFFFFF"/>
            <w:noWrap/>
            <w:vAlign w:val="center"/>
            <w:hideMark/>
          </w:tcPr>
          <w:p w14:paraId="1EC3A23A"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650</w:t>
            </w:r>
          </w:p>
        </w:tc>
        <w:tc>
          <w:tcPr>
            <w:tcW w:w="507" w:type="pct"/>
            <w:tcBorders>
              <w:top w:val="nil"/>
              <w:left w:val="nil"/>
              <w:bottom w:val="single" w:sz="4" w:space="0" w:color="293F5B"/>
              <w:right w:val="nil"/>
            </w:tcBorders>
            <w:shd w:val="clear" w:color="000000" w:fill="FFFFFF"/>
            <w:noWrap/>
            <w:vAlign w:val="center"/>
            <w:hideMark/>
          </w:tcPr>
          <w:p w14:paraId="523345BD"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89.0</w:t>
            </w:r>
          </w:p>
        </w:tc>
      </w:tr>
      <w:tr w:rsidR="002C4687" w:rsidRPr="00954D98" w14:paraId="328D6710"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7619BA4C"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Total excise and customs duty</w:t>
            </w:r>
          </w:p>
        </w:tc>
        <w:tc>
          <w:tcPr>
            <w:tcW w:w="601" w:type="pct"/>
            <w:tcBorders>
              <w:top w:val="single" w:sz="4" w:space="0" w:color="auto"/>
              <w:left w:val="nil"/>
              <w:bottom w:val="nil"/>
              <w:right w:val="nil"/>
            </w:tcBorders>
            <w:shd w:val="clear" w:color="000000" w:fill="FFFFFF"/>
            <w:noWrap/>
            <w:vAlign w:val="center"/>
            <w:hideMark/>
          </w:tcPr>
          <w:p w14:paraId="540CE7CD"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43,800</w:t>
            </w:r>
          </w:p>
        </w:tc>
        <w:tc>
          <w:tcPr>
            <w:tcW w:w="601" w:type="pct"/>
            <w:tcBorders>
              <w:top w:val="single" w:sz="4" w:space="0" w:color="auto"/>
              <w:left w:val="nil"/>
              <w:bottom w:val="nil"/>
              <w:right w:val="nil"/>
            </w:tcBorders>
            <w:shd w:val="clear" w:color="000000" w:fill="E6F2FF"/>
            <w:noWrap/>
            <w:vAlign w:val="center"/>
            <w:hideMark/>
          </w:tcPr>
          <w:p w14:paraId="0E25766C"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40,540</w:t>
            </w:r>
          </w:p>
        </w:tc>
        <w:tc>
          <w:tcPr>
            <w:tcW w:w="83" w:type="pct"/>
            <w:tcBorders>
              <w:top w:val="nil"/>
              <w:left w:val="nil"/>
              <w:bottom w:val="nil"/>
              <w:right w:val="nil"/>
            </w:tcBorders>
            <w:shd w:val="clear" w:color="000000" w:fill="FFFFFF"/>
            <w:noWrap/>
            <w:vAlign w:val="center"/>
            <w:hideMark/>
          </w:tcPr>
          <w:p w14:paraId="4E3CC3A2"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single" w:sz="4" w:space="0" w:color="auto"/>
              <w:left w:val="nil"/>
              <w:bottom w:val="nil"/>
              <w:right w:val="nil"/>
            </w:tcBorders>
            <w:shd w:val="clear" w:color="000000" w:fill="FFFFFF"/>
            <w:noWrap/>
            <w:vAlign w:val="center"/>
            <w:hideMark/>
          </w:tcPr>
          <w:p w14:paraId="0C29F2C0"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-3,260</w:t>
            </w:r>
          </w:p>
        </w:tc>
        <w:tc>
          <w:tcPr>
            <w:tcW w:w="507" w:type="pct"/>
            <w:tcBorders>
              <w:top w:val="single" w:sz="4" w:space="0" w:color="auto"/>
              <w:left w:val="nil"/>
              <w:bottom w:val="nil"/>
              <w:right w:val="nil"/>
            </w:tcBorders>
            <w:shd w:val="clear" w:color="000000" w:fill="FFFFFF"/>
            <w:noWrap/>
            <w:vAlign w:val="center"/>
            <w:hideMark/>
          </w:tcPr>
          <w:p w14:paraId="40525B82"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-7.4</w:t>
            </w:r>
          </w:p>
        </w:tc>
      </w:tr>
      <w:tr w:rsidR="00867BAA" w:rsidRPr="00954D98" w14:paraId="24015DF7" w14:textId="77777777" w:rsidTr="00867BAA">
        <w:trPr>
          <w:trHeight w:hRule="exact" w:val="60"/>
        </w:trPr>
        <w:tc>
          <w:tcPr>
            <w:tcW w:w="2646" w:type="pct"/>
            <w:tcBorders>
              <w:top w:val="nil"/>
              <w:left w:val="nil"/>
              <w:bottom w:val="nil"/>
              <w:right w:val="nil"/>
            </w:tcBorders>
            <w:shd w:val="clear" w:color="000000" w:fill="FFFFFF"/>
            <w:noWrap/>
            <w:vAlign w:val="center"/>
            <w:hideMark/>
          </w:tcPr>
          <w:p w14:paraId="75B7ACAC" w14:textId="77777777" w:rsidR="00867BAA" w:rsidRPr="00954D98" w:rsidRDefault="00867BAA" w:rsidP="00867BAA">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601" w:type="pct"/>
            <w:tcBorders>
              <w:top w:val="nil"/>
              <w:left w:val="nil"/>
              <w:bottom w:val="nil"/>
              <w:right w:val="nil"/>
            </w:tcBorders>
            <w:shd w:val="clear" w:color="000000" w:fill="FFFFFF"/>
            <w:noWrap/>
            <w:vAlign w:val="center"/>
            <w:hideMark/>
          </w:tcPr>
          <w:p w14:paraId="226836DA"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01" w:type="pct"/>
            <w:tcBorders>
              <w:top w:val="nil"/>
              <w:left w:val="nil"/>
              <w:bottom w:val="nil"/>
              <w:right w:val="nil"/>
            </w:tcBorders>
            <w:shd w:val="clear" w:color="000000" w:fill="E6F2FF"/>
            <w:noWrap/>
            <w:vAlign w:val="center"/>
            <w:hideMark/>
          </w:tcPr>
          <w:p w14:paraId="130D001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83" w:type="pct"/>
            <w:tcBorders>
              <w:top w:val="nil"/>
              <w:left w:val="nil"/>
              <w:bottom w:val="nil"/>
              <w:right w:val="nil"/>
            </w:tcBorders>
            <w:shd w:val="clear" w:color="000000" w:fill="FFFFFF"/>
            <w:noWrap/>
            <w:vAlign w:val="center"/>
            <w:hideMark/>
          </w:tcPr>
          <w:p w14:paraId="74CA5E34"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nil"/>
              <w:left w:val="nil"/>
              <w:bottom w:val="nil"/>
              <w:right w:val="nil"/>
            </w:tcBorders>
            <w:shd w:val="clear" w:color="000000" w:fill="FFFFFF"/>
            <w:noWrap/>
            <w:vAlign w:val="center"/>
            <w:hideMark/>
          </w:tcPr>
          <w:p w14:paraId="128CF2E5"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7" w:type="pct"/>
            <w:tcBorders>
              <w:top w:val="nil"/>
              <w:left w:val="nil"/>
              <w:bottom w:val="nil"/>
              <w:right w:val="nil"/>
            </w:tcBorders>
            <w:shd w:val="clear" w:color="000000" w:fill="FFFFFF"/>
            <w:noWrap/>
            <w:vAlign w:val="center"/>
            <w:hideMark/>
          </w:tcPr>
          <w:p w14:paraId="444EF45D"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 </w:t>
            </w:r>
          </w:p>
        </w:tc>
      </w:tr>
      <w:tr w:rsidR="00867BAA" w:rsidRPr="00954D98" w14:paraId="67165E9A"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637E9FD3"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Major bank levy</w:t>
            </w:r>
          </w:p>
        </w:tc>
        <w:tc>
          <w:tcPr>
            <w:tcW w:w="601" w:type="pct"/>
            <w:tcBorders>
              <w:top w:val="nil"/>
              <w:left w:val="nil"/>
              <w:bottom w:val="nil"/>
              <w:right w:val="nil"/>
            </w:tcBorders>
            <w:shd w:val="clear" w:color="000000" w:fill="FFFFFF"/>
            <w:noWrap/>
            <w:vAlign w:val="center"/>
            <w:hideMark/>
          </w:tcPr>
          <w:p w14:paraId="0BC64C5B"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1,870</w:t>
            </w:r>
          </w:p>
        </w:tc>
        <w:tc>
          <w:tcPr>
            <w:tcW w:w="601" w:type="pct"/>
            <w:tcBorders>
              <w:top w:val="nil"/>
              <w:left w:val="nil"/>
              <w:bottom w:val="nil"/>
              <w:right w:val="nil"/>
            </w:tcBorders>
            <w:shd w:val="clear" w:color="000000" w:fill="E6F2FF"/>
            <w:noWrap/>
            <w:vAlign w:val="center"/>
            <w:hideMark/>
          </w:tcPr>
          <w:p w14:paraId="516BE559"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1,900</w:t>
            </w:r>
          </w:p>
        </w:tc>
        <w:tc>
          <w:tcPr>
            <w:tcW w:w="83" w:type="pct"/>
            <w:tcBorders>
              <w:top w:val="nil"/>
              <w:left w:val="nil"/>
              <w:bottom w:val="nil"/>
              <w:right w:val="nil"/>
            </w:tcBorders>
            <w:shd w:val="clear" w:color="000000" w:fill="FFFFFF"/>
            <w:noWrap/>
            <w:vAlign w:val="center"/>
            <w:hideMark/>
          </w:tcPr>
          <w:p w14:paraId="334A5A34"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nil"/>
              <w:left w:val="nil"/>
              <w:bottom w:val="nil"/>
              <w:right w:val="nil"/>
            </w:tcBorders>
            <w:shd w:val="clear" w:color="000000" w:fill="FFFFFF"/>
            <w:noWrap/>
            <w:vAlign w:val="center"/>
            <w:hideMark/>
          </w:tcPr>
          <w:p w14:paraId="467352A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30</w:t>
            </w:r>
          </w:p>
        </w:tc>
        <w:tc>
          <w:tcPr>
            <w:tcW w:w="507" w:type="pct"/>
            <w:tcBorders>
              <w:top w:val="nil"/>
              <w:left w:val="nil"/>
              <w:bottom w:val="nil"/>
              <w:right w:val="nil"/>
            </w:tcBorders>
            <w:shd w:val="clear" w:color="000000" w:fill="FFFFFF"/>
            <w:noWrap/>
            <w:vAlign w:val="center"/>
            <w:hideMark/>
          </w:tcPr>
          <w:p w14:paraId="5137DC97"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1.6</w:t>
            </w:r>
          </w:p>
        </w:tc>
      </w:tr>
      <w:tr w:rsidR="00867BAA" w:rsidRPr="00954D98" w14:paraId="5720FE34"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60381A4D"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Agricultural levies</w:t>
            </w:r>
          </w:p>
        </w:tc>
        <w:tc>
          <w:tcPr>
            <w:tcW w:w="601" w:type="pct"/>
            <w:tcBorders>
              <w:top w:val="nil"/>
              <w:left w:val="nil"/>
              <w:bottom w:val="nil"/>
              <w:right w:val="nil"/>
            </w:tcBorders>
            <w:shd w:val="clear" w:color="000000" w:fill="FFFFFF"/>
            <w:noWrap/>
            <w:vAlign w:val="center"/>
            <w:hideMark/>
          </w:tcPr>
          <w:p w14:paraId="6355EC70"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669</w:t>
            </w:r>
          </w:p>
        </w:tc>
        <w:tc>
          <w:tcPr>
            <w:tcW w:w="601" w:type="pct"/>
            <w:tcBorders>
              <w:top w:val="nil"/>
              <w:left w:val="nil"/>
              <w:bottom w:val="nil"/>
              <w:right w:val="nil"/>
            </w:tcBorders>
            <w:shd w:val="clear" w:color="000000" w:fill="E6F2FF"/>
            <w:noWrap/>
            <w:vAlign w:val="center"/>
            <w:hideMark/>
          </w:tcPr>
          <w:p w14:paraId="725C772D"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707</w:t>
            </w:r>
          </w:p>
        </w:tc>
        <w:tc>
          <w:tcPr>
            <w:tcW w:w="83" w:type="pct"/>
            <w:tcBorders>
              <w:top w:val="nil"/>
              <w:left w:val="nil"/>
              <w:bottom w:val="nil"/>
              <w:right w:val="nil"/>
            </w:tcBorders>
            <w:shd w:val="clear" w:color="000000" w:fill="FFFFFF"/>
            <w:noWrap/>
            <w:vAlign w:val="center"/>
            <w:hideMark/>
          </w:tcPr>
          <w:p w14:paraId="6054E82A"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345B85F9"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38</w:t>
            </w:r>
          </w:p>
        </w:tc>
        <w:tc>
          <w:tcPr>
            <w:tcW w:w="507" w:type="pct"/>
            <w:tcBorders>
              <w:top w:val="nil"/>
              <w:left w:val="nil"/>
              <w:bottom w:val="nil"/>
              <w:right w:val="nil"/>
            </w:tcBorders>
            <w:shd w:val="clear" w:color="000000" w:fill="FFFFFF"/>
            <w:noWrap/>
            <w:vAlign w:val="center"/>
            <w:hideMark/>
          </w:tcPr>
          <w:p w14:paraId="362F7ED2"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5.6</w:t>
            </w:r>
          </w:p>
        </w:tc>
      </w:tr>
      <w:tr w:rsidR="00867BAA" w:rsidRPr="00954D98" w14:paraId="1C699FB9"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27C4E869"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Visa application charges</w:t>
            </w:r>
          </w:p>
        </w:tc>
        <w:tc>
          <w:tcPr>
            <w:tcW w:w="601" w:type="pct"/>
            <w:tcBorders>
              <w:top w:val="nil"/>
              <w:left w:val="nil"/>
              <w:bottom w:val="nil"/>
              <w:right w:val="nil"/>
            </w:tcBorders>
            <w:shd w:val="clear" w:color="000000" w:fill="FFFFFF"/>
            <w:noWrap/>
            <w:vAlign w:val="center"/>
            <w:hideMark/>
          </w:tcPr>
          <w:p w14:paraId="4814BD9D"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4,199</w:t>
            </w:r>
          </w:p>
        </w:tc>
        <w:tc>
          <w:tcPr>
            <w:tcW w:w="601" w:type="pct"/>
            <w:tcBorders>
              <w:top w:val="nil"/>
              <w:left w:val="nil"/>
              <w:bottom w:val="nil"/>
              <w:right w:val="nil"/>
            </w:tcBorders>
            <w:shd w:val="clear" w:color="000000" w:fill="E6F2FF"/>
            <w:noWrap/>
            <w:vAlign w:val="center"/>
            <w:hideMark/>
          </w:tcPr>
          <w:p w14:paraId="5EBB1616"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4,576</w:t>
            </w:r>
          </w:p>
        </w:tc>
        <w:tc>
          <w:tcPr>
            <w:tcW w:w="83" w:type="pct"/>
            <w:tcBorders>
              <w:top w:val="nil"/>
              <w:left w:val="nil"/>
              <w:bottom w:val="nil"/>
              <w:right w:val="nil"/>
            </w:tcBorders>
            <w:shd w:val="clear" w:color="000000" w:fill="FFFFFF"/>
            <w:noWrap/>
            <w:vAlign w:val="center"/>
            <w:hideMark/>
          </w:tcPr>
          <w:p w14:paraId="4A4B32F7"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562" w:type="pct"/>
            <w:tcBorders>
              <w:top w:val="nil"/>
              <w:left w:val="nil"/>
              <w:bottom w:val="nil"/>
              <w:right w:val="nil"/>
            </w:tcBorders>
            <w:shd w:val="clear" w:color="000000" w:fill="FFFFFF"/>
            <w:noWrap/>
            <w:vAlign w:val="center"/>
            <w:hideMark/>
          </w:tcPr>
          <w:p w14:paraId="41EF19ED"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377</w:t>
            </w:r>
          </w:p>
        </w:tc>
        <w:tc>
          <w:tcPr>
            <w:tcW w:w="507" w:type="pct"/>
            <w:tcBorders>
              <w:top w:val="nil"/>
              <w:left w:val="nil"/>
              <w:bottom w:val="nil"/>
              <w:right w:val="nil"/>
            </w:tcBorders>
            <w:shd w:val="clear" w:color="000000" w:fill="FFFFFF"/>
            <w:noWrap/>
            <w:vAlign w:val="center"/>
            <w:hideMark/>
          </w:tcPr>
          <w:p w14:paraId="0CC27E08"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9.0</w:t>
            </w:r>
          </w:p>
        </w:tc>
      </w:tr>
      <w:tr w:rsidR="002C4687" w:rsidRPr="00954D98" w14:paraId="7D013B38"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1B213322"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Other taxes</w:t>
            </w:r>
          </w:p>
        </w:tc>
        <w:tc>
          <w:tcPr>
            <w:tcW w:w="601" w:type="pct"/>
            <w:tcBorders>
              <w:top w:val="nil"/>
              <w:left w:val="nil"/>
              <w:bottom w:val="single" w:sz="4" w:space="0" w:color="auto"/>
              <w:right w:val="nil"/>
            </w:tcBorders>
            <w:shd w:val="clear" w:color="000000" w:fill="FFFFFF"/>
            <w:noWrap/>
            <w:vAlign w:val="center"/>
            <w:hideMark/>
          </w:tcPr>
          <w:p w14:paraId="63B3584C"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8,036</w:t>
            </w:r>
          </w:p>
        </w:tc>
        <w:tc>
          <w:tcPr>
            <w:tcW w:w="601" w:type="pct"/>
            <w:tcBorders>
              <w:top w:val="nil"/>
              <w:left w:val="nil"/>
              <w:bottom w:val="single" w:sz="4" w:space="0" w:color="auto"/>
              <w:right w:val="nil"/>
            </w:tcBorders>
            <w:shd w:val="clear" w:color="000000" w:fill="E6F2FF"/>
            <w:noWrap/>
            <w:vAlign w:val="center"/>
            <w:hideMark/>
          </w:tcPr>
          <w:p w14:paraId="724F373E"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7,127</w:t>
            </w:r>
          </w:p>
        </w:tc>
        <w:tc>
          <w:tcPr>
            <w:tcW w:w="83" w:type="pct"/>
            <w:tcBorders>
              <w:top w:val="nil"/>
              <w:left w:val="nil"/>
              <w:bottom w:val="nil"/>
              <w:right w:val="nil"/>
            </w:tcBorders>
            <w:shd w:val="clear" w:color="000000" w:fill="FFFFFF"/>
            <w:noWrap/>
            <w:vAlign w:val="center"/>
            <w:hideMark/>
          </w:tcPr>
          <w:p w14:paraId="64074B58"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single" w:sz="4" w:space="0" w:color="000000"/>
              <w:right w:val="nil"/>
            </w:tcBorders>
            <w:shd w:val="clear" w:color="000000" w:fill="FFFFFF"/>
            <w:noWrap/>
            <w:vAlign w:val="center"/>
            <w:hideMark/>
          </w:tcPr>
          <w:p w14:paraId="06E258B2"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-908</w:t>
            </w:r>
          </w:p>
        </w:tc>
        <w:tc>
          <w:tcPr>
            <w:tcW w:w="507" w:type="pct"/>
            <w:tcBorders>
              <w:top w:val="nil"/>
              <w:left w:val="nil"/>
              <w:bottom w:val="single" w:sz="4" w:space="0" w:color="000000"/>
              <w:right w:val="nil"/>
            </w:tcBorders>
            <w:shd w:val="clear" w:color="000000" w:fill="FFFFFF"/>
            <w:noWrap/>
            <w:vAlign w:val="center"/>
            <w:hideMark/>
          </w:tcPr>
          <w:p w14:paraId="34716374"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-11.3</w:t>
            </w:r>
          </w:p>
        </w:tc>
      </w:tr>
      <w:tr w:rsidR="00867BAA" w:rsidRPr="00954D98" w14:paraId="6B011E9C"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3349CAA1" w14:textId="77777777" w:rsidR="00867BAA" w:rsidRPr="00954D98" w:rsidRDefault="00867BAA" w:rsidP="00867BAA">
            <w:pPr>
              <w:spacing w:before="0" w:after="0" w:line="240" w:lineRule="auto"/>
              <w:rPr>
                <w:rFonts w:ascii="Arial" w:hAnsi="Arial" w:cs="Arial"/>
                <w:b/>
                <w:bCs/>
                <w:color w:val="FFFF00"/>
                <w:sz w:val="16"/>
                <w:szCs w:val="16"/>
              </w:rPr>
            </w:pPr>
            <w:r w:rsidRPr="00954D98">
              <w:rPr>
                <w:rFonts w:ascii="Arial" w:hAnsi="Arial" w:cs="Arial"/>
                <w:b/>
                <w:bCs/>
                <w:sz w:val="16"/>
                <w:szCs w:val="16"/>
              </w:rPr>
              <w:t>Indirect taxation revenue</w:t>
            </w:r>
          </w:p>
        </w:tc>
        <w:tc>
          <w:tcPr>
            <w:tcW w:w="601" w:type="pct"/>
            <w:tcBorders>
              <w:top w:val="single" w:sz="4" w:space="0" w:color="293F5B"/>
              <w:left w:val="nil"/>
              <w:bottom w:val="single" w:sz="4" w:space="0" w:color="293F5B"/>
              <w:right w:val="nil"/>
            </w:tcBorders>
            <w:shd w:val="clear" w:color="000000" w:fill="FFFFFF"/>
            <w:noWrap/>
            <w:vAlign w:val="center"/>
            <w:hideMark/>
          </w:tcPr>
          <w:p w14:paraId="30EF62EC"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160,294</w:t>
            </w:r>
          </w:p>
        </w:tc>
        <w:tc>
          <w:tcPr>
            <w:tcW w:w="601" w:type="pct"/>
            <w:tcBorders>
              <w:top w:val="single" w:sz="4" w:space="0" w:color="293F5B"/>
              <w:left w:val="nil"/>
              <w:bottom w:val="single" w:sz="4" w:space="0" w:color="293F5B"/>
              <w:right w:val="nil"/>
            </w:tcBorders>
            <w:shd w:val="clear" w:color="000000" w:fill="E6F2FF"/>
            <w:noWrap/>
            <w:vAlign w:val="center"/>
            <w:hideMark/>
          </w:tcPr>
          <w:p w14:paraId="6AB2C8CE"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158,120</w:t>
            </w:r>
          </w:p>
        </w:tc>
        <w:tc>
          <w:tcPr>
            <w:tcW w:w="83" w:type="pct"/>
            <w:tcBorders>
              <w:top w:val="nil"/>
              <w:left w:val="nil"/>
              <w:bottom w:val="nil"/>
              <w:right w:val="nil"/>
            </w:tcBorders>
            <w:shd w:val="clear" w:color="000000" w:fill="FFFFFF"/>
            <w:noWrap/>
            <w:vAlign w:val="center"/>
            <w:hideMark/>
          </w:tcPr>
          <w:p w14:paraId="67CE7534"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single" w:sz="4" w:space="0" w:color="293F5B"/>
              <w:left w:val="nil"/>
              <w:bottom w:val="single" w:sz="4" w:space="0" w:color="293F5B"/>
              <w:right w:val="nil"/>
            </w:tcBorders>
            <w:shd w:val="clear" w:color="000000" w:fill="FFFFFF"/>
            <w:noWrap/>
            <w:vAlign w:val="center"/>
            <w:hideMark/>
          </w:tcPr>
          <w:p w14:paraId="76733B15"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-2,174</w:t>
            </w:r>
          </w:p>
        </w:tc>
        <w:tc>
          <w:tcPr>
            <w:tcW w:w="507" w:type="pct"/>
            <w:tcBorders>
              <w:top w:val="single" w:sz="4" w:space="0" w:color="293F5B"/>
              <w:left w:val="nil"/>
              <w:bottom w:val="single" w:sz="4" w:space="0" w:color="293F5B"/>
              <w:right w:val="nil"/>
            </w:tcBorders>
            <w:shd w:val="clear" w:color="000000" w:fill="FFFFFF"/>
            <w:noWrap/>
            <w:vAlign w:val="center"/>
            <w:hideMark/>
          </w:tcPr>
          <w:p w14:paraId="3DAE83BF" w14:textId="77777777" w:rsidR="00867BAA" w:rsidRPr="00954D98" w:rsidRDefault="00867BAA" w:rsidP="00867BAA">
            <w:pPr>
              <w:spacing w:before="0" w:after="0" w:line="240" w:lineRule="auto"/>
              <w:jc w:val="right"/>
              <w:rPr>
                <w:rFonts w:ascii="Arial" w:hAnsi="Arial" w:cs="Arial"/>
                <w:b/>
                <w:bCs/>
                <w:sz w:val="16"/>
                <w:szCs w:val="16"/>
              </w:rPr>
            </w:pPr>
            <w:r w:rsidRPr="00954D98">
              <w:rPr>
                <w:rFonts w:ascii="Arial" w:hAnsi="Arial" w:cs="Arial"/>
                <w:b/>
                <w:bCs/>
                <w:sz w:val="16"/>
                <w:szCs w:val="16"/>
              </w:rPr>
              <w:t>-1.4</w:t>
            </w:r>
          </w:p>
        </w:tc>
      </w:tr>
      <w:tr w:rsidR="00867BAA" w:rsidRPr="00954D98" w14:paraId="38969F37" w14:textId="77777777" w:rsidTr="00867BAA">
        <w:trPr>
          <w:trHeight w:hRule="exact" w:val="60"/>
        </w:trPr>
        <w:tc>
          <w:tcPr>
            <w:tcW w:w="2646" w:type="pct"/>
            <w:tcBorders>
              <w:top w:val="nil"/>
              <w:left w:val="nil"/>
              <w:bottom w:val="nil"/>
              <w:right w:val="nil"/>
            </w:tcBorders>
            <w:shd w:val="clear" w:color="000000" w:fill="FFFFFF"/>
            <w:noWrap/>
            <w:vAlign w:val="center"/>
            <w:hideMark/>
          </w:tcPr>
          <w:p w14:paraId="250039EA" w14:textId="77777777" w:rsidR="00867BAA" w:rsidRPr="00954D98" w:rsidRDefault="00867BAA" w:rsidP="00867BAA">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601" w:type="pct"/>
            <w:tcBorders>
              <w:top w:val="nil"/>
              <w:left w:val="nil"/>
              <w:bottom w:val="nil"/>
              <w:right w:val="nil"/>
            </w:tcBorders>
            <w:shd w:val="clear" w:color="000000" w:fill="FFFFFF"/>
            <w:noWrap/>
            <w:vAlign w:val="center"/>
            <w:hideMark/>
          </w:tcPr>
          <w:p w14:paraId="14BA8793"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01" w:type="pct"/>
            <w:tcBorders>
              <w:top w:val="nil"/>
              <w:left w:val="nil"/>
              <w:bottom w:val="nil"/>
              <w:right w:val="nil"/>
            </w:tcBorders>
            <w:shd w:val="clear" w:color="000000" w:fill="E6F2FF"/>
            <w:noWrap/>
            <w:vAlign w:val="center"/>
            <w:hideMark/>
          </w:tcPr>
          <w:p w14:paraId="52EFC368"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83" w:type="pct"/>
            <w:tcBorders>
              <w:top w:val="nil"/>
              <w:left w:val="nil"/>
              <w:bottom w:val="nil"/>
              <w:right w:val="nil"/>
            </w:tcBorders>
            <w:shd w:val="clear" w:color="000000" w:fill="FFFFFF"/>
            <w:noWrap/>
            <w:vAlign w:val="center"/>
            <w:hideMark/>
          </w:tcPr>
          <w:p w14:paraId="53283EAD"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nil"/>
              <w:left w:val="nil"/>
              <w:bottom w:val="nil"/>
              <w:right w:val="nil"/>
            </w:tcBorders>
            <w:shd w:val="clear" w:color="000000" w:fill="FFFFFF"/>
            <w:noWrap/>
            <w:vAlign w:val="center"/>
            <w:hideMark/>
          </w:tcPr>
          <w:p w14:paraId="49F96124"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7" w:type="pct"/>
            <w:tcBorders>
              <w:top w:val="nil"/>
              <w:left w:val="nil"/>
              <w:bottom w:val="nil"/>
              <w:right w:val="nil"/>
            </w:tcBorders>
            <w:shd w:val="clear" w:color="000000" w:fill="FFFFFF"/>
            <w:noWrap/>
            <w:vAlign w:val="center"/>
            <w:hideMark/>
          </w:tcPr>
          <w:p w14:paraId="7F108A4D"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 </w:t>
            </w:r>
          </w:p>
        </w:tc>
      </w:tr>
      <w:tr w:rsidR="002C4687" w:rsidRPr="00954D98" w14:paraId="057FD4DD"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0566C28C" w14:textId="77777777" w:rsidR="00867BAA" w:rsidRPr="00954D98" w:rsidRDefault="00867BAA" w:rsidP="00867BAA">
            <w:pPr>
              <w:spacing w:before="0" w:after="0" w:line="240" w:lineRule="auto"/>
              <w:rPr>
                <w:rFonts w:ascii="Arial" w:hAnsi="Arial" w:cs="Arial"/>
                <w:b/>
                <w:bCs/>
                <w:color w:val="FFFF00"/>
                <w:sz w:val="16"/>
                <w:szCs w:val="16"/>
              </w:rPr>
            </w:pPr>
            <w:r w:rsidRPr="00954D98">
              <w:rPr>
                <w:rFonts w:ascii="Arial" w:hAnsi="Arial" w:cs="Arial"/>
                <w:b/>
                <w:bCs/>
                <w:sz w:val="16"/>
                <w:szCs w:val="16"/>
              </w:rPr>
              <w:t>Taxation revenue</w:t>
            </w:r>
          </w:p>
        </w:tc>
        <w:tc>
          <w:tcPr>
            <w:tcW w:w="601" w:type="pct"/>
            <w:tcBorders>
              <w:top w:val="nil"/>
              <w:left w:val="nil"/>
              <w:bottom w:val="single" w:sz="4" w:space="0" w:color="293F5B"/>
              <w:right w:val="nil"/>
            </w:tcBorders>
            <w:shd w:val="clear" w:color="000000" w:fill="FFFFFF"/>
            <w:noWrap/>
            <w:vAlign w:val="center"/>
            <w:hideMark/>
          </w:tcPr>
          <w:p w14:paraId="524225DD"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694,304</w:t>
            </w:r>
          </w:p>
        </w:tc>
        <w:tc>
          <w:tcPr>
            <w:tcW w:w="601" w:type="pct"/>
            <w:tcBorders>
              <w:top w:val="nil"/>
              <w:left w:val="nil"/>
              <w:bottom w:val="single" w:sz="4" w:space="0" w:color="293F5B"/>
              <w:right w:val="nil"/>
            </w:tcBorders>
            <w:shd w:val="clear" w:color="000000" w:fill="E6F2FF"/>
            <w:noWrap/>
            <w:vAlign w:val="center"/>
            <w:hideMark/>
          </w:tcPr>
          <w:p w14:paraId="4EB3612E"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709,980</w:t>
            </w:r>
          </w:p>
        </w:tc>
        <w:tc>
          <w:tcPr>
            <w:tcW w:w="83" w:type="pct"/>
            <w:tcBorders>
              <w:top w:val="nil"/>
              <w:left w:val="nil"/>
              <w:bottom w:val="nil"/>
              <w:right w:val="nil"/>
            </w:tcBorders>
            <w:shd w:val="clear" w:color="000000" w:fill="FFFFFF"/>
            <w:noWrap/>
            <w:vAlign w:val="center"/>
            <w:hideMark/>
          </w:tcPr>
          <w:p w14:paraId="52A41001"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nil"/>
              <w:left w:val="nil"/>
              <w:bottom w:val="single" w:sz="4" w:space="0" w:color="293F5B"/>
              <w:right w:val="nil"/>
            </w:tcBorders>
            <w:shd w:val="clear" w:color="000000" w:fill="FFFFFF"/>
            <w:noWrap/>
            <w:vAlign w:val="center"/>
            <w:hideMark/>
          </w:tcPr>
          <w:p w14:paraId="7B06DE96"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15,676</w:t>
            </w:r>
          </w:p>
        </w:tc>
        <w:tc>
          <w:tcPr>
            <w:tcW w:w="507" w:type="pct"/>
            <w:tcBorders>
              <w:top w:val="nil"/>
              <w:left w:val="nil"/>
              <w:bottom w:val="single" w:sz="4" w:space="0" w:color="293F5B"/>
              <w:right w:val="nil"/>
            </w:tcBorders>
            <w:shd w:val="clear" w:color="000000" w:fill="FFFFFF"/>
            <w:noWrap/>
            <w:vAlign w:val="center"/>
            <w:hideMark/>
          </w:tcPr>
          <w:p w14:paraId="519613BB" w14:textId="77777777" w:rsidR="00867BAA" w:rsidRPr="00954D98" w:rsidRDefault="00867BAA" w:rsidP="00867BAA">
            <w:pPr>
              <w:spacing w:before="0" w:after="0" w:line="240" w:lineRule="auto"/>
              <w:jc w:val="right"/>
              <w:rPr>
                <w:rFonts w:ascii="Arial" w:hAnsi="Arial" w:cs="Arial"/>
                <w:b/>
                <w:bCs/>
                <w:sz w:val="16"/>
                <w:szCs w:val="16"/>
              </w:rPr>
            </w:pPr>
            <w:r w:rsidRPr="00954D98">
              <w:rPr>
                <w:rFonts w:ascii="Arial" w:hAnsi="Arial" w:cs="Arial"/>
                <w:b/>
                <w:bCs/>
                <w:sz w:val="16"/>
                <w:szCs w:val="16"/>
              </w:rPr>
              <w:t>2.3</w:t>
            </w:r>
          </w:p>
        </w:tc>
      </w:tr>
      <w:tr w:rsidR="00867BAA" w:rsidRPr="00954D98" w14:paraId="74459330" w14:textId="77777777" w:rsidTr="00867BAA">
        <w:trPr>
          <w:trHeight w:hRule="exact" w:val="60"/>
        </w:trPr>
        <w:tc>
          <w:tcPr>
            <w:tcW w:w="2646" w:type="pct"/>
            <w:tcBorders>
              <w:top w:val="nil"/>
              <w:left w:val="nil"/>
              <w:bottom w:val="nil"/>
              <w:right w:val="nil"/>
            </w:tcBorders>
            <w:shd w:val="clear" w:color="000000" w:fill="FFFFFF"/>
            <w:noWrap/>
            <w:vAlign w:val="center"/>
            <w:hideMark/>
          </w:tcPr>
          <w:p w14:paraId="1415D34B" w14:textId="77777777" w:rsidR="00867BAA" w:rsidRPr="00954D98" w:rsidRDefault="00867BAA" w:rsidP="00867BAA">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601" w:type="pct"/>
            <w:tcBorders>
              <w:top w:val="nil"/>
              <w:left w:val="nil"/>
              <w:bottom w:val="nil"/>
              <w:right w:val="nil"/>
            </w:tcBorders>
            <w:shd w:val="clear" w:color="000000" w:fill="FFFFFF"/>
            <w:noWrap/>
            <w:vAlign w:val="center"/>
            <w:hideMark/>
          </w:tcPr>
          <w:p w14:paraId="24578FC8"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01" w:type="pct"/>
            <w:tcBorders>
              <w:top w:val="nil"/>
              <w:left w:val="nil"/>
              <w:bottom w:val="nil"/>
              <w:right w:val="nil"/>
            </w:tcBorders>
            <w:shd w:val="clear" w:color="000000" w:fill="E6F2FF"/>
            <w:noWrap/>
            <w:vAlign w:val="center"/>
            <w:hideMark/>
          </w:tcPr>
          <w:p w14:paraId="4E33B396"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83" w:type="pct"/>
            <w:tcBorders>
              <w:top w:val="nil"/>
              <w:left w:val="nil"/>
              <w:bottom w:val="nil"/>
              <w:right w:val="nil"/>
            </w:tcBorders>
            <w:shd w:val="clear" w:color="000000" w:fill="FFFFFF"/>
            <w:noWrap/>
            <w:vAlign w:val="center"/>
            <w:hideMark/>
          </w:tcPr>
          <w:p w14:paraId="307D69B8"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nil"/>
              <w:left w:val="nil"/>
              <w:bottom w:val="nil"/>
              <w:right w:val="nil"/>
            </w:tcBorders>
            <w:shd w:val="clear" w:color="000000" w:fill="FFFFFF"/>
            <w:noWrap/>
            <w:vAlign w:val="center"/>
            <w:hideMark/>
          </w:tcPr>
          <w:p w14:paraId="564D84B8"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07" w:type="pct"/>
            <w:tcBorders>
              <w:top w:val="nil"/>
              <w:left w:val="nil"/>
              <w:bottom w:val="nil"/>
              <w:right w:val="nil"/>
            </w:tcBorders>
            <w:shd w:val="clear" w:color="000000" w:fill="FFFFFF"/>
            <w:noWrap/>
            <w:vAlign w:val="center"/>
            <w:hideMark/>
          </w:tcPr>
          <w:p w14:paraId="76E96E9E"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 </w:t>
            </w:r>
          </w:p>
        </w:tc>
      </w:tr>
      <w:tr w:rsidR="00867BAA" w:rsidRPr="00954D98" w14:paraId="6A2073C9"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2C2C98F1"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Sales of goods and services</w:t>
            </w:r>
          </w:p>
        </w:tc>
        <w:tc>
          <w:tcPr>
            <w:tcW w:w="601" w:type="pct"/>
            <w:tcBorders>
              <w:top w:val="nil"/>
              <w:left w:val="nil"/>
              <w:bottom w:val="nil"/>
              <w:right w:val="nil"/>
            </w:tcBorders>
            <w:shd w:val="clear" w:color="000000" w:fill="FFFFFF"/>
            <w:noWrap/>
            <w:vAlign w:val="center"/>
            <w:hideMark/>
          </w:tcPr>
          <w:p w14:paraId="45F41CCF"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22,261</w:t>
            </w:r>
          </w:p>
        </w:tc>
        <w:tc>
          <w:tcPr>
            <w:tcW w:w="601" w:type="pct"/>
            <w:tcBorders>
              <w:top w:val="nil"/>
              <w:left w:val="nil"/>
              <w:bottom w:val="nil"/>
              <w:right w:val="nil"/>
            </w:tcBorders>
            <w:shd w:val="clear" w:color="000000" w:fill="E6F2FF"/>
            <w:noWrap/>
            <w:vAlign w:val="center"/>
            <w:hideMark/>
          </w:tcPr>
          <w:p w14:paraId="41020113"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21,987</w:t>
            </w:r>
          </w:p>
        </w:tc>
        <w:tc>
          <w:tcPr>
            <w:tcW w:w="83" w:type="pct"/>
            <w:tcBorders>
              <w:top w:val="nil"/>
              <w:left w:val="nil"/>
              <w:bottom w:val="nil"/>
              <w:right w:val="nil"/>
            </w:tcBorders>
            <w:shd w:val="clear" w:color="000000" w:fill="FFFFFF"/>
            <w:noWrap/>
            <w:vAlign w:val="center"/>
            <w:hideMark/>
          </w:tcPr>
          <w:p w14:paraId="04F00182"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nil"/>
              <w:left w:val="nil"/>
              <w:bottom w:val="nil"/>
              <w:right w:val="nil"/>
            </w:tcBorders>
            <w:shd w:val="clear" w:color="000000" w:fill="FFFFFF"/>
            <w:noWrap/>
            <w:vAlign w:val="center"/>
            <w:hideMark/>
          </w:tcPr>
          <w:p w14:paraId="06769645"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-274</w:t>
            </w:r>
          </w:p>
        </w:tc>
        <w:tc>
          <w:tcPr>
            <w:tcW w:w="507" w:type="pct"/>
            <w:tcBorders>
              <w:top w:val="nil"/>
              <w:left w:val="nil"/>
              <w:bottom w:val="nil"/>
              <w:right w:val="nil"/>
            </w:tcBorders>
            <w:shd w:val="clear" w:color="000000" w:fill="FFFFFF"/>
            <w:noWrap/>
            <w:vAlign w:val="center"/>
            <w:hideMark/>
          </w:tcPr>
          <w:p w14:paraId="0E6F97D5"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-1.2</w:t>
            </w:r>
          </w:p>
        </w:tc>
      </w:tr>
      <w:tr w:rsidR="00867BAA" w:rsidRPr="00954D98" w14:paraId="4654A4A3"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7A06C2B4"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Interest</w:t>
            </w:r>
          </w:p>
        </w:tc>
        <w:tc>
          <w:tcPr>
            <w:tcW w:w="601" w:type="pct"/>
            <w:tcBorders>
              <w:top w:val="nil"/>
              <w:left w:val="nil"/>
              <w:bottom w:val="nil"/>
              <w:right w:val="nil"/>
            </w:tcBorders>
            <w:shd w:val="clear" w:color="000000" w:fill="FFFFFF"/>
            <w:noWrap/>
            <w:vAlign w:val="center"/>
            <w:hideMark/>
          </w:tcPr>
          <w:p w14:paraId="706867AD"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10,619</w:t>
            </w:r>
          </w:p>
        </w:tc>
        <w:tc>
          <w:tcPr>
            <w:tcW w:w="601" w:type="pct"/>
            <w:tcBorders>
              <w:top w:val="nil"/>
              <w:left w:val="nil"/>
              <w:bottom w:val="nil"/>
              <w:right w:val="nil"/>
            </w:tcBorders>
            <w:shd w:val="clear" w:color="000000" w:fill="E6F2FF"/>
            <w:noWrap/>
            <w:vAlign w:val="center"/>
            <w:hideMark/>
          </w:tcPr>
          <w:p w14:paraId="705E5473"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10,159</w:t>
            </w:r>
          </w:p>
        </w:tc>
        <w:tc>
          <w:tcPr>
            <w:tcW w:w="83" w:type="pct"/>
            <w:tcBorders>
              <w:top w:val="nil"/>
              <w:left w:val="nil"/>
              <w:bottom w:val="nil"/>
              <w:right w:val="nil"/>
            </w:tcBorders>
            <w:shd w:val="clear" w:color="000000" w:fill="FFFFFF"/>
            <w:noWrap/>
            <w:vAlign w:val="center"/>
            <w:hideMark/>
          </w:tcPr>
          <w:p w14:paraId="6DDAC2AD"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7C6B4D45"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-461</w:t>
            </w:r>
          </w:p>
        </w:tc>
        <w:tc>
          <w:tcPr>
            <w:tcW w:w="507" w:type="pct"/>
            <w:tcBorders>
              <w:top w:val="nil"/>
              <w:left w:val="nil"/>
              <w:bottom w:val="nil"/>
              <w:right w:val="nil"/>
            </w:tcBorders>
            <w:shd w:val="clear" w:color="000000" w:fill="FFFFFF"/>
            <w:noWrap/>
            <w:vAlign w:val="center"/>
            <w:hideMark/>
          </w:tcPr>
          <w:p w14:paraId="3B805BF5"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-4.3</w:t>
            </w:r>
          </w:p>
        </w:tc>
      </w:tr>
      <w:tr w:rsidR="00867BAA" w:rsidRPr="00954D98" w14:paraId="04202D35"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383CEADD"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Dividends and distributions</w:t>
            </w:r>
          </w:p>
        </w:tc>
        <w:tc>
          <w:tcPr>
            <w:tcW w:w="601" w:type="pct"/>
            <w:tcBorders>
              <w:top w:val="nil"/>
              <w:left w:val="nil"/>
              <w:bottom w:val="nil"/>
              <w:right w:val="nil"/>
            </w:tcBorders>
            <w:shd w:val="clear" w:color="000000" w:fill="FFFFFF"/>
            <w:noWrap/>
            <w:vAlign w:val="center"/>
            <w:hideMark/>
          </w:tcPr>
          <w:p w14:paraId="140AFE79"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7,434</w:t>
            </w:r>
          </w:p>
        </w:tc>
        <w:tc>
          <w:tcPr>
            <w:tcW w:w="601" w:type="pct"/>
            <w:tcBorders>
              <w:top w:val="nil"/>
              <w:left w:val="nil"/>
              <w:bottom w:val="nil"/>
              <w:right w:val="nil"/>
            </w:tcBorders>
            <w:shd w:val="clear" w:color="000000" w:fill="E6F2FF"/>
            <w:noWrap/>
            <w:vAlign w:val="center"/>
            <w:hideMark/>
          </w:tcPr>
          <w:p w14:paraId="04D127CD"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7,591</w:t>
            </w:r>
          </w:p>
        </w:tc>
        <w:tc>
          <w:tcPr>
            <w:tcW w:w="83" w:type="pct"/>
            <w:tcBorders>
              <w:top w:val="nil"/>
              <w:left w:val="nil"/>
              <w:bottom w:val="nil"/>
              <w:right w:val="nil"/>
            </w:tcBorders>
            <w:shd w:val="clear" w:color="000000" w:fill="FFFFFF"/>
            <w:noWrap/>
            <w:vAlign w:val="center"/>
            <w:hideMark/>
          </w:tcPr>
          <w:p w14:paraId="66F08DA8"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nil"/>
              <w:left w:val="nil"/>
              <w:bottom w:val="nil"/>
              <w:right w:val="nil"/>
            </w:tcBorders>
            <w:shd w:val="clear" w:color="000000" w:fill="FFFFFF"/>
            <w:noWrap/>
            <w:vAlign w:val="center"/>
            <w:hideMark/>
          </w:tcPr>
          <w:p w14:paraId="357749FD"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157</w:t>
            </w:r>
          </w:p>
        </w:tc>
        <w:tc>
          <w:tcPr>
            <w:tcW w:w="507" w:type="pct"/>
            <w:tcBorders>
              <w:top w:val="nil"/>
              <w:left w:val="nil"/>
              <w:bottom w:val="nil"/>
              <w:right w:val="nil"/>
            </w:tcBorders>
            <w:shd w:val="clear" w:color="000000" w:fill="FFFFFF"/>
            <w:noWrap/>
            <w:vAlign w:val="center"/>
            <w:hideMark/>
          </w:tcPr>
          <w:p w14:paraId="3C5E2E3A"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2.1</w:t>
            </w:r>
          </w:p>
        </w:tc>
      </w:tr>
      <w:tr w:rsidR="00867BAA" w:rsidRPr="00954D98" w14:paraId="4D02C0BE"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6172FE54" w14:textId="77777777" w:rsidR="00867BAA" w:rsidRPr="00954D98" w:rsidRDefault="00867BAA" w:rsidP="00867BAA">
            <w:pPr>
              <w:spacing w:before="0" w:after="0" w:line="240" w:lineRule="auto"/>
              <w:rPr>
                <w:rFonts w:ascii="Arial" w:hAnsi="Arial" w:cs="Arial"/>
                <w:color w:val="FFFF00"/>
                <w:sz w:val="16"/>
                <w:szCs w:val="16"/>
              </w:rPr>
            </w:pPr>
            <w:r w:rsidRPr="00954D98">
              <w:rPr>
                <w:rFonts w:ascii="Arial" w:hAnsi="Arial" w:cs="Arial"/>
                <w:sz w:val="16"/>
                <w:szCs w:val="16"/>
              </w:rPr>
              <w:t>Other non-taxation revenue</w:t>
            </w:r>
          </w:p>
        </w:tc>
        <w:tc>
          <w:tcPr>
            <w:tcW w:w="601" w:type="pct"/>
            <w:tcBorders>
              <w:top w:val="nil"/>
              <w:left w:val="nil"/>
              <w:bottom w:val="nil"/>
              <w:right w:val="nil"/>
            </w:tcBorders>
            <w:shd w:val="clear" w:color="000000" w:fill="FFFFFF"/>
            <w:noWrap/>
            <w:vAlign w:val="center"/>
            <w:hideMark/>
          </w:tcPr>
          <w:p w14:paraId="1393BF93"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15,649</w:t>
            </w:r>
          </w:p>
        </w:tc>
        <w:tc>
          <w:tcPr>
            <w:tcW w:w="601" w:type="pct"/>
            <w:tcBorders>
              <w:top w:val="nil"/>
              <w:left w:val="nil"/>
              <w:bottom w:val="nil"/>
              <w:right w:val="nil"/>
            </w:tcBorders>
            <w:shd w:val="clear" w:color="000000" w:fill="E6F2FF"/>
            <w:noWrap/>
            <w:vAlign w:val="center"/>
            <w:hideMark/>
          </w:tcPr>
          <w:p w14:paraId="262922D3"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15,876</w:t>
            </w:r>
          </w:p>
        </w:tc>
        <w:tc>
          <w:tcPr>
            <w:tcW w:w="83" w:type="pct"/>
            <w:tcBorders>
              <w:top w:val="nil"/>
              <w:left w:val="nil"/>
              <w:bottom w:val="nil"/>
              <w:right w:val="nil"/>
            </w:tcBorders>
            <w:shd w:val="clear" w:color="000000" w:fill="FFFFFF"/>
            <w:noWrap/>
            <w:vAlign w:val="center"/>
            <w:hideMark/>
          </w:tcPr>
          <w:p w14:paraId="1329C9E1"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62" w:type="pct"/>
            <w:tcBorders>
              <w:top w:val="nil"/>
              <w:left w:val="nil"/>
              <w:bottom w:val="nil"/>
              <w:right w:val="nil"/>
            </w:tcBorders>
            <w:shd w:val="clear" w:color="000000" w:fill="FFFFFF"/>
            <w:noWrap/>
            <w:vAlign w:val="center"/>
            <w:hideMark/>
          </w:tcPr>
          <w:p w14:paraId="45326C51" w14:textId="77777777" w:rsidR="00867BAA" w:rsidRPr="00954D98" w:rsidRDefault="00867BAA" w:rsidP="00867BAA">
            <w:pPr>
              <w:spacing w:before="0" w:after="0" w:line="240" w:lineRule="auto"/>
              <w:jc w:val="right"/>
              <w:rPr>
                <w:rFonts w:ascii="Arial" w:hAnsi="Arial" w:cs="Arial"/>
                <w:color w:val="FFFF00"/>
                <w:sz w:val="16"/>
                <w:szCs w:val="16"/>
              </w:rPr>
            </w:pPr>
            <w:r w:rsidRPr="00954D98">
              <w:rPr>
                <w:rFonts w:ascii="Arial" w:hAnsi="Arial" w:cs="Arial"/>
                <w:sz w:val="16"/>
                <w:szCs w:val="16"/>
              </w:rPr>
              <w:t>227</w:t>
            </w:r>
          </w:p>
        </w:tc>
        <w:tc>
          <w:tcPr>
            <w:tcW w:w="507" w:type="pct"/>
            <w:tcBorders>
              <w:top w:val="nil"/>
              <w:left w:val="nil"/>
              <w:bottom w:val="nil"/>
              <w:right w:val="nil"/>
            </w:tcBorders>
            <w:shd w:val="clear" w:color="000000" w:fill="FFFFFF"/>
            <w:noWrap/>
            <w:vAlign w:val="center"/>
            <w:hideMark/>
          </w:tcPr>
          <w:p w14:paraId="3A724661" w14:textId="77777777" w:rsidR="00867BAA" w:rsidRPr="00954D98" w:rsidRDefault="00867BAA" w:rsidP="00867BAA">
            <w:pPr>
              <w:spacing w:before="0" w:after="0" w:line="240" w:lineRule="auto"/>
              <w:jc w:val="right"/>
              <w:rPr>
                <w:rFonts w:ascii="Arial" w:hAnsi="Arial" w:cs="Arial"/>
                <w:sz w:val="16"/>
                <w:szCs w:val="16"/>
              </w:rPr>
            </w:pPr>
            <w:r w:rsidRPr="00954D98">
              <w:rPr>
                <w:rFonts w:ascii="Arial" w:hAnsi="Arial" w:cs="Arial"/>
                <w:sz w:val="16"/>
                <w:szCs w:val="16"/>
              </w:rPr>
              <w:t>1.5</w:t>
            </w:r>
          </w:p>
        </w:tc>
      </w:tr>
      <w:tr w:rsidR="00867BAA" w:rsidRPr="00954D98" w14:paraId="3F84E9F6"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7DA91A21" w14:textId="77777777" w:rsidR="00867BAA" w:rsidRPr="00954D98" w:rsidRDefault="00867BAA" w:rsidP="00867BAA">
            <w:pPr>
              <w:spacing w:before="0" w:after="0" w:line="240" w:lineRule="auto"/>
              <w:rPr>
                <w:rFonts w:ascii="Arial" w:hAnsi="Arial" w:cs="Arial"/>
                <w:b/>
                <w:bCs/>
                <w:color w:val="FFFF00"/>
                <w:sz w:val="16"/>
                <w:szCs w:val="16"/>
              </w:rPr>
            </w:pPr>
            <w:r w:rsidRPr="00954D98">
              <w:rPr>
                <w:rFonts w:ascii="Arial" w:hAnsi="Arial" w:cs="Arial"/>
                <w:b/>
                <w:bCs/>
                <w:sz w:val="16"/>
                <w:szCs w:val="16"/>
              </w:rPr>
              <w:t>Non-taxation revenue</w:t>
            </w:r>
          </w:p>
        </w:tc>
        <w:tc>
          <w:tcPr>
            <w:tcW w:w="601" w:type="pct"/>
            <w:tcBorders>
              <w:top w:val="single" w:sz="4" w:space="0" w:color="293F5B"/>
              <w:left w:val="nil"/>
              <w:bottom w:val="single" w:sz="4" w:space="0" w:color="293F5B"/>
              <w:right w:val="nil"/>
            </w:tcBorders>
            <w:shd w:val="clear" w:color="000000" w:fill="FFFFFF"/>
            <w:noWrap/>
            <w:vAlign w:val="center"/>
            <w:hideMark/>
          </w:tcPr>
          <w:p w14:paraId="5B5C4D69"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55,964</w:t>
            </w:r>
          </w:p>
        </w:tc>
        <w:tc>
          <w:tcPr>
            <w:tcW w:w="601" w:type="pct"/>
            <w:tcBorders>
              <w:top w:val="single" w:sz="4" w:space="0" w:color="293F5B"/>
              <w:left w:val="nil"/>
              <w:bottom w:val="single" w:sz="4" w:space="0" w:color="293F5B"/>
              <w:right w:val="nil"/>
            </w:tcBorders>
            <w:shd w:val="clear" w:color="000000" w:fill="E6F2FF"/>
            <w:noWrap/>
            <w:vAlign w:val="center"/>
            <w:hideMark/>
          </w:tcPr>
          <w:p w14:paraId="7F12A4DC"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55,613</w:t>
            </w:r>
          </w:p>
        </w:tc>
        <w:tc>
          <w:tcPr>
            <w:tcW w:w="83" w:type="pct"/>
            <w:tcBorders>
              <w:top w:val="nil"/>
              <w:left w:val="nil"/>
              <w:bottom w:val="nil"/>
              <w:right w:val="nil"/>
            </w:tcBorders>
            <w:shd w:val="clear" w:color="000000" w:fill="FFFFFF"/>
            <w:noWrap/>
            <w:vAlign w:val="center"/>
            <w:hideMark/>
          </w:tcPr>
          <w:p w14:paraId="094B8576"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single" w:sz="4" w:space="0" w:color="293F5B"/>
              <w:left w:val="nil"/>
              <w:bottom w:val="single" w:sz="4" w:space="0" w:color="293F5B"/>
              <w:right w:val="nil"/>
            </w:tcBorders>
            <w:shd w:val="clear" w:color="000000" w:fill="FFFFFF"/>
            <w:noWrap/>
            <w:vAlign w:val="center"/>
            <w:hideMark/>
          </w:tcPr>
          <w:p w14:paraId="314BA4F5"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-350</w:t>
            </w:r>
          </w:p>
        </w:tc>
        <w:tc>
          <w:tcPr>
            <w:tcW w:w="507" w:type="pct"/>
            <w:tcBorders>
              <w:top w:val="single" w:sz="4" w:space="0" w:color="293F5B"/>
              <w:left w:val="nil"/>
              <w:bottom w:val="single" w:sz="4" w:space="0" w:color="293F5B"/>
              <w:right w:val="nil"/>
            </w:tcBorders>
            <w:shd w:val="clear" w:color="000000" w:fill="FFFFFF"/>
            <w:noWrap/>
            <w:vAlign w:val="center"/>
            <w:hideMark/>
          </w:tcPr>
          <w:p w14:paraId="3E042179" w14:textId="77777777" w:rsidR="00867BAA" w:rsidRPr="00954D98" w:rsidRDefault="00867BAA" w:rsidP="00867BAA">
            <w:pPr>
              <w:spacing w:before="0" w:after="0" w:line="240" w:lineRule="auto"/>
              <w:jc w:val="right"/>
              <w:rPr>
                <w:rFonts w:ascii="Arial" w:hAnsi="Arial" w:cs="Arial"/>
                <w:b/>
                <w:bCs/>
                <w:sz w:val="16"/>
                <w:szCs w:val="16"/>
              </w:rPr>
            </w:pPr>
            <w:r w:rsidRPr="00954D98">
              <w:rPr>
                <w:rFonts w:ascii="Arial" w:hAnsi="Arial" w:cs="Arial"/>
                <w:b/>
                <w:bCs/>
                <w:sz w:val="16"/>
                <w:szCs w:val="16"/>
              </w:rPr>
              <w:t>-0.6</w:t>
            </w:r>
          </w:p>
        </w:tc>
      </w:tr>
      <w:tr w:rsidR="00867BAA" w:rsidRPr="00954D98" w14:paraId="1C7FCB5E" w14:textId="77777777" w:rsidTr="00867BAA">
        <w:trPr>
          <w:trHeight w:hRule="exact" w:val="60"/>
        </w:trPr>
        <w:tc>
          <w:tcPr>
            <w:tcW w:w="2646" w:type="pct"/>
            <w:tcBorders>
              <w:top w:val="nil"/>
              <w:left w:val="nil"/>
              <w:bottom w:val="nil"/>
              <w:right w:val="nil"/>
            </w:tcBorders>
            <w:shd w:val="clear" w:color="000000" w:fill="FFFFFF"/>
            <w:noWrap/>
            <w:vAlign w:val="center"/>
            <w:hideMark/>
          </w:tcPr>
          <w:p w14:paraId="69105563" w14:textId="77777777" w:rsidR="00867BAA" w:rsidRPr="00954D98" w:rsidRDefault="00867BAA" w:rsidP="00867BAA">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601" w:type="pct"/>
            <w:tcBorders>
              <w:top w:val="nil"/>
              <w:left w:val="nil"/>
              <w:bottom w:val="nil"/>
              <w:right w:val="nil"/>
            </w:tcBorders>
            <w:shd w:val="clear" w:color="000000" w:fill="FFFFFF"/>
            <w:noWrap/>
            <w:vAlign w:val="center"/>
            <w:hideMark/>
          </w:tcPr>
          <w:p w14:paraId="32A89AB2"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01" w:type="pct"/>
            <w:tcBorders>
              <w:top w:val="nil"/>
              <w:left w:val="nil"/>
              <w:bottom w:val="nil"/>
              <w:right w:val="nil"/>
            </w:tcBorders>
            <w:shd w:val="clear" w:color="000000" w:fill="E6F2FF"/>
            <w:noWrap/>
            <w:vAlign w:val="center"/>
            <w:hideMark/>
          </w:tcPr>
          <w:p w14:paraId="09436F71"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83" w:type="pct"/>
            <w:tcBorders>
              <w:top w:val="nil"/>
              <w:left w:val="nil"/>
              <w:bottom w:val="nil"/>
              <w:right w:val="nil"/>
            </w:tcBorders>
            <w:shd w:val="clear" w:color="000000" w:fill="FFFFFF"/>
            <w:noWrap/>
            <w:vAlign w:val="center"/>
            <w:hideMark/>
          </w:tcPr>
          <w:p w14:paraId="7B16EE2E"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nil"/>
              <w:left w:val="nil"/>
              <w:bottom w:val="nil"/>
              <w:right w:val="nil"/>
            </w:tcBorders>
            <w:shd w:val="clear" w:color="000000" w:fill="FFFFFF"/>
            <w:noWrap/>
            <w:vAlign w:val="center"/>
            <w:hideMark/>
          </w:tcPr>
          <w:p w14:paraId="39BC5A64"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07" w:type="pct"/>
            <w:tcBorders>
              <w:top w:val="nil"/>
              <w:left w:val="nil"/>
              <w:bottom w:val="nil"/>
              <w:right w:val="nil"/>
            </w:tcBorders>
            <w:shd w:val="clear" w:color="000000" w:fill="FFFFFF"/>
            <w:noWrap/>
            <w:vAlign w:val="center"/>
            <w:hideMark/>
          </w:tcPr>
          <w:p w14:paraId="09E47597" w14:textId="77777777" w:rsidR="00867BAA" w:rsidRPr="00954D98" w:rsidRDefault="00867BAA" w:rsidP="00867BAA">
            <w:pPr>
              <w:spacing w:before="0" w:after="0" w:line="240" w:lineRule="auto"/>
              <w:jc w:val="right"/>
              <w:rPr>
                <w:rFonts w:ascii="Arial" w:hAnsi="Arial" w:cs="Arial"/>
                <w:b/>
                <w:bCs/>
                <w:sz w:val="16"/>
                <w:szCs w:val="16"/>
              </w:rPr>
            </w:pPr>
            <w:r w:rsidRPr="00954D98">
              <w:rPr>
                <w:rFonts w:ascii="Arial" w:hAnsi="Arial" w:cs="Arial"/>
                <w:b/>
                <w:bCs/>
                <w:sz w:val="16"/>
                <w:szCs w:val="16"/>
              </w:rPr>
              <w:t> </w:t>
            </w:r>
          </w:p>
        </w:tc>
      </w:tr>
      <w:tr w:rsidR="00867BAA" w:rsidRPr="00954D98" w14:paraId="6B9D119A"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6DA9A0C0" w14:textId="77777777" w:rsidR="00867BAA" w:rsidRPr="00954D98" w:rsidRDefault="00867BAA" w:rsidP="00867BAA">
            <w:pPr>
              <w:spacing w:before="0" w:after="0" w:line="240" w:lineRule="auto"/>
              <w:rPr>
                <w:rFonts w:ascii="Arial" w:hAnsi="Arial" w:cs="Arial"/>
                <w:b/>
                <w:bCs/>
                <w:color w:val="FFFF00"/>
                <w:sz w:val="16"/>
                <w:szCs w:val="16"/>
              </w:rPr>
            </w:pPr>
            <w:r w:rsidRPr="00954D98">
              <w:rPr>
                <w:rFonts w:ascii="Arial" w:hAnsi="Arial" w:cs="Arial"/>
                <w:b/>
                <w:bCs/>
                <w:sz w:val="16"/>
                <w:szCs w:val="16"/>
              </w:rPr>
              <w:t>Total revenue</w:t>
            </w:r>
          </w:p>
        </w:tc>
        <w:tc>
          <w:tcPr>
            <w:tcW w:w="601" w:type="pct"/>
            <w:tcBorders>
              <w:top w:val="nil"/>
              <w:left w:val="nil"/>
              <w:bottom w:val="single" w:sz="4" w:space="0" w:color="293F5B"/>
              <w:right w:val="nil"/>
            </w:tcBorders>
            <w:shd w:val="clear" w:color="000000" w:fill="FFFFFF"/>
            <w:noWrap/>
            <w:vAlign w:val="center"/>
            <w:hideMark/>
          </w:tcPr>
          <w:p w14:paraId="1F88CA28"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750,268</w:t>
            </w:r>
          </w:p>
        </w:tc>
        <w:tc>
          <w:tcPr>
            <w:tcW w:w="601" w:type="pct"/>
            <w:tcBorders>
              <w:top w:val="nil"/>
              <w:left w:val="nil"/>
              <w:bottom w:val="single" w:sz="4" w:space="0" w:color="293F5B"/>
              <w:right w:val="nil"/>
            </w:tcBorders>
            <w:shd w:val="clear" w:color="000000" w:fill="E6F2FF"/>
            <w:noWrap/>
            <w:vAlign w:val="center"/>
            <w:hideMark/>
          </w:tcPr>
          <w:p w14:paraId="5DC0234A"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765,593</w:t>
            </w:r>
          </w:p>
        </w:tc>
        <w:tc>
          <w:tcPr>
            <w:tcW w:w="83" w:type="pct"/>
            <w:tcBorders>
              <w:top w:val="nil"/>
              <w:left w:val="nil"/>
              <w:bottom w:val="nil"/>
              <w:right w:val="nil"/>
            </w:tcBorders>
            <w:shd w:val="clear" w:color="000000" w:fill="FFFFFF"/>
            <w:noWrap/>
            <w:vAlign w:val="center"/>
            <w:hideMark/>
          </w:tcPr>
          <w:p w14:paraId="2F16C804"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62" w:type="pct"/>
            <w:tcBorders>
              <w:top w:val="nil"/>
              <w:left w:val="nil"/>
              <w:bottom w:val="nil"/>
              <w:right w:val="nil"/>
            </w:tcBorders>
            <w:shd w:val="clear" w:color="000000" w:fill="FFFFFF"/>
            <w:noWrap/>
            <w:vAlign w:val="center"/>
            <w:hideMark/>
          </w:tcPr>
          <w:p w14:paraId="18041E24" w14:textId="77777777" w:rsidR="00867BAA" w:rsidRPr="00954D98" w:rsidRDefault="00867BAA" w:rsidP="00867BAA">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15,325</w:t>
            </w:r>
          </w:p>
        </w:tc>
        <w:tc>
          <w:tcPr>
            <w:tcW w:w="507" w:type="pct"/>
            <w:tcBorders>
              <w:top w:val="nil"/>
              <w:left w:val="nil"/>
              <w:bottom w:val="nil"/>
              <w:right w:val="nil"/>
            </w:tcBorders>
            <w:shd w:val="clear" w:color="000000" w:fill="FFFFFF"/>
            <w:noWrap/>
            <w:vAlign w:val="center"/>
            <w:hideMark/>
          </w:tcPr>
          <w:p w14:paraId="71051900" w14:textId="77777777" w:rsidR="00867BAA" w:rsidRPr="00954D98" w:rsidRDefault="00867BAA" w:rsidP="00867BAA">
            <w:pPr>
              <w:spacing w:before="0" w:after="0" w:line="240" w:lineRule="auto"/>
              <w:jc w:val="right"/>
              <w:rPr>
                <w:rFonts w:ascii="Arial" w:hAnsi="Arial" w:cs="Arial"/>
                <w:b/>
                <w:bCs/>
                <w:sz w:val="16"/>
                <w:szCs w:val="16"/>
              </w:rPr>
            </w:pPr>
            <w:r w:rsidRPr="00954D98">
              <w:rPr>
                <w:rFonts w:ascii="Arial" w:hAnsi="Arial" w:cs="Arial"/>
                <w:b/>
                <w:bCs/>
                <w:sz w:val="16"/>
                <w:szCs w:val="16"/>
              </w:rPr>
              <w:t>2.0</w:t>
            </w:r>
          </w:p>
        </w:tc>
      </w:tr>
      <w:tr w:rsidR="00867BAA" w:rsidRPr="00954D98" w14:paraId="4C8144D5" w14:textId="77777777" w:rsidTr="00867BAA">
        <w:trPr>
          <w:trHeight w:hRule="exact" w:val="225"/>
        </w:trPr>
        <w:tc>
          <w:tcPr>
            <w:tcW w:w="2646" w:type="pct"/>
            <w:tcBorders>
              <w:top w:val="single" w:sz="4" w:space="0" w:color="293F5B"/>
              <w:left w:val="nil"/>
              <w:bottom w:val="nil"/>
              <w:right w:val="nil"/>
            </w:tcBorders>
            <w:shd w:val="clear" w:color="000000" w:fill="FFFFFF"/>
            <w:noWrap/>
            <w:vAlign w:val="center"/>
            <w:hideMark/>
          </w:tcPr>
          <w:p w14:paraId="03B943D9" w14:textId="77777777" w:rsidR="00867BAA" w:rsidRPr="00954D98" w:rsidRDefault="00867BAA" w:rsidP="00867BAA">
            <w:pPr>
              <w:spacing w:before="0" w:after="0" w:line="240" w:lineRule="auto"/>
              <w:rPr>
                <w:rFonts w:ascii="Arial" w:hAnsi="Arial" w:cs="Arial"/>
                <w:i/>
                <w:iCs/>
                <w:color w:val="FFFF00"/>
                <w:sz w:val="16"/>
                <w:szCs w:val="16"/>
              </w:rPr>
            </w:pPr>
            <w:r w:rsidRPr="00954D98">
              <w:rPr>
                <w:rFonts w:ascii="Arial" w:hAnsi="Arial" w:cs="Arial"/>
                <w:i/>
                <w:iCs/>
                <w:sz w:val="16"/>
                <w:szCs w:val="16"/>
              </w:rPr>
              <w:t>Memorandum:</w:t>
            </w:r>
          </w:p>
        </w:tc>
        <w:tc>
          <w:tcPr>
            <w:tcW w:w="601" w:type="pct"/>
            <w:tcBorders>
              <w:top w:val="nil"/>
              <w:left w:val="nil"/>
              <w:bottom w:val="nil"/>
              <w:right w:val="nil"/>
            </w:tcBorders>
            <w:shd w:val="clear" w:color="000000" w:fill="FFFFFF"/>
            <w:noWrap/>
            <w:vAlign w:val="center"/>
            <w:hideMark/>
          </w:tcPr>
          <w:p w14:paraId="756C9BE5"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601" w:type="pct"/>
            <w:tcBorders>
              <w:top w:val="nil"/>
              <w:left w:val="nil"/>
              <w:bottom w:val="nil"/>
              <w:right w:val="nil"/>
            </w:tcBorders>
            <w:shd w:val="clear" w:color="000000" w:fill="E6F2FF"/>
            <w:noWrap/>
            <w:vAlign w:val="center"/>
            <w:hideMark/>
          </w:tcPr>
          <w:p w14:paraId="62A585A4"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83" w:type="pct"/>
            <w:tcBorders>
              <w:top w:val="nil"/>
              <w:left w:val="nil"/>
              <w:bottom w:val="nil"/>
              <w:right w:val="nil"/>
            </w:tcBorders>
            <w:shd w:val="clear" w:color="000000" w:fill="FFFFFF"/>
            <w:noWrap/>
            <w:vAlign w:val="center"/>
            <w:hideMark/>
          </w:tcPr>
          <w:p w14:paraId="0304E2B0"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562" w:type="pct"/>
            <w:tcBorders>
              <w:top w:val="single" w:sz="4" w:space="0" w:color="293F5B"/>
              <w:left w:val="nil"/>
              <w:bottom w:val="nil"/>
              <w:right w:val="nil"/>
            </w:tcBorders>
            <w:shd w:val="clear" w:color="000000" w:fill="FFFFFF"/>
            <w:noWrap/>
            <w:vAlign w:val="center"/>
            <w:hideMark/>
          </w:tcPr>
          <w:p w14:paraId="6D7921F2"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507" w:type="pct"/>
            <w:tcBorders>
              <w:top w:val="single" w:sz="4" w:space="0" w:color="293F5B"/>
              <w:left w:val="nil"/>
              <w:bottom w:val="nil"/>
              <w:right w:val="nil"/>
            </w:tcBorders>
            <w:shd w:val="clear" w:color="000000" w:fill="FFFFFF"/>
            <w:noWrap/>
            <w:vAlign w:val="center"/>
            <w:hideMark/>
          </w:tcPr>
          <w:p w14:paraId="5B1840F8" w14:textId="77777777" w:rsidR="00867BAA" w:rsidRPr="00954D98" w:rsidRDefault="00867BAA" w:rsidP="00867BAA">
            <w:pPr>
              <w:spacing w:before="0" w:after="0" w:line="240" w:lineRule="auto"/>
              <w:jc w:val="right"/>
              <w:rPr>
                <w:rFonts w:ascii="Arial" w:hAnsi="Arial" w:cs="Arial"/>
                <w:i/>
                <w:iCs/>
                <w:sz w:val="16"/>
                <w:szCs w:val="16"/>
              </w:rPr>
            </w:pPr>
            <w:r w:rsidRPr="00954D98">
              <w:rPr>
                <w:rFonts w:ascii="Arial" w:hAnsi="Arial" w:cs="Arial"/>
                <w:i/>
                <w:iCs/>
                <w:sz w:val="16"/>
                <w:szCs w:val="16"/>
              </w:rPr>
              <w:t> </w:t>
            </w:r>
          </w:p>
        </w:tc>
      </w:tr>
      <w:tr w:rsidR="00867BAA" w:rsidRPr="00954D98" w14:paraId="47BD9C17"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163A77F2" w14:textId="77777777" w:rsidR="00867BAA" w:rsidRPr="00954D98" w:rsidRDefault="00867BAA" w:rsidP="00867BAA">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Total excise</w:t>
            </w:r>
          </w:p>
        </w:tc>
        <w:tc>
          <w:tcPr>
            <w:tcW w:w="601" w:type="pct"/>
            <w:tcBorders>
              <w:top w:val="nil"/>
              <w:left w:val="nil"/>
              <w:bottom w:val="nil"/>
              <w:right w:val="nil"/>
            </w:tcBorders>
            <w:shd w:val="clear" w:color="000000" w:fill="FFFFFF"/>
            <w:noWrap/>
            <w:vAlign w:val="center"/>
            <w:hideMark/>
          </w:tcPr>
          <w:p w14:paraId="5C184D36"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32,450</w:t>
            </w:r>
          </w:p>
        </w:tc>
        <w:tc>
          <w:tcPr>
            <w:tcW w:w="601" w:type="pct"/>
            <w:tcBorders>
              <w:top w:val="nil"/>
              <w:left w:val="nil"/>
              <w:bottom w:val="nil"/>
              <w:right w:val="nil"/>
            </w:tcBorders>
            <w:shd w:val="clear" w:color="000000" w:fill="E6F2FF"/>
            <w:noWrap/>
            <w:vAlign w:val="center"/>
            <w:hideMark/>
          </w:tcPr>
          <w:p w14:paraId="2B5709B4"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31,760</w:t>
            </w:r>
          </w:p>
        </w:tc>
        <w:tc>
          <w:tcPr>
            <w:tcW w:w="83" w:type="pct"/>
            <w:tcBorders>
              <w:top w:val="nil"/>
              <w:left w:val="nil"/>
              <w:bottom w:val="nil"/>
              <w:right w:val="nil"/>
            </w:tcBorders>
            <w:shd w:val="clear" w:color="000000" w:fill="FFFFFF"/>
            <w:noWrap/>
            <w:vAlign w:val="center"/>
            <w:hideMark/>
          </w:tcPr>
          <w:p w14:paraId="451C063F"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562" w:type="pct"/>
            <w:tcBorders>
              <w:top w:val="nil"/>
              <w:left w:val="nil"/>
              <w:bottom w:val="nil"/>
              <w:right w:val="nil"/>
            </w:tcBorders>
            <w:shd w:val="clear" w:color="000000" w:fill="FFFFFF"/>
            <w:noWrap/>
            <w:vAlign w:val="center"/>
            <w:hideMark/>
          </w:tcPr>
          <w:p w14:paraId="5F288024"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-690</w:t>
            </w:r>
          </w:p>
        </w:tc>
        <w:tc>
          <w:tcPr>
            <w:tcW w:w="507" w:type="pct"/>
            <w:tcBorders>
              <w:top w:val="nil"/>
              <w:left w:val="nil"/>
              <w:bottom w:val="nil"/>
              <w:right w:val="nil"/>
            </w:tcBorders>
            <w:shd w:val="clear" w:color="000000" w:fill="FFFFFF"/>
            <w:noWrap/>
            <w:vAlign w:val="center"/>
            <w:hideMark/>
          </w:tcPr>
          <w:p w14:paraId="2FC8DC71" w14:textId="77777777" w:rsidR="00867BAA" w:rsidRPr="00954D98" w:rsidRDefault="00867BAA" w:rsidP="00867BAA">
            <w:pPr>
              <w:spacing w:before="0" w:after="0" w:line="240" w:lineRule="auto"/>
              <w:jc w:val="right"/>
              <w:rPr>
                <w:rFonts w:ascii="Arial" w:hAnsi="Arial" w:cs="Arial"/>
                <w:i/>
                <w:iCs/>
                <w:sz w:val="16"/>
                <w:szCs w:val="16"/>
              </w:rPr>
            </w:pPr>
            <w:r w:rsidRPr="00954D98">
              <w:rPr>
                <w:rFonts w:ascii="Arial" w:hAnsi="Arial" w:cs="Arial"/>
                <w:i/>
                <w:iCs/>
                <w:sz w:val="16"/>
                <w:szCs w:val="16"/>
              </w:rPr>
              <w:t>-2.1</w:t>
            </w:r>
          </w:p>
        </w:tc>
      </w:tr>
      <w:tr w:rsidR="00867BAA" w:rsidRPr="00954D98" w14:paraId="300DCA90" w14:textId="77777777" w:rsidTr="00867BAA">
        <w:trPr>
          <w:trHeight w:hRule="exact" w:val="225"/>
        </w:trPr>
        <w:tc>
          <w:tcPr>
            <w:tcW w:w="2646" w:type="pct"/>
            <w:tcBorders>
              <w:top w:val="nil"/>
              <w:left w:val="nil"/>
              <w:bottom w:val="nil"/>
              <w:right w:val="nil"/>
            </w:tcBorders>
            <w:shd w:val="clear" w:color="000000" w:fill="FFFFFF"/>
            <w:noWrap/>
            <w:vAlign w:val="center"/>
            <w:hideMark/>
          </w:tcPr>
          <w:p w14:paraId="5019EB4E" w14:textId="77777777" w:rsidR="00867BAA" w:rsidRPr="00954D98" w:rsidRDefault="00867BAA" w:rsidP="00867BAA">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Total customs duty</w:t>
            </w:r>
          </w:p>
        </w:tc>
        <w:tc>
          <w:tcPr>
            <w:tcW w:w="601" w:type="pct"/>
            <w:tcBorders>
              <w:top w:val="nil"/>
              <w:left w:val="nil"/>
              <w:bottom w:val="nil"/>
              <w:right w:val="nil"/>
            </w:tcBorders>
            <w:shd w:val="clear" w:color="000000" w:fill="FFFFFF"/>
            <w:noWrap/>
            <w:vAlign w:val="center"/>
            <w:hideMark/>
          </w:tcPr>
          <w:p w14:paraId="0D64FE15"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11,350</w:t>
            </w:r>
          </w:p>
        </w:tc>
        <w:tc>
          <w:tcPr>
            <w:tcW w:w="601" w:type="pct"/>
            <w:tcBorders>
              <w:top w:val="nil"/>
              <w:left w:val="nil"/>
              <w:bottom w:val="nil"/>
              <w:right w:val="nil"/>
            </w:tcBorders>
            <w:shd w:val="clear" w:color="000000" w:fill="E6F2FF"/>
            <w:noWrap/>
            <w:vAlign w:val="center"/>
            <w:hideMark/>
          </w:tcPr>
          <w:p w14:paraId="767430EF"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8,780</w:t>
            </w:r>
          </w:p>
        </w:tc>
        <w:tc>
          <w:tcPr>
            <w:tcW w:w="83" w:type="pct"/>
            <w:tcBorders>
              <w:top w:val="nil"/>
              <w:left w:val="nil"/>
              <w:bottom w:val="nil"/>
              <w:right w:val="nil"/>
            </w:tcBorders>
            <w:shd w:val="clear" w:color="000000" w:fill="FFFFFF"/>
            <w:noWrap/>
            <w:vAlign w:val="center"/>
            <w:hideMark/>
          </w:tcPr>
          <w:p w14:paraId="628641B3"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562" w:type="pct"/>
            <w:tcBorders>
              <w:top w:val="nil"/>
              <w:left w:val="nil"/>
              <w:bottom w:val="nil"/>
              <w:right w:val="nil"/>
            </w:tcBorders>
            <w:shd w:val="clear" w:color="000000" w:fill="FFFFFF"/>
            <w:noWrap/>
            <w:vAlign w:val="center"/>
            <w:hideMark/>
          </w:tcPr>
          <w:p w14:paraId="53935A0D"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-2,570</w:t>
            </w:r>
          </w:p>
        </w:tc>
        <w:tc>
          <w:tcPr>
            <w:tcW w:w="507" w:type="pct"/>
            <w:tcBorders>
              <w:top w:val="nil"/>
              <w:left w:val="nil"/>
              <w:bottom w:val="nil"/>
              <w:right w:val="nil"/>
            </w:tcBorders>
            <w:shd w:val="clear" w:color="000000" w:fill="FFFFFF"/>
            <w:noWrap/>
            <w:vAlign w:val="center"/>
            <w:hideMark/>
          </w:tcPr>
          <w:p w14:paraId="56F27F63" w14:textId="77777777" w:rsidR="00867BAA" w:rsidRPr="00954D98" w:rsidRDefault="00867BAA" w:rsidP="00867BAA">
            <w:pPr>
              <w:spacing w:before="0" w:after="0" w:line="240" w:lineRule="auto"/>
              <w:jc w:val="right"/>
              <w:rPr>
                <w:rFonts w:ascii="Arial" w:hAnsi="Arial" w:cs="Arial"/>
                <w:i/>
                <w:iCs/>
                <w:sz w:val="16"/>
                <w:szCs w:val="16"/>
              </w:rPr>
            </w:pPr>
            <w:r w:rsidRPr="00954D98">
              <w:rPr>
                <w:rFonts w:ascii="Arial" w:hAnsi="Arial" w:cs="Arial"/>
                <w:i/>
                <w:iCs/>
                <w:sz w:val="16"/>
                <w:szCs w:val="16"/>
              </w:rPr>
              <w:t>-22.6</w:t>
            </w:r>
          </w:p>
        </w:tc>
      </w:tr>
      <w:tr w:rsidR="00867BAA" w:rsidRPr="00954D98" w14:paraId="3363BCD7" w14:textId="77777777" w:rsidTr="00867BAA">
        <w:trPr>
          <w:trHeight w:hRule="exact" w:val="225"/>
        </w:trPr>
        <w:tc>
          <w:tcPr>
            <w:tcW w:w="2646" w:type="pct"/>
            <w:tcBorders>
              <w:top w:val="nil"/>
              <w:left w:val="nil"/>
              <w:bottom w:val="single" w:sz="4" w:space="0" w:color="293F5B"/>
              <w:right w:val="nil"/>
            </w:tcBorders>
            <w:shd w:val="clear" w:color="000000" w:fill="FFFFFF"/>
            <w:noWrap/>
            <w:vAlign w:val="center"/>
            <w:hideMark/>
          </w:tcPr>
          <w:p w14:paraId="1C20C8BC" w14:textId="77777777" w:rsidR="00867BAA" w:rsidRPr="00954D98" w:rsidRDefault="00867BAA" w:rsidP="00867BAA">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Capital gains tax(b)</w:t>
            </w:r>
          </w:p>
        </w:tc>
        <w:tc>
          <w:tcPr>
            <w:tcW w:w="601" w:type="pct"/>
            <w:tcBorders>
              <w:top w:val="nil"/>
              <w:left w:val="nil"/>
              <w:bottom w:val="single" w:sz="4" w:space="0" w:color="293F5B"/>
              <w:right w:val="nil"/>
            </w:tcBorders>
            <w:shd w:val="clear" w:color="000000" w:fill="FFFFFF"/>
            <w:noWrap/>
            <w:vAlign w:val="center"/>
            <w:hideMark/>
          </w:tcPr>
          <w:p w14:paraId="30C1A6A5"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27,600</w:t>
            </w:r>
          </w:p>
        </w:tc>
        <w:tc>
          <w:tcPr>
            <w:tcW w:w="601" w:type="pct"/>
            <w:tcBorders>
              <w:top w:val="nil"/>
              <w:left w:val="nil"/>
              <w:bottom w:val="single" w:sz="4" w:space="0" w:color="293F5B"/>
              <w:right w:val="nil"/>
            </w:tcBorders>
            <w:shd w:val="clear" w:color="000000" w:fill="E6F2FF"/>
            <w:noWrap/>
            <w:vAlign w:val="center"/>
            <w:hideMark/>
          </w:tcPr>
          <w:p w14:paraId="1022D353"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31,500</w:t>
            </w:r>
          </w:p>
        </w:tc>
        <w:tc>
          <w:tcPr>
            <w:tcW w:w="83" w:type="pct"/>
            <w:tcBorders>
              <w:top w:val="nil"/>
              <w:left w:val="nil"/>
              <w:bottom w:val="single" w:sz="4" w:space="0" w:color="293F5B"/>
              <w:right w:val="nil"/>
            </w:tcBorders>
            <w:shd w:val="clear" w:color="000000" w:fill="FFFFFF"/>
            <w:noWrap/>
            <w:vAlign w:val="center"/>
            <w:hideMark/>
          </w:tcPr>
          <w:p w14:paraId="2311C04A"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562" w:type="pct"/>
            <w:tcBorders>
              <w:top w:val="nil"/>
              <w:left w:val="nil"/>
              <w:bottom w:val="single" w:sz="4" w:space="0" w:color="293F5B"/>
              <w:right w:val="nil"/>
            </w:tcBorders>
            <w:shd w:val="clear" w:color="000000" w:fill="FFFFFF"/>
            <w:noWrap/>
            <w:vAlign w:val="center"/>
            <w:hideMark/>
          </w:tcPr>
          <w:p w14:paraId="7B0AA601" w14:textId="77777777" w:rsidR="00867BAA" w:rsidRPr="00954D98" w:rsidRDefault="00867BAA" w:rsidP="00867BAA">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3,900</w:t>
            </w:r>
          </w:p>
        </w:tc>
        <w:tc>
          <w:tcPr>
            <w:tcW w:w="507" w:type="pct"/>
            <w:tcBorders>
              <w:top w:val="nil"/>
              <w:left w:val="nil"/>
              <w:bottom w:val="single" w:sz="4" w:space="0" w:color="293F5B"/>
              <w:right w:val="nil"/>
            </w:tcBorders>
            <w:shd w:val="clear" w:color="000000" w:fill="FFFFFF"/>
            <w:noWrap/>
            <w:vAlign w:val="center"/>
            <w:hideMark/>
          </w:tcPr>
          <w:p w14:paraId="628F6D5F" w14:textId="77777777" w:rsidR="00867BAA" w:rsidRPr="00954D98" w:rsidRDefault="00867BAA" w:rsidP="00867BAA">
            <w:pPr>
              <w:spacing w:before="0" w:after="0" w:line="240" w:lineRule="auto"/>
              <w:jc w:val="right"/>
              <w:rPr>
                <w:rFonts w:ascii="Arial" w:hAnsi="Arial" w:cs="Arial"/>
                <w:i/>
                <w:iCs/>
                <w:sz w:val="16"/>
                <w:szCs w:val="16"/>
              </w:rPr>
            </w:pPr>
            <w:r w:rsidRPr="00954D98">
              <w:rPr>
                <w:rFonts w:ascii="Arial" w:hAnsi="Arial" w:cs="Arial"/>
                <w:i/>
                <w:iCs/>
                <w:sz w:val="16"/>
                <w:szCs w:val="16"/>
              </w:rPr>
              <w:t>14.1</w:t>
            </w:r>
          </w:p>
        </w:tc>
      </w:tr>
    </w:tbl>
    <w:p w14:paraId="58A7150E" w14:textId="0020238E" w:rsidR="00F1044A" w:rsidRPr="00954D98" w:rsidRDefault="00536CFF" w:rsidP="00B6021D">
      <w:pPr>
        <w:pStyle w:val="ChartandTableFootnoteAlpha"/>
        <w:numPr>
          <w:ilvl w:val="0"/>
          <w:numId w:val="36"/>
        </w:numPr>
        <w:spacing w:line="160" w:lineRule="exact"/>
        <w:rPr>
          <w:rFonts w:eastAsiaTheme="minorHAnsi"/>
          <w:color w:val="auto"/>
        </w:rPr>
      </w:pPr>
      <w:r>
        <w:rPr>
          <w:rFonts w:eastAsiaTheme="minorHAnsi"/>
          <w:color w:val="auto"/>
        </w:rPr>
        <w:t>‘</w:t>
      </w:r>
      <w:r w:rsidR="00F1044A" w:rsidRPr="00954D98">
        <w:rPr>
          <w:rFonts w:eastAsiaTheme="minorHAnsi"/>
          <w:color w:val="auto"/>
        </w:rPr>
        <w:t>Other alcoholic beverages</w:t>
      </w:r>
      <w:r>
        <w:rPr>
          <w:rFonts w:eastAsiaTheme="minorHAnsi"/>
          <w:color w:val="auto"/>
        </w:rPr>
        <w:t>’</w:t>
      </w:r>
      <w:r w:rsidR="00F1044A" w:rsidRPr="00954D98">
        <w:rPr>
          <w:rFonts w:eastAsiaTheme="minorHAnsi"/>
          <w:color w:val="auto"/>
        </w:rPr>
        <w:t xml:space="preserve"> are those not exceeding 10 per cent by volume of alcohol (excluding beer, brandy and wine).</w:t>
      </w:r>
    </w:p>
    <w:p w14:paraId="1CDFA0F7" w14:textId="7DB061A1" w:rsidR="00F1044A" w:rsidRPr="00954D98" w:rsidRDefault="00536CFF" w:rsidP="00B71401">
      <w:pPr>
        <w:pStyle w:val="ChartandTableFootnoteAlpha"/>
        <w:spacing w:before="0" w:line="160" w:lineRule="exact"/>
        <w:rPr>
          <w:rFonts w:eastAsiaTheme="minorHAnsi"/>
          <w:color w:val="auto"/>
        </w:rPr>
      </w:pPr>
      <w:r>
        <w:rPr>
          <w:rFonts w:eastAsiaTheme="minorHAnsi"/>
          <w:color w:val="auto"/>
        </w:rPr>
        <w:t>‘</w:t>
      </w:r>
      <w:r w:rsidR="00F1044A" w:rsidRPr="00954D98">
        <w:rPr>
          <w:rFonts w:eastAsiaTheme="minorHAnsi"/>
          <w:color w:val="auto"/>
        </w:rPr>
        <w:t>Capital gains tax</w:t>
      </w:r>
      <w:r>
        <w:rPr>
          <w:rFonts w:eastAsiaTheme="minorHAnsi"/>
          <w:color w:val="auto"/>
        </w:rPr>
        <w:t>’</w:t>
      </w:r>
      <w:r w:rsidR="00F1044A" w:rsidRPr="00954D98">
        <w:rPr>
          <w:rFonts w:eastAsiaTheme="minorHAnsi"/>
          <w:color w:val="auto"/>
        </w:rPr>
        <w:t xml:space="preserve"> is part of gross other individuals, company tax and superannuation fund taxes.</w:t>
      </w:r>
    </w:p>
    <w:p w14:paraId="46879F76" w14:textId="77777777" w:rsidR="00B71401" w:rsidRPr="00B71401" w:rsidRDefault="00B71401" w:rsidP="00B71401">
      <w:pPr>
        <w:pStyle w:val="TableLine"/>
        <w:rPr>
          <w:rFonts w:eastAsiaTheme="minorHAnsi"/>
        </w:rPr>
      </w:pPr>
    </w:p>
    <w:p w14:paraId="373BA739" w14:textId="1524EE37" w:rsidR="00CA39D1" w:rsidRPr="00954D98" w:rsidRDefault="00F1044A" w:rsidP="00CA39D1">
      <w:pPr>
        <w:pStyle w:val="TableHeadingcontinued"/>
        <w:rPr>
          <w:rFonts w:eastAsiaTheme="minorHAnsi"/>
        </w:rPr>
      </w:pPr>
      <w:r w:rsidRPr="00954D98">
        <w:lastRenderedPageBreak/>
        <w:t>Table 3.</w:t>
      </w:r>
      <w:r w:rsidR="002367CE" w:rsidRPr="00954D98">
        <w:t>12</w:t>
      </w:r>
      <w:r w:rsidRPr="00954D98">
        <w:t>: Reconciliation of 202</w:t>
      </w:r>
      <w:r w:rsidR="00ED3B1F" w:rsidRPr="00954D98">
        <w:t>6</w:t>
      </w:r>
      <w:r w:rsidRPr="00954D98">
        <w:t>–2</w:t>
      </w:r>
      <w:r w:rsidR="00ED3B1F" w:rsidRPr="00954D98">
        <w:t>7</w:t>
      </w:r>
      <w:r w:rsidRPr="00954D98">
        <w:t xml:space="preserve"> general government (accrual) revenue</w:t>
      </w:r>
    </w:p>
    <w:tbl>
      <w:tblPr>
        <w:tblW w:w="5000" w:type="pct"/>
        <w:tblCellMar>
          <w:left w:w="0" w:type="dxa"/>
          <w:right w:w="28" w:type="dxa"/>
        </w:tblCellMar>
        <w:tblLook w:val="04A0" w:firstRow="1" w:lastRow="0" w:firstColumn="1" w:lastColumn="0" w:noHBand="0" w:noVBand="1"/>
      </w:tblPr>
      <w:tblGrid>
        <w:gridCol w:w="3974"/>
        <w:gridCol w:w="902"/>
        <w:gridCol w:w="904"/>
        <w:gridCol w:w="125"/>
        <w:gridCol w:w="945"/>
        <w:gridCol w:w="860"/>
      </w:tblGrid>
      <w:tr w:rsidR="00B8587E" w:rsidRPr="00954D98" w14:paraId="7959E472" w14:textId="77777777" w:rsidTr="00B8587E">
        <w:trPr>
          <w:trHeight w:hRule="exact" w:val="225"/>
        </w:trPr>
        <w:tc>
          <w:tcPr>
            <w:tcW w:w="2577" w:type="pct"/>
            <w:tcBorders>
              <w:top w:val="single" w:sz="4" w:space="0" w:color="293F5B"/>
              <w:left w:val="nil"/>
              <w:bottom w:val="nil"/>
              <w:right w:val="nil"/>
            </w:tcBorders>
            <w:shd w:val="clear" w:color="000000" w:fill="FFFFFF"/>
            <w:noWrap/>
            <w:vAlign w:val="center"/>
            <w:hideMark/>
          </w:tcPr>
          <w:p w14:paraId="2373BC64"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1171" w:type="pct"/>
            <w:gridSpan w:val="2"/>
            <w:tcBorders>
              <w:top w:val="single" w:sz="4" w:space="0" w:color="auto"/>
              <w:left w:val="nil"/>
              <w:bottom w:val="single" w:sz="4" w:space="0" w:color="293F5B"/>
              <w:right w:val="nil"/>
            </w:tcBorders>
            <w:shd w:val="clear" w:color="000000" w:fill="FFFFFF"/>
            <w:noWrap/>
            <w:vAlign w:val="center"/>
            <w:hideMark/>
          </w:tcPr>
          <w:p w14:paraId="2A0F0CBD" w14:textId="77777777" w:rsidR="00B8587E" w:rsidRPr="00954D98" w:rsidRDefault="00B8587E" w:rsidP="00B8587E">
            <w:pPr>
              <w:spacing w:before="0" w:after="0" w:line="240" w:lineRule="auto"/>
              <w:jc w:val="center"/>
              <w:rPr>
                <w:rFonts w:ascii="Arial" w:hAnsi="Arial" w:cs="Arial"/>
                <w:color w:val="FFFF00"/>
                <w:sz w:val="16"/>
                <w:szCs w:val="16"/>
              </w:rPr>
            </w:pPr>
            <w:r w:rsidRPr="00954D98">
              <w:rPr>
                <w:rFonts w:ascii="Arial" w:hAnsi="Arial" w:cs="Arial"/>
                <w:sz w:val="16"/>
                <w:szCs w:val="16"/>
              </w:rPr>
              <w:t>Estimates</w:t>
            </w:r>
          </w:p>
        </w:tc>
        <w:tc>
          <w:tcPr>
            <w:tcW w:w="81" w:type="pct"/>
            <w:tcBorders>
              <w:top w:val="single" w:sz="4" w:space="0" w:color="293F5B"/>
              <w:left w:val="nil"/>
              <w:bottom w:val="nil"/>
              <w:right w:val="nil"/>
            </w:tcBorders>
            <w:shd w:val="clear" w:color="000000" w:fill="FFFFFF"/>
            <w:noWrap/>
            <w:vAlign w:val="center"/>
            <w:hideMark/>
          </w:tcPr>
          <w:p w14:paraId="1E688248"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1171" w:type="pct"/>
            <w:gridSpan w:val="2"/>
            <w:tcBorders>
              <w:top w:val="single" w:sz="4" w:space="0" w:color="293F5B"/>
              <w:left w:val="nil"/>
              <w:bottom w:val="single" w:sz="4" w:space="0" w:color="293F5B"/>
              <w:right w:val="nil"/>
            </w:tcBorders>
            <w:shd w:val="clear" w:color="000000" w:fill="FFFFFF"/>
            <w:noWrap/>
            <w:vAlign w:val="center"/>
            <w:hideMark/>
          </w:tcPr>
          <w:p w14:paraId="2A5AD2E8" w14:textId="77777777" w:rsidR="00B8587E" w:rsidRPr="00954D98" w:rsidRDefault="00B8587E" w:rsidP="00B8587E">
            <w:pPr>
              <w:spacing w:before="0" w:after="0" w:line="240" w:lineRule="auto"/>
              <w:jc w:val="center"/>
              <w:rPr>
                <w:rFonts w:ascii="Arial" w:hAnsi="Arial" w:cs="Arial"/>
                <w:sz w:val="16"/>
                <w:szCs w:val="16"/>
              </w:rPr>
            </w:pPr>
            <w:r w:rsidRPr="00954D98">
              <w:rPr>
                <w:rFonts w:ascii="Arial" w:hAnsi="Arial" w:cs="Arial"/>
                <w:sz w:val="16"/>
                <w:szCs w:val="16"/>
              </w:rPr>
              <w:t>Change on PEFO</w:t>
            </w:r>
          </w:p>
        </w:tc>
      </w:tr>
      <w:tr w:rsidR="00B8587E" w:rsidRPr="00954D98" w14:paraId="55F6F313"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089DE546"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5" w:type="pct"/>
            <w:tcBorders>
              <w:top w:val="single" w:sz="4" w:space="0" w:color="293F5B"/>
              <w:left w:val="nil"/>
              <w:bottom w:val="nil"/>
              <w:right w:val="nil"/>
            </w:tcBorders>
            <w:shd w:val="clear" w:color="000000" w:fill="FFFFFF"/>
            <w:noWrap/>
            <w:vAlign w:val="center"/>
            <w:hideMark/>
          </w:tcPr>
          <w:p w14:paraId="2C716BA6"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PEFO</w:t>
            </w:r>
          </w:p>
        </w:tc>
        <w:tc>
          <w:tcPr>
            <w:tcW w:w="585" w:type="pct"/>
            <w:tcBorders>
              <w:top w:val="single" w:sz="4" w:space="0" w:color="293F5B"/>
              <w:left w:val="nil"/>
              <w:bottom w:val="nil"/>
              <w:right w:val="nil"/>
            </w:tcBorders>
            <w:shd w:val="clear" w:color="000000" w:fill="E6F2FF"/>
            <w:noWrap/>
            <w:vAlign w:val="center"/>
            <w:hideMark/>
          </w:tcPr>
          <w:p w14:paraId="163B8225"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MYEFO</w:t>
            </w:r>
          </w:p>
        </w:tc>
        <w:tc>
          <w:tcPr>
            <w:tcW w:w="81" w:type="pct"/>
            <w:tcBorders>
              <w:top w:val="nil"/>
              <w:left w:val="nil"/>
              <w:bottom w:val="nil"/>
              <w:right w:val="nil"/>
            </w:tcBorders>
            <w:shd w:val="clear" w:color="000000" w:fill="FFFFFF"/>
            <w:noWrap/>
            <w:vAlign w:val="center"/>
            <w:hideMark/>
          </w:tcPr>
          <w:p w14:paraId="03FC79D2"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1171" w:type="pct"/>
            <w:gridSpan w:val="2"/>
            <w:tcBorders>
              <w:top w:val="single" w:sz="4" w:space="0" w:color="293F5B"/>
              <w:left w:val="nil"/>
              <w:bottom w:val="nil"/>
              <w:right w:val="nil"/>
            </w:tcBorders>
            <w:shd w:val="clear" w:color="000000" w:fill="FFFFFF"/>
            <w:noWrap/>
            <w:vAlign w:val="center"/>
            <w:hideMark/>
          </w:tcPr>
          <w:p w14:paraId="07DA1F7F" w14:textId="77777777" w:rsidR="00B8587E" w:rsidRPr="00954D98" w:rsidRDefault="00B8587E" w:rsidP="00B8587E">
            <w:pPr>
              <w:spacing w:before="0" w:after="0" w:line="240" w:lineRule="auto"/>
              <w:jc w:val="center"/>
              <w:rPr>
                <w:rFonts w:ascii="Arial" w:hAnsi="Arial" w:cs="Arial"/>
                <w:sz w:val="16"/>
                <w:szCs w:val="16"/>
              </w:rPr>
            </w:pPr>
            <w:r w:rsidRPr="00954D98">
              <w:rPr>
                <w:rFonts w:ascii="Arial" w:hAnsi="Arial" w:cs="Arial"/>
                <w:sz w:val="16"/>
                <w:szCs w:val="16"/>
              </w:rPr>
              <w:t xml:space="preserve"> </w:t>
            </w:r>
          </w:p>
        </w:tc>
      </w:tr>
      <w:tr w:rsidR="002C4687" w:rsidRPr="00954D98" w14:paraId="7278547E" w14:textId="77777777" w:rsidTr="00B8587E">
        <w:trPr>
          <w:trHeight w:val="225"/>
        </w:trPr>
        <w:tc>
          <w:tcPr>
            <w:tcW w:w="2577" w:type="pct"/>
            <w:tcBorders>
              <w:top w:val="nil"/>
              <w:left w:val="nil"/>
              <w:bottom w:val="nil"/>
              <w:right w:val="nil"/>
            </w:tcBorders>
            <w:shd w:val="clear" w:color="000000" w:fill="FFFFFF"/>
            <w:vAlign w:val="center"/>
            <w:hideMark/>
          </w:tcPr>
          <w:p w14:paraId="7DD7F29F"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single" w:sz="4" w:space="0" w:color="293F5B"/>
              <w:right w:val="nil"/>
            </w:tcBorders>
            <w:shd w:val="clear" w:color="000000" w:fill="FFFFFF"/>
            <w:vAlign w:val="center"/>
            <w:hideMark/>
          </w:tcPr>
          <w:p w14:paraId="6083ABFB"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85" w:type="pct"/>
            <w:tcBorders>
              <w:top w:val="nil"/>
              <w:left w:val="nil"/>
              <w:bottom w:val="single" w:sz="4" w:space="0" w:color="293F5B"/>
              <w:right w:val="nil"/>
            </w:tcBorders>
            <w:shd w:val="clear" w:color="000000" w:fill="E6F2FF"/>
            <w:vAlign w:val="center"/>
            <w:hideMark/>
          </w:tcPr>
          <w:p w14:paraId="36699D84"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81" w:type="pct"/>
            <w:tcBorders>
              <w:top w:val="nil"/>
              <w:left w:val="nil"/>
              <w:bottom w:val="nil"/>
              <w:right w:val="nil"/>
            </w:tcBorders>
            <w:shd w:val="clear" w:color="000000" w:fill="FFFFFF"/>
            <w:vAlign w:val="center"/>
            <w:hideMark/>
          </w:tcPr>
          <w:p w14:paraId="0CCCA8EC"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single" w:sz="4" w:space="0" w:color="293F5B"/>
              <w:right w:val="nil"/>
            </w:tcBorders>
            <w:shd w:val="clear" w:color="000000" w:fill="FFFFFF"/>
            <w:vAlign w:val="center"/>
            <w:hideMark/>
          </w:tcPr>
          <w:p w14:paraId="227922A7"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58" w:type="pct"/>
            <w:tcBorders>
              <w:top w:val="nil"/>
              <w:left w:val="nil"/>
              <w:bottom w:val="single" w:sz="4" w:space="0" w:color="293F5B"/>
              <w:right w:val="nil"/>
            </w:tcBorders>
            <w:shd w:val="clear" w:color="000000" w:fill="FFFFFF"/>
            <w:vAlign w:val="center"/>
            <w:hideMark/>
          </w:tcPr>
          <w:p w14:paraId="1C332DFF"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w:t>
            </w:r>
          </w:p>
        </w:tc>
      </w:tr>
      <w:tr w:rsidR="00B8587E" w:rsidRPr="00954D98" w14:paraId="2504DDC2"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0D4E6335"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Individuals and other withholding taxes</w:t>
            </w:r>
          </w:p>
        </w:tc>
        <w:tc>
          <w:tcPr>
            <w:tcW w:w="585" w:type="pct"/>
            <w:tcBorders>
              <w:top w:val="nil"/>
              <w:left w:val="nil"/>
              <w:bottom w:val="nil"/>
              <w:right w:val="nil"/>
            </w:tcBorders>
            <w:shd w:val="clear" w:color="000000" w:fill="FFFFFF"/>
            <w:noWrap/>
            <w:vAlign w:val="center"/>
            <w:hideMark/>
          </w:tcPr>
          <w:p w14:paraId="13409E6E"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E6F2FF"/>
            <w:noWrap/>
            <w:vAlign w:val="center"/>
            <w:hideMark/>
          </w:tcPr>
          <w:p w14:paraId="310AA1F3"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7FF3C5C2"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45F6A58D"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58" w:type="pct"/>
            <w:tcBorders>
              <w:top w:val="nil"/>
              <w:left w:val="nil"/>
              <w:bottom w:val="nil"/>
              <w:right w:val="nil"/>
            </w:tcBorders>
            <w:shd w:val="clear" w:color="000000" w:fill="FFFFFF"/>
            <w:noWrap/>
            <w:vAlign w:val="center"/>
            <w:hideMark/>
          </w:tcPr>
          <w:p w14:paraId="2239F8A7"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 </w:t>
            </w:r>
          </w:p>
        </w:tc>
      </w:tr>
      <w:tr w:rsidR="00B8587E" w:rsidRPr="00954D98" w14:paraId="522C8885"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46BC3311" w14:textId="77777777" w:rsidR="00B8587E" w:rsidRPr="00954D98" w:rsidRDefault="00B8587E" w:rsidP="00B8587E">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Gross income tax withholding</w:t>
            </w:r>
          </w:p>
        </w:tc>
        <w:tc>
          <w:tcPr>
            <w:tcW w:w="585" w:type="pct"/>
            <w:tcBorders>
              <w:top w:val="nil"/>
              <w:left w:val="nil"/>
              <w:bottom w:val="nil"/>
              <w:right w:val="nil"/>
            </w:tcBorders>
            <w:shd w:val="clear" w:color="000000" w:fill="FFFFFF"/>
            <w:noWrap/>
            <w:vAlign w:val="center"/>
            <w:hideMark/>
          </w:tcPr>
          <w:p w14:paraId="3CFFF9FA"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330,700</w:t>
            </w:r>
          </w:p>
        </w:tc>
        <w:tc>
          <w:tcPr>
            <w:tcW w:w="585" w:type="pct"/>
            <w:tcBorders>
              <w:top w:val="nil"/>
              <w:left w:val="nil"/>
              <w:bottom w:val="nil"/>
              <w:right w:val="nil"/>
            </w:tcBorders>
            <w:shd w:val="clear" w:color="000000" w:fill="E6F2FF"/>
            <w:noWrap/>
            <w:vAlign w:val="center"/>
            <w:hideMark/>
          </w:tcPr>
          <w:p w14:paraId="4325CDC0"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332,200</w:t>
            </w:r>
          </w:p>
        </w:tc>
        <w:tc>
          <w:tcPr>
            <w:tcW w:w="81" w:type="pct"/>
            <w:tcBorders>
              <w:top w:val="nil"/>
              <w:left w:val="nil"/>
              <w:bottom w:val="nil"/>
              <w:right w:val="nil"/>
            </w:tcBorders>
            <w:shd w:val="clear" w:color="000000" w:fill="FFFFFF"/>
            <w:noWrap/>
            <w:vAlign w:val="center"/>
            <w:hideMark/>
          </w:tcPr>
          <w:p w14:paraId="1C53281A"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3D362FC2"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1,500</w:t>
            </w:r>
          </w:p>
        </w:tc>
        <w:tc>
          <w:tcPr>
            <w:tcW w:w="558" w:type="pct"/>
            <w:tcBorders>
              <w:top w:val="nil"/>
              <w:left w:val="nil"/>
              <w:bottom w:val="nil"/>
              <w:right w:val="nil"/>
            </w:tcBorders>
            <w:shd w:val="clear" w:color="000000" w:fill="FFFFFF"/>
            <w:noWrap/>
            <w:vAlign w:val="center"/>
            <w:hideMark/>
          </w:tcPr>
          <w:p w14:paraId="62D2F5CC"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0.5</w:t>
            </w:r>
          </w:p>
        </w:tc>
      </w:tr>
      <w:tr w:rsidR="00B8587E" w:rsidRPr="00954D98" w14:paraId="18426DC9"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117E485C" w14:textId="77777777" w:rsidR="00B8587E" w:rsidRPr="00954D98" w:rsidRDefault="00B8587E" w:rsidP="00B8587E">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Gross other individuals</w:t>
            </w:r>
          </w:p>
        </w:tc>
        <w:tc>
          <w:tcPr>
            <w:tcW w:w="585" w:type="pct"/>
            <w:tcBorders>
              <w:top w:val="nil"/>
              <w:left w:val="nil"/>
              <w:bottom w:val="nil"/>
              <w:right w:val="nil"/>
            </w:tcBorders>
            <w:shd w:val="clear" w:color="000000" w:fill="FFFFFF"/>
            <w:noWrap/>
            <w:vAlign w:val="center"/>
            <w:hideMark/>
          </w:tcPr>
          <w:p w14:paraId="34AAB66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90,000</w:t>
            </w:r>
          </w:p>
        </w:tc>
        <w:tc>
          <w:tcPr>
            <w:tcW w:w="585" w:type="pct"/>
            <w:tcBorders>
              <w:top w:val="nil"/>
              <w:left w:val="nil"/>
              <w:bottom w:val="nil"/>
              <w:right w:val="nil"/>
            </w:tcBorders>
            <w:shd w:val="clear" w:color="000000" w:fill="E6F2FF"/>
            <w:noWrap/>
            <w:vAlign w:val="center"/>
            <w:hideMark/>
          </w:tcPr>
          <w:p w14:paraId="14257EF8"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94,200</w:t>
            </w:r>
          </w:p>
        </w:tc>
        <w:tc>
          <w:tcPr>
            <w:tcW w:w="81" w:type="pct"/>
            <w:tcBorders>
              <w:top w:val="nil"/>
              <w:left w:val="nil"/>
              <w:bottom w:val="nil"/>
              <w:right w:val="nil"/>
            </w:tcBorders>
            <w:shd w:val="clear" w:color="000000" w:fill="FFFFFF"/>
            <w:noWrap/>
            <w:vAlign w:val="center"/>
            <w:hideMark/>
          </w:tcPr>
          <w:p w14:paraId="7D849DD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63A9738A"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4,200</w:t>
            </w:r>
          </w:p>
        </w:tc>
        <w:tc>
          <w:tcPr>
            <w:tcW w:w="558" w:type="pct"/>
            <w:tcBorders>
              <w:top w:val="nil"/>
              <w:left w:val="nil"/>
              <w:bottom w:val="nil"/>
              <w:right w:val="nil"/>
            </w:tcBorders>
            <w:shd w:val="clear" w:color="000000" w:fill="FFFFFF"/>
            <w:noWrap/>
            <w:vAlign w:val="center"/>
            <w:hideMark/>
          </w:tcPr>
          <w:p w14:paraId="76C254F7"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4.7</w:t>
            </w:r>
          </w:p>
        </w:tc>
      </w:tr>
      <w:tr w:rsidR="002C4687" w:rsidRPr="00954D98" w14:paraId="3FA2D728"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477A7AC8" w14:textId="77777777" w:rsidR="00B8587E" w:rsidRPr="00954D98" w:rsidRDefault="00B8587E" w:rsidP="00B8587E">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less:</w:t>
            </w:r>
            <w:r w:rsidRPr="00954D98">
              <w:rPr>
                <w:rFonts w:ascii="Arial" w:hAnsi="Arial" w:cs="Arial"/>
                <w:sz w:val="16"/>
                <w:szCs w:val="16"/>
              </w:rPr>
              <w:t xml:space="preserve"> Refunds</w:t>
            </w:r>
          </w:p>
        </w:tc>
        <w:tc>
          <w:tcPr>
            <w:tcW w:w="585" w:type="pct"/>
            <w:tcBorders>
              <w:top w:val="nil"/>
              <w:left w:val="nil"/>
              <w:bottom w:val="single" w:sz="4" w:space="0" w:color="293F5B"/>
              <w:right w:val="nil"/>
            </w:tcBorders>
            <w:shd w:val="clear" w:color="000000" w:fill="FFFFFF"/>
            <w:noWrap/>
            <w:vAlign w:val="center"/>
            <w:hideMark/>
          </w:tcPr>
          <w:p w14:paraId="40C51E6D"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41,900</w:t>
            </w:r>
          </w:p>
        </w:tc>
        <w:tc>
          <w:tcPr>
            <w:tcW w:w="585" w:type="pct"/>
            <w:tcBorders>
              <w:top w:val="nil"/>
              <w:left w:val="nil"/>
              <w:bottom w:val="single" w:sz="4" w:space="0" w:color="293F5B"/>
              <w:right w:val="nil"/>
            </w:tcBorders>
            <w:shd w:val="clear" w:color="000000" w:fill="E6F2FF"/>
            <w:noWrap/>
            <w:vAlign w:val="center"/>
            <w:hideMark/>
          </w:tcPr>
          <w:p w14:paraId="652D1848"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42,400</w:t>
            </w:r>
          </w:p>
        </w:tc>
        <w:tc>
          <w:tcPr>
            <w:tcW w:w="81" w:type="pct"/>
            <w:tcBorders>
              <w:top w:val="nil"/>
              <w:left w:val="nil"/>
              <w:bottom w:val="nil"/>
              <w:right w:val="nil"/>
            </w:tcBorders>
            <w:shd w:val="clear" w:color="000000" w:fill="FFFFFF"/>
            <w:noWrap/>
            <w:vAlign w:val="center"/>
            <w:hideMark/>
          </w:tcPr>
          <w:p w14:paraId="0E097673"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single" w:sz="4" w:space="0" w:color="293F5B"/>
              <w:right w:val="nil"/>
            </w:tcBorders>
            <w:shd w:val="clear" w:color="000000" w:fill="FFFFFF"/>
            <w:noWrap/>
            <w:vAlign w:val="center"/>
            <w:hideMark/>
          </w:tcPr>
          <w:p w14:paraId="1C11C9A9"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500</w:t>
            </w:r>
          </w:p>
        </w:tc>
        <w:tc>
          <w:tcPr>
            <w:tcW w:w="558" w:type="pct"/>
            <w:tcBorders>
              <w:top w:val="nil"/>
              <w:left w:val="nil"/>
              <w:bottom w:val="single" w:sz="4" w:space="0" w:color="293F5B"/>
              <w:right w:val="nil"/>
            </w:tcBorders>
            <w:shd w:val="clear" w:color="000000" w:fill="FFFFFF"/>
            <w:noWrap/>
            <w:vAlign w:val="center"/>
            <w:hideMark/>
          </w:tcPr>
          <w:p w14:paraId="71720E7D"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1.2</w:t>
            </w:r>
          </w:p>
        </w:tc>
      </w:tr>
      <w:tr w:rsidR="00B8587E" w:rsidRPr="00954D98" w14:paraId="72178EBF"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6524FC36"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Total individuals and other withholding tax</w:t>
            </w:r>
          </w:p>
        </w:tc>
        <w:tc>
          <w:tcPr>
            <w:tcW w:w="585" w:type="pct"/>
            <w:tcBorders>
              <w:top w:val="nil"/>
              <w:left w:val="nil"/>
              <w:bottom w:val="nil"/>
              <w:right w:val="nil"/>
            </w:tcBorders>
            <w:shd w:val="clear" w:color="000000" w:fill="FFFFFF"/>
            <w:noWrap/>
            <w:vAlign w:val="center"/>
            <w:hideMark/>
          </w:tcPr>
          <w:p w14:paraId="56EC85EC"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378,800</w:t>
            </w:r>
          </w:p>
        </w:tc>
        <w:tc>
          <w:tcPr>
            <w:tcW w:w="585" w:type="pct"/>
            <w:tcBorders>
              <w:top w:val="nil"/>
              <w:left w:val="nil"/>
              <w:bottom w:val="nil"/>
              <w:right w:val="nil"/>
            </w:tcBorders>
            <w:shd w:val="clear" w:color="000000" w:fill="E6F2FF"/>
            <w:noWrap/>
            <w:vAlign w:val="center"/>
            <w:hideMark/>
          </w:tcPr>
          <w:p w14:paraId="4ADA9490"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384,000</w:t>
            </w:r>
          </w:p>
        </w:tc>
        <w:tc>
          <w:tcPr>
            <w:tcW w:w="81" w:type="pct"/>
            <w:tcBorders>
              <w:top w:val="nil"/>
              <w:left w:val="nil"/>
              <w:bottom w:val="nil"/>
              <w:right w:val="nil"/>
            </w:tcBorders>
            <w:shd w:val="clear" w:color="000000" w:fill="FFFFFF"/>
            <w:noWrap/>
            <w:vAlign w:val="center"/>
            <w:hideMark/>
          </w:tcPr>
          <w:p w14:paraId="3E822C62"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22ED7DCD"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5,200</w:t>
            </w:r>
          </w:p>
        </w:tc>
        <w:tc>
          <w:tcPr>
            <w:tcW w:w="558" w:type="pct"/>
            <w:tcBorders>
              <w:top w:val="nil"/>
              <w:left w:val="nil"/>
              <w:bottom w:val="nil"/>
              <w:right w:val="nil"/>
            </w:tcBorders>
            <w:shd w:val="clear" w:color="000000" w:fill="FFFFFF"/>
            <w:noWrap/>
            <w:vAlign w:val="center"/>
            <w:hideMark/>
          </w:tcPr>
          <w:p w14:paraId="0BFFDEEB"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1.4</w:t>
            </w:r>
          </w:p>
        </w:tc>
      </w:tr>
      <w:tr w:rsidR="00B8587E" w:rsidRPr="00954D98" w14:paraId="0427A240"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0CCC2A21"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Fringe benefits tax</w:t>
            </w:r>
          </w:p>
        </w:tc>
        <w:tc>
          <w:tcPr>
            <w:tcW w:w="585" w:type="pct"/>
            <w:tcBorders>
              <w:top w:val="nil"/>
              <w:left w:val="nil"/>
              <w:bottom w:val="nil"/>
              <w:right w:val="nil"/>
            </w:tcBorders>
            <w:shd w:val="clear" w:color="000000" w:fill="FFFFFF"/>
            <w:noWrap/>
            <w:vAlign w:val="center"/>
            <w:hideMark/>
          </w:tcPr>
          <w:p w14:paraId="0F78E778"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5,180</w:t>
            </w:r>
          </w:p>
        </w:tc>
        <w:tc>
          <w:tcPr>
            <w:tcW w:w="585" w:type="pct"/>
            <w:tcBorders>
              <w:top w:val="nil"/>
              <w:left w:val="nil"/>
              <w:bottom w:val="nil"/>
              <w:right w:val="nil"/>
            </w:tcBorders>
            <w:shd w:val="clear" w:color="000000" w:fill="E6F2FF"/>
            <w:noWrap/>
            <w:vAlign w:val="center"/>
            <w:hideMark/>
          </w:tcPr>
          <w:p w14:paraId="2C5491E7"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5,620</w:t>
            </w:r>
          </w:p>
        </w:tc>
        <w:tc>
          <w:tcPr>
            <w:tcW w:w="81" w:type="pct"/>
            <w:tcBorders>
              <w:top w:val="nil"/>
              <w:left w:val="nil"/>
              <w:bottom w:val="nil"/>
              <w:right w:val="nil"/>
            </w:tcBorders>
            <w:shd w:val="clear" w:color="000000" w:fill="FFFFFF"/>
            <w:noWrap/>
            <w:vAlign w:val="center"/>
            <w:hideMark/>
          </w:tcPr>
          <w:p w14:paraId="436E244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7373B8EC"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440</w:t>
            </w:r>
          </w:p>
        </w:tc>
        <w:tc>
          <w:tcPr>
            <w:tcW w:w="558" w:type="pct"/>
            <w:tcBorders>
              <w:top w:val="nil"/>
              <w:left w:val="nil"/>
              <w:bottom w:val="nil"/>
              <w:right w:val="nil"/>
            </w:tcBorders>
            <w:shd w:val="clear" w:color="000000" w:fill="FFFFFF"/>
            <w:noWrap/>
            <w:vAlign w:val="center"/>
            <w:hideMark/>
          </w:tcPr>
          <w:p w14:paraId="398A27DA"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8.5</w:t>
            </w:r>
          </w:p>
        </w:tc>
      </w:tr>
      <w:tr w:rsidR="00B8587E" w:rsidRPr="00954D98" w14:paraId="7960F2A9"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7F8832BC"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Company tax</w:t>
            </w:r>
          </w:p>
        </w:tc>
        <w:tc>
          <w:tcPr>
            <w:tcW w:w="585" w:type="pct"/>
            <w:tcBorders>
              <w:top w:val="nil"/>
              <w:left w:val="nil"/>
              <w:bottom w:val="nil"/>
              <w:right w:val="nil"/>
            </w:tcBorders>
            <w:shd w:val="clear" w:color="000000" w:fill="FFFFFF"/>
            <w:noWrap/>
            <w:vAlign w:val="center"/>
            <w:hideMark/>
          </w:tcPr>
          <w:p w14:paraId="270F4D0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147,900</w:t>
            </w:r>
          </w:p>
        </w:tc>
        <w:tc>
          <w:tcPr>
            <w:tcW w:w="585" w:type="pct"/>
            <w:tcBorders>
              <w:top w:val="nil"/>
              <w:left w:val="nil"/>
              <w:bottom w:val="nil"/>
              <w:right w:val="nil"/>
            </w:tcBorders>
            <w:shd w:val="clear" w:color="000000" w:fill="E6F2FF"/>
            <w:noWrap/>
            <w:vAlign w:val="center"/>
            <w:hideMark/>
          </w:tcPr>
          <w:p w14:paraId="110C0E8C"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150,500</w:t>
            </w:r>
          </w:p>
        </w:tc>
        <w:tc>
          <w:tcPr>
            <w:tcW w:w="81" w:type="pct"/>
            <w:tcBorders>
              <w:top w:val="nil"/>
              <w:left w:val="nil"/>
              <w:bottom w:val="nil"/>
              <w:right w:val="nil"/>
            </w:tcBorders>
            <w:shd w:val="clear" w:color="000000" w:fill="FFFFFF"/>
            <w:noWrap/>
            <w:vAlign w:val="center"/>
            <w:hideMark/>
          </w:tcPr>
          <w:p w14:paraId="1696B906"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2F44DC72"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2,600</w:t>
            </w:r>
          </w:p>
        </w:tc>
        <w:tc>
          <w:tcPr>
            <w:tcW w:w="558" w:type="pct"/>
            <w:tcBorders>
              <w:top w:val="nil"/>
              <w:left w:val="nil"/>
              <w:bottom w:val="nil"/>
              <w:right w:val="nil"/>
            </w:tcBorders>
            <w:shd w:val="clear" w:color="000000" w:fill="FFFFFF"/>
            <w:noWrap/>
            <w:vAlign w:val="center"/>
            <w:hideMark/>
          </w:tcPr>
          <w:p w14:paraId="7FC9BCE7"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1.8</w:t>
            </w:r>
          </w:p>
        </w:tc>
      </w:tr>
      <w:tr w:rsidR="00B8587E" w:rsidRPr="00954D98" w14:paraId="6E18F73E"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174A2A45"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Superannuation fund taxes</w:t>
            </w:r>
          </w:p>
        </w:tc>
        <w:tc>
          <w:tcPr>
            <w:tcW w:w="585" w:type="pct"/>
            <w:tcBorders>
              <w:top w:val="nil"/>
              <w:left w:val="nil"/>
              <w:bottom w:val="nil"/>
              <w:right w:val="nil"/>
            </w:tcBorders>
            <w:shd w:val="clear" w:color="000000" w:fill="FFFFFF"/>
            <w:noWrap/>
            <w:vAlign w:val="center"/>
            <w:hideMark/>
          </w:tcPr>
          <w:p w14:paraId="134449B3"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26,130</w:t>
            </w:r>
          </w:p>
        </w:tc>
        <w:tc>
          <w:tcPr>
            <w:tcW w:w="585" w:type="pct"/>
            <w:tcBorders>
              <w:top w:val="nil"/>
              <w:left w:val="nil"/>
              <w:bottom w:val="nil"/>
              <w:right w:val="nil"/>
            </w:tcBorders>
            <w:shd w:val="clear" w:color="000000" w:fill="E6F2FF"/>
            <w:noWrap/>
            <w:vAlign w:val="center"/>
            <w:hideMark/>
          </w:tcPr>
          <w:p w14:paraId="3DCC0715"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29,140</w:t>
            </w:r>
          </w:p>
        </w:tc>
        <w:tc>
          <w:tcPr>
            <w:tcW w:w="81" w:type="pct"/>
            <w:tcBorders>
              <w:top w:val="nil"/>
              <w:left w:val="nil"/>
              <w:bottom w:val="nil"/>
              <w:right w:val="nil"/>
            </w:tcBorders>
            <w:shd w:val="clear" w:color="000000" w:fill="FFFFFF"/>
            <w:noWrap/>
            <w:vAlign w:val="center"/>
            <w:hideMark/>
          </w:tcPr>
          <w:p w14:paraId="57388D2A"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2F8C6A9C"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3,010</w:t>
            </w:r>
          </w:p>
        </w:tc>
        <w:tc>
          <w:tcPr>
            <w:tcW w:w="558" w:type="pct"/>
            <w:tcBorders>
              <w:top w:val="nil"/>
              <w:left w:val="nil"/>
              <w:bottom w:val="nil"/>
              <w:right w:val="nil"/>
            </w:tcBorders>
            <w:shd w:val="clear" w:color="000000" w:fill="FFFFFF"/>
            <w:noWrap/>
            <w:vAlign w:val="center"/>
            <w:hideMark/>
          </w:tcPr>
          <w:p w14:paraId="38E2C128"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11.5</w:t>
            </w:r>
          </w:p>
        </w:tc>
      </w:tr>
      <w:tr w:rsidR="00B8587E" w:rsidRPr="00954D98" w14:paraId="1B4AAC5B"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4ED1EBF3"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Petroleum resource rent tax</w:t>
            </w:r>
          </w:p>
        </w:tc>
        <w:tc>
          <w:tcPr>
            <w:tcW w:w="585" w:type="pct"/>
            <w:tcBorders>
              <w:top w:val="nil"/>
              <w:left w:val="nil"/>
              <w:bottom w:val="nil"/>
              <w:right w:val="nil"/>
            </w:tcBorders>
            <w:shd w:val="clear" w:color="000000" w:fill="FFFFFF"/>
            <w:noWrap/>
            <w:vAlign w:val="center"/>
            <w:hideMark/>
          </w:tcPr>
          <w:p w14:paraId="6655AECE"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1,680</w:t>
            </w:r>
          </w:p>
        </w:tc>
        <w:tc>
          <w:tcPr>
            <w:tcW w:w="585" w:type="pct"/>
            <w:tcBorders>
              <w:top w:val="nil"/>
              <w:left w:val="nil"/>
              <w:bottom w:val="nil"/>
              <w:right w:val="nil"/>
            </w:tcBorders>
            <w:shd w:val="clear" w:color="000000" w:fill="E6F2FF"/>
            <w:noWrap/>
            <w:vAlign w:val="center"/>
            <w:hideMark/>
          </w:tcPr>
          <w:p w14:paraId="001FF366"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1,590</w:t>
            </w:r>
          </w:p>
        </w:tc>
        <w:tc>
          <w:tcPr>
            <w:tcW w:w="81" w:type="pct"/>
            <w:tcBorders>
              <w:top w:val="nil"/>
              <w:left w:val="nil"/>
              <w:bottom w:val="nil"/>
              <w:right w:val="nil"/>
            </w:tcBorders>
            <w:shd w:val="clear" w:color="000000" w:fill="FFFFFF"/>
            <w:noWrap/>
            <w:vAlign w:val="center"/>
            <w:hideMark/>
          </w:tcPr>
          <w:p w14:paraId="64C94C5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1983BAD2"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-90</w:t>
            </w:r>
          </w:p>
        </w:tc>
        <w:tc>
          <w:tcPr>
            <w:tcW w:w="558" w:type="pct"/>
            <w:tcBorders>
              <w:top w:val="nil"/>
              <w:left w:val="nil"/>
              <w:bottom w:val="nil"/>
              <w:right w:val="nil"/>
            </w:tcBorders>
            <w:shd w:val="clear" w:color="000000" w:fill="FFFFFF"/>
            <w:noWrap/>
            <w:vAlign w:val="center"/>
            <w:hideMark/>
          </w:tcPr>
          <w:p w14:paraId="6DA2D823"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-5.4</w:t>
            </w:r>
          </w:p>
        </w:tc>
      </w:tr>
      <w:tr w:rsidR="00B8587E" w:rsidRPr="00954D98" w14:paraId="5C8AF5D5"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1AC2D96E" w14:textId="77777777" w:rsidR="00B8587E" w:rsidRPr="00954D98" w:rsidRDefault="00B8587E" w:rsidP="00B8587E">
            <w:pPr>
              <w:spacing w:before="0" w:after="0" w:line="240" w:lineRule="auto"/>
              <w:rPr>
                <w:rFonts w:ascii="Arial" w:hAnsi="Arial" w:cs="Arial"/>
                <w:b/>
                <w:bCs/>
                <w:color w:val="FFFF00"/>
                <w:sz w:val="16"/>
                <w:szCs w:val="16"/>
              </w:rPr>
            </w:pPr>
            <w:r w:rsidRPr="00954D98">
              <w:rPr>
                <w:rFonts w:ascii="Arial" w:hAnsi="Arial" w:cs="Arial"/>
                <w:b/>
                <w:bCs/>
                <w:sz w:val="16"/>
                <w:szCs w:val="16"/>
              </w:rPr>
              <w:t>Income taxation revenue</w:t>
            </w:r>
          </w:p>
        </w:tc>
        <w:tc>
          <w:tcPr>
            <w:tcW w:w="585" w:type="pct"/>
            <w:tcBorders>
              <w:top w:val="single" w:sz="4" w:space="0" w:color="293F5B"/>
              <w:left w:val="nil"/>
              <w:bottom w:val="single" w:sz="4" w:space="0" w:color="293F5B"/>
              <w:right w:val="nil"/>
            </w:tcBorders>
            <w:shd w:val="clear" w:color="000000" w:fill="FFFFFF"/>
            <w:noWrap/>
            <w:vAlign w:val="center"/>
            <w:hideMark/>
          </w:tcPr>
          <w:p w14:paraId="401C178B"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559,690</w:t>
            </w:r>
          </w:p>
        </w:tc>
        <w:tc>
          <w:tcPr>
            <w:tcW w:w="585" w:type="pct"/>
            <w:tcBorders>
              <w:top w:val="single" w:sz="4" w:space="0" w:color="293F5B"/>
              <w:left w:val="nil"/>
              <w:bottom w:val="single" w:sz="4" w:space="0" w:color="293F5B"/>
              <w:right w:val="nil"/>
            </w:tcBorders>
            <w:shd w:val="clear" w:color="000000" w:fill="E6F2FF"/>
            <w:noWrap/>
            <w:vAlign w:val="center"/>
            <w:hideMark/>
          </w:tcPr>
          <w:p w14:paraId="10C00D62"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570,850</w:t>
            </w:r>
          </w:p>
        </w:tc>
        <w:tc>
          <w:tcPr>
            <w:tcW w:w="81" w:type="pct"/>
            <w:tcBorders>
              <w:top w:val="nil"/>
              <w:left w:val="nil"/>
              <w:bottom w:val="nil"/>
              <w:right w:val="nil"/>
            </w:tcBorders>
            <w:shd w:val="clear" w:color="000000" w:fill="FFFFFF"/>
            <w:noWrap/>
            <w:vAlign w:val="center"/>
            <w:hideMark/>
          </w:tcPr>
          <w:p w14:paraId="32CE32EE"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13" w:type="pct"/>
            <w:tcBorders>
              <w:top w:val="single" w:sz="4" w:space="0" w:color="293F5B"/>
              <w:left w:val="nil"/>
              <w:bottom w:val="single" w:sz="4" w:space="0" w:color="293F5B"/>
              <w:right w:val="nil"/>
            </w:tcBorders>
            <w:shd w:val="clear" w:color="000000" w:fill="FFFFFF"/>
            <w:noWrap/>
            <w:vAlign w:val="center"/>
            <w:hideMark/>
          </w:tcPr>
          <w:p w14:paraId="2B84B57F"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11,160</w:t>
            </w:r>
          </w:p>
        </w:tc>
        <w:tc>
          <w:tcPr>
            <w:tcW w:w="558" w:type="pct"/>
            <w:tcBorders>
              <w:top w:val="single" w:sz="4" w:space="0" w:color="293F5B"/>
              <w:left w:val="nil"/>
              <w:bottom w:val="single" w:sz="4" w:space="0" w:color="293F5B"/>
              <w:right w:val="nil"/>
            </w:tcBorders>
            <w:shd w:val="clear" w:color="000000" w:fill="FFFFFF"/>
            <w:noWrap/>
            <w:vAlign w:val="center"/>
            <w:hideMark/>
          </w:tcPr>
          <w:p w14:paraId="1D33853B" w14:textId="77777777" w:rsidR="00B8587E" w:rsidRPr="00954D98" w:rsidRDefault="00B8587E" w:rsidP="00B8587E">
            <w:pPr>
              <w:spacing w:before="0" w:after="0" w:line="240" w:lineRule="auto"/>
              <w:jc w:val="right"/>
              <w:rPr>
                <w:rFonts w:ascii="Arial" w:hAnsi="Arial" w:cs="Arial"/>
                <w:b/>
                <w:bCs/>
                <w:sz w:val="16"/>
                <w:szCs w:val="16"/>
              </w:rPr>
            </w:pPr>
            <w:r w:rsidRPr="00954D98">
              <w:rPr>
                <w:rFonts w:ascii="Arial" w:hAnsi="Arial" w:cs="Arial"/>
                <w:b/>
                <w:bCs/>
                <w:sz w:val="16"/>
                <w:szCs w:val="16"/>
              </w:rPr>
              <w:t>2.0</w:t>
            </w:r>
          </w:p>
        </w:tc>
      </w:tr>
      <w:tr w:rsidR="00B8587E" w:rsidRPr="00954D98" w14:paraId="03E0D5FE" w14:textId="77777777" w:rsidTr="00B8587E">
        <w:trPr>
          <w:trHeight w:hRule="exact" w:val="60"/>
        </w:trPr>
        <w:tc>
          <w:tcPr>
            <w:tcW w:w="2577" w:type="pct"/>
            <w:tcBorders>
              <w:top w:val="nil"/>
              <w:left w:val="nil"/>
              <w:bottom w:val="nil"/>
              <w:right w:val="nil"/>
            </w:tcBorders>
            <w:shd w:val="clear" w:color="000000" w:fill="FFFFFF"/>
            <w:noWrap/>
            <w:vAlign w:val="center"/>
            <w:hideMark/>
          </w:tcPr>
          <w:p w14:paraId="5A05DE91" w14:textId="77777777" w:rsidR="00B8587E" w:rsidRPr="00954D98" w:rsidRDefault="00B8587E" w:rsidP="00B8587E">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85" w:type="pct"/>
            <w:tcBorders>
              <w:top w:val="nil"/>
              <w:left w:val="nil"/>
              <w:bottom w:val="nil"/>
              <w:right w:val="nil"/>
            </w:tcBorders>
            <w:shd w:val="clear" w:color="000000" w:fill="FFFFFF"/>
            <w:noWrap/>
            <w:vAlign w:val="center"/>
            <w:hideMark/>
          </w:tcPr>
          <w:p w14:paraId="2E3859FC"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E6F2FF"/>
            <w:noWrap/>
            <w:vAlign w:val="center"/>
            <w:hideMark/>
          </w:tcPr>
          <w:p w14:paraId="42E0F54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4B2FAC98"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13" w:type="pct"/>
            <w:tcBorders>
              <w:top w:val="nil"/>
              <w:left w:val="nil"/>
              <w:bottom w:val="nil"/>
              <w:right w:val="nil"/>
            </w:tcBorders>
            <w:shd w:val="clear" w:color="000000" w:fill="FFFFFF"/>
            <w:noWrap/>
            <w:vAlign w:val="center"/>
            <w:hideMark/>
          </w:tcPr>
          <w:p w14:paraId="7EFD1556"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58" w:type="pct"/>
            <w:tcBorders>
              <w:top w:val="nil"/>
              <w:left w:val="nil"/>
              <w:bottom w:val="nil"/>
              <w:right w:val="nil"/>
            </w:tcBorders>
            <w:shd w:val="clear" w:color="000000" w:fill="FFFFFF"/>
            <w:noWrap/>
            <w:vAlign w:val="center"/>
            <w:hideMark/>
          </w:tcPr>
          <w:p w14:paraId="4E288771"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 </w:t>
            </w:r>
          </w:p>
        </w:tc>
      </w:tr>
      <w:tr w:rsidR="00B8587E" w:rsidRPr="00954D98" w14:paraId="387BD4F5"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637E1FE1"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Goods and services tax</w:t>
            </w:r>
          </w:p>
        </w:tc>
        <w:tc>
          <w:tcPr>
            <w:tcW w:w="585" w:type="pct"/>
            <w:tcBorders>
              <w:top w:val="nil"/>
              <w:left w:val="nil"/>
              <w:bottom w:val="nil"/>
              <w:right w:val="nil"/>
            </w:tcBorders>
            <w:shd w:val="clear" w:color="000000" w:fill="FFFFFF"/>
            <w:noWrap/>
            <w:vAlign w:val="center"/>
            <w:hideMark/>
          </w:tcPr>
          <w:p w14:paraId="7899D3D3"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104,560</w:t>
            </w:r>
          </w:p>
        </w:tc>
        <w:tc>
          <w:tcPr>
            <w:tcW w:w="585" w:type="pct"/>
            <w:tcBorders>
              <w:top w:val="nil"/>
              <w:left w:val="nil"/>
              <w:bottom w:val="nil"/>
              <w:right w:val="nil"/>
            </w:tcBorders>
            <w:shd w:val="clear" w:color="000000" w:fill="E6F2FF"/>
            <w:noWrap/>
            <w:vAlign w:val="center"/>
            <w:hideMark/>
          </w:tcPr>
          <w:p w14:paraId="406044BB"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107,240</w:t>
            </w:r>
          </w:p>
        </w:tc>
        <w:tc>
          <w:tcPr>
            <w:tcW w:w="81" w:type="pct"/>
            <w:tcBorders>
              <w:top w:val="nil"/>
              <w:left w:val="nil"/>
              <w:bottom w:val="nil"/>
              <w:right w:val="nil"/>
            </w:tcBorders>
            <w:shd w:val="clear" w:color="000000" w:fill="FFFFFF"/>
            <w:noWrap/>
            <w:vAlign w:val="center"/>
            <w:hideMark/>
          </w:tcPr>
          <w:p w14:paraId="4839962C"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13" w:type="pct"/>
            <w:tcBorders>
              <w:top w:val="nil"/>
              <w:left w:val="nil"/>
              <w:bottom w:val="nil"/>
              <w:right w:val="nil"/>
            </w:tcBorders>
            <w:shd w:val="clear" w:color="000000" w:fill="FFFFFF"/>
            <w:noWrap/>
            <w:vAlign w:val="center"/>
            <w:hideMark/>
          </w:tcPr>
          <w:p w14:paraId="6442E076"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2,680</w:t>
            </w:r>
          </w:p>
        </w:tc>
        <w:tc>
          <w:tcPr>
            <w:tcW w:w="558" w:type="pct"/>
            <w:tcBorders>
              <w:top w:val="nil"/>
              <w:left w:val="nil"/>
              <w:bottom w:val="nil"/>
              <w:right w:val="nil"/>
            </w:tcBorders>
            <w:shd w:val="clear" w:color="000000" w:fill="FFFFFF"/>
            <w:noWrap/>
            <w:vAlign w:val="center"/>
            <w:hideMark/>
          </w:tcPr>
          <w:p w14:paraId="74A9FDD5"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2.6</w:t>
            </w:r>
          </w:p>
        </w:tc>
      </w:tr>
      <w:tr w:rsidR="00B8587E" w:rsidRPr="00954D98" w14:paraId="38635229"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01A58929"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Wine equalisation tax</w:t>
            </w:r>
          </w:p>
        </w:tc>
        <w:tc>
          <w:tcPr>
            <w:tcW w:w="585" w:type="pct"/>
            <w:tcBorders>
              <w:top w:val="nil"/>
              <w:left w:val="nil"/>
              <w:bottom w:val="nil"/>
              <w:right w:val="nil"/>
            </w:tcBorders>
            <w:shd w:val="clear" w:color="000000" w:fill="FFFFFF"/>
            <w:noWrap/>
            <w:vAlign w:val="center"/>
            <w:hideMark/>
          </w:tcPr>
          <w:p w14:paraId="468B8851"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1,250</w:t>
            </w:r>
          </w:p>
        </w:tc>
        <w:tc>
          <w:tcPr>
            <w:tcW w:w="585" w:type="pct"/>
            <w:tcBorders>
              <w:top w:val="nil"/>
              <w:left w:val="nil"/>
              <w:bottom w:val="nil"/>
              <w:right w:val="nil"/>
            </w:tcBorders>
            <w:shd w:val="clear" w:color="000000" w:fill="E6F2FF"/>
            <w:noWrap/>
            <w:vAlign w:val="center"/>
            <w:hideMark/>
          </w:tcPr>
          <w:p w14:paraId="71F95B86"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1,220</w:t>
            </w:r>
          </w:p>
        </w:tc>
        <w:tc>
          <w:tcPr>
            <w:tcW w:w="81" w:type="pct"/>
            <w:tcBorders>
              <w:top w:val="nil"/>
              <w:left w:val="nil"/>
              <w:bottom w:val="nil"/>
              <w:right w:val="nil"/>
            </w:tcBorders>
            <w:shd w:val="clear" w:color="000000" w:fill="FFFFFF"/>
            <w:noWrap/>
            <w:vAlign w:val="center"/>
            <w:hideMark/>
          </w:tcPr>
          <w:p w14:paraId="06390FA8"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13" w:type="pct"/>
            <w:tcBorders>
              <w:top w:val="nil"/>
              <w:left w:val="nil"/>
              <w:bottom w:val="nil"/>
              <w:right w:val="nil"/>
            </w:tcBorders>
            <w:shd w:val="clear" w:color="000000" w:fill="FFFFFF"/>
            <w:noWrap/>
            <w:vAlign w:val="center"/>
            <w:hideMark/>
          </w:tcPr>
          <w:p w14:paraId="561A49C4"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-30</w:t>
            </w:r>
          </w:p>
        </w:tc>
        <w:tc>
          <w:tcPr>
            <w:tcW w:w="558" w:type="pct"/>
            <w:tcBorders>
              <w:top w:val="nil"/>
              <w:left w:val="nil"/>
              <w:bottom w:val="nil"/>
              <w:right w:val="nil"/>
            </w:tcBorders>
            <w:shd w:val="clear" w:color="000000" w:fill="FFFFFF"/>
            <w:noWrap/>
            <w:vAlign w:val="center"/>
            <w:hideMark/>
          </w:tcPr>
          <w:p w14:paraId="498CC4B6"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-2.4</w:t>
            </w:r>
          </w:p>
        </w:tc>
      </w:tr>
      <w:tr w:rsidR="00B8587E" w:rsidRPr="00954D98" w14:paraId="4F0C352A"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5553B2C7"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Luxury car tax</w:t>
            </w:r>
          </w:p>
        </w:tc>
        <w:tc>
          <w:tcPr>
            <w:tcW w:w="585" w:type="pct"/>
            <w:tcBorders>
              <w:top w:val="nil"/>
              <w:left w:val="nil"/>
              <w:bottom w:val="nil"/>
              <w:right w:val="nil"/>
            </w:tcBorders>
            <w:shd w:val="clear" w:color="000000" w:fill="FFFFFF"/>
            <w:noWrap/>
            <w:vAlign w:val="center"/>
            <w:hideMark/>
          </w:tcPr>
          <w:p w14:paraId="06FE6BDD"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1,280</w:t>
            </w:r>
          </w:p>
        </w:tc>
        <w:tc>
          <w:tcPr>
            <w:tcW w:w="585" w:type="pct"/>
            <w:tcBorders>
              <w:top w:val="nil"/>
              <w:left w:val="nil"/>
              <w:bottom w:val="nil"/>
              <w:right w:val="nil"/>
            </w:tcBorders>
            <w:shd w:val="clear" w:color="000000" w:fill="E6F2FF"/>
            <w:noWrap/>
            <w:vAlign w:val="center"/>
            <w:hideMark/>
          </w:tcPr>
          <w:p w14:paraId="697CC284"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1,180</w:t>
            </w:r>
          </w:p>
        </w:tc>
        <w:tc>
          <w:tcPr>
            <w:tcW w:w="81" w:type="pct"/>
            <w:tcBorders>
              <w:top w:val="nil"/>
              <w:left w:val="nil"/>
              <w:bottom w:val="nil"/>
              <w:right w:val="nil"/>
            </w:tcBorders>
            <w:shd w:val="clear" w:color="000000" w:fill="FFFFFF"/>
            <w:noWrap/>
            <w:vAlign w:val="center"/>
            <w:hideMark/>
          </w:tcPr>
          <w:p w14:paraId="723F3BDC"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13" w:type="pct"/>
            <w:tcBorders>
              <w:top w:val="nil"/>
              <w:left w:val="nil"/>
              <w:bottom w:val="nil"/>
              <w:right w:val="nil"/>
            </w:tcBorders>
            <w:shd w:val="clear" w:color="000000" w:fill="FFFFFF"/>
            <w:noWrap/>
            <w:vAlign w:val="center"/>
            <w:hideMark/>
          </w:tcPr>
          <w:p w14:paraId="7EE85510"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-100</w:t>
            </w:r>
          </w:p>
        </w:tc>
        <w:tc>
          <w:tcPr>
            <w:tcW w:w="558" w:type="pct"/>
            <w:tcBorders>
              <w:top w:val="nil"/>
              <w:left w:val="nil"/>
              <w:bottom w:val="nil"/>
              <w:right w:val="nil"/>
            </w:tcBorders>
            <w:shd w:val="clear" w:color="000000" w:fill="FFFFFF"/>
            <w:noWrap/>
            <w:vAlign w:val="center"/>
            <w:hideMark/>
          </w:tcPr>
          <w:p w14:paraId="3214479E"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-7.8</w:t>
            </w:r>
          </w:p>
        </w:tc>
      </w:tr>
      <w:tr w:rsidR="00B8587E" w:rsidRPr="00954D98" w14:paraId="4311A93F"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22607203"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 xml:space="preserve">Excise and customs duty  </w:t>
            </w:r>
          </w:p>
        </w:tc>
        <w:tc>
          <w:tcPr>
            <w:tcW w:w="585" w:type="pct"/>
            <w:tcBorders>
              <w:top w:val="nil"/>
              <w:left w:val="nil"/>
              <w:bottom w:val="nil"/>
              <w:right w:val="nil"/>
            </w:tcBorders>
            <w:shd w:val="clear" w:color="000000" w:fill="FFFFFF"/>
            <w:noWrap/>
            <w:vAlign w:val="center"/>
            <w:hideMark/>
          </w:tcPr>
          <w:p w14:paraId="6902AA30"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E6F2FF"/>
            <w:noWrap/>
            <w:vAlign w:val="center"/>
            <w:hideMark/>
          </w:tcPr>
          <w:p w14:paraId="2647F01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30D39254"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3FA17BC7"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58" w:type="pct"/>
            <w:tcBorders>
              <w:top w:val="nil"/>
              <w:left w:val="nil"/>
              <w:bottom w:val="nil"/>
              <w:right w:val="nil"/>
            </w:tcBorders>
            <w:shd w:val="clear" w:color="000000" w:fill="FFFFFF"/>
            <w:noWrap/>
            <w:vAlign w:val="center"/>
            <w:hideMark/>
          </w:tcPr>
          <w:p w14:paraId="31166446"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 </w:t>
            </w:r>
          </w:p>
        </w:tc>
      </w:tr>
      <w:tr w:rsidR="00B8587E" w:rsidRPr="00954D98" w14:paraId="153E2F51"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1796AB3C" w14:textId="77777777" w:rsidR="00B8587E" w:rsidRPr="00954D98" w:rsidRDefault="00B8587E" w:rsidP="00B8587E">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Petrol</w:t>
            </w:r>
          </w:p>
        </w:tc>
        <w:tc>
          <w:tcPr>
            <w:tcW w:w="585" w:type="pct"/>
            <w:tcBorders>
              <w:top w:val="nil"/>
              <w:left w:val="nil"/>
              <w:bottom w:val="nil"/>
              <w:right w:val="nil"/>
            </w:tcBorders>
            <w:shd w:val="clear" w:color="000000" w:fill="FFFFFF"/>
            <w:noWrap/>
            <w:vAlign w:val="center"/>
            <w:hideMark/>
          </w:tcPr>
          <w:p w14:paraId="0A33CC01"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7,600</w:t>
            </w:r>
          </w:p>
        </w:tc>
        <w:tc>
          <w:tcPr>
            <w:tcW w:w="585" w:type="pct"/>
            <w:tcBorders>
              <w:top w:val="nil"/>
              <w:left w:val="nil"/>
              <w:bottom w:val="nil"/>
              <w:right w:val="nil"/>
            </w:tcBorders>
            <w:shd w:val="clear" w:color="000000" w:fill="E6F2FF"/>
            <w:noWrap/>
            <w:vAlign w:val="center"/>
            <w:hideMark/>
          </w:tcPr>
          <w:p w14:paraId="0026067A"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7,570</w:t>
            </w:r>
          </w:p>
        </w:tc>
        <w:tc>
          <w:tcPr>
            <w:tcW w:w="81" w:type="pct"/>
            <w:tcBorders>
              <w:top w:val="nil"/>
              <w:left w:val="nil"/>
              <w:bottom w:val="nil"/>
              <w:right w:val="nil"/>
            </w:tcBorders>
            <w:shd w:val="clear" w:color="000000" w:fill="FFFFFF"/>
            <w:noWrap/>
            <w:vAlign w:val="center"/>
            <w:hideMark/>
          </w:tcPr>
          <w:p w14:paraId="4DD32E11"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399B2169"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-30</w:t>
            </w:r>
          </w:p>
        </w:tc>
        <w:tc>
          <w:tcPr>
            <w:tcW w:w="558" w:type="pct"/>
            <w:tcBorders>
              <w:top w:val="nil"/>
              <w:left w:val="nil"/>
              <w:bottom w:val="nil"/>
              <w:right w:val="nil"/>
            </w:tcBorders>
            <w:shd w:val="clear" w:color="000000" w:fill="FFFFFF"/>
            <w:noWrap/>
            <w:vAlign w:val="center"/>
            <w:hideMark/>
          </w:tcPr>
          <w:p w14:paraId="0F5D9C34"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-0.4</w:t>
            </w:r>
          </w:p>
        </w:tc>
      </w:tr>
      <w:tr w:rsidR="00B8587E" w:rsidRPr="00954D98" w14:paraId="4C7087CE"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0DA9E14A" w14:textId="77777777" w:rsidR="00B8587E" w:rsidRPr="00954D98" w:rsidRDefault="00B8587E" w:rsidP="00B8587E">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Diesel</w:t>
            </w:r>
          </w:p>
        </w:tc>
        <w:tc>
          <w:tcPr>
            <w:tcW w:w="585" w:type="pct"/>
            <w:tcBorders>
              <w:top w:val="nil"/>
              <w:left w:val="nil"/>
              <w:bottom w:val="nil"/>
              <w:right w:val="nil"/>
            </w:tcBorders>
            <w:shd w:val="clear" w:color="000000" w:fill="FFFFFF"/>
            <w:noWrap/>
            <w:vAlign w:val="center"/>
            <w:hideMark/>
          </w:tcPr>
          <w:p w14:paraId="49348376"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18,770</w:t>
            </w:r>
          </w:p>
        </w:tc>
        <w:tc>
          <w:tcPr>
            <w:tcW w:w="585" w:type="pct"/>
            <w:tcBorders>
              <w:top w:val="nil"/>
              <w:left w:val="nil"/>
              <w:bottom w:val="nil"/>
              <w:right w:val="nil"/>
            </w:tcBorders>
            <w:shd w:val="clear" w:color="000000" w:fill="E6F2FF"/>
            <w:noWrap/>
            <w:vAlign w:val="center"/>
            <w:hideMark/>
          </w:tcPr>
          <w:p w14:paraId="7EA42CD1"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18,490</w:t>
            </w:r>
          </w:p>
        </w:tc>
        <w:tc>
          <w:tcPr>
            <w:tcW w:w="81" w:type="pct"/>
            <w:tcBorders>
              <w:top w:val="nil"/>
              <w:left w:val="nil"/>
              <w:bottom w:val="nil"/>
              <w:right w:val="nil"/>
            </w:tcBorders>
            <w:shd w:val="clear" w:color="000000" w:fill="FFFFFF"/>
            <w:noWrap/>
            <w:vAlign w:val="center"/>
            <w:hideMark/>
          </w:tcPr>
          <w:p w14:paraId="7B583DCA"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034775E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-280</w:t>
            </w:r>
          </w:p>
        </w:tc>
        <w:tc>
          <w:tcPr>
            <w:tcW w:w="558" w:type="pct"/>
            <w:tcBorders>
              <w:top w:val="nil"/>
              <w:left w:val="nil"/>
              <w:bottom w:val="nil"/>
              <w:right w:val="nil"/>
            </w:tcBorders>
            <w:shd w:val="clear" w:color="000000" w:fill="FFFFFF"/>
            <w:noWrap/>
            <w:vAlign w:val="center"/>
            <w:hideMark/>
          </w:tcPr>
          <w:p w14:paraId="6783F590"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-1.5</w:t>
            </w:r>
          </w:p>
        </w:tc>
      </w:tr>
      <w:tr w:rsidR="00B8587E" w:rsidRPr="00954D98" w14:paraId="34FDFFBA"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1416C94C" w14:textId="77777777" w:rsidR="00B8587E" w:rsidRPr="00954D98" w:rsidRDefault="00B8587E" w:rsidP="00B8587E">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Other fuel products</w:t>
            </w:r>
          </w:p>
        </w:tc>
        <w:tc>
          <w:tcPr>
            <w:tcW w:w="585" w:type="pct"/>
            <w:tcBorders>
              <w:top w:val="nil"/>
              <w:left w:val="nil"/>
              <w:bottom w:val="nil"/>
              <w:right w:val="nil"/>
            </w:tcBorders>
            <w:shd w:val="clear" w:color="000000" w:fill="FFFFFF"/>
            <w:noWrap/>
            <w:vAlign w:val="center"/>
            <w:hideMark/>
          </w:tcPr>
          <w:p w14:paraId="49352BD2"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2,070</w:t>
            </w:r>
          </w:p>
        </w:tc>
        <w:tc>
          <w:tcPr>
            <w:tcW w:w="585" w:type="pct"/>
            <w:tcBorders>
              <w:top w:val="nil"/>
              <w:left w:val="nil"/>
              <w:bottom w:val="nil"/>
              <w:right w:val="nil"/>
            </w:tcBorders>
            <w:shd w:val="clear" w:color="000000" w:fill="E6F2FF"/>
            <w:noWrap/>
            <w:vAlign w:val="center"/>
            <w:hideMark/>
          </w:tcPr>
          <w:p w14:paraId="17DEEE82"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1,710</w:t>
            </w:r>
          </w:p>
        </w:tc>
        <w:tc>
          <w:tcPr>
            <w:tcW w:w="81" w:type="pct"/>
            <w:tcBorders>
              <w:top w:val="nil"/>
              <w:left w:val="nil"/>
              <w:bottom w:val="nil"/>
              <w:right w:val="nil"/>
            </w:tcBorders>
            <w:shd w:val="clear" w:color="000000" w:fill="FFFFFF"/>
            <w:noWrap/>
            <w:vAlign w:val="center"/>
            <w:hideMark/>
          </w:tcPr>
          <w:p w14:paraId="5E70B52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24E3C29D"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-360</w:t>
            </w:r>
          </w:p>
        </w:tc>
        <w:tc>
          <w:tcPr>
            <w:tcW w:w="558" w:type="pct"/>
            <w:tcBorders>
              <w:top w:val="nil"/>
              <w:left w:val="nil"/>
              <w:bottom w:val="nil"/>
              <w:right w:val="nil"/>
            </w:tcBorders>
            <w:shd w:val="clear" w:color="000000" w:fill="FFFFFF"/>
            <w:noWrap/>
            <w:vAlign w:val="center"/>
            <w:hideMark/>
          </w:tcPr>
          <w:p w14:paraId="50ADC226"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-17.4</w:t>
            </w:r>
          </w:p>
        </w:tc>
      </w:tr>
      <w:tr w:rsidR="00B8587E" w:rsidRPr="00954D98" w14:paraId="2C2E3204"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0F4846D5" w14:textId="77777777" w:rsidR="00B8587E" w:rsidRPr="00954D98" w:rsidRDefault="00B8587E" w:rsidP="00B8587E">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Tobacco</w:t>
            </w:r>
          </w:p>
        </w:tc>
        <w:tc>
          <w:tcPr>
            <w:tcW w:w="585" w:type="pct"/>
            <w:tcBorders>
              <w:top w:val="nil"/>
              <w:left w:val="nil"/>
              <w:bottom w:val="nil"/>
              <w:right w:val="nil"/>
            </w:tcBorders>
            <w:shd w:val="clear" w:color="000000" w:fill="FFFFFF"/>
            <w:noWrap/>
            <w:vAlign w:val="center"/>
            <w:hideMark/>
          </w:tcPr>
          <w:p w14:paraId="62D21F0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6,800</w:t>
            </w:r>
          </w:p>
        </w:tc>
        <w:tc>
          <w:tcPr>
            <w:tcW w:w="585" w:type="pct"/>
            <w:tcBorders>
              <w:top w:val="nil"/>
              <w:left w:val="nil"/>
              <w:bottom w:val="nil"/>
              <w:right w:val="nil"/>
            </w:tcBorders>
            <w:shd w:val="clear" w:color="000000" w:fill="E6F2FF"/>
            <w:noWrap/>
            <w:vAlign w:val="center"/>
            <w:hideMark/>
          </w:tcPr>
          <w:p w14:paraId="31FE7FCE"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4,800</w:t>
            </w:r>
          </w:p>
        </w:tc>
        <w:tc>
          <w:tcPr>
            <w:tcW w:w="81" w:type="pct"/>
            <w:tcBorders>
              <w:top w:val="nil"/>
              <w:left w:val="nil"/>
              <w:bottom w:val="nil"/>
              <w:right w:val="nil"/>
            </w:tcBorders>
            <w:shd w:val="clear" w:color="000000" w:fill="FFFFFF"/>
            <w:noWrap/>
            <w:vAlign w:val="center"/>
            <w:hideMark/>
          </w:tcPr>
          <w:p w14:paraId="0B79D742"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5C43B526"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-2,000</w:t>
            </w:r>
          </w:p>
        </w:tc>
        <w:tc>
          <w:tcPr>
            <w:tcW w:w="558" w:type="pct"/>
            <w:tcBorders>
              <w:top w:val="nil"/>
              <w:left w:val="nil"/>
              <w:bottom w:val="nil"/>
              <w:right w:val="nil"/>
            </w:tcBorders>
            <w:shd w:val="clear" w:color="000000" w:fill="FFFFFF"/>
            <w:noWrap/>
            <w:vAlign w:val="center"/>
            <w:hideMark/>
          </w:tcPr>
          <w:p w14:paraId="2C895929"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-29.4</w:t>
            </w:r>
          </w:p>
        </w:tc>
      </w:tr>
      <w:tr w:rsidR="00B8587E" w:rsidRPr="00954D98" w14:paraId="255328BB"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03419F2B" w14:textId="77777777" w:rsidR="00B8587E" w:rsidRPr="00954D98" w:rsidRDefault="00B8587E" w:rsidP="00B8587E">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Beer</w:t>
            </w:r>
          </w:p>
        </w:tc>
        <w:tc>
          <w:tcPr>
            <w:tcW w:w="585" w:type="pct"/>
            <w:tcBorders>
              <w:top w:val="nil"/>
              <w:left w:val="nil"/>
              <w:bottom w:val="nil"/>
              <w:right w:val="nil"/>
            </w:tcBorders>
            <w:shd w:val="clear" w:color="000000" w:fill="FFFFFF"/>
            <w:noWrap/>
            <w:vAlign w:val="center"/>
            <w:hideMark/>
          </w:tcPr>
          <w:p w14:paraId="0783F4B0"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2,910</w:t>
            </w:r>
          </w:p>
        </w:tc>
        <w:tc>
          <w:tcPr>
            <w:tcW w:w="585" w:type="pct"/>
            <w:tcBorders>
              <w:top w:val="nil"/>
              <w:left w:val="nil"/>
              <w:bottom w:val="nil"/>
              <w:right w:val="nil"/>
            </w:tcBorders>
            <w:shd w:val="clear" w:color="000000" w:fill="E6F2FF"/>
            <w:noWrap/>
            <w:vAlign w:val="center"/>
            <w:hideMark/>
          </w:tcPr>
          <w:p w14:paraId="6C4EC307"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2,780</w:t>
            </w:r>
          </w:p>
        </w:tc>
        <w:tc>
          <w:tcPr>
            <w:tcW w:w="81" w:type="pct"/>
            <w:tcBorders>
              <w:top w:val="nil"/>
              <w:left w:val="nil"/>
              <w:bottom w:val="nil"/>
              <w:right w:val="nil"/>
            </w:tcBorders>
            <w:shd w:val="clear" w:color="000000" w:fill="FFFFFF"/>
            <w:noWrap/>
            <w:vAlign w:val="center"/>
            <w:hideMark/>
          </w:tcPr>
          <w:p w14:paraId="249CD221"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2F360A97"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-130</w:t>
            </w:r>
          </w:p>
        </w:tc>
        <w:tc>
          <w:tcPr>
            <w:tcW w:w="558" w:type="pct"/>
            <w:tcBorders>
              <w:top w:val="nil"/>
              <w:left w:val="nil"/>
              <w:bottom w:val="nil"/>
              <w:right w:val="nil"/>
            </w:tcBorders>
            <w:shd w:val="clear" w:color="000000" w:fill="FFFFFF"/>
            <w:noWrap/>
            <w:vAlign w:val="center"/>
            <w:hideMark/>
          </w:tcPr>
          <w:p w14:paraId="47410B16"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-4.5</w:t>
            </w:r>
          </w:p>
        </w:tc>
      </w:tr>
      <w:tr w:rsidR="00B8587E" w:rsidRPr="00954D98" w14:paraId="4D533C21"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024E4A54" w14:textId="77777777" w:rsidR="00B8587E" w:rsidRPr="00954D98" w:rsidRDefault="00B8587E" w:rsidP="00B8587E">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Spirits</w:t>
            </w:r>
          </w:p>
        </w:tc>
        <w:tc>
          <w:tcPr>
            <w:tcW w:w="585" w:type="pct"/>
            <w:tcBorders>
              <w:top w:val="nil"/>
              <w:left w:val="nil"/>
              <w:bottom w:val="nil"/>
              <w:right w:val="nil"/>
            </w:tcBorders>
            <w:shd w:val="clear" w:color="000000" w:fill="FFFFFF"/>
            <w:noWrap/>
            <w:vAlign w:val="center"/>
            <w:hideMark/>
          </w:tcPr>
          <w:p w14:paraId="10863B6E"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3,430</w:t>
            </w:r>
          </w:p>
        </w:tc>
        <w:tc>
          <w:tcPr>
            <w:tcW w:w="585" w:type="pct"/>
            <w:tcBorders>
              <w:top w:val="nil"/>
              <w:left w:val="nil"/>
              <w:bottom w:val="nil"/>
              <w:right w:val="nil"/>
            </w:tcBorders>
            <w:shd w:val="clear" w:color="000000" w:fill="E6F2FF"/>
            <w:noWrap/>
            <w:vAlign w:val="center"/>
            <w:hideMark/>
          </w:tcPr>
          <w:p w14:paraId="08A2A64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3,280</w:t>
            </w:r>
          </w:p>
        </w:tc>
        <w:tc>
          <w:tcPr>
            <w:tcW w:w="81" w:type="pct"/>
            <w:tcBorders>
              <w:top w:val="nil"/>
              <w:left w:val="nil"/>
              <w:bottom w:val="nil"/>
              <w:right w:val="nil"/>
            </w:tcBorders>
            <w:shd w:val="clear" w:color="000000" w:fill="FFFFFF"/>
            <w:noWrap/>
            <w:vAlign w:val="center"/>
            <w:hideMark/>
          </w:tcPr>
          <w:p w14:paraId="62D2E9C8"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505F89A1"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-150</w:t>
            </w:r>
          </w:p>
        </w:tc>
        <w:tc>
          <w:tcPr>
            <w:tcW w:w="558" w:type="pct"/>
            <w:tcBorders>
              <w:top w:val="nil"/>
              <w:left w:val="nil"/>
              <w:bottom w:val="nil"/>
              <w:right w:val="nil"/>
            </w:tcBorders>
            <w:shd w:val="clear" w:color="000000" w:fill="FFFFFF"/>
            <w:noWrap/>
            <w:vAlign w:val="center"/>
            <w:hideMark/>
          </w:tcPr>
          <w:p w14:paraId="7C2FB582"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-4.4</w:t>
            </w:r>
          </w:p>
        </w:tc>
      </w:tr>
      <w:tr w:rsidR="00B8587E" w:rsidRPr="00954D98" w14:paraId="43B11D66"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0D369A3A" w14:textId="77777777" w:rsidR="00B8587E" w:rsidRPr="00954D98" w:rsidRDefault="00B8587E" w:rsidP="00B8587E">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Other alcoholic beverages(a)</w:t>
            </w:r>
          </w:p>
        </w:tc>
        <w:tc>
          <w:tcPr>
            <w:tcW w:w="585" w:type="pct"/>
            <w:tcBorders>
              <w:top w:val="nil"/>
              <w:left w:val="nil"/>
              <w:bottom w:val="nil"/>
              <w:right w:val="nil"/>
            </w:tcBorders>
            <w:shd w:val="clear" w:color="000000" w:fill="FFFFFF"/>
            <w:noWrap/>
            <w:vAlign w:val="center"/>
            <w:hideMark/>
          </w:tcPr>
          <w:p w14:paraId="02C76D8E"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1,930</w:t>
            </w:r>
          </w:p>
        </w:tc>
        <w:tc>
          <w:tcPr>
            <w:tcW w:w="585" w:type="pct"/>
            <w:tcBorders>
              <w:top w:val="nil"/>
              <w:left w:val="nil"/>
              <w:bottom w:val="nil"/>
              <w:right w:val="nil"/>
            </w:tcBorders>
            <w:shd w:val="clear" w:color="000000" w:fill="E6F2FF"/>
            <w:noWrap/>
            <w:vAlign w:val="center"/>
            <w:hideMark/>
          </w:tcPr>
          <w:p w14:paraId="37C282D4"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1,860</w:t>
            </w:r>
          </w:p>
        </w:tc>
        <w:tc>
          <w:tcPr>
            <w:tcW w:w="81" w:type="pct"/>
            <w:tcBorders>
              <w:top w:val="nil"/>
              <w:left w:val="nil"/>
              <w:bottom w:val="nil"/>
              <w:right w:val="nil"/>
            </w:tcBorders>
            <w:shd w:val="clear" w:color="000000" w:fill="FFFFFF"/>
            <w:noWrap/>
            <w:vAlign w:val="center"/>
            <w:hideMark/>
          </w:tcPr>
          <w:p w14:paraId="3C21D93B"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79979195"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-70</w:t>
            </w:r>
          </w:p>
        </w:tc>
        <w:tc>
          <w:tcPr>
            <w:tcW w:w="558" w:type="pct"/>
            <w:tcBorders>
              <w:top w:val="nil"/>
              <w:left w:val="nil"/>
              <w:bottom w:val="nil"/>
              <w:right w:val="nil"/>
            </w:tcBorders>
            <w:shd w:val="clear" w:color="000000" w:fill="FFFFFF"/>
            <w:noWrap/>
            <w:vAlign w:val="center"/>
            <w:hideMark/>
          </w:tcPr>
          <w:p w14:paraId="46B90993"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-3.6</w:t>
            </w:r>
          </w:p>
        </w:tc>
      </w:tr>
      <w:tr w:rsidR="00B8587E" w:rsidRPr="00954D98" w14:paraId="693968DD"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7CC1B974" w14:textId="77777777" w:rsidR="00B8587E" w:rsidRPr="00954D98" w:rsidRDefault="00B8587E" w:rsidP="00B8587E">
            <w:pPr>
              <w:spacing w:before="0" w:after="0" w:line="240" w:lineRule="auto"/>
              <w:ind w:firstLineChars="100" w:firstLine="160"/>
              <w:rPr>
                <w:rFonts w:ascii="Arial" w:hAnsi="Arial" w:cs="Arial"/>
                <w:color w:val="FFFF00"/>
                <w:sz w:val="16"/>
                <w:szCs w:val="16"/>
              </w:rPr>
            </w:pPr>
            <w:r w:rsidRPr="00954D98">
              <w:rPr>
                <w:rFonts w:ascii="Arial" w:hAnsi="Arial" w:cs="Arial"/>
                <w:sz w:val="16"/>
                <w:szCs w:val="16"/>
              </w:rPr>
              <w:t>Other customs duty</w:t>
            </w:r>
          </w:p>
        </w:tc>
        <w:tc>
          <w:tcPr>
            <w:tcW w:w="585" w:type="pct"/>
            <w:tcBorders>
              <w:top w:val="nil"/>
              <w:left w:val="nil"/>
              <w:bottom w:val="nil"/>
              <w:right w:val="nil"/>
            </w:tcBorders>
            <w:shd w:val="clear" w:color="000000" w:fill="FFFFFF"/>
            <w:noWrap/>
            <w:vAlign w:val="center"/>
            <w:hideMark/>
          </w:tcPr>
          <w:p w14:paraId="2EF48A75"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E6F2FF"/>
            <w:noWrap/>
            <w:vAlign w:val="center"/>
            <w:hideMark/>
          </w:tcPr>
          <w:p w14:paraId="767072F5"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52F713A5"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6BB9777B"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58" w:type="pct"/>
            <w:tcBorders>
              <w:top w:val="nil"/>
              <w:left w:val="nil"/>
              <w:bottom w:val="nil"/>
              <w:right w:val="nil"/>
            </w:tcBorders>
            <w:shd w:val="clear" w:color="000000" w:fill="FFFFFF"/>
            <w:noWrap/>
            <w:vAlign w:val="center"/>
            <w:hideMark/>
          </w:tcPr>
          <w:p w14:paraId="4529A205"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 </w:t>
            </w:r>
          </w:p>
        </w:tc>
      </w:tr>
      <w:tr w:rsidR="00B8587E" w:rsidRPr="00954D98" w14:paraId="398BFD01" w14:textId="77777777" w:rsidTr="00B8587E">
        <w:trPr>
          <w:trHeight w:hRule="exact" w:val="225"/>
        </w:trPr>
        <w:tc>
          <w:tcPr>
            <w:tcW w:w="2577" w:type="pct"/>
            <w:tcBorders>
              <w:top w:val="nil"/>
              <w:left w:val="nil"/>
              <w:bottom w:val="nil"/>
              <w:right w:val="nil"/>
            </w:tcBorders>
            <w:shd w:val="clear" w:color="000000" w:fill="FFFFFF"/>
            <w:noWrap/>
            <w:vAlign w:val="bottom"/>
            <w:hideMark/>
          </w:tcPr>
          <w:p w14:paraId="5A78D853" w14:textId="77777777" w:rsidR="00B8587E" w:rsidRPr="00954D98" w:rsidRDefault="00B8587E" w:rsidP="00B8587E">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Textiles, clothing and footwear</w:t>
            </w:r>
          </w:p>
        </w:tc>
        <w:tc>
          <w:tcPr>
            <w:tcW w:w="585" w:type="pct"/>
            <w:tcBorders>
              <w:top w:val="nil"/>
              <w:left w:val="nil"/>
              <w:bottom w:val="nil"/>
              <w:right w:val="nil"/>
            </w:tcBorders>
            <w:shd w:val="clear" w:color="000000" w:fill="FFFFFF"/>
            <w:noWrap/>
            <w:vAlign w:val="center"/>
            <w:hideMark/>
          </w:tcPr>
          <w:p w14:paraId="690FD386"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180</w:t>
            </w:r>
          </w:p>
        </w:tc>
        <w:tc>
          <w:tcPr>
            <w:tcW w:w="585" w:type="pct"/>
            <w:tcBorders>
              <w:top w:val="nil"/>
              <w:left w:val="nil"/>
              <w:bottom w:val="nil"/>
              <w:right w:val="nil"/>
            </w:tcBorders>
            <w:shd w:val="clear" w:color="000000" w:fill="E6F2FF"/>
            <w:noWrap/>
            <w:vAlign w:val="center"/>
            <w:hideMark/>
          </w:tcPr>
          <w:p w14:paraId="1F32A0A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160</w:t>
            </w:r>
          </w:p>
        </w:tc>
        <w:tc>
          <w:tcPr>
            <w:tcW w:w="81" w:type="pct"/>
            <w:tcBorders>
              <w:top w:val="nil"/>
              <w:left w:val="nil"/>
              <w:bottom w:val="nil"/>
              <w:right w:val="nil"/>
            </w:tcBorders>
            <w:shd w:val="clear" w:color="000000" w:fill="FFFFFF"/>
            <w:noWrap/>
            <w:vAlign w:val="center"/>
            <w:hideMark/>
          </w:tcPr>
          <w:p w14:paraId="744B2DB7"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0325C503"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-20</w:t>
            </w:r>
          </w:p>
        </w:tc>
        <w:tc>
          <w:tcPr>
            <w:tcW w:w="558" w:type="pct"/>
            <w:tcBorders>
              <w:top w:val="nil"/>
              <w:left w:val="nil"/>
              <w:bottom w:val="nil"/>
              <w:right w:val="nil"/>
            </w:tcBorders>
            <w:shd w:val="clear" w:color="000000" w:fill="FFFFFF"/>
            <w:noWrap/>
            <w:vAlign w:val="center"/>
            <w:hideMark/>
          </w:tcPr>
          <w:p w14:paraId="5B03BD8F"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-11.1</w:t>
            </w:r>
          </w:p>
        </w:tc>
      </w:tr>
      <w:tr w:rsidR="00B8587E" w:rsidRPr="00954D98" w14:paraId="6596CDDC" w14:textId="77777777" w:rsidTr="00B8587E">
        <w:trPr>
          <w:trHeight w:hRule="exact" w:val="225"/>
        </w:trPr>
        <w:tc>
          <w:tcPr>
            <w:tcW w:w="2577" w:type="pct"/>
            <w:tcBorders>
              <w:top w:val="nil"/>
              <w:left w:val="nil"/>
              <w:bottom w:val="nil"/>
              <w:right w:val="nil"/>
            </w:tcBorders>
            <w:shd w:val="clear" w:color="000000" w:fill="FFFFFF"/>
            <w:noWrap/>
            <w:vAlign w:val="bottom"/>
            <w:hideMark/>
          </w:tcPr>
          <w:p w14:paraId="4A75E8FA" w14:textId="77777777" w:rsidR="00B8587E" w:rsidRPr="00954D98" w:rsidRDefault="00B8587E" w:rsidP="00B8587E">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Passenger motor vehicles</w:t>
            </w:r>
          </w:p>
        </w:tc>
        <w:tc>
          <w:tcPr>
            <w:tcW w:w="585" w:type="pct"/>
            <w:tcBorders>
              <w:top w:val="nil"/>
              <w:left w:val="nil"/>
              <w:bottom w:val="nil"/>
              <w:right w:val="nil"/>
            </w:tcBorders>
            <w:shd w:val="clear" w:color="000000" w:fill="FFFFFF"/>
            <w:noWrap/>
            <w:vAlign w:val="center"/>
            <w:hideMark/>
          </w:tcPr>
          <w:p w14:paraId="2877A1F4"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350</w:t>
            </w:r>
          </w:p>
        </w:tc>
        <w:tc>
          <w:tcPr>
            <w:tcW w:w="585" w:type="pct"/>
            <w:tcBorders>
              <w:top w:val="nil"/>
              <w:left w:val="nil"/>
              <w:bottom w:val="nil"/>
              <w:right w:val="nil"/>
            </w:tcBorders>
            <w:shd w:val="clear" w:color="000000" w:fill="E6F2FF"/>
            <w:noWrap/>
            <w:vAlign w:val="center"/>
            <w:hideMark/>
          </w:tcPr>
          <w:p w14:paraId="108CCD08"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270</w:t>
            </w:r>
          </w:p>
        </w:tc>
        <w:tc>
          <w:tcPr>
            <w:tcW w:w="81" w:type="pct"/>
            <w:tcBorders>
              <w:top w:val="nil"/>
              <w:left w:val="nil"/>
              <w:bottom w:val="nil"/>
              <w:right w:val="nil"/>
            </w:tcBorders>
            <w:shd w:val="clear" w:color="000000" w:fill="FFFFFF"/>
            <w:noWrap/>
            <w:vAlign w:val="center"/>
            <w:hideMark/>
          </w:tcPr>
          <w:p w14:paraId="04A27903"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6809180B"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-80</w:t>
            </w:r>
          </w:p>
        </w:tc>
        <w:tc>
          <w:tcPr>
            <w:tcW w:w="558" w:type="pct"/>
            <w:tcBorders>
              <w:top w:val="nil"/>
              <w:left w:val="nil"/>
              <w:bottom w:val="nil"/>
              <w:right w:val="nil"/>
            </w:tcBorders>
            <w:shd w:val="clear" w:color="000000" w:fill="FFFFFF"/>
            <w:noWrap/>
            <w:vAlign w:val="center"/>
            <w:hideMark/>
          </w:tcPr>
          <w:p w14:paraId="3FEC416D"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-22.9</w:t>
            </w:r>
          </w:p>
        </w:tc>
      </w:tr>
      <w:tr w:rsidR="00B8587E" w:rsidRPr="00954D98" w14:paraId="728F63AB"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656453E6" w14:textId="77777777" w:rsidR="00B8587E" w:rsidRPr="00954D98" w:rsidRDefault="00B8587E" w:rsidP="00B8587E">
            <w:pPr>
              <w:spacing w:before="0" w:after="0" w:line="240" w:lineRule="auto"/>
              <w:ind w:firstLineChars="200" w:firstLine="320"/>
              <w:rPr>
                <w:rFonts w:ascii="Arial" w:hAnsi="Arial" w:cs="Arial"/>
                <w:color w:val="FFFF00"/>
                <w:sz w:val="16"/>
                <w:szCs w:val="16"/>
              </w:rPr>
            </w:pPr>
            <w:r w:rsidRPr="00954D98">
              <w:rPr>
                <w:rFonts w:ascii="Arial" w:hAnsi="Arial" w:cs="Arial"/>
                <w:sz w:val="16"/>
                <w:szCs w:val="16"/>
              </w:rPr>
              <w:t>Other imports</w:t>
            </w:r>
          </w:p>
        </w:tc>
        <w:tc>
          <w:tcPr>
            <w:tcW w:w="585" w:type="pct"/>
            <w:tcBorders>
              <w:top w:val="nil"/>
              <w:left w:val="nil"/>
              <w:bottom w:val="nil"/>
              <w:right w:val="nil"/>
            </w:tcBorders>
            <w:shd w:val="clear" w:color="000000" w:fill="FFFFFF"/>
            <w:noWrap/>
            <w:vAlign w:val="center"/>
            <w:hideMark/>
          </w:tcPr>
          <w:p w14:paraId="54F39CBC"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1,680</w:t>
            </w:r>
          </w:p>
        </w:tc>
        <w:tc>
          <w:tcPr>
            <w:tcW w:w="585" w:type="pct"/>
            <w:tcBorders>
              <w:top w:val="nil"/>
              <w:left w:val="nil"/>
              <w:bottom w:val="nil"/>
              <w:right w:val="nil"/>
            </w:tcBorders>
            <w:shd w:val="clear" w:color="000000" w:fill="E6F2FF"/>
            <w:noWrap/>
            <w:vAlign w:val="center"/>
            <w:hideMark/>
          </w:tcPr>
          <w:p w14:paraId="20D0ADA4"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1,640</w:t>
            </w:r>
          </w:p>
        </w:tc>
        <w:tc>
          <w:tcPr>
            <w:tcW w:w="81" w:type="pct"/>
            <w:tcBorders>
              <w:top w:val="nil"/>
              <w:left w:val="nil"/>
              <w:bottom w:val="nil"/>
              <w:right w:val="nil"/>
            </w:tcBorders>
            <w:shd w:val="clear" w:color="000000" w:fill="FFFFFF"/>
            <w:noWrap/>
            <w:vAlign w:val="center"/>
            <w:hideMark/>
          </w:tcPr>
          <w:p w14:paraId="00A24227"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6BD06FEA"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-40</w:t>
            </w:r>
          </w:p>
        </w:tc>
        <w:tc>
          <w:tcPr>
            <w:tcW w:w="558" w:type="pct"/>
            <w:tcBorders>
              <w:top w:val="nil"/>
              <w:left w:val="nil"/>
              <w:bottom w:val="nil"/>
              <w:right w:val="nil"/>
            </w:tcBorders>
            <w:shd w:val="clear" w:color="000000" w:fill="FFFFFF"/>
            <w:noWrap/>
            <w:vAlign w:val="center"/>
            <w:hideMark/>
          </w:tcPr>
          <w:p w14:paraId="3662421F"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-2.4</w:t>
            </w:r>
          </w:p>
        </w:tc>
      </w:tr>
      <w:tr w:rsidR="002C4687" w:rsidRPr="00954D98" w14:paraId="59879913" w14:textId="77777777" w:rsidTr="00B8587E">
        <w:trPr>
          <w:trHeight w:hRule="exact" w:val="225"/>
        </w:trPr>
        <w:tc>
          <w:tcPr>
            <w:tcW w:w="2577" w:type="pct"/>
            <w:tcBorders>
              <w:top w:val="nil"/>
              <w:left w:val="nil"/>
              <w:bottom w:val="nil"/>
              <w:right w:val="nil"/>
            </w:tcBorders>
            <w:shd w:val="clear" w:color="000000" w:fill="FFFFFF"/>
            <w:noWrap/>
            <w:vAlign w:val="bottom"/>
            <w:hideMark/>
          </w:tcPr>
          <w:p w14:paraId="01EF911C" w14:textId="77777777" w:rsidR="00B8587E" w:rsidRPr="00954D98" w:rsidRDefault="00B8587E" w:rsidP="00B8587E">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less:</w:t>
            </w:r>
            <w:r w:rsidRPr="00954D98">
              <w:rPr>
                <w:rFonts w:ascii="Arial" w:hAnsi="Arial" w:cs="Arial"/>
                <w:sz w:val="16"/>
                <w:szCs w:val="16"/>
              </w:rPr>
              <w:t xml:space="preserve"> Refunds and drawbacks</w:t>
            </w:r>
          </w:p>
        </w:tc>
        <w:tc>
          <w:tcPr>
            <w:tcW w:w="585" w:type="pct"/>
            <w:tcBorders>
              <w:top w:val="nil"/>
              <w:left w:val="nil"/>
              <w:bottom w:val="single" w:sz="4" w:space="0" w:color="293F5B"/>
              <w:right w:val="nil"/>
            </w:tcBorders>
            <w:shd w:val="clear" w:color="000000" w:fill="FFFFFF"/>
            <w:noWrap/>
            <w:vAlign w:val="center"/>
            <w:hideMark/>
          </w:tcPr>
          <w:p w14:paraId="5E9E878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730</w:t>
            </w:r>
          </w:p>
        </w:tc>
        <w:tc>
          <w:tcPr>
            <w:tcW w:w="585" w:type="pct"/>
            <w:tcBorders>
              <w:top w:val="nil"/>
              <w:left w:val="nil"/>
              <w:bottom w:val="single" w:sz="4" w:space="0" w:color="293F5B"/>
              <w:right w:val="nil"/>
            </w:tcBorders>
            <w:shd w:val="clear" w:color="000000" w:fill="E6F2FF"/>
            <w:noWrap/>
            <w:vAlign w:val="center"/>
            <w:hideMark/>
          </w:tcPr>
          <w:p w14:paraId="02C34F20"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730</w:t>
            </w:r>
          </w:p>
        </w:tc>
        <w:tc>
          <w:tcPr>
            <w:tcW w:w="81" w:type="pct"/>
            <w:tcBorders>
              <w:top w:val="nil"/>
              <w:left w:val="nil"/>
              <w:bottom w:val="nil"/>
              <w:right w:val="nil"/>
            </w:tcBorders>
            <w:shd w:val="clear" w:color="000000" w:fill="FFFFFF"/>
            <w:noWrap/>
            <w:vAlign w:val="center"/>
            <w:hideMark/>
          </w:tcPr>
          <w:p w14:paraId="19BF1E66"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single" w:sz="4" w:space="0" w:color="293F5B"/>
              <w:right w:val="nil"/>
            </w:tcBorders>
            <w:shd w:val="clear" w:color="000000" w:fill="FFFFFF"/>
            <w:noWrap/>
            <w:vAlign w:val="center"/>
            <w:hideMark/>
          </w:tcPr>
          <w:p w14:paraId="53FDE322"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0</w:t>
            </w:r>
          </w:p>
        </w:tc>
        <w:tc>
          <w:tcPr>
            <w:tcW w:w="558" w:type="pct"/>
            <w:tcBorders>
              <w:top w:val="nil"/>
              <w:left w:val="nil"/>
              <w:bottom w:val="single" w:sz="4" w:space="0" w:color="293F5B"/>
              <w:right w:val="nil"/>
            </w:tcBorders>
            <w:shd w:val="clear" w:color="000000" w:fill="FFFFFF"/>
            <w:noWrap/>
            <w:vAlign w:val="center"/>
            <w:hideMark/>
          </w:tcPr>
          <w:p w14:paraId="4DFF630C"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0.0</w:t>
            </w:r>
          </w:p>
        </w:tc>
      </w:tr>
      <w:tr w:rsidR="002C4687" w:rsidRPr="00954D98" w14:paraId="2FB4A8D2"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42086650"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Total excise and customs duty</w:t>
            </w:r>
          </w:p>
        </w:tc>
        <w:tc>
          <w:tcPr>
            <w:tcW w:w="585" w:type="pct"/>
            <w:tcBorders>
              <w:top w:val="single" w:sz="4" w:space="0" w:color="auto"/>
              <w:left w:val="nil"/>
              <w:bottom w:val="nil"/>
              <w:right w:val="nil"/>
            </w:tcBorders>
            <w:shd w:val="clear" w:color="000000" w:fill="FFFFFF"/>
            <w:noWrap/>
            <w:vAlign w:val="center"/>
            <w:hideMark/>
          </w:tcPr>
          <w:p w14:paraId="5749E0EE"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44,990</w:t>
            </w:r>
          </w:p>
        </w:tc>
        <w:tc>
          <w:tcPr>
            <w:tcW w:w="585" w:type="pct"/>
            <w:tcBorders>
              <w:top w:val="single" w:sz="4" w:space="0" w:color="auto"/>
              <w:left w:val="nil"/>
              <w:bottom w:val="nil"/>
              <w:right w:val="nil"/>
            </w:tcBorders>
            <w:shd w:val="clear" w:color="000000" w:fill="E6F2FF"/>
            <w:noWrap/>
            <w:vAlign w:val="center"/>
            <w:hideMark/>
          </w:tcPr>
          <w:p w14:paraId="4846EA72"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41,830</w:t>
            </w:r>
          </w:p>
        </w:tc>
        <w:tc>
          <w:tcPr>
            <w:tcW w:w="81" w:type="pct"/>
            <w:tcBorders>
              <w:top w:val="nil"/>
              <w:left w:val="nil"/>
              <w:bottom w:val="nil"/>
              <w:right w:val="nil"/>
            </w:tcBorders>
            <w:shd w:val="clear" w:color="000000" w:fill="FFFFFF"/>
            <w:noWrap/>
            <w:vAlign w:val="center"/>
            <w:hideMark/>
          </w:tcPr>
          <w:p w14:paraId="639CE50A"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single" w:sz="4" w:space="0" w:color="auto"/>
              <w:left w:val="nil"/>
              <w:bottom w:val="nil"/>
              <w:right w:val="nil"/>
            </w:tcBorders>
            <w:shd w:val="clear" w:color="000000" w:fill="FFFFFF"/>
            <w:noWrap/>
            <w:vAlign w:val="center"/>
            <w:hideMark/>
          </w:tcPr>
          <w:p w14:paraId="150B915E"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-3,160</w:t>
            </w:r>
          </w:p>
        </w:tc>
        <w:tc>
          <w:tcPr>
            <w:tcW w:w="558" w:type="pct"/>
            <w:tcBorders>
              <w:top w:val="single" w:sz="4" w:space="0" w:color="auto"/>
              <w:left w:val="nil"/>
              <w:bottom w:val="nil"/>
              <w:right w:val="nil"/>
            </w:tcBorders>
            <w:shd w:val="clear" w:color="000000" w:fill="FFFFFF"/>
            <w:noWrap/>
            <w:vAlign w:val="center"/>
            <w:hideMark/>
          </w:tcPr>
          <w:p w14:paraId="77D489BA"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-7.0</w:t>
            </w:r>
          </w:p>
        </w:tc>
      </w:tr>
      <w:tr w:rsidR="00B8587E" w:rsidRPr="00954D98" w14:paraId="6BFE05A6" w14:textId="77777777" w:rsidTr="00B8587E">
        <w:trPr>
          <w:trHeight w:hRule="exact" w:val="60"/>
        </w:trPr>
        <w:tc>
          <w:tcPr>
            <w:tcW w:w="2577" w:type="pct"/>
            <w:tcBorders>
              <w:top w:val="nil"/>
              <w:left w:val="nil"/>
              <w:bottom w:val="nil"/>
              <w:right w:val="nil"/>
            </w:tcBorders>
            <w:shd w:val="clear" w:color="000000" w:fill="FFFFFF"/>
            <w:noWrap/>
            <w:vAlign w:val="center"/>
            <w:hideMark/>
          </w:tcPr>
          <w:p w14:paraId="40BD4AB1"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FFFFFF"/>
            <w:noWrap/>
            <w:vAlign w:val="center"/>
            <w:hideMark/>
          </w:tcPr>
          <w:p w14:paraId="38E7504D"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E6F2FF"/>
            <w:noWrap/>
            <w:vAlign w:val="center"/>
            <w:hideMark/>
          </w:tcPr>
          <w:p w14:paraId="1D00784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36143C7A"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4160DCA0"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58" w:type="pct"/>
            <w:tcBorders>
              <w:top w:val="nil"/>
              <w:left w:val="nil"/>
              <w:bottom w:val="nil"/>
              <w:right w:val="nil"/>
            </w:tcBorders>
            <w:shd w:val="clear" w:color="000000" w:fill="FFFFFF"/>
            <w:noWrap/>
            <w:vAlign w:val="center"/>
            <w:hideMark/>
          </w:tcPr>
          <w:p w14:paraId="3BFCCAD4"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 </w:t>
            </w:r>
          </w:p>
        </w:tc>
      </w:tr>
      <w:tr w:rsidR="00B8587E" w:rsidRPr="00954D98" w14:paraId="6D419542"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0B2B9AF5"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Major bank levy</w:t>
            </w:r>
          </w:p>
        </w:tc>
        <w:tc>
          <w:tcPr>
            <w:tcW w:w="585" w:type="pct"/>
            <w:tcBorders>
              <w:top w:val="nil"/>
              <w:left w:val="nil"/>
              <w:bottom w:val="nil"/>
              <w:right w:val="nil"/>
            </w:tcBorders>
            <w:shd w:val="clear" w:color="000000" w:fill="FFFFFF"/>
            <w:noWrap/>
            <w:vAlign w:val="center"/>
            <w:hideMark/>
          </w:tcPr>
          <w:p w14:paraId="22E460FA"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1,950</w:t>
            </w:r>
          </w:p>
        </w:tc>
        <w:tc>
          <w:tcPr>
            <w:tcW w:w="585" w:type="pct"/>
            <w:tcBorders>
              <w:top w:val="nil"/>
              <w:left w:val="nil"/>
              <w:bottom w:val="nil"/>
              <w:right w:val="nil"/>
            </w:tcBorders>
            <w:shd w:val="clear" w:color="000000" w:fill="E6F2FF"/>
            <w:noWrap/>
            <w:vAlign w:val="center"/>
            <w:hideMark/>
          </w:tcPr>
          <w:p w14:paraId="2E692499"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1,990</w:t>
            </w:r>
          </w:p>
        </w:tc>
        <w:tc>
          <w:tcPr>
            <w:tcW w:w="81" w:type="pct"/>
            <w:tcBorders>
              <w:top w:val="nil"/>
              <w:left w:val="nil"/>
              <w:bottom w:val="nil"/>
              <w:right w:val="nil"/>
            </w:tcBorders>
            <w:shd w:val="clear" w:color="000000" w:fill="FFFFFF"/>
            <w:noWrap/>
            <w:vAlign w:val="center"/>
            <w:hideMark/>
          </w:tcPr>
          <w:p w14:paraId="12ADC9E4"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3026EE2B"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40</w:t>
            </w:r>
          </w:p>
        </w:tc>
        <w:tc>
          <w:tcPr>
            <w:tcW w:w="558" w:type="pct"/>
            <w:tcBorders>
              <w:top w:val="nil"/>
              <w:left w:val="nil"/>
              <w:bottom w:val="nil"/>
              <w:right w:val="nil"/>
            </w:tcBorders>
            <w:shd w:val="clear" w:color="000000" w:fill="FFFFFF"/>
            <w:noWrap/>
            <w:vAlign w:val="center"/>
            <w:hideMark/>
          </w:tcPr>
          <w:p w14:paraId="608BC641"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2.1</w:t>
            </w:r>
          </w:p>
        </w:tc>
      </w:tr>
      <w:tr w:rsidR="00B8587E" w:rsidRPr="00954D98" w14:paraId="7CD0B5AD"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08080987"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Agricultural levies</w:t>
            </w:r>
          </w:p>
        </w:tc>
        <w:tc>
          <w:tcPr>
            <w:tcW w:w="585" w:type="pct"/>
            <w:tcBorders>
              <w:top w:val="nil"/>
              <w:left w:val="nil"/>
              <w:bottom w:val="nil"/>
              <w:right w:val="nil"/>
            </w:tcBorders>
            <w:shd w:val="clear" w:color="000000" w:fill="FFFFFF"/>
            <w:noWrap/>
            <w:vAlign w:val="center"/>
            <w:hideMark/>
          </w:tcPr>
          <w:p w14:paraId="37623FF5"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684</w:t>
            </w:r>
          </w:p>
        </w:tc>
        <w:tc>
          <w:tcPr>
            <w:tcW w:w="585" w:type="pct"/>
            <w:tcBorders>
              <w:top w:val="nil"/>
              <w:left w:val="nil"/>
              <w:bottom w:val="nil"/>
              <w:right w:val="nil"/>
            </w:tcBorders>
            <w:shd w:val="clear" w:color="000000" w:fill="E6F2FF"/>
            <w:noWrap/>
            <w:vAlign w:val="center"/>
            <w:hideMark/>
          </w:tcPr>
          <w:p w14:paraId="4F3C7185"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697</w:t>
            </w:r>
          </w:p>
        </w:tc>
        <w:tc>
          <w:tcPr>
            <w:tcW w:w="81" w:type="pct"/>
            <w:tcBorders>
              <w:top w:val="nil"/>
              <w:left w:val="nil"/>
              <w:bottom w:val="nil"/>
              <w:right w:val="nil"/>
            </w:tcBorders>
            <w:shd w:val="clear" w:color="000000" w:fill="FFFFFF"/>
            <w:noWrap/>
            <w:vAlign w:val="center"/>
            <w:hideMark/>
          </w:tcPr>
          <w:p w14:paraId="5CDBDB26"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797326DB"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13</w:t>
            </w:r>
          </w:p>
        </w:tc>
        <w:tc>
          <w:tcPr>
            <w:tcW w:w="558" w:type="pct"/>
            <w:tcBorders>
              <w:top w:val="nil"/>
              <w:left w:val="nil"/>
              <w:bottom w:val="nil"/>
              <w:right w:val="nil"/>
            </w:tcBorders>
            <w:shd w:val="clear" w:color="000000" w:fill="FFFFFF"/>
            <w:noWrap/>
            <w:vAlign w:val="center"/>
            <w:hideMark/>
          </w:tcPr>
          <w:p w14:paraId="51A68888"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1.9</w:t>
            </w:r>
          </w:p>
        </w:tc>
      </w:tr>
      <w:tr w:rsidR="00B8587E" w:rsidRPr="00954D98" w14:paraId="342BD8CF"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6DD699BE"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Visa application charges</w:t>
            </w:r>
          </w:p>
        </w:tc>
        <w:tc>
          <w:tcPr>
            <w:tcW w:w="585" w:type="pct"/>
            <w:tcBorders>
              <w:top w:val="nil"/>
              <w:left w:val="nil"/>
              <w:bottom w:val="nil"/>
              <w:right w:val="nil"/>
            </w:tcBorders>
            <w:shd w:val="clear" w:color="000000" w:fill="FFFFFF"/>
            <w:noWrap/>
            <w:vAlign w:val="center"/>
            <w:hideMark/>
          </w:tcPr>
          <w:p w14:paraId="5CD4FD71"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4,402</w:t>
            </w:r>
          </w:p>
        </w:tc>
        <w:tc>
          <w:tcPr>
            <w:tcW w:w="585" w:type="pct"/>
            <w:tcBorders>
              <w:top w:val="nil"/>
              <w:left w:val="nil"/>
              <w:bottom w:val="nil"/>
              <w:right w:val="nil"/>
            </w:tcBorders>
            <w:shd w:val="clear" w:color="000000" w:fill="E6F2FF"/>
            <w:noWrap/>
            <w:vAlign w:val="center"/>
            <w:hideMark/>
          </w:tcPr>
          <w:p w14:paraId="720BB5C9"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4,971</w:t>
            </w:r>
          </w:p>
        </w:tc>
        <w:tc>
          <w:tcPr>
            <w:tcW w:w="81" w:type="pct"/>
            <w:tcBorders>
              <w:top w:val="nil"/>
              <w:left w:val="nil"/>
              <w:bottom w:val="nil"/>
              <w:right w:val="nil"/>
            </w:tcBorders>
            <w:shd w:val="clear" w:color="000000" w:fill="FFFFFF"/>
            <w:noWrap/>
            <w:vAlign w:val="center"/>
            <w:hideMark/>
          </w:tcPr>
          <w:p w14:paraId="4649C2C6"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613" w:type="pct"/>
            <w:tcBorders>
              <w:top w:val="nil"/>
              <w:left w:val="nil"/>
              <w:bottom w:val="nil"/>
              <w:right w:val="nil"/>
            </w:tcBorders>
            <w:shd w:val="clear" w:color="000000" w:fill="FFFFFF"/>
            <w:noWrap/>
            <w:vAlign w:val="center"/>
            <w:hideMark/>
          </w:tcPr>
          <w:p w14:paraId="16C20F5B"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569</w:t>
            </w:r>
          </w:p>
        </w:tc>
        <w:tc>
          <w:tcPr>
            <w:tcW w:w="558" w:type="pct"/>
            <w:tcBorders>
              <w:top w:val="nil"/>
              <w:left w:val="nil"/>
              <w:bottom w:val="nil"/>
              <w:right w:val="nil"/>
            </w:tcBorders>
            <w:shd w:val="clear" w:color="000000" w:fill="FFFFFF"/>
            <w:noWrap/>
            <w:vAlign w:val="center"/>
            <w:hideMark/>
          </w:tcPr>
          <w:p w14:paraId="2DD3DF57"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12.9</w:t>
            </w:r>
          </w:p>
        </w:tc>
      </w:tr>
      <w:tr w:rsidR="00B8587E" w:rsidRPr="00954D98" w14:paraId="521AF329"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11294CA0"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Other taxes</w:t>
            </w:r>
          </w:p>
        </w:tc>
        <w:tc>
          <w:tcPr>
            <w:tcW w:w="585" w:type="pct"/>
            <w:tcBorders>
              <w:top w:val="nil"/>
              <w:left w:val="nil"/>
              <w:bottom w:val="single" w:sz="4" w:space="0" w:color="auto"/>
              <w:right w:val="nil"/>
            </w:tcBorders>
            <w:shd w:val="clear" w:color="000000" w:fill="FFFFFF"/>
            <w:noWrap/>
            <w:vAlign w:val="center"/>
            <w:hideMark/>
          </w:tcPr>
          <w:p w14:paraId="786D5E47"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7,929</w:t>
            </w:r>
          </w:p>
        </w:tc>
        <w:tc>
          <w:tcPr>
            <w:tcW w:w="585" w:type="pct"/>
            <w:tcBorders>
              <w:top w:val="nil"/>
              <w:left w:val="nil"/>
              <w:bottom w:val="single" w:sz="4" w:space="0" w:color="auto"/>
              <w:right w:val="nil"/>
            </w:tcBorders>
            <w:shd w:val="clear" w:color="000000" w:fill="E6F2FF"/>
            <w:noWrap/>
            <w:vAlign w:val="center"/>
            <w:hideMark/>
          </w:tcPr>
          <w:p w14:paraId="16C6C6ED"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6,927</w:t>
            </w:r>
          </w:p>
        </w:tc>
        <w:tc>
          <w:tcPr>
            <w:tcW w:w="81" w:type="pct"/>
            <w:tcBorders>
              <w:top w:val="nil"/>
              <w:left w:val="nil"/>
              <w:bottom w:val="nil"/>
              <w:right w:val="nil"/>
            </w:tcBorders>
            <w:shd w:val="clear" w:color="000000" w:fill="FFFFFF"/>
            <w:noWrap/>
            <w:vAlign w:val="center"/>
            <w:hideMark/>
          </w:tcPr>
          <w:p w14:paraId="62CA32C2"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020A3351"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-1,002</w:t>
            </w:r>
          </w:p>
        </w:tc>
        <w:tc>
          <w:tcPr>
            <w:tcW w:w="558" w:type="pct"/>
            <w:tcBorders>
              <w:top w:val="nil"/>
              <w:left w:val="nil"/>
              <w:bottom w:val="nil"/>
              <w:right w:val="nil"/>
            </w:tcBorders>
            <w:shd w:val="clear" w:color="000000" w:fill="FFFFFF"/>
            <w:noWrap/>
            <w:vAlign w:val="center"/>
            <w:hideMark/>
          </w:tcPr>
          <w:p w14:paraId="5C5F610C"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-12.6</w:t>
            </w:r>
          </w:p>
        </w:tc>
      </w:tr>
      <w:tr w:rsidR="00B8587E" w:rsidRPr="00954D98" w14:paraId="3E9C0533"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6EEF48A7" w14:textId="77777777" w:rsidR="00B8587E" w:rsidRPr="00954D98" w:rsidRDefault="00B8587E" w:rsidP="00B8587E">
            <w:pPr>
              <w:spacing w:before="0" w:after="0" w:line="240" w:lineRule="auto"/>
              <w:rPr>
                <w:rFonts w:ascii="Arial" w:hAnsi="Arial" w:cs="Arial"/>
                <w:b/>
                <w:bCs/>
                <w:color w:val="FFFF00"/>
                <w:sz w:val="16"/>
                <w:szCs w:val="16"/>
              </w:rPr>
            </w:pPr>
            <w:r w:rsidRPr="00954D98">
              <w:rPr>
                <w:rFonts w:ascii="Arial" w:hAnsi="Arial" w:cs="Arial"/>
                <w:b/>
                <w:bCs/>
                <w:sz w:val="16"/>
                <w:szCs w:val="16"/>
              </w:rPr>
              <w:t>Indirect taxation revenue</w:t>
            </w:r>
          </w:p>
        </w:tc>
        <w:tc>
          <w:tcPr>
            <w:tcW w:w="585" w:type="pct"/>
            <w:tcBorders>
              <w:top w:val="single" w:sz="4" w:space="0" w:color="293F5B"/>
              <w:left w:val="nil"/>
              <w:bottom w:val="single" w:sz="4" w:space="0" w:color="293F5B"/>
              <w:right w:val="nil"/>
            </w:tcBorders>
            <w:shd w:val="clear" w:color="000000" w:fill="FFFFFF"/>
            <w:noWrap/>
            <w:vAlign w:val="center"/>
            <w:hideMark/>
          </w:tcPr>
          <w:p w14:paraId="6CC329EC"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167,045</w:t>
            </w:r>
          </w:p>
        </w:tc>
        <w:tc>
          <w:tcPr>
            <w:tcW w:w="585" w:type="pct"/>
            <w:tcBorders>
              <w:top w:val="single" w:sz="4" w:space="0" w:color="293F5B"/>
              <w:left w:val="nil"/>
              <w:bottom w:val="single" w:sz="4" w:space="0" w:color="293F5B"/>
              <w:right w:val="nil"/>
            </w:tcBorders>
            <w:shd w:val="clear" w:color="000000" w:fill="E6F2FF"/>
            <w:noWrap/>
            <w:vAlign w:val="center"/>
            <w:hideMark/>
          </w:tcPr>
          <w:p w14:paraId="162C3B4C"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166,055</w:t>
            </w:r>
          </w:p>
        </w:tc>
        <w:tc>
          <w:tcPr>
            <w:tcW w:w="81" w:type="pct"/>
            <w:tcBorders>
              <w:top w:val="nil"/>
              <w:left w:val="nil"/>
              <w:bottom w:val="nil"/>
              <w:right w:val="nil"/>
            </w:tcBorders>
            <w:shd w:val="clear" w:color="000000" w:fill="FFFFFF"/>
            <w:noWrap/>
            <w:vAlign w:val="center"/>
            <w:hideMark/>
          </w:tcPr>
          <w:p w14:paraId="39EB9020"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13" w:type="pct"/>
            <w:tcBorders>
              <w:top w:val="single" w:sz="4" w:space="0" w:color="293F5B"/>
              <w:left w:val="nil"/>
              <w:bottom w:val="single" w:sz="4" w:space="0" w:color="293F5B"/>
              <w:right w:val="nil"/>
            </w:tcBorders>
            <w:shd w:val="clear" w:color="000000" w:fill="FFFFFF"/>
            <w:noWrap/>
            <w:vAlign w:val="center"/>
            <w:hideMark/>
          </w:tcPr>
          <w:p w14:paraId="1D04FA56"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-990</w:t>
            </w:r>
          </w:p>
        </w:tc>
        <w:tc>
          <w:tcPr>
            <w:tcW w:w="558" w:type="pct"/>
            <w:tcBorders>
              <w:top w:val="single" w:sz="4" w:space="0" w:color="293F5B"/>
              <w:left w:val="nil"/>
              <w:bottom w:val="single" w:sz="4" w:space="0" w:color="293F5B"/>
              <w:right w:val="nil"/>
            </w:tcBorders>
            <w:shd w:val="clear" w:color="000000" w:fill="FFFFFF"/>
            <w:noWrap/>
            <w:vAlign w:val="center"/>
            <w:hideMark/>
          </w:tcPr>
          <w:p w14:paraId="63047F7F" w14:textId="77777777" w:rsidR="00B8587E" w:rsidRPr="00954D98" w:rsidRDefault="00B8587E" w:rsidP="00B8587E">
            <w:pPr>
              <w:spacing w:before="0" w:after="0" w:line="240" w:lineRule="auto"/>
              <w:jc w:val="right"/>
              <w:rPr>
                <w:rFonts w:ascii="Arial" w:hAnsi="Arial" w:cs="Arial"/>
                <w:b/>
                <w:bCs/>
                <w:sz w:val="16"/>
                <w:szCs w:val="16"/>
              </w:rPr>
            </w:pPr>
            <w:r w:rsidRPr="00954D98">
              <w:rPr>
                <w:rFonts w:ascii="Arial" w:hAnsi="Arial" w:cs="Arial"/>
                <w:b/>
                <w:bCs/>
                <w:sz w:val="16"/>
                <w:szCs w:val="16"/>
              </w:rPr>
              <w:t>-0.6</w:t>
            </w:r>
          </w:p>
        </w:tc>
      </w:tr>
      <w:tr w:rsidR="00B8587E" w:rsidRPr="00954D98" w14:paraId="7EF8F0EE" w14:textId="77777777" w:rsidTr="00B8587E">
        <w:trPr>
          <w:trHeight w:hRule="exact" w:val="60"/>
        </w:trPr>
        <w:tc>
          <w:tcPr>
            <w:tcW w:w="2577" w:type="pct"/>
            <w:tcBorders>
              <w:top w:val="nil"/>
              <w:left w:val="nil"/>
              <w:bottom w:val="nil"/>
              <w:right w:val="nil"/>
            </w:tcBorders>
            <w:shd w:val="clear" w:color="000000" w:fill="FFFFFF"/>
            <w:noWrap/>
            <w:vAlign w:val="center"/>
            <w:hideMark/>
          </w:tcPr>
          <w:p w14:paraId="02805C1C" w14:textId="77777777" w:rsidR="00B8587E" w:rsidRPr="00954D98" w:rsidRDefault="00B8587E" w:rsidP="00B8587E">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85" w:type="pct"/>
            <w:tcBorders>
              <w:top w:val="nil"/>
              <w:left w:val="nil"/>
              <w:bottom w:val="nil"/>
              <w:right w:val="nil"/>
            </w:tcBorders>
            <w:shd w:val="clear" w:color="000000" w:fill="FFFFFF"/>
            <w:noWrap/>
            <w:vAlign w:val="center"/>
            <w:hideMark/>
          </w:tcPr>
          <w:p w14:paraId="115A44D7"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E6F2FF"/>
            <w:noWrap/>
            <w:vAlign w:val="center"/>
            <w:hideMark/>
          </w:tcPr>
          <w:p w14:paraId="4F0F9518"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23D791E9"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13" w:type="pct"/>
            <w:tcBorders>
              <w:top w:val="nil"/>
              <w:left w:val="nil"/>
              <w:bottom w:val="nil"/>
              <w:right w:val="nil"/>
            </w:tcBorders>
            <w:shd w:val="clear" w:color="000000" w:fill="FFFFFF"/>
            <w:noWrap/>
            <w:vAlign w:val="center"/>
            <w:hideMark/>
          </w:tcPr>
          <w:p w14:paraId="20056978"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58" w:type="pct"/>
            <w:tcBorders>
              <w:top w:val="nil"/>
              <w:left w:val="nil"/>
              <w:bottom w:val="nil"/>
              <w:right w:val="nil"/>
            </w:tcBorders>
            <w:shd w:val="clear" w:color="000000" w:fill="FFFFFF"/>
            <w:noWrap/>
            <w:vAlign w:val="center"/>
            <w:hideMark/>
          </w:tcPr>
          <w:p w14:paraId="0AABE18F"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 </w:t>
            </w:r>
          </w:p>
        </w:tc>
      </w:tr>
      <w:tr w:rsidR="002C4687" w:rsidRPr="00954D98" w14:paraId="7109EA00"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2F3FCD54" w14:textId="77777777" w:rsidR="00B8587E" w:rsidRPr="00954D98" w:rsidRDefault="00B8587E" w:rsidP="00B8587E">
            <w:pPr>
              <w:spacing w:before="0" w:after="0" w:line="240" w:lineRule="auto"/>
              <w:rPr>
                <w:rFonts w:ascii="Arial" w:hAnsi="Arial" w:cs="Arial"/>
                <w:b/>
                <w:bCs/>
                <w:color w:val="FFFF00"/>
                <w:sz w:val="16"/>
                <w:szCs w:val="16"/>
              </w:rPr>
            </w:pPr>
            <w:r w:rsidRPr="00954D98">
              <w:rPr>
                <w:rFonts w:ascii="Arial" w:hAnsi="Arial" w:cs="Arial"/>
                <w:b/>
                <w:bCs/>
                <w:sz w:val="16"/>
                <w:szCs w:val="16"/>
              </w:rPr>
              <w:t>Taxation revenue</w:t>
            </w:r>
          </w:p>
        </w:tc>
        <w:tc>
          <w:tcPr>
            <w:tcW w:w="585" w:type="pct"/>
            <w:tcBorders>
              <w:top w:val="nil"/>
              <w:left w:val="nil"/>
              <w:bottom w:val="single" w:sz="4" w:space="0" w:color="293F5B"/>
              <w:right w:val="nil"/>
            </w:tcBorders>
            <w:shd w:val="clear" w:color="000000" w:fill="FFFFFF"/>
            <w:noWrap/>
            <w:vAlign w:val="center"/>
            <w:hideMark/>
          </w:tcPr>
          <w:p w14:paraId="3DB4D486"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726,735</w:t>
            </w:r>
          </w:p>
        </w:tc>
        <w:tc>
          <w:tcPr>
            <w:tcW w:w="585" w:type="pct"/>
            <w:tcBorders>
              <w:top w:val="nil"/>
              <w:left w:val="nil"/>
              <w:bottom w:val="single" w:sz="4" w:space="0" w:color="293F5B"/>
              <w:right w:val="nil"/>
            </w:tcBorders>
            <w:shd w:val="clear" w:color="000000" w:fill="E6F2FF"/>
            <w:noWrap/>
            <w:vAlign w:val="center"/>
            <w:hideMark/>
          </w:tcPr>
          <w:p w14:paraId="5D49FDAE"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736,905</w:t>
            </w:r>
          </w:p>
        </w:tc>
        <w:tc>
          <w:tcPr>
            <w:tcW w:w="81" w:type="pct"/>
            <w:tcBorders>
              <w:top w:val="nil"/>
              <w:left w:val="nil"/>
              <w:bottom w:val="nil"/>
              <w:right w:val="nil"/>
            </w:tcBorders>
            <w:shd w:val="clear" w:color="000000" w:fill="FFFFFF"/>
            <w:noWrap/>
            <w:vAlign w:val="center"/>
            <w:hideMark/>
          </w:tcPr>
          <w:p w14:paraId="7A95F6B7"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13" w:type="pct"/>
            <w:tcBorders>
              <w:top w:val="nil"/>
              <w:left w:val="nil"/>
              <w:bottom w:val="single" w:sz="4" w:space="0" w:color="293F5B"/>
              <w:right w:val="nil"/>
            </w:tcBorders>
            <w:shd w:val="clear" w:color="000000" w:fill="FFFFFF"/>
            <w:noWrap/>
            <w:vAlign w:val="center"/>
            <w:hideMark/>
          </w:tcPr>
          <w:p w14:paraId="6626CA02"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10,170</w:t>
            </w:r>
          </w:p>
        </w:tc>
        <w:tc>
          <w:tcPr>
            <w:tcW w:w="558" w:type="pct"/>
            <w:tcBorders>
              <w:top w:val="nil"/>
              <w:left w:val="nil"/>
              <w:bottom w:val="single" w:sz="4" w:space="0" w:color="293F5B"/>
              <w:right w:val="nil"/>
            </w:tcBorders>
            <w:shd w:val="clear" w:color="000000" w:fill="FFFFFF"/>
            <w:noWrap/>
            <w:vAlign w:val="center"/>
            <w:hideMark/>
          </w:tcPr>
          <w:p w14:paraId="79208E8F" w14:textId="77777777" w:rsidR="00B8587E" w:rsidRPr="00954D98" w:rsidRDefault="00B8587E" w:rsidP="00B8587E">
            <w:pPr>
              <w:spacing w:before="0" w:after="0" w:line="240" w:lineRule="auto"/>
              <w:jc w:val="right"/>
              <w:rPr>
                <w:rFonts w:ascii="Arial" w:hAnsi="Arial" w:cs="Arial"/>
                <w:b/>
                <w:bCs/>
                <w:sz w:val="16"/>
                <w:szCs w:val="16"/>
              </w:rPr>
            </w:pPr>
            <w:r w:rsidRPr="00954D98">
              <w:rPr>
                <w:rFonts w:ascii="Arial" w:hAnsi="Arial" w:cs="Arial"/>
                <w:b/>
                <w:bCs/>
                <w:sz w:val="16"/>
                <w:szCs w:val="16"/>
              </w:rPr>
              <w:t>1.4</w:t>
            </w:r>
          </w:p>
        </w:tc>
      </w:tr>
      <w:tr w:rsidR="00B8587E" w:rsidRPr="00954D98" w14:paraId="322C8F3E" w14:textId="77777777" w:rsidTr="00B8587E">
        <w:trPr>
          <w:trHeight w:hRule="exact" w:val="60"/>
        </w:trPr>
        <w:tc>
          <w:tcPr>
            <w:tcW w:w="2577" w:type="pct"/>
            <w:tcBorders>
              <w:top w:val="nil"/>
              <w:left w:val="nil"/>
              <w:bottom w:val="nil"/>
              <w:right w:val="nil"/>
            </w:tcBorders>
            <w:shd w:val="clear" w:color="000000" w:fill="FFFFFF"/>
            <w:noWrap/>
            <w:vAlign w:val="center"/>
            <w:hideMark/>
          </w:tcPr>
          <w:p w14:paraId="2462EB20" w14:textId="77777777" w:rsidR="00B8587E" w:rsidRPr="00954D98" w:rsidRDefault="00B8587E" w:rsidP="00B8587E">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85" w:type="pct"/>
            <w:tcBorders>
              <w:top w:val="nil"/>
              <w:left w:val="nil"/>
              <w:bottom w:val="nil"/>
              <w:right w:val="nil"/>
            </w:tcBorders>
            <w:shd w:val="clear" w:color="000000" w:fill="FFFFFF"/>
            <w:noWrap/>
            <w:vAlign w:val="center"/>
            <w:hideMark/>
          </w:tcPr>
          <w:p w14:paraId="01E2FE79"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85" w:type="pct"/>
            <w:tcBorders>
              <w:top w:val="nil"/>
              <w:left w:val="nil"/>
              <w:bottom w:val="nil"/>
              <w:right w:val="nil"/>
            </w:tcBorders>
            <w:shd w:val="clear" w:color="000000" w:fill="E6F2FF"/>
            <w:noWrap/>
            <w:vAlign w:val="center"/>
            <w:hideMark/>
          </w:tcPr>
          <w:p w14:paraId="7C49253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1D26D20F"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13" w:type="pct"/>
            <w:tcBorders>
              <w:top w:val="nil"/>
              <w:left w:val="nil"/>
              <w:bottom w:val="nil"/>
              <w:right w:val="nil"/>
            </w:tcBorders>
            <w:shd w:val="clear" w:color="000000" w:fill="FFFFFF"/>
            <w:noWrap/>
            <w:vAlign w:val="center"/>
            <w:hideMark/>
          </w:tcPr>
          <w:p w14:paraId="755550B4"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58" w:type="pct"/>
            <w:tcBorders>
              <w:top w:val="nil"/>
              <w:left w:val="nil"/>
              <w:bottom w:val="nil"/>
              <w:right w:val="nil"/>
            </w:tcBorders>
            <w:shd w:val="clear" w:color="000000" w:fill="FFFFFF"/>
            <w:noWrap/>
            <w:vAlign w:val="center"/>
            <w:hideMark/>
          </w:tcPr>
          <w:p w14:paraId="6505FFA0"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 </w:t>
            </w:r>
          </w:p>
        </w:tc>
      </w:tr>
      <w:tr w:rsidR="00B8587E" w:rsidRPr="00954D98" w14:paraId="4143DB1F"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7280097F"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Sales of goods and services</w:t>
            </w:r>
          </w:p>
        </w:tc>
        <w:tc>
          <w:tcPr>
            <w:tcW w:w="585" w:type="pct"/>
            <w:tcBorders>
              <w:top w:val="nil"/>
              <w:left w:val="nil"/>
              <w:bottom w:val="nil"/>
              <w:right w:val="nil"/>
            </w:tcBorders>
            <w:shd w:val="clear" w:color="000000" w:fill="FFFFFF"/>
            <w:noWrap/>
            <w:vAlign w:val="center"/>
            <w:hideMark/>
          </w:tcPr>
          <w:p w14:paraId="34F95462"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23,485</w:t>
            </w:r>
          </w:p>
        </w:tc>
        <w:tc>
          <w:tcPr>
            <w:tcW w:w="585" w:type="pct"/>
            <w:tcBorders>
              <w:top w:val="nil"/>
              <w:left w:val="nil"/>
              <w:bottom w:val="nil"/>
              <w:right w:val="nil"/>
            </w:tcBorders>
            <w:shd w:val="clear" w:color="000000" w:fill="E6F2FF"/>
            <w:noWrap/>
            <w:vAlign w:val="center"/>
            <w:hideMark/>
          </w:tcPr>
          <w:p w14:paraId="5C270832"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23,526</w:t>
            </w:r>
          </w:p>
        </w:tc>
        <w:tc>
          <w:tcPr>
            <w:tcW w:w="81" w:type="pct"/>
            <w:tcBorders>
              <w:top w:val="nil"/>
              <w:left w:val="nil"/>
              <w:bottom w:val="nil"/>
              <w:right w:val="nil"/>
            </w:tcBorders>
            <w:shd w:val="clear" w:color="000000" w:fill="FFFFFF"/>
            <w:noWrap/>
            <w:vAlign w:val="center"/>
            <w:hideMark/>
          </w:tcPr>
          <w:p w14:paraId="607242C6"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13" w:type="pct"/>
            <w:tcBorders>
              <w:top w:val="nil"/>
              <w:left w:val="nil"/>
              <w:bottom w:val="nil"/>
              <w:right w:val="nil"/>
            </w:tcBorders>
            <w:shd w:val="clear" w:color="000000" w:fill="FFFFFF"/>
            <w:noWrap/>
            <w:vAlign w:val="center"/>
            <w:hideMark/>
          </w:tcPr>
          <w:p w14:paraId="1A789341"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41</w:t>
            </w:r>
          </w:p>
        </w:tc>
        <w:tc>
          <w:tcPr>
            <w:tcW w:w="558" w:type="pct"/>
            <w:tcBorders>
              <w:top w:val="nil"/>
              <w:left w:val="nil"/>
              <w:bottom w:val="nil"/>
              <w:right w:val="nil"/>
            </w:tcBorders>
            <w:shd w:val="clear" w:color="000000" w:fill="FFFFFF"/>
            <w:noWrap/>
            <w:vAlign w:val="center"/>
            <w:hideMark/>
          </w:tcPr>
          <w:p w14:paraId="1EB5D89E"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0.2</w:t>
            </w:r>
          </w:p>
        </w:tc>
      </w:tr>
      <w:tr w:rsidR="00B8587E" w:rsidRPr="00954D98" w14:paraId="40445B79"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633A172A"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Interest</w:t>
            </w:r>
          </w:p>
        </w:tc>
        <w:tc>
          <w:tcPr>
            <w:tcW w:w="585" w:type="pct"/>
            <w:tcBorders>
              <w:top w:val="nil"/>
              <w:left w:val="nil"/>
              <w:bottom w:val="nil"/>
              <w:right w:val="nil"/>
            </w:tcBorders>
            <w:shd w:val="clear" w:color="000000" w:fill="FFFFFF"/>
            <w:noWrap/>
            <w:vAlign w:val="center"/>
            <w:hideMark/>
          </w:tcPr>
          <w:p w14:paraId="46979D78"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10,662</w:t>
            </w:r>
          </w:p>
        </w:tc>
        <w:tc>
          <w:tcPr>
            <w:tcW w:w="585" w:type="pct"/>
            <w:tcBorders>
              <w:top w:val="nil"/>
              <w:left w:val="nil"/>
              <w:bottom w:val="nil"/>
              <w:right w:val="nil"/>
            </w:tcBorders>
            <w:shd w:val="clear" w:color="000000" w:fill="E6F2FF"/>
            <w:noWrap/>
            <w:vAlign w:val="center"/>
            <w:hideMark/>
          </w:tcPr>
          <w:p w14:paraId="4180DE0F"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10,568</w:t>
            </w:r>
          </w:p>
        </w:tc>
        <w:tc>
          <w:tcPr>
            <w:tcW w:w="81" w:type="pct"/>
            <w:tcBorders>
              <w:top w:val="nil"/>
              <w:left w:val="nil"/>
              <w:bottom w:val="nil"/>
              <w:right w:val="nil"/>
            </w:tcBorders>
            <w:shd w:val="clear" w:color="000000" w:fill="FFFFFF"/>
            <w:noWrap/>
            <w:vAlign w:val="center"/>
            <w:hideMark/>
          </w:tcPr>
          <w:p w14:paraId="07D3BAA5"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60AC1392"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-94</w:t>
            </w:r>
          </w:p>
        </w:tc>
        <w:tc>
          <w:tcPr>
            <w:tcW w:w="558" w:type="pct"/>
            <w:tcBorders>
              <w:top w:val="nil"/>
              <w:left w:val="nil"/>
              <w:bottom w:val="nil"/>
              <w:right w:val="nil"/>
            </w:tcBorders>
            <w:shd w:val="clear" w:color="000000" w:fill="FFFFFF"/>
            <w:noWrap/>
            <w:vAlign w:val="center"/>
            <w:hideMark/>
          </w:tcPr>
          <w:p w14:paraId="4477BAC1"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-0.9</w:t>
            </w:r>
          </w:p>
        </w:tc>
      </w:tr>
      <w:tr w:rsidR="00B8587E" w:rsidRPr="00954D98" w14:paraId="0C906FD0"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1976173D"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Dividends and distributions</w:t>
            </w:r>
          </w:p>
        </w:tc>
        <w:tc>
          <w:tcPr>
            <w:tcW w:w="585" w:type="pct"/>
            <w:tcBorders>
              <w:top w:val="nil"/>
              <w:left w:val="nil"/>
              <w:bottom w:val="nil"/>
              <w:right w:val="nil"/>
            </w:tcBorders>
            <w:shd w:val="clear" w:color="000000" w:fill="FFFFFF"/>
            <w:noWrap/>
            <w:vAlign w:val="center"/>
            <w:hideMark/>
          </w:tcPr>
          <w:p w14:paraId="62663050"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7,786</w:t>
            </w:r>
          </w:p>
        </w:tc>
        <w:tc>
          <w:tcPr>
            <w:tcW w:w="585" w:type="pct"/>
            <w:tcBorders>
              <w:top w:val="nil"/>
              <w:left w:val="nil"/>
              <w:bottom w:val="nil"/>
              <w:right w:val="nil"/>
            </w:tcBorders>
            <w:shd w:val="clear" w:color="000000" w:fill="E6F2FF"/>
            <w:noWrap/>
            <w:vAlign w:val="center"/>
            <w:hideMark/>
          </w:tcPr>
          <w:p w14:paraId="05584CE6"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7,808</w:t>
            </w:r>
          </w:p>
        </w:tc>
        <w:tc>
          <w:tcPr>
            <w:tcW w:w="81" w:type="pct"/>
            <w:tcBorders>
              <w:top w:val="nil"/>
              <w:left w:val="nil"/>
              <w:bottom w:val="nil"/>
              <w:right w:val="nil"/>
            </w:tcBorders>
            <w:shd w:val="clear" w:color="000000" w:fill="FFFFFF"/>
            <w:noWrap/>
            <w:vAlign w:val="center"/>
            <w:hideMark/>
          </w:tcPr>
          <w:p w14:paraId="278AD33F"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13" w:type="pct"/>
            <w:tcBorders>
              <w:top w:val="nil"/>
              <w:left w:val="nil"/>
              <w:bottom w:val="nil"/>
              <w:right w:val="nil"/>
            </w:tcBorders>
            <w:shd w:val="clear" w:color="000000" w:fill="FFFFFF"/>
            <w:noWrap/>
            <w:vAlign w:val="center"/>
            <w:hideMark/>
          </w:tcPr>
          <w:p w14:paraId="13D6DA80"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21</w:t>
            </w:r>
          </w:p>
        </w:tc>
        <w:tc>
          <w:tcPr>
            <w:tcW w:w="558" w:type="pct"/>
            <w:tcBorders>
              <w:top w:val="nil"/>
              <w:left w:val="nil"/>
              <w:bottom w:val="nil"/>
              <w:right w:val="nil"/>
            </w:tcBorders>
            <w:shd w:val="clear" w:color="000000" w:fill="FFFFFF"/>
            <w:noWrap/>
            <w:vAlign w:val="center"/>
            <w:hideMark/>
          </w:tcPr>
          <w:p w14:paraId="34892656"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0.3</w:t>
            </w:r>
          </w:p>
        </w:tc>
      </w:tr>
      <w:tr w:rsidR="00B8587E" w:rsidRPr="00954D98" w14:paraId="1833B204"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1C1E2561" w14:textId="77777777" w:rsidR="00B8587E" w:rsidRPr="00954D98" w:rsidRDefault="00B8587E" w:rsidP="00B8587E">
            <w:pPr>
              <w:spacing w:before="0" w:after="0" w:line="240" w:lineRule="auto"/>
              <w:rPr>
                <w:rFonts w:ascii="Arial" w:hAnsi="Arial" w:cs="Arial"/>
                <w:color w:val="FFFF00"/>
                <w:sz w:val="16"/>
                <w:szCs w:val="16"/>
              </w:rPr>
            </w:pPr>
            <w:r w:rsidRPr="00954D98">
              <w:rPr>
                <w:rFonts w:ascii="Arial" w:hAnsi="Arial" w:cs="Arial"/>
                <w:sz w:val="16"/>
                <w:szCs w:val="16"/>
              </w:rPr>
              <w:t>Other non-taxation revenue</w:t>
            </w:r>
          </w:p>
        </w:tc>
        <w:tc>
          <w:tcPr>
            <w:tcW w:w="585" w:type="pct"/>
            <w:tcBorders>
              <w:top w:val="nil"/>
              <w:left w:val="nil"/>
              <w:bottom w:val="nil"/>
              <w:right w:val="nil"/>
            </w:tcBorders>
            <w:shd w:val="clear" w:color="000000" w:fill="FFFFFF"/>
            <w:noWrap/>
            <w:vAlign w:val="center"/>
            <w:hideMark/>
          </w:tcPr>
          <w:p w14:paraId="4B8CB129"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14,895</w:t>
            </w:r>
          </w:p>
        </w:tc>
        <w:tc>
          <w:tcPr>
            <w:tcW w:w="585" w:type="pct"/>
            <w:tcBorders>
              <w:top w:val="nil"/>
              <w:left w:val="nil"/>
              <w:bottom w:val="nil"/>
              <w:right w:val="nil"/>
            </w:tcBorders>
            <w:shd w:val="clear" w:color="000000" w:fill="E6F2FF"/>
            <w:noWrap/>
            <w:vAlign w:val="center"/>
            <w:hideMark/>
          </w:tcPr>
          <w:p w14:paraId="6F755133"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14,798</w:t>
            </w:r>
          </w:p>
        </w:tc>
        <w:tc>
          <w:tcPr>
            <w:tcW w:w="81" w:type="pct"/>
            <w:tcBorders>
              <w:top w:val="nil"/>
              <w:left w:val="nil"/>
              <w:bottom w:val="nil"/>
              <w:right w:val="nil"/>
            </w:tcBorders>
            <w:shd w:val="clear" w:color="000000" w:fill="FFFFFF"/>
            <w:noWrap/>
            <w:vAlign w:val="center"/>
            <w:hideMark/>
          </w:tcPr>
          <w:p w14:paraId="02B91388"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613" w:type="pct"/>
            <w:tcBorders>
              <w:top w:val="nil"/>
              <w:left w:val="nil"/>
              <w:bottom w:val="nil"/>
              <w:right w:val="nil"/>
            </w:tcBorders>
            <w:shd w:val="clear" w:color="000000" w:fill="FFFFFF"/>
            <w:noWrap/>
            <w:vAlign w:val="center"/>
            <w:hideMark/>
          </w:tcPr>
          <w:p w14:paraId="112F0194" w14:textId="77777777" w:rsidR="00B8587E" w:rsidRPr="00954D98" w:rsidRDefault="00B8587E" w:rsidP="00B8587E">
            <w:pPr>
              <w:spacing w:before="0" w:after="0" w:line="240" w:lineRule="auto"/>
              <w:jc w:val="right"/>
              <w:rPr>
                <w:rFonts w:ascii="Arial" w:hAnsi="Arial" w:cs="Arial"/>
                <w:color w:val="FFFF00"/>
                <w:sz w:val="16"/>
                <w:szCs w:val="16"/>
              </w:rPr>
            </w:pPr>
            <w:r w:rsidRPr="00954D98">
              <w:rPr>
                <w:rFonts w:ascii="Arial" w:hAnsi="Arial" w:cs="Arial"/>
                <w:sz w:val="16"/>
                <w:szCs w:val="16"/>
              </w:rPr>
              <w:t>-97</w:t>
            </w:r>
          </w:p>
        </w:tc>
        <w:tc>
          <w:tcPr>
            <w:tcW w:w="558" w:type="pct"/>
            <w:tcBorders>
              <w:top w:val="nil"/>
              <w:left w:val="nil"/>
              <w:bottom w:val="nil"/>
              <w:right w:val="nil"/>
            </w:tcBorders>
            <w:shd w:val="clear" w:color="000000" w:fill="FFFFFF"/>
            <w:noWrap/>
            <w:vAlign w:val="center"/>
            <w:hideMark/>
          </w:tcPr>
          <w:p w14:paraId="535C54F2" w14:textId="77777777" w:rsidR="00B8587E" w:rsidRPr="00954D98" w:rsidRDefault="00B8587E" w:rsidP="00B8587E">
            <w:pPr>
              <w:spacing w:before="0" w:after="0" w:line="240" w:lineRule="auto"/>
              <w:jc w:val="right"/>
              <w:rPr>
                <w:rFonts w:ascii="Arial" w:hAnsi="Arial" w:cs="Arial"/>
                <w:sz w:val="16"/>
                <w:szCs w:val="16"/>
              </w:rPr>
            </w:pPr>
            <w:r w:rsidRPr="00954D98">
              <w:rPr>
                <w:rFonts w:ascii="Arial" w:hAnsi="Arial" w:cs="Arial"/>
                <w:sz w:val="16"/>
                <w:szCs w:val="16"/>
              </w:rPr>
              <w:t>-0.7</w:t>
            </w:r>
          </w:p>
        </w:tc>
      </w:tr>
      <w:tr w:rsidR="00B8587E" w:rsidRPr="00954D98" w14:paraId="2EE3756D"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1240FEB9" w14:textId="77777777" w:rsidR="00B8587E" w:rsidRPr="00954D98" w:rsidRDefault="00B8587E" w:rsidP="00B8587E">
            <w:pPr>
              <w:spacing w:before="0" w:after="0" w:line="240" w:lineRule="auto"/>
              <w:rPr>
                <w:rFonts w:ascii="Arial" w:hAnsi="Arial" w:cs="Arial"/>
                <w:b/>
                <w:bCs/>
                <w:color w:val="FFFF00"/>
                <w:sz w:val="16"/>
                <w:szCs w:val="16"/>
              </w:rPr>
            </w:pPr>
            <w:r w:rsidRPr="00954D98">
              <w:rPr>
                <w:rFonts w:ascii="Arial" w:hAnsi="Arial" w:cs="Arial"/>
                <w:b/>
                <w:bCs/>
                <w:sz w:val="16"/>
                <w:szCs w:val="16"/>
              </w:rPr>
              <w:t>Non-taxation revenue</w:t>
            </w:r>
          </w:p>
        </w:tc>
        <w:tc>
          <w:tcPr>
            <w:tcW w:w="585" w:type="pct"/>
            <w:tcBorders>
              <w:top w:val="single" w:sz="4" w:space="0" w:color="293F5B"/>
              <w:left w:val="nil"/>
              <w:bottom w:val="single" w:sz="4" w:space="0" w:color="293F5B"/>
              <w:right w:val="nil"/>
            </w:tcBorders>
            <w:shd w:val="clear" w:color="000000" w:fill="FFFFFF"/>
            <w:noWrap/>
            <w:vAlign w:val="center"/>
            <w:hideMark/>
          </w:tcPr>
          <w:p w14:paraId="6278CCAE"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56,829</w:t>
            </w:r>
          </w:p>
        </w:tc>
        <w:tc>
          <w:tcPr>
            <w:tcW w:w="585" w:type="pct"/>
            <w:tcBorders>
              <w:top w:val="single" w:sz="4" w:space="0" w:color="293F5B"/>
              <w:left w:val="nil"/>
              <w:bottom w:val="single" w:sz="4" w:space="0" w:color="293F5B"/>
              <w:right w:val="nil"/>
            </w:tcBorders>
            <w:shd w:val="clear" w:color="000000" w:fill="E6F2FF"/>
            <w:noWrap/>
            <w:vAlign w:val="center"/>
            <w:hideMark/>
          </w:tcPr>
          <w:p w14:paraId="4F51285F"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56,699</w:t>
            </w:r>
          </w:p>
        </w:tc>
        <w:tc>
          <w:tcPr>
            <w:tcW w:w="81" w:type="pct"/>
            <w:tcBorders>
              <w:top w:val="nil"/>
              <w:left w:val="nil"/>
              <w:bottom w:val="nil"/>
              <w:right w:val="nil"/>
            </w:tcBorders>
            <w:shd w:val="clear" w:color="000000" w:fill="FFFFFF"/>
            <w:noWrap/>
            <w:vAlign w:val="center"/>
            <w:hideMark/>
          </w:tcPr>
          <w:p w14:paraId="77869355"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13" w:type="pct"/>
            <w:tcBorders>
              <w:top w:val="single" w:sz="4" w:space="0" w:color="293F5B"/>
              <w:left w:val="nil"/>
              <w:bottom w:val="single" w:sz="4" w:space="0" w:color="293F5B"/>
              <w:right w:val="nil"/>
            </w:tcBorders>
            <w:shd w:val="clear" w:color="000000" w:fill="FFFFFF"/>
            <w:noWrap/>
            <w:vAlign w:val="center"/>
            <w:hideMark/>
          </w:tcPr>
          <w:p w14:paraId="00CF2762"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-129</w:t>
            </w:r>
          </w:p>
        </w:tc>
        <w:tc>
          <w:tcPr>
            <w:tcW w:w="558" w:type="pct"/>
            <w:tcBorders>
              <w:top w:val="single" w:sz="4" w:space="0" w:color="293F5B"/>
              <w:left w:val="nil"/>
              <w:bottom w:val="single" w:sz="4" w:space="0" w:color="293F5B"/>
              <w:right w:val="nil"/>
            </w:tcBorders>
            <w:shd w:val="clear" w:color="000000" w:fill="FFFFFF"/>
            <w:noWrap/>
            <w:vAlign w:val="center"/>
            <w:hideMark/>
          </w:tcPr>
          <w:p w14:paraId="262685B0" w14:textId="77777777" w:rsidR="00B8587E" w:rsidRPr="00954D98" w:rsidRDefault="00B8587E" w:rsidP="00B8587E">
            <w:pPr>
              <w:spacing w:before="0" w:after="0" w:line="240" w:lineRule="auto"/>
              <w:jc w:val="right"/>
              <w:rPr>
                <w:rFonts w:ascii="Arial" w:hAnsi="Arial" w:cs="Arial"/>
                <w:b/>
                <w:bCs/>
                <w:sz w:val="16"/>
                <w:szCs w:val="16"/>
              </w:rPr>
            </w:pPr>
            <w:r w:rsidRPr="00954D98">
              <w:rPr>
                <w:rFonts w:ascii="Arial" w:hAnsi="Arial" w:cs="Arial"/>
                <w:b/>
                <w:bCs/>
                <w:sz w:val="16"/>
                <w:szCs w:val="16"/>
              </w:rPr>
              <w:t>-0.2</w:t>
            </w:r>
          </w:p>
        </w:tc>
      </w:tr>
      <w:tr w:rsidR="002C4687" w:rsidRPr="00954D98" w14:paraId="661B41AB" w14:textId="77777777" w:rsidTr="00B8587E">
        <w:trPr>
          <w:trHeight w:hRule="exact" w:val="225"/>
        </w:trPr>
        <w:tc>
          <w:tcPr>
            <w:tcW w:w="2577" w:type="pct"/>
            <w:tcBorders>
              <w:top w:val="nil"/>
              <w:left w:val="nil"/>
              <w:bottom w:val="single" w:sz="4" w:space="0" w:color="293F5B"/>
              <w:right w:val="nil"/>
            </w:tcBorders>
            <w:shd w:val="clear" w:color="000000" w:fill="FFFFFF"/>
            <w:noWrap/>
            <w:vAlign w:val="center"/>
            <w:hideMark/>
          </w:tcPr>
          <w:p w14:paraId="671C9652" w14:textId="77777777" w:rsidR="00B8587E" w:rsidRPr="00954D98" w:rsidRDefault="00B8587E" w:rsidP="00B8587E">
            <w:pPr>
              <w:spacing w:before="0" w:after="0" w:line="240" w:lineRule="auto"/>
              <w:rPr>
                <w:rFonts w:ascii="Arial" w:hAnsi="Arial" w:cs="Arial"/>
                <w:b/>
                <w:bCs/>
                <w:color w:val="FFFF00"/>
                <w:sz w:val="16"/>
                <w:szCs w:val="16"/>
              </w:rPr>
            </w:pPr>
            <w:r w:rsidRPr="00954D98">
              <w:rPr>
                <w:rFonts w:ascii="Arial" w:hAnsi="Arial" w:cs="Arial"/>
                <w:b/>
                <w:bCs/>
                <w:sz w:val="16"/>
                <w:szCs w:val="16"/>
              </w:rPr>
              <w:t>Total revenue</w:t>
            </w:r>
          </w:p>
        </w:tc>
        <w:tc>
          <w:tcPr>
            <w:tcW w:w="585" w:type="pct"/>
            <w:tcBorders>
              <w:top w:val="single" w:sz="4" w:space="0" w:color="293F5B"/>
              <w:left w:val="nil"/>
              <w:bottom w:val="single" w:sz="4" w:space="0" w:color="293F5B"/>
              <w:right w:val="nil"/>
            </w:tcBorders>
            <w:shd w:val="clear" w:color="000000" w:fill="FFFFFF"/>
            <w:noWrap/>
            <w:vAlign w:val="center"/>
            <w:hideMark/>
          </w:tcPr>
          <w:p w14:paraId="4EBFC76E"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783,564</w:t>
            </w:r>
          </w:p>
        </w:tc>
        <w:tc>
          <w:tcPr>
            <w:tcW w:w="585" w:type="pct"/>
            <w:tcBorders>
              <w:top w:val="single" w:sz="4" w:space="0" w:color="293F5B"/>
              <w:left w:val="nil"/>
              <w:bottom w:val="single" w:sz="4" w:space="0" w:color="293F5B"/>
              <w:right w:val="nil"/>
            </w:tcBorders>
            <w:shd w:val="clear" w:color="000000" w:fill="E6F2FF"/>
            <w:noWrap/>
            <w:vAlign w:val="center"/>
            <w:hideMark/>
          </w:tcPr>
          <w:p w14:paraId="2E529DE1"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793,605</w:t>
            </w:r>
          </w:p>
        </w:tc>
        <w:tc>
          <w:tcPr>
            <w:tcW w:w="81" w:type="pct"/>
            <w:tcBorders>
              <w:top w:val="nil"/>
              <w:left w:val="nil"/>
              <w:bottom w:val="single" w:sz="4" w:space="0" w:color="auto"/>
              <w:right w:val="nil"/>
            </w:tcBorders>
            <w:shd w:val="clear" w:color="000000" w:fill="FFFFFF"/>
            <w:noWrap/>
            <w:vAlign w:val="center"/>
            <w:hideMark/>
          </w:tcPr>
          <w:p w14:paraId="327F8F30"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613" w:type="pct"/>
            <w:tcBorders>
              <w:top w:val="single" w:sz="4" w:space="0" w:color="293F5B"/>
              <w:left w:val="nil"/>
              <w:bottom w:val="single" w:sz="4" w:space="0" w:color="293F5B"/>
              <w:right w:val="nil"/>
            </w:tcBorders>
            <w:shd w:val="clear" w:color="000000" w:fill="FFFFFF"/>
            <w:noWrap/>
            <w:vAlign w:val="center"/>
            <w:hideMark/>
          </w:tcPr>
          <w:p w14:paraId="62A50518" w14:textId="77777777" w:rsidR="00B8587E" w:rsidRPr="00954D98" w:rsidRDefault="00B8587E" w:rsidP="00B8587E">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10,041</w:t>
            </w:r>
          </w:p>
        </w:tc>
        <w:tc>
          <w:tcPr>
            <w:tcW w:w="558" w:type="pct"/>
            <w:tcBorders>
              <w:top w:val="single" w:sz="4" w:space="0" w:color="293F5B"/>
              <w:left w:val="nil"/>
              <w:bottom w:val="single" w:sz="4" w:space="0" w:color="293F5B"/>
              <w:right w:val="nil"/>
            </w:tcBorders>
            <w:shd w:val="clear" w:color="000000" w:fill="FFFFFF"/>
            <w:noWrap/>
            <w:vAlign w:val="center"/>
            <w:hideMark/>
          </w:tcPr>
          <w:p w14:paraId="6FC14FB2" w14:textId="77777777" w:rsidR="00B8587E" w:rsidRPr="00954D98" w:rsidRDefault="00B8587E" w:rsidP="00B8587E">
            <w:pPr>
              <w:spacing w:before="0" w:after="0" w:line="240" w:lineRule="auto"/>
              <w:jc w:val="right"/>
              <w:rPr>
                <w:rFonts w:ascii="Arial" w:hAnsi="Arial" w:cs="Arial"/>
                <w:b/>
                <w:bCs/>
                <w:sz w:val="16"/>
                <w:szCs w:val="16"/>
              </w:rPr>
            </w:pPr>
            <w:r w:rsidRPr="00954D98">
              <w:rPr>
                <w:rFonts w:ascii="Arial" w:hAnsi="Arial" w:cs="Arial"/>
                <w:b/>
                <w:bCs/>
                <w:sz w:val="16"/>
                <w:szCs w:val="16"/>
              </w:rPr>
              <w:t>1.3</w:t>
            </w:r>
          </w:p>
        </w:tc>
      </w:tr>
      <w:tr w:rsidR="00B8587E" w:rsidRPr="00954D98" w14:paraId="71AA0EB2"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3EB32D70" w14:textId="77777777" w:rsidR="00B8587E" w:rsidRPr="00954D98" w:rsidRDefault="00B8587E" w:rsidP="00B8587E">
            <w:pPr>
              <w:spacing w:before="0" w:after="0" w:line="240" w:lineRule="auto"/>
              <w:rPr>
                <w:rFonts w:ascii="Arial" w:hAnsi="Arial" w:cs="Arial"/>
                <w:i/>
                <w:iCs/>
                <w:color w:val="FFFF00"/>
                <w:sz w:val="16"/>
                <w:szCs w:val="16"/>
              </w:rPr>
            </w:pPr>
            <w:r w:rsidRPr="00954D98">
              <w:rPr>
                <w:rFonts w:ascii="Arial" w:hAnsi="Arial" w:cs="Arial"/>
                <w:i/>
                <w:iCs/>
                <w:sz w:val="16"/>
                <w:szCs w:val="16"/>
              </w:rPr>
              <w:t>Memorandum:</w:t>
            </w:r>
          </w:p>
        </w:tc>
        <w:tc>
          <w:tcPr>
            <w:tcW w:w="585" w:type="pct"/>
            <w:tcBorders>
              <w:top w:val="nil"/>
              <w:left w:val="nil"/>
              <w:bottom w:val="nil"/>
              <w:right w:val="nil"/>
            </w:tcBorders>
            <w:shd w:val="clear" w:color="000000" w:fill="FFFFFF"/>
            <w:noWrap/>
            <w:vAlign w:val="center"/>
            <w:hideMark/>
          </w:tcPr>
          <w:p w14:paraId="7AE3063D"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585" w:type="pct"/>
            <w:tcBorders>
              <w:top w:val="nil"/>
              <w:left w:val="nil"/>
              <w:bottom w:val="nil"/>
              <w:right w:val="nil"/>
            </w:tcBorders>
            <w:shd w:val="clear" w:color="000000" w:fill="E6F2FF"/>
            <w:noWrap/>
            <w:vAlign w:val="center"/>
            <w:hideMark/>
          </w:tcPr>
          <w:p w14:paraId="72734938"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81" w:type="pct"/>
            <w:tcBorders>
              <w:top w:val="nil"/>
              <w:left w:val="nil"/>
              <w:bottom w:val="nil"/>
              <w:right w:val="nil"/>
            </w:tcBorders>
            <w:shd w:val="clear" w:color="000000" w:fill="FFFFFF"/>
            <w:noWrap/>
            <w:vAlign w:val="center"/>
            <w:hideMark/>
          </w:tcPr>
          <w:p w14:paraId="4BCCDB4F"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613" w:type="pct"/>
            <w:tcBorders>
              <w:top w:val="nil"/>
              <w:left w:val="nil"/>
              <w:bottom w:val="nil"/>
              <w:right w:val="nil"/>
            </w:tcBorders>
            <w:shd w:val="clear" w:color="000000" w:fill="FFFFFF"/>
            <w:noWrap/>
            <w:vAlign w:val="center"/>
            <w:hideMark/>
          </w:tcPr>
          <w:p w14:paraId="0D064A2E"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558" w:type="pct"/>
            <w:tcBorders>
              <w:top w:val="nil"/>
              <w:left w:val="nil"/>
              <w:bottom w:val="nil"/>
              <w:right w:val="nil"/>
            </w:tcBorders>
            <w:shd w:val="clear" w:color="000000" w:fill="FFFFFF"/>
            <w:noWrap/>
            <w:vAlign w:val="center"/>
            <w:hideMark/>
          </w:tcPr>
          <w:p w14:paraId="45589071" w14:textId="77777777" w:rsidR="00B8587E" w:rsidRPr="00954D98" w:rsidRDefault="00B8587E" w:rsidP="00B8587E">
            <w:pPr>
              <w:spacing w:before="0" w:after="0" w:line="240" w:lineRule="auto"/>
              <w:jc w:val="right"/>
              <w:rPr>
                <w:rFonts w:ascii="Arial" w:hAnsi="Arial" w:cs="Arial"/>
                <w:i/>
                <w:iCs/>
                <w:sz w:val="16"/>
                <w:szCs w:val="16"/>
              </w:rPr>
            </w:pPr>
            <w:r w:rsidRPr="00954D98">
              <w:rPr>
                <w:rFonts w:ascii="Arial" w:hAnsi="Arial" w:cs="Arial"/>
                <w:i/>
                <w:iCs/>
                <w:sz w:val="16"/>
                <w:szCs w:val="16"/>
              </w:rPr>
              <w:t> </w:t>
            </w:r>
          </w:p>
        </w:tc>
      </w:tr>
      <w:tr w:rsidR="00B8587E" w:rsidRPr="00954D98" w14:paraId="510B3C61"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2402C617" w14:textId="77777777" w:rsidR="00B8587E" w:rsidRPr="00954D98" w:rsidRDefault="00B8587E" w:rsidP="00B8587E">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Total excise</w:t>
            </w:r>
          </w:p>
        </w:tc>
        <w:tc>
          <w:tcPr>
            <w:tcW w:w="585" w:type="pct"/>
            <w:tcBorders>
              <w:top w:val="nil"/>
              <w:left w:val="nil"/>
              <w:bottom w:val="nil"/>
              <w:right w:val="nil"/>
            </w:tcBorders>
            <w:shd w:val="clear" w:color="000000" w:fill="FFFFFF"/>
            <w:noWrap/>
            <w:vAlign w:val="center"/>
            <w:hideMark/>
          </w:tcPr>
          <w:p w14:paraId="19762AE9"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33,810</w:t>
            </w:r>
          </w:p>
        </w:tc>
        <w:tc>
          <w:tcPr>
            <w:tcW w:w="585" w:type="pct"/>
            <w:tcBorders>
              <w:top w:val="nil"/>
              <w:left w:val="nil"/>
              <w:bottom w:val="nil"/>
              <w:right w:val="nil"/>
            </w:tcBorders>
            <w:shd w:val="clear" w:color="000000" w:fill="E6F2FF"/>
            <w:noWrap/>
            <w:vAlign w:val="center"/>
            <w:hideMark/>
          </w:tcPr>
          <w:p w14:paraId="6558FC37"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33,000</w:t>
            </w:r>
          </w:p>
        </w:tc>
        <w:tc>
          <w:tcPr>
            <w:tcW w:w="81" w:type="pct"/>
            <w:tcBorders>
              <w:top w:val="nil"/>
              <w:left w:val="nil"/>
              <w:bottom w:val="nil"/>
              <w:right w:val="nil"/>
            </w:tcBorders>
            <w:shd w:val="clear" w:color="000000" w:fill="FFFFFF"/>
            <w:noWrap/>
            <w:vAlign w:val="center"/>
            <w:hideMark/>
          </w:tcPr>
          <w:p w14:paraId="21D0C670"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613" w:type="pct"/>
            <w:tcBorders>
              <w:top w:val="nil"/>
              <w:left w:val="nil"/>
              <w:bottom w:val="nil"/>
              <w:right w:val="nil"/>
            </w:tcBorders>
            <w:shd w:val="clear" w:color="000000" w:fill="FFFFFF"/>
            <w:noWrap/>
            <w:vAlign w:val="center"/>
            <w:hideMark/>
          </w:tcPr>
          <w:p w14:paraId="61598536"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-810</w:t>
            </w:r>
          </w:p>
        </w:tc>
        <w:tc>
          <w:tcPr>
            <w:tcW w:w="558" w:type="pct"/>
            <w:tcBorders>
              <w:top w:val="nil"/>
              <w:left w:val="nil"/>
              <w:bottom w:val="nil"/>
              <w:right w:val="nil"/>
            </w:tcBorders>
            <w:shd w:val="clear" w:color="000000" w:fill="FFFFFF"/>
            <w:noWrap/>
            <w:vAlign w:val="center"/>
            <w:hideMark/>
          </w:tcPr>
          <w:p w14:paraId="4258503E" w14:textId="77777777" w:rsidR="00B8587E" w:rsidRPr="00954D98" w:rsidRDefault="00B8587E" w:rsidP="00B8587E">
            <w:pPr>
              <w:spacing w:before="0" w:after="0" w:line="240" w:lineRule="auto"/>
              <w:jc w:val="right"/>
              <w:rPr>
                <w:rFonts w:ascii="Arial" w:hAnsi="Arial" w:cs="Arial"/>
                <w:i/>
                <w:iCs/>
                <w:sz w:val="16"/>
                <w:szCs w:val="16"/>
              </w:rPr>
            </w:pPr>
            <w:r w:rsidRPr="00954D98">
              <w:rPr>
                <w:rFonts w:ascii="Arial" w:hAnsi="Arial" w:cs="Arial"/>
                <w:i/>
                <w:iCs/>
                <w:sz w:val="16"/>
                <w:szCs w:val="16"/>
              </w:rPr>
              <w:t>-2.4</w:t>
            </w:r>
          </w:p>
        </w:tc>
      </w:tr>
      <w:tr w:rsidR="00B8587E" w:rsidRPr="00954D98" w14:paraId="681172CE" w14:textId="77777777" w:rsidTr="00B8587E">
        <w:trPr>
          <w:trHeight w:hRule="exact" w:val="225"/>
        </w:trPr>
        <w:tc>
          <w:tcPr>
            <w:tcW w:w="2577" w:type="pct"/>
            <w:tcBorders>
              <w:top w:val="nil"/>
              <w:left w:val="nil"/>
              <w:bottom w:val="nil"/>
              <w:right w:val="nil"/>
            </w:tcBorders>
            <w:shd w:val="clear" w:color="000000" w:fill="FFFFFF"/>
            <w:noWrap/>
            <w:vAlign w:val="center"/>
            <w:hideMark/>
          </w:tcPr>
          <w:p w14:paraId="3718379F" w14:textId="77777777" w:rsidR="00B8587E" w:rsidRPr="00954D98" w:rsidRDefault="00B8587E" w:rsidP="00B8587E">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Total customs duty</w:t>
            </w:r>
          </w:p>
        </w:tc>
        <w:tc>
          <w:tcPr>
            <w:tcW w:w="585" w:type="pct"/>
            <w:tcBorders>
              <w:top w:val="nil"/>
              <w:left w:val="nil"/>
              <w:bottom w:val="nil"/>
              <w:right w:val="nil"/>
            </w:tcBorders>
            <w:shd w:val="clear" w:color="000000" w:fill="FFFFFF"/>
            <w:noWrap/>
            <w:vAlign w:val="center"/>
            <w:hideMark/>
          </w:tcPr>
          <w:p w14:paraId="371A9532"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11,180</w:t>
            </w:r>
          </w:p>
        </w:tc>
        <w:tc>
          <w:tcPr>
            <w:tcW w:w="585" w:type="pct"/>
            <w:tcBorders>
              <w:top w:val="nil"/>
              <w:left w:val="nil"/>
              <w:bottom w:val="nil"/>
              <w:right w:val="nil"/>
            </w:tcBorders>
            <w:shd w:val="clear" w:color="000000" w:fill="E6F2FF"/>
            <w:noWrap/>
            <w:vAlign w:val="center"/>
            <w:hideMark/>
          </w:tcPr>
          <w:p w14:paraId="11DA6F1E"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8,830</w:t>
            </w:r>
          </w:p>
        </w:tc>
        <w:tc>
          <w:tcPr>
            <w:tcW w:w="81" w:type="pct"/>
            <w:tcBorders>
              <w:top w:val="nil"/>
              <w:left w:val="nil"/>
              <w:bottom w:val="nil"/>
              <w:right w:val="nil"/>
            </w:tcBorders>
            <w:shd w:val="clear" w:color="000000" w:fill="FFFFFF"/>
            <w:noWrap/>
            <w:vAlign w:val="center"/>
            <w:hideMark/>
          </w:tcPr>
          <w:p w14:paraId="03E57E1C"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613" w:type="pct"/>
            <w:tcBorders>
              <w:top w:val="nil"/>
              <w:left w:val="nil"/>
              <w:bottom w:val="nil"/>
              <w:right w:val="nil"/>
            </w:tcBorders>
            <w:shd w:val="clear" w:color="000000" w:fill="FFFFFF"/>
            <w:noWrap/>
            <w:vAlign w:val="center"/>
            <w:hideMark/>
          </w:tcPr>
          <w:p w14:paraId="1623B218"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-2,350</w:t>
            </w:r>
          </w:p>
        </w:tc>
        <w:tc>
          <w:tcPr>
            <w:tcW w:w="558" w:type="pct"/>
            <w:tcBorders>
              <w:top w:val="nil"/>
              <w:left w:val="nil"/>
              <w:bottom w:val="nil"/>
              <w:right w:val="nil"/>
            </w:tcBorders>
            <w:shd w:val="clear" w:color="000000" w:fill="FFFFFF"/>
            <w:noWrap/>
            <w:vAlign w:val="center"/>
            <w:hideMark/>
          </w:tcPr>
          <w:p w14:paraId="727405DA" w14:textId="77777777" w:rsidR="00B8587E" w:rsidRPr="00954D98" w:rsidRDefault="00B8587E" w:rsidP="00B8587E">
            <w:pPr>
              <w:spacing w:before="0" w:after="0" w:line="240" w:lineRule="auto"/>
              <w:jc w:val="right"/>
              <w:rPr>
                <w:rFonts w:ascii="Arial" w:hAnsi="Arial" w:cs="Arial"/>
                <w:i/>
                <w:iCs/>
                <w:sz w:val="16"/>
                <w:szCs w:val="16"/>
              </w:rPr>
            </w:pPr>
            <w:r w:rsidRPr="00954D98">
              <w:rPr>
                <w:rFonts w:ascii="Arial" w:hAnsi="Arial" w:cs="Arial"/>
                <w:i/>
                <w:iCs/>
                <w:sz w:val="16"/>
                <w:szCs w:val="16"/>
              </w:rPr>
              <w:t>-21.0</w:t>
            </w:r>
          </w:p>
        </w:tc>
      </w:tr>
      <w:tr w:rsidR="00B8587E" w:rsidRPr="00954D98" w14:paraId="7F433CDB" w14:textId="77777777" w:rsidTr="00B8587E">
        <w:trPr>
          <w:trHeight w:hRule="exact" w:val="225"/>
        </w:trPr>
        <w:tc>
          <w:tcPr>
            <w:tcW w:w="2577" w:type="pct"/>
            <w:tcBorders>
              <w:top w:val="nil"/>
              <w:left w:val="nil"/>
              <w:bottom w:val="single" w:sz="4" w:space="0" w:color="293F5B"/>
              <w:right w:val="nil"/>
            </w:tcBorders>
            <w:shd w:val="clear" w:color="000000" w:fill="FFFFFF"/>
            <w:noWrap/>
            <w:vAlign w:val="center"/>
            <w:hideMark/>
          </w:tcPr>
          <w:p w14:paraId="006E375C" w14:textId="77777777" w:rsidR="00B8587E" w:rsidRPr="00954D98" w:rsidRDefault="00B8587E" w:rsidP="00B8587E">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Capital gains tax(b)</w:t>
            </w:r>
          </w:p>
        </w:tc>
        <w:tc>
          <w:tcPr>
            <w:tcW w:w="585" w:type="pct"/>
            <w:tcBorders>
              <w:top w:val="nil"/>
              <w:left w:val="nil"/>
              <w:bottom w:val="single" w:sz="4" w:space="0" w:color="293F5B"/>
              <w:right w:val="nil"/>
            </w:tcBorders>
            <w:shd w:val="clear" w:color="000000" w:fill="FFFFFF"/>
            <w:noWrap/>
            <w:vAlign w:val="center"/>
            <w:hideMark/>
          </w:tcPr>
          <w:p w14:paraId="1F4E74D4"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27,600</w:t>
            </w:r>
          </w:p>
        </w:tc>
        <w:tc>
          <w:tcPr>
            <w:tcW w:w="585" w:type="pct"/>
            <w:tcBorders>
              <w:top w:val="nil"/>
              <w:left w:val="nil"/>
              <w:bottom w:val="single" w:sz="4" w:space="0" w:color="293F5B"/>
              <w:right w:val="nil"/>
            </w:tcBorders>
            <w:shd w:val="clear" w:color="000000" w:fill="E6F2FF"/>
            <w:noWrap/>
            <w:vAlign w:val="center"/>
            <w:hideMark/>
          </w:tcPr>
          <w:p w14:paraId="1FE4A988"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30,700</w:t>
            </w:r>
          </w:p>
        </w:tc>
        <w:tc>
          <w:tcPr>
            <w:tcW w:w="81" w:type="pct"/>
            <w:tcBorders>
              <w:top w:val="nil"/>
              <w:left w:val="nil"/>
              <w:bottom w:val="single" w:sz="4" w:space="0" w:color="293F5B"/>
              <w:right w:val="nil"/>
            </w:tcBorders>
            <w:shd w:val="clear" w:color="000000" w:fill="FFFFFF"/>
            <w:noWrap/>
            <w:vAlign w:val="center"/>
            <w:hideMark/>
          </w:tcPr>
          <w:p w14:paraId="22489472"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 </w:t>
            </w:r>
          </w:p>
        </w:tc>
        <w:tc>
          <w:tcPr>
            <w:tcW w:w="613" w:type="pct"/>
            <w:tcBorders>
              <w:top w:val="nil"/>
              <w:left w:val="nil"/>
              <w:bottom w:val="single" w:sz="4" w:space="0" w:color="293F5B"/>
              <w:right w:val="nil"/>
            </w:tcBorders>
            <w:shd w:val="clear" w:color="000000" w:fill="FFFFFF"/>
            <w:noWrap/>
            <w:vAlign w:val="center"/>
            <w:hideMark/>
          </w:tcPr>
          <w:p w14:paraId="5573A6ED" w14:textId="77777777" w:rsidR="00B8587E" w:rsidRPr="00954D98" w:rsidRDefault="00B8587E" w:rsidP="00B8587E">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3,100</w:t>
            </w:r>
          </w:p>
        </w:tc>
        <w:tc>
          <w:tcPr>
            <w:tcW w:w="558" w:type="pct"/>
            <w:tcBorders>
              <w:top w:val="nil"/>
              <w:left w:val="nil"/>
              <w:bottom w:val="single" w:sz="4" w:space="0" w:color="293F5B"/>
              <w:right w:val="nil"/>
            </w:tcBorders>
            <w:shd w:val="clear" w:color="000000" w:fill="FFFFFF"/>
            <w:noWrap/>
            <w:vAlign w:val="center"/>
            <w:hideMark/>
          </w:tcPr>
          <w:p w14:paraId="50D7BB8F" w14:textId="77777777" w:rsidR="00B8587E" w:rsidRPr="00954D98" w:rsidRDefault="00B8587E" w:rsidP="00B8587E">
            <w:pPr>
              <w:spacing w:before="0" w:after="0" w:line="240" w:lineRule="auto"/>
              <w:jc w:val="right"/>
              <w:rPr>
                <w:rFonts w:ascii="Arial" w:hAnsi="Arial" w:cs="Arial"/>
                <w:i/>
                <w:iCs/>
                <w:sz w:val="16"/>
                <w:szCs w:val="16"/>
              </w:rPr>
            </w:pPr>
            <w:r w:rsidRPr="00954D98">
              <w:rPr>
                <w:rFonts w:ascii="Arial" w:hAnsi="Arial" w:cs="Arial"/>
                <w:i/>
                <w:iCs/>
                <w:sz w:val="16"/>
                <w:szCs w:val="16"/>
              </w:rPr>
              <w:t>11.2</w:t>
            </w:r>
          </w:p>
        </w:tc>
      </w:tr>
    </w:tbl>
    <w:p w14:paraId="427E2605" w14:textId="4CD79C52" w:rsidR="00F1044A" w:rsidRPr="00954D98" w:rsidRDefault="00536CFF" w:rsidP="00B6021D">
      <w:pPr>
        <w:pStyle w:val="ChartandTableFootnoteAlpha"/>
        <w:numPr>
          <w:ilvl w:val="0"/>
          <w:numId w:val="28"/>
        </w:numPr>
        <w:spacing w:line="160" w:lineRule="exact"/>
        <w:rPr>
          <w:rFonts w:eastAsiaTheme="minorHAnsi"/>
          <w:color w:val="auto"/>
        </w:rPr>
      </w:pPr>
      <w:r>
        <w:rPr>
          <w:rFonts w:eastAsiaTheme="minorHAnsi"/>
          <w:color w:val="auto"/>
        </w:rPr>
        <w:t>‘</w:t>
      </w:r>
      <w:r w:rsidR="00F1044A" w:rsidRPr="00954D98">
        <w:rPr>
          <w:rFonts w:eastAsiaTheme="minorHAnsi"/>
          <w:color w:val="auto"/>
        </w:rPr>
        <w:t>Other alcoholic beverages</w:t>
      </w:r>
      <w:r>
        <w:rPr>
          <w:rFonts w:eastAsiaTheme="minorHAnsi"/>
          <w:color w:val="auto"/>
        </w:rPr>
        <w:t>’</w:t>
      </w:r>
      <w:r w:rsidR="00F1044A" w:rsidRPr="00954D98">
        <w:rPr>
          <w:rFonts w:eastAsiaTheme="minorHAnsi"/>
          <w:color w:val="auto"/>
        </w:rPr>
        <w:t xml:space="preserve"> are those not exceeding 10 per cent by volume of alcohol (excluding beer, brandy and wine).</w:t>
      </w:r>
    </w:p>
    <w:p w14:paraId="7C85730B" w14:textId="0DF1C45F" w:rsidR="00F1044A" w:rsidRPr="00954D98" w:rsidRDefault="00536CFF" w:rsidP="00B6021D">
      <w:pPr>
        <w:pStyle w:val="ChartandTableFootnoteAlpha"/>
        <w:numPr>
          <w:ilvl w:val="0"/>
          <w:numId w:val="28"/>
        </w:numPr>
        <w:spacing w:before="0" w:line="160" w:lineRule="exact"/>
        <w:rPr>
          <w:rFonts w:eastAsiaTheme="minorHAnsi"/>
          <w:color w:val="auto"/>
        </w:rPr>
      </w:pPr>
      <w:r>
        <w:rPr>
          <w:rFonts w:eastAsiaTheme="minorHAnsi"/>
          <w:color w:val="auto"/>
        </w:rPr>
        <w:t>‘</w:t>
      </w:r>
      <w:r w:rsidR="00F1044A" w:rsidRPr="00954D98">
        <w:rPr>
          <w:rFonts w:eastAsiaTheme="minorHAnsi"/>
          <w:color w:val="auto"/>
        </w:rPr>
        <w:t>Capital gains tax</w:t>
      </w:r>
      <w:r>
        <w:rPr>
          <w:rFonts w:eastAsiaTheme="minorHAnsi"/>
          <w:color w:val="auto"/>
        </w:rPr>
        <w:t>’</w:t>
      </w:r>
      <w:r w:rsidR="00F1044A" w:rsidRPr="00954D98">
        <w:rPr>
          <w:rFonts w:eastAsiaTheme="minorHAnsi"/>
          <w:color w:val="auto"/>
        </w:rPr>
        <w:t xml:space="preserve"> is part of gross other individuals, company tax and superannuation fund taxes.</w:t>
      </w:r>
    </w:p>
    <w:p w14:paraId="275C4630" w14:textId="77777777" w:rsidR="00B6021D" w:rsidRPr="00B6021D" w:rsidRDefault="00B6021D" w:rsidP="00B6021D">
      <w:pPr>
        <w:pStyle w:val="TableLine"/>
        <w:rPr>
          <w:rFonts w:eastAsiaTheme="minorHAnsi"/>
        </w:rPr>
      </w:pPr>
    </w:p>
    <w:p w14:paraId="269B560C" w14:textId="5B515D24" w:rsidR="00F1044A" w:rsidRPr="00954D98" w:rsidRDefault="00F1044A" w:rsidP="00B6021D">
      <w:pPr>
        <w:pStyle w:val="Heading3"/>
      </w:pPr>
      <w:bookmarkStart w:id="70" w:name="_Toc148428083"/>
      <w:r w:rsidRPr="00954D98">
        <w:lastRenderedPageBreak/>
        <w:t>Expense estimates</w:t>
      </w:r>
      <w:bookmarkEnd w:id="70"/>
    </w:p>
    <w:p w14:paraId="223D5325" w14:textId="6106CA20" w:rsidR="00157FE2" w:rsidRPr="00954D98" w:rsidRDefault="00157FE2" w:rsidP="00157FE2">
      <w:r w:rsidRPr="00954D98">
        <w:t>Expenses are the accrual accounting equivalent of cash</w:t>
      </w:r>
      <w:r w:rsidR="00536CFF">
        <w:noBreakHyphen/>
      </w:r>
      <w:r w:rsidRPr="00954D98">
        <w:t>based payments. The differences between the accrual and cash amounts generally reflect where there is a timing difference between the expense accruing and cash payments occurring. Common examples include employee</w:t>
      </w:r>
      <w:r w:rsidR="00536CFF">
        <w:noBreakHyphen/>
      </w:r>
      <w:r w:rsidRPr="00954D98">
        <w:t>related liabilities such as superannuation benefits programs and long service leave, government insurance and guarantee schemes, concessional loans and purchases of non</w:t>
      </w:r>
      <w:r w:rsidR="00536CFF">
        <w:noBreakHyphen/>
      </w:r>
      <w:r w:rsidRPr="00954D98">
        <w:t>financial assets.</w:t>
      </w:r>
    </w:p>
    <w:p w14:paraId="4249962C" w14:textId="4B3809F5" w:rsidR="00E86FE6" w:rsidRPr="00954D98" w:rsidRDefault="00157FE2" w:rsidP="00157FE2">
      <w:r w:rsidRPr="00954D98">
        <w:t>Since the 2025 PEFO, total expenses</w:t>
      </w:r>
      <w:r w:rsidRPr="00954D98" w:rsidDel="003741D2">
        <w:t xml:space="preserve"> </w:t>
      </w:r>
      <w:r w:rsidRPr="00954D98">
        <w:t xml:space="preserve">have been revised up by $23.5 billion in 2025–26 and by $55.0 billion over </w:t>
      </w:r>
      <w:r w:rsidR="00725046" w:rsidRPr="00954D98">
        <w:t>the</w:t>
      </w:r>
      <w:r w:rsidRPr="00954D98">
        <w:t xml:space="preserve"> four years from 2025</w:t>
      </w:r>
      <w:r w:rsidR="00F04346" w:rsidRPr="00954D98">
        <w:rPr>
          <w:w w:val="1"/>
        </w:rPr>
        <w:t> </w:t>
      </w:r>
      <w:r w:rsidRPr="00954D98">
        <w:t>–</w:t>
      </w:r>
      <w:r w:rsidR="00F04346" w:rsidRPr="00954D98">
        <w:rPr>
          <w:w w:val="1"/>
        </w:rPr>
        <w:t> </w:t>
      </w:r>
      <w:r w:rsidRPr="00954D98">
        <w:t>26 to 2028</w:t>
      </w:r>
      <w:r w:rsidR="00F04346" w:rsidRPr="00954D98">
        <w:rPr>
          <w:w w:val="1"/>
        </w:rPr>
        <w:t> </w:t>
      </w:r>
      <w:r w:rsidR="00F04346" w:rsidRPr="00954D98">
        <w:t>–</w:t>
      </w:r>
      <w:r w:rsidR="00F04346" w:rsidRPr="00954D98">
        <w:rPr>
          <w:w w:val="1"/>
        </w:rPr>
        <w:t> </w:t>
      </w:r>
      <w:r w:rsidRPr="00954D98">
        <w:t xml:space="preserve">29. </w:t>
      </w:r>
    </w:p>
    <w:p w14:paraId="25AB6A31" w14:textId="2035EFFF" w:rsidR="00157FE2" w:rsidRPr="00954D98" w:rsidRDefault="00157FE2" w:rsidP="00157FE2">
      <w:r w:rsidRPr="00954D98">
        <w:t>Movements in expenses over the forward estimates period are broadly consistent with movements in cash payments. A key exception is the Higher Education Loan Program, where debt remissions are recorded as accrual expenses with no impact on cash payments, with a material expense impact in 2025</w:t>
      </w:r>
      <w:r w:rsidR="00F04346" w:rsidRPr="00954D98">
        <w:rPr>
          <w:w w:val="1"/>
        </w:rPr>
        <w:t> </w:t>
      </w:r>
      <w:r w:rsidR="00F04346" w:rsidRPr="00954D98">
        <w:t>–</w:t>
      </w:r>
      <w:r w:rsidR="00F04346" w:rsidRPr="00954D98">
        <w:rPr>
          <w:w w:val="1"/>
        </w:rPr>
        <w:t> </w:t>
      </w:r>
      <w:r w:rsidRPr="00954D98">
        <w:t>26 largely driven by the 20 per cent student debt reduction provided through the 2024</w:t>
      </w:r>
      <w:r w:rsidR="00A5569F" w:rsidRPr="00954D98">
        <w:rPr>
          <w:w w:val="1"/>
        </w:rPr>
        <w:t> </w:t>
      </w:r>
      <w:r w:rsidR="00A5569F" w:rsidRPr="00954D98">
        <w:t>–</w:t>
      </w:r>
      <w:r w:rsidR="00A5569F" w:rsidRPr="00954D98">
        <w:rPr>
          <w:w w:val="1"/>
        </w:rPr>
        <w:t> </w:t>
      </w:r>
      <w:r w:rsidRPr="00954D98">
        <w:t xml:space="preserve">25 MYEFO measure </w:t>
      </w:r>
      <w:r w:rsidRPr="00954D98">
        <w:rPr>
          <w:i/>
        </w:rPr>
        <w:t>Building Australia</w:t>
      </w:r>
      <w:r w:rsidR="00536CFF">
        <w:rPr>
          <w:i/>
        </w:rPr>
        <w:t>’</w:t>
      </w:r>
      <w:r w:rsidRPr="00954D98">
        <w:rPr>
          <w:i/>
        </w:rPr>
        <w:t>s Future – A fairer deal for students</w:t>
      </w:r>
      <w:r w:rsidRPr="00954D98">
        <w:t xml:space="preserve">. </w:t>
      </w:r>
    </w:p>
    <w:p w14:paraId="1D9797C3" w14:textId="25814E3F" w:rsidR="000121FF" w:rsidRPr="00954D98" w:rsidRDefault="00F1044A" w:rsidP="00217D92">
      <w:pPr>
        <w:pStyle w:val="TableHeading"/>
        <w:rPr>
          <w:rFonts w:eastAsiaTheme="minorHAnsi"/>
        </w:rPr>
      </w:pPr>
      <w:r w:rsidRPr="00954D98">
        <w:t>Table 3.</w:t>
      </w:r>
      <w:r w:rsidR="00403094" w:rsidRPr="00954D98">
        <w:t>13</w:t>
      </w:r>
      <w:r w:rsidRPr="00954D98">
        <w:t>: Reconciliation of general government sector expense estimates</w:t>
      </w:r>
    </w:p>
    <w:tbl>
      <w:tblPr>
        <w:tblW w:w="5000" w:type="pct"/>
        <w:tblCellMar>
          <w:left w:w="0" w:type="dxa"/>
          <w:right w:w="28" w:type="dxa"/>
        </w:tblCellMar>
        <w:tblLook w:val="04A0" w:firstRow="1" w:lastRow="0" w:firstColumn="1" w:lastColumn="0" w:noHBand="0" w:noVBand="1"/>
      </w:tblPr>
      <w:tblGrid>
        <w:gridCol w:w="3161"/>
        <w:gridCol w:w="882"/>
        <w:gridCol w:w="882"/>
        <w:gridCol w:w="882"/>
        <w:gridCol w:w="884"/>
        <w:gridCol w:w="125"/>
        <w:gridCol w:w="894"/>
      </w:tblGrid>
      <w:tr w:rsidR="000121FF" w:rsidRPr="00954D98" w14:paraId="75E5D0AB" w14:textId="77777777" w:rsidTr="000121FF">
        <w:trPr>
          <w:trHeight w:hRule="exact" w:val="225"/>
        </w:trPr>
        <w:tc>
          <w:tcPr>
            <w:tcW w:w="2050" w:type="pct"/>
            <w:tcBorders>
              <w:top w:val="single" w:sz="4" w:space="0" w:color="293F5B"/>
              <w:left w:val="nil"/>
              <w:bottom w:val="nil"/>
              <w:right w:val="nil"/>
            </w:tcBorders>
            <w:shd w:val="clear" w:color="000000" w:fill="FFFFFF"/>
            <w:noWrap/>
            <w:vAlign w:val="bottom"/>
            <w:hideMark/>
          </w:tcPr>
          <w:p w14:paraId="5BA5DBFF" w14:textId="77777777" w:rsidR="000121FF" w:rsidRPr="00954D98" w:rsidRDefault="000121FF" w:rsidP="000121FF">
            <w:pPr>
              <w:spacing w:before="0" w:after="0" w:line="240" w:lineRule="auto"/>
              <w:rPr>
                <w:rFonts w:ascii="Calibri" w:hAnsi="Calibri" w:cs="Calibri"/>
                <w:color w:val="FFFF00"/>
                <w:sz w:val="22"/>
                <w:szCs w:val="22"/>
              </w:rPr>
            </w:pPr>
            <w:r w:rsidRPr="00954D98">
              <w:rPr>
                <w:rFonts w:ascii="Calibri" w:hAnsi="Calibri" w:cs="Calibri"/>
                <w:sz w:val="22"/>
                <w:szCs w:val="22"/>
              </w:rPr>
              <w:t> </w:t>
            </w:r>
          </w:p>
        </w:tc>
        <w:tc>
          <w:tcPr>
            <w:tcW w:w="2289" w:type="pct"/>
            <w:gridSpan w:val="4"/>
            <w:tcBorders>
              <w:top w:val="single" w:sz="4" w:space="0" w:color="293F5B"/>
              <w:left w:val="nil"/>
              <w:bottom w:val="single" w:sz="4" w:space="0" w:color="293F5B"/>
              <w:right w:val="nil"/>
            </w:tcBorders>
            <w:shd w:val="clear" w:color="000000" w:fill="FFFFFF"/>
            <w:noWrap/>
            <w:vAlign w:val="center"/>
            <w:hideMark/>
          </w:tcPr>
          <w:p w14:paraId="04F59C68" w14:textId="77777777" w:rsidR="000121FF" w:rsidRPr="00954D98" w:rsidRDefault="000121FF" w:rsidP="000121FF">
            <w:pPr>
              <w:spacing w:before="0" w:after="0" w:line="240" w:lineRule="auto"/>
              <w:jc w:val="center"/>
              <w:rPr>
                <w:rFonts w:ascii="Arial" w:hAnsi="Arial" w:cs="Arial"/>
                <w:color w:val="FFFF00"/>
                <w:sz w:val="16"/>
                <w:szCs w:val="16"/>
              </w:rPr>
            </w:pPr>
            <w:r w:rsidRPr="00954D98">
              <w:rPr>
                <w:rFonts w:ascii="Arial" w:hAnsi="Arial" w:cs="Arial"/>
                <w:sz w:val="16"/>
                <w:szCs w:val="16"/>
              </w:rPr>
              <w:t>Estimates</w:t>
            </w:r>
          </w:p>
        </w:tc>
        <w:tc>
          <w:tcPr>
            <w:tcW w:w="81" w:type="pct"/>
            <w:tcBorders>
              <w:top w:val="single" w:sz="4" w:space="0" w:color="auto"/>
              <w:left w:val="nil"/>
              <w:bottom w:val="nil"/>
              <w:right w:val="nil"/>
            </w:tcBorders>
            <w:shd w:val="clear" w:color="000000" w:fill="FFFFFF"/>
            <w:noWrap/>
            <w:vAlign w:val="center"/>
            <w:hideMark/>
          </w:tcPr>
          <w:p w14:paraId="5D7E024B"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0" w:type="pct"/>
            <w:tcBorders>
              <w:top w:val="single" w:sz="4" w:space="0" w:color="293F5B"/>
              <w:left w:val="nil"/>
              <w:bottom w:val="single" w:sz="4" w:space="0" w:color="293F5B"/>
              <w:right w:val="nil"/>
            </w:tcBorders>
            <w:shd w:val="clear" w:color="000000" w:fill="FFFFFF"/>
            <w:noWrap/>
            <w:vAlign w:val="center"/>
            <w:hideMark/>
          </w:tcPr>
          <w:p w14:paraId="462AE025" w14:textId="77777777" w:rsidR="000121FF" w:rsidRPr="00954D98" w:rsidRDefault="000121FF" w:rsidP="000121FF">
            <w:pPr>
              <w:spacing w:before="0" w:after="0" w:line="240" w:lineRule="auto"/>
              <w:rPr>
                <w:rFonts w:ascii="Arial" w:hAnsi="Arial" w:cs="Arial"/>
                <w:sz w:val="16"/>
                <w:szCs w:val="16"/>
              </w:rPr>
            </w:pPr>
            <w:r w:rsidRPr="00954D98">
              <w:rPr>
                <w:rFonts w:ascii="Arial" w:hAnsi="Arial" w:cs="Arial"/>
                <w:sz w:val="16"/>
                <w:szCs w:val="16"/>
              </w:rPr>
              <w:t> </w:t>
            </w:r>
          </w:p>
        </w:tc>
      </w:tr>
      <w:tr w:rsidR="002C4687" w:rsidRPr="00954D98" w14:paraId="2D5A8849" w14:textId="77777777" w:rsidTr="000121FF">
        <w:trPr>
          <w:trHeight w:val="225"/>
        </w:trPr>
        <w:tc>
          <w:tcPr>
            <w:tcW w:w="2050" w:type="pct"/>
            <w:tcBorders>
              <w:top w:val="nil"/>
              <w:left w:val="nil"/>
              <w:bottom w:val="nil"/>
              <w:right w:val="nil"/>
            </w:tcBorders>
            <w:shd w:val="clear" w:color="000000" w:fill="FFFFFF"/>
            <w:noWrap/>
            <w:vAlign w:val="bottom"/>
            <w:hideMark/>
          </w:tcPr>
          <w:p w14:paraId="0C83192D"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72" w:type="pct"/>
            <w:tcBorders>
              <w:top w:val="single" w:sz="4" w:space="0" w:color="293F5B"/>
              <w:left w:val="nil"/>
              <w:bottom w:val="nil"/>
              <w:right w:val="nil"/>
            </w:tcBorders>
            <w:shd w:val="clear" w:color="000000" w:fill="E6F2FF"/>
            <w:noWrap/>
            <w:vAlign w:val="center"/>
            <w:hideMark/>
          </w:tcPr>
          <w:p w14:paraId="1C6979F0"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2025-26</w:t>
            </w:r>
          </w:p>
        </w:tc>
        <w:tc>
          <w:tcPr>
            <w:tcW w:w="572" w:type="pct"/>
            <w:tcBorders>
              <w:top w:val="single" w:sz="4" w:space="0" w:color="293F5B"/>
              <w:left w:val="nil"/>
              <w:bottom w:val="nil"/>
              <w:right w:val="nil"/>
            </w:tcBorders>
            <w:shd w:val="clear" w:color="000000" w:fill="FFFFFF"/>
            <w:noWrap/>
            <w:vAlign w:val="center"/>
            <w:hideMark/>
          </w:tcPr>
          <w:p w14:paraId="1577B492"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2026-27</w:t>
            </w:r>
          </w:p>
        </w:tc>
        <w:tc>
          <w:tcPr>
            <w:tcW w:w="572" w:type="pct"/>
            <w:tcBorders>
              <w:top w:val="single" w:sz="4" w:space="0" w:color="293F5B"/>
              <w:left w:val="nil"/>
              <w:bottom w:val="nil"/>
              <w:right w:val="nil"/>
            </w:tcBorders>
            <w:shd w:val="clear" w:color="000000" w:fill="FFFFFF"/>
            <w:noWrap/>
            <w:vAlign w:val="center"/>
            <w:hideMark/>
          </w:tcPr>
          <w:p w14:paraId="2C570A59"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2027-28</w:t>
            </w:r>
          </w:p>
        </w:tc>
        <w:tc>
          <w:tcPr>
            <w:tcW w:w="572" w:type="pct"/>
            <w:tcBorders>
              <w:top w:val="single" w:sz="4" w:space="0" w:color="293F5B"/>
              <w:left w:val="nil"/>
              <w:bottom w:val="nil"/>
              <w:right w:val="nil"/>
            </w:tcBorders>
            <w:shd w:val="clear" w:color="000000" w:fill="FFFFFF"/>
            <w:noWrap/>
            <w:vAlign w:val="center"/>
            <w:hideMark/>
          </w:tcPr>
          <w:p w14:paraId="2234D2D9"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2028-29</w:t>
            </w:r>
          </w:p>
        </w:tc>
        <w:tc>
          <w:tcPr>
            <w:tcW w:w="81" w:type="pct"/>
            <w:tcBorders>
              <w:top w:val="nil"/>
              <w:left w:val="nil"/>
              <w:bottom w:val="nil"/>
              <w:right w:val="nil"/>
            </w:tcBorders>
            <w:shd w:val="clear" w:color="000000" w:fill="FFFFFF"/>
            <w:noWrap/>
            <w:vAlign w:val="center"/>
            <w:hideMark/>
          </w:tcPr>
          <w:p w14:paraId="5F89927E"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80" w:type="pct"/>
            <w:tcBorders>
              <w:top w:val="single" w:sz="4" w:space="0" w:color="293F5B"/>
              <w:left w:val="nil"/>
              <w:bottom w:val="nil"/>
              <w:right w:val="nil"/>
            </w:tcBorders>
            <w:shd w:val="clear" w:color="000000" w:fill="FFFFFF"/>
            <w:noWrap/>
            <w:vAlign w:val="center"/>
            <w:hideMark/>
          </w:tcPr>
          <w:p w14:paraId="3BC5C670"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Total</w:t>
            </w:r>
          </w:p>
        </w:tc>
      </w:tr>
      <w:tr w:rsidR="002C4687" w:rsidRPr="00954D98" w14:paraId="3C66D013"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052B2AF2"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single" w:sz="4" w:space="0" w:color="293F5B"/>
              <w:right w:val="nil"/>
            </w:tcBorders>
            <w:shd w:val="clear" w:color="000000" w:fill="E6F2FF"/>
            <w:noWrap/>
            <w:vAlign w:val="center"/>
            <w:hideMark/>
          </w:tcPr>
          <w:p w14:paraId="641B31E5"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72" w:type="pct"/>
            <w:tcBorders>
              <w:top w:val="nil"/>
              <w:left w:val="nil"/>
              <w:bottom w:val="single" w:sz="4" w:space="0" w:color="293F5B"/>
              <w:right w:val="nil"/>
            </w:tcBorders>
            <w:shd w:val="clear" w:color="000000" w:fill="FFFFFF"/>
            <w:noWrap/>
            <w:vAlign w:val="center"/>
            <w:hideMark/>
          </w:tcPr>
          <w:p w14:paraId="02560FF0"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72" w:type="pct"/>
            <w:tcBorders>
              <w:top w:val="nil"/>
              <w:left w:val="nil"/>
              <w:bottom w:val="single" w:sz="4" w:space="0" w:color="293F5B"/>
              <w:right w:val="nil"/>
            </w:tcBorders>
            <w:shd w:val="clear" w:color="000000" w:fill="FFFFFF"/>
            <w:noWrap/>
            <w:vAlign w:val="center"/>
            <w:hideMark/>
          </w:tcPr>
          <w:p w14:paraId="3AAE1353"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72" w:type="pct"/>
            <w:tcBorders>
              <w:top w:val="nil"/>
              <w:left w:val="nil"/>
              <w:bottom w:val="single" w:sz="4" w:space="0" w:color="293F5B"/>
              <w:right w:val="nil"/>
            </w:tcBorders>
            <w:shd w:val="clear" w:color="000000" w:fill="FFFFFF"/>
            <w:noWrap/>
            <w:vAlign w:val="center"/>
            <w:hideMark/>
          </w:tcPr>
          <w:p w14:paraId="43282647"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81" w:type="pct"/>
            <w:tcBorders>
              <w:top w:val="nil"/>
              <w:left w:val="nil"/>
              <w:bottom w:val="nil"/>
              <w:right w:val="nil"/>
            </w:tcBorders>
            <w:shd w:val="clear" w:color="000000" w:fill="FFFFFF"/>
            <w:noWrap/>
            <w:vAlign w:val="center"/>
            <w:hideMark/>
          </w:tcPr>
          <w:p w14:paraId="76515B70"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80" w:type="pct"/>
            <w:tcBorders>
              <w:top w:val="nil"/>
              <w:left w:val="nil"/>
              <w:bottom w:val="single" w:sz="4" w:space="0" w:color="293F5B"/>
              <w:right w:val="nil"/>
            </w:tcBorders>
            <w:shd w:val="clear" w:color="000000" w:fill="FFFFFF"/>
            <w:noWrap/>
            <w:vAlign w:val="center"/>
            <w:hideMark/>
          </w:tcPr>
          <w:p w14:paraId="2A2DDC3D"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$m</w:t>
            </w:r>
          </w:p>
        </w:tc>
      </w:tr>
      <w:tr w:rsidR="000121FF" w:rsidRPr="00954D98" w14:paraId="2CA55861"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4F49406B"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2025-26 Budget expenses</w:t>
            </w:r>
          </w:p>
        </w:tc>
        <w:tc>
          <w:tcPr>
            <w:tcW w:w="572" w:type="pct"/>
            <w:tcBorders>
              <w:top w:val="nil"/>
              <w:left w:val="nil"/>
              <w:bottom w:val="nil"/>
              <w:right w:val="nil"/>
            </w:tcBorders>
            <w:shd w:val="clear" w:color="000000" w:fill="E6F2FF"/>
            <w:noWrap/>
            <w:vAlign w:val="center"/>
            <w:hideMark/>
          </w:tcPr>
          <w:p w14:paraId="483928B4"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785,670</w:t>
            </w:r>
          </w:p>
        </w:tc>
        <w:tc>
          <w:tcPr>
            <w:tcW w:w="572" w:type="pct"/>
            <w:tcBorders>
              <w:top w:val="nil"/>
              <w:left w:val="nil"/>
              <w:bottom w:val="nil"/>
              <w:right w:val="nil"/>
            </w:tcBorders>
            <w:shd w:val="clear" w:color="000000" w:fill="FFFFFF"/>
            <w:noWrap/>
            <w:vAlign w:val="center"/>
            <w:hideMark/>
          </w:tcPr>
          <w:p w14:paraId="53DB6771"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806,594</w:t>
            </w:r>
          </w:p>
        </w:tc>
        <w:tc>
          <w:tcPr>
            <w:tcW w:w="572" w:type="pct"/>
            <w:tcBorders>
              <w:top w:val="nil"/>
              <w:left w:val="nil"/>
              <w:bottom w:val="nil"/>
              <w:right w:val="nil"/>
            </w:tcBorders>
            <w:shd w:val="clear" w:color="000000" w:fill="FFFFFF"/>
            <w:noWrap/>
            <w:vAlign w:val="center"/>
            <w:hideMark/>
          </w:tcPr>
          <w:p w14:paraId="231C4307"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842,949</w:t>
            </w:r>
          </w:p>
        </w:tc>
        <w:tc>
          <w:tcPr>
            <w:tcW w:w="572" w:type="pct"/>
            <w:tcBorders>
              <w:top w:val="nil"/>
              <w:left w:val="nil"/>
              <w:bottom w:val="nil"/>
              <w:right w:val="nil"/>
            </w:tcBorders>
            <w:shd w:val="clear" w:color="000000" w:fill="FFFFFF"/>
            <w:noWrap/>
            <w:vAlign w:val="center"/>
            <w:hideMark/>
          </w:tcPr>
          <w:p w14:paraId="0E442961"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889,397</w:t>
            </w:r>
          </w:p>
        </w:tc>
        <w:tc>
          <w:tcPr>
            <w:tcW w:w="81" w:type="pct"/>
            <w:tcBorders>
              <w:top w:val="nil"/>
              <w:left w:val="nil"/>
              <w:bottom w:val="nil"/>
              <w:right w:val="nil"/>
            </w:tcBorders>
            <w:shd w:val="clear" w:color="000000" w:fill="FFFFFF"/>
            <w:noWrap/>
            <w:vAlign w:val="center"/>
            <w:hideMark/>
          </w:tcPr>
          <w:p w14:paraId="67F42CCD"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80" w:type="pct"/>
            <w:tcBorders>
              <w:top w:val="single" w:sz="4" w:space="0" w:color="auto"/>
              <w:left w:val="nil"/>
              <w:bottom w:val="nil"/>
              <w:right w:val="nil"/>
            </w:tcBorders>
            <w:shd w:val="clear" w:color="000000" w:fill="FFFFFF"/>
            <w:noWrap/>
            <w:vAlign w:val="center"/>
            <w:hideMark/>
          </w:tcPr>
          <w:p w14:paraId="1D67A804" w14:textId="77777777" w:rsidR="000121FF" w:rsidRPr="00954D98" w:rsidRDefault="000121FF" w:rsidP="000121FF">
            <w:pPr>
              <w:spacing w:before="0" w:after="0" w:line="240" w:lineRule="auto"/>
              <w:jc w:val="right"/>
              <w:rPr>
                <w:rFonts w:ascii="Arial" w:hAnsi="Arial" w:cs="Arial"/>
                <w:b/>
                <w:bCs/>
                <w:sz w:val="16"/>
                <w:szCs w:val="16"/>
              </w:rPr>
            </w:pPr>
            <w:r w:rsidRPr="00954D98">
              <w:rPr>
                <w:rFonts w:ascii="Arial" w:hAnsi="Arial" w:cs="Arial"/>
                <w:b/>
                <w:bCs/>
                <w:sz w:val="16"/>
                <w:szCs w:val="16"/>
              </w:rPr>
              <w:t>3,324,610</w:t>
            </w:r>
          </w:p>
        </w:tc>
      </w:tr>
      <w:tr w:rsidR="000121FF" w:rsidRPr="00954D98" w14:paraId="3B1D48CE" w14:textId="77777777" w:rsidTr="000121FF">
        <w:trPr>
          <w:trHeight w:hRule="exact" w:val="60"/>
        </w:trPr>
        <w:tc>
          <w:tcPr>
            <w:tcW w:w="2050" w:type="pct"/>
            <w:tcBorders>
              <w:top w:val="nil"/>
              <w:left w:val="nil"/>
              <w:bottom w:val="nil"/>
              <w:right w:val="nil"/>
            </w:tcBorders>
            <w:shd w:val="clear" w:color="000000" w:fill="FFFFFF"/>
            <w:noWrap/>
            <w:vAlign w:val="center"/>
            <w:hideMark/>
          </w:tcPr>
          <w:p w14:paraId="5E3C3A2F"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E6F2FF"/>
            <w:noWrap/>
            <w:vAlign w:val="center"/>
            <w:hideMark/>
          </w:tcPr>
          <w:p w14:paraId="4790F8B6"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FFFFFF"/>
            <w:noWrap/>
            <w:vAlign w:val="center"/>
            <w:hideMark/>
          </w:tcPr>
          <w:p w14:paraId="1FA23D94"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FFFFFF"/>
            <w:noWrap/>
            <w:vAlign w:val="center"/>
            <w:hideMark/>
          </w:tcPr>
          <w:p w14:paraId="2E2119FA"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FFFFFF"/>
            <w:noWrap/>
            <w:vAlign w:val="center"/>
            <w:hideMark/>
          </w:tcPr>
          <w:p w14:paraId="46EE6309"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425A3A98"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80" w:type="pct"/>
            <w:tcBorders>
              <w:top w:val="nil"/>
              <w:left w:val="nil"/>
              <w:bottom w:val="nil"/>
              <w:right w:val="nil"/>
            </w:tcBorders>
            <w:shd w:val="clear" w:color="000000" w:fill="FFFFFF"/>
            <w:noWrap/>
            <w:vAlign w:val="center"/>
            <w:hideMark/>
          </w:tcPr>
          <w:p w14:paraId="1A86A965" w14:textId="77777777" w:rsidR="000121FF" w:rsidRPr="00954D98" w:rsidRDefault="000121FF" w:rsidP="000121FF">
            <w:pPr>
              <w:spacing w:before="0" w:after="0" w:line="240" w:lineRule="auto"/>
              <w:rPr>
                <w:rFonts w:ascii="Arial" w:hAnsi="Arial" w:cs="Arial"/>
                <w:sz w:val="16"/>
                <w:szCs w:val="16"/>
              </w:rPr>
            </w:pPr>
            <w:r w:rsidRPr="00954D98">
              <w:rPr>
                <w:rFonts w:ascii="Arial" w:hAnsi="Arial" w:cs="Arial"/>
                <w:sz w:val="16"/>
                <w:szCs w:val="16"/>
              </w:rPr>
              <w:t> </w:t>
            </w:r>
          </w:p>
        </w:tc>
      </w:tr>
      <w:tr w:rsidR="000121FF" w:rsidRPr="00954D98" w14:paraId="2D5684FC" w14:textId="77777777" w:rsidTr="000121FF">
        <w:trPr>
          <w:trHeight w:hRule="exact" w:val="60"/>
        </w:trPr>
        <w:tc>
          <w:tcPr>
            <w:tcW w:w="2050" w:type="pct"/>
            <w:tcBorders>
              <w:top w:val="nil"/>
              <w:left w:val="nil"/>
              <w:bottom w:val="nil"/>
              <w:right w:val="nil"/>
            </w:tcBorders>
            <w:shd w:val="clear" w:color="000000" w:fill="FFFFFF"/>
            <w:noWrap/>
            <w:vAlign w:val="center"/>
            <w:hideMark/>
          </w:tcPr>
          <w:p w14:paraId="6D7EDAC1"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72" w:type="pct"/>
            <w:tcBorders>
              <w:top w:val="nil"/>
              <w:left w:val="nil"/>
              <w:bottom w:val="nil"/>
              <w:right w:val="nil"/>
            </w:tcBorders>
            <w:shd w:val="clear" w:color="000000" w:fill="E6F2FF"/>
            <w:noWrap/>
            <w:vAlign w:val="center"/>
            <w:hideMark/>
          </w:tcPr>
          <w:p w14:paraId="369B08BD"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FFFFFF"/>
            <w:noWrap/>
            <w:vAlign w:val="center"/>
            <w:hideMark/>
          </w:tcPr>
          <w:p w14:paraId="74AB006A"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FFFFFF"/>
            <w:noWrap/>
            <w:vAlign w:val="center"/>
            <w:hideMark/>
          </w:tcPr>
          <w:p w14:paraId="5F3BE6D4"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FFFFFF"/>
            <w:noWrap/>
            <w:vAlign w:val="center"/>
            <w:hideMark/>
          </w:tcPr>
          <w:p w14:paraId="18134AD4"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372A6B80"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0" w:type="pct"/>
            <w:tcBorders>
              <w:top w:val="nil"/>
              <w:left w:val="nil"/>
              <w:bottom w:val="nil"/>
              <w:right w:val="nil"/>
            </w:tcBorders>
            <w:shd w:val="clear" w:color="000000" w:fill="FFFFFF"/>
            <w:noWrap/>
            <w:vAlign w:val="center"/>
            <w:hideMark/>
          </w:tcPr>
          <w:p w14:paraId="716AE816" w14:textId="77777777" w:rsidR="000121FF" w:rsidRPr="00954D98" w:rsidRDefault="000121FF" w:rsidP="000121FF">
            <w:pPr>
              <w:spacing w:before="0" w:after="0" w:line="240" w:lineRule="auto"/>
              <w:rPr>
                <w:rFonts w:ascii="Arial" w:hAnsi="Arial" w:cs="Arial"/>
                <w:sz w:val="16"/>
                <w:szCs w:val="16"/>
              </w:rPr>
            </w:pPr>
            <w:r w:rsidRPr="00954D98">
              <w:rPr>
                <w:rFonts w:ascii="Arial" w:hAnsi="Arial" w:cs="Arial"/>
                <w:sz w:val="16"/>
                <w:szCs w:val="16"/>
              </w:rPr>
              <w:t> </w:t>
            </w:r>
          </w:p>
        </w:tc>
      </w:tr>
      <w:tr w:rsidR="000121FF" w:rsidRPr="00954D98" w14:paraId="57AD4C17"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6B388E16"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2025 PEFO expenses</w:t>
            </w:r>
          </w:p>
        </w:tc>
        <w:tc>
          <w:tcPr>
            <w:tcW w:w="572" w:type="pct"/>
            <w:tcBorders>
              <w:top w:val="nil"/>
              <w:left w:val="nil"/>
              <w:bottom w:val="nil"/>
              <w:right w:val="nil"/>
            </w:tcBorders>
            <w:shd w:val="clear" w:color="000000" w:fill="E6F2FF"/>
            <w:noWrap/>
            <w:vAlign w:val="center"/>
            <w:hideMark/>
          </w:tcPr>
          <w:p w14:paraId="73AFDA53"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785,715</w:t>
            </w:r>
          </w:p>
        </w:tc>
        <w:tc>
          <w:tcPr>
            <w:tcW w:w="572" w:type="pct"/>
            <w:tcBorders>
              <w:top w:val="nil"/>
              <w:left w:val="nil"/>
              <w:bottom w:val="nil"/>
              <w:right w:val="nil"/>
            </w:tcBorders>
            <w:shd w:val="clear" w:color="000000" w:fill="FFFFFF"/>
            <w:noWrap/>
            <w:vAlign w:val="center"/>
            <w:hideMark/>
          </w:tcPr>
          <w:p w14:paraId="3C579791"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806,539</w:t>
            </w:r>
          </w:p>
        </w:tc>
        <w:tc>
          <w:tcPr>
            <w:tcW w:w="572" w:type="pct"/>
            <w:tcBorders>
              <w:top w:val="nil"/>
              <w:left w:val="nil"/>
              <w:bottom w:val="nil"/>
              <w:right w:val="nil"/>
            </w:tcBorders>
            <w:shd w:val="clear" w:color="000000" w:fill="FFFFFF"/>
            <w:noWrap/>
            <w:vAlign w:val="center"/>
            <w:hideMark/>
          </w:tcPr>
          <w:p w14:paraId="075E616F"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842,792</w:t>
            </w:r>
          </w:p>
        </w:tc>
        <w:tc>
          <w:tcPr>
            <w:tcW w:w="572" w:type="pct"/>
            <w:tcBorders>
              <w:top w:val="nil"/>
              <w:left w:val="nil"/>
              <w:bottom w:val="nil"/>
              <w:right w:val="nil"/>
            </w:tcBorders>
            <w:shd w:val="clear" w:color="000000" w:fill="FFFFFF"/>
            <w:noWrap/>
            <w:vAlign w:val="center"/>
            <w:hideMark/>
          </w:tcPr>
          <w:p w14:paraId="4ACC84F0"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889,576</w:t>
            </w:r>
          </w:p>
        </w:tc>
        <w:tc>
          <w:tcPr>
            <w:tcW w:w="81" w:type="pct"/>
            <w:tcBorders>
              <w:top w:val="nil"/>
              <w:left w:val="nil"/>
              <w:bottom w:val="nil"/>
              <w:right w:val="nil"/>
            </w:tcBorders>
            <w:shd w:val="clear" w:color="000000" w:fill="FFFFFF"/>
            <w:noWrap/>
            <w:vAlign w:val="center"/>
            <w:hideMark/>
          </w:tcPr>
          <w:p w14:paraId="2314CC12"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80" w:type="pct"/>
            <w:tcBorders>
              <w:top w:val="nil"/>
              <w:left w:val="nil"/>
              <w:bottom w:val="nil"/>
              <w:right w:val="nil"/>
            </w:tcBorders>
            <w:shd w:val="clear" w:color="000000" w:fill="FFFFFF"/>
            <w:noWrap/>
            <w:vAlign w:val="center"/>
            <w:hideMark/>
          </w:tcPr>
          <w:p w14:paraId="6FE5A30E" w14:textId="77777777" w:rsidR="000121FF" w:rsidRPr="00954D98" w:rsidRDefault="000121FF" w:rsidP="000121FF">
            <w:pPr>
              <w:spacing w:before="0" w:after="0" w:line="240" w:lineRule="auto"/>
              <w:jc w:val="right"/>
              <w:rPr>
                <w:rFonts w:ascii="Arial" w:hAnsi="Arial" w:cs="Arial"/>
                <w:b/>
                <w:bCs/>
                <w:sz w:val="16"/>
                <w:szCs w:val="16"/>
              </w:rPr>
            </w:pPr>
            <w:r w:rsidRPr="00954D98">
              <w:rPr>
                <w:rFonts w:ascii="Arial" w:hAnsi="Arial" w:cs="Arial"/>
                <w:b/>
                <w:bCs/>
                <w:sz w:val="16"/>
                <w:szCs w:val="16"/>
              </w:rPr>
              <w:t>3,324,622</w:t>
            </w:r>
          </w:p>
        </w:tc>
      </w:tr>
      <w:tr w:rsidR="000121FF" w:rsidRPr="00954D98" w14:paraId="24401B36" w14:textId="77777777" w:rsidTr="000121FF">
        <w:trPr>
          <w:trHeight w:hRule="exact" w:val="60"/>
        </w:trPr>
        <w:tc>
          <w:tcPr>
            <w:tcW w:w="2050" w:type="pct"/>
            <w:tcBorders>
              <w:top w:val="nil"/>
              <w:left w:val="nil"/>
              <w:bottom w:val="nil"/>
              <w:right w:val="nil"/>
            </w:tcBorders>
            <w:shd w:val="clear" w:color="000000" w:fill="FFFFFF"/>
            <w:noWrap/>
            <w:vAlign w:val="center"/>
            <w:hideMark/>
          </w:tcPr>
          <w:p w14:paraId="2E4CFFE0"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72" w:type="pct"/>
            <w:tcBorders>
              <w:top w:val="nil"/>
              <w:left w:val="nil"/>
              <w:bottom w:val="nil"/>
              <w:right w:val="nil"/>
            </w:tcBorders>
            <w:shd w:val="clear" w:color="000000" w:fill="E6F2FF"/>
            <w:noWrap/>
            <w:vAlign w:val="center"/>
            <w:hideMark/>
          </w:tcPr>
          <w:p w14:paraId="5B00EEF8"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FFFFFF"/>
            <w:noWrap/>
            <w:vAlign w:val="center"/>
            <w:hideMark/>
          </w:tcPr>
          <w:p w14:paraId="4DDC7B95"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FFFFFF"/>
            <w:noWrap/>
            <w:vAlign w:val="center"/>
            <w:hideMark/>
          </w:tcPr>
          <w:p w14:paraId="1E7DD4A7"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FFFFFF"/>
            <w:noWrap/>
            <w:vAlign w:val="center"/>
            <w:hideMark/>
          </w:tcPr>
          <w:p w14:paraId="5C53D61F"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174A39BB"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0" w:type="pct"/>
            <w:tcBorders>
              <w:top w:val="nil"/>
              <w:left w:val="nil"/>
              <w:bottom w:val="nil"/>
              <w:right w:val="nil"/>
            </w:tcBorders>
            <w:shd w:val="clear" w:color="000000" w:fill="FFFFFF"/>
            <w:noWrap/>
            <w:vAlign w:val="center"/>
            <w:hideMark/>
          </w:tcPr>
          <w:p w14:paraId="159585F1" w14:textId="77777777" w:rsidR="000121FF" w:rsidRPr="00954D98" w:rsidRDefault="000121FF" w:rsidP="000121FF">
            <w:pPr>
              <w:spacing w:before="0" w:after="0" w:line="240" w:lineRule="auto"/>
              <w:rPr>
                <w:rFonts w:ascii="Arial" w:hAnsi="Arial" w:cs="Arial"/>
                <w:sz w:val="16"/>
                <w:szCs w:val="16"/>
              </w:rPr>
            </w:pPr>
            <w:r w:rsidRPr="00954D98">
              <w:rPr>
                <w:rFonts w:ascii="Arial" w:hAnsi="Arial" w:cs="Arial"/>
                <w:sz w:val="16"/>
                <w:szCs w:val="16"/>
              </w:rPr>
              <w:t> </w:t>
            </w:r>
          </w:p>
        </w:tc>
      </w:tr>
      <w:tr w:rsidR="000121FF" w:rsidRPr="00954D98" w14:paraId="62203A97"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4A60A3FC"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xml:space="preserve">Changes from 2025 PEFO to </w:t>
            </w:r>
          </w:p>
        </w:tc>
        <w:tc>
          <w:tcPr>
            <w:tcW w:w="572" w:type="pct"/>
            <w:tcBorders>
              <w:top w:val="nil"/>
              <w:left w:val="nil"/>
              <w:bottom w:val="nil"/>
              <w:right w:val="nil"/>
            </w:tcBorders>
            <w:shd w:val="clear" w:color="000000" w:fill="E6F2FF"/>
            <w:noWrap/>
            <w:vAlign w:val="center"/>
            <w:hideMark/>
          </w:tcPr>
          <w:p w14:paraId="787FCB51"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FFFFFF"/>
            <w:noWrap/>
            <w:vAlign w:val="center"/>
            <w:hideMark/>
          </w:tcPr>
          <w:p w14:paraId="59A7DB49"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FFFFFF"/>
            <w:noWrap/>
            <w:vAlign w:val="center"/>
            <w:hideMark/>
          </w:tcPr>
          <w:p w14:paraId="179458E9"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FFFFFF"/>
            <w:noWrap/>
            <w:vAlign w:val="center"/>
            <w:hideMark/>
          </w:tcPr>
          <w:p w14:paraId="3123B0DF"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414526C4"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0" w:type="pct"/>
            <w:tcBorders>
              <w:top w:val="nil"/>
              <w:left w:val="nil"/>
              <w:bottom w:val="nil"/>
              <w:right w:val="nil"/>
            </w:tcBorders>
            <w:shd w:val="clear" w:color="000000" w:fill="FFFFFF"/>
            <w:noWrap/>
            <w:vAlign w:val="center"/>
            <w:hideMark/>
          </w:tcPr>
          <w:p w14:paraId="14ECF92F" w14:textId="77777777" w:rsidR="000121FF" w:rsidRPr="00954D98" w:rsidRDefault="000121FF" w:rsidP="000121FF">
            <w:pPr>
              <w:spacing w:before="0" w:after="0" w:line="240" w:lineRule="auto"/>
              <w:rPr>
                <w:rFonts w:ascii="Arial" w:hAnsi="Arial" w:cs="Arial"/>
                <w:sz w:val="16"/>
                <w:szCs w:val="16"/>
              </w:rPr>
            </w:pPr>
            <w:r w:rsidRPr="00954D98">
              <w:rPr>
                <w:rFonts w:ascii="Arial" w:hAnsi="Arial" w:cs="Arial"/>
                <w:sz w:val="16"/>
                <w:szCs w:val="16"/>
              </w:rPr>
              <w:t> </w:t>
            </w:r>
          </w:p>
        </w:tc>
      </w:tr>
      <w:tr w:rsidR="000121FF" w:rsidRPr="00954D98" w14:paraId="40EB8919"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0974ADBE" w14:textId="77777777" w:rsidR="000121FF" w:rsidRPr="00954D98" w:rsidRDefault="000121FF" w:rsidP="000121FF">
            <w:pPr>
              <w:spacing w:before="0" w:after="0" w:line="240" w:lineRule="auto"/>
              <w:ind w:firstLineChars="100" w:firstLine="161"/>
              <w:rPr>
                <w:rFonts w:ascii="Arial" w:hAnsi="Arial" w:cs="Arial"/>
                <w:b/>
                <w:bCs/>
                <w:color w:val="FFFF00"/>
                <w:sz w:val="16"/>
                <w:szCs w:val="16"/>
              </w:rPr>
            </w:pPr>
            <w:r w:rsidRPr="00954D98">
              <w:rPr>
                <w:rFonts w:ascii="Arial" w:hAnsi="Arial" w:cs="Arial"/>
                <w:b/>
                <w:bCs/>
                <w:sz w:val="16"/>
                <w:szCs w:val="16"/>
              </w:rPr>
              <w:t>2025-26 MYEFO</w:t>
            </w:r>
          </w:p>
        </w:tc>
        <w:tc>
          <w:tcPr>
            <w:tcW w:w="572" w:type="pct"/>
            <w:tcBorders>
              <w:top w:val="nil"/>
              <w:left w:val="nil"/>
              <w:bottom w:val="nil"/>
              <w:right w:val="nil"/>
            </w:tcBorders>
            <w:shd w:val="clear" w:color="000000" w:fill="E6F2FF"/>
            <w:noWrap/>
            <w:vAlign w:val="center"/>
            <w:hideMark/>
          </w:tcPr>
          <w:p w14:paraId="5C3A014D" w14:textId="77777777" w:rsidR="000121FF" w:rsidRPr="00954D98" w:rsidRDefault="000121FF" w:rsidP="000121FF">
            <w:pPr>
              <w:spacing w:before="0" w:after="0" w:line="240" w:lineRule="auto"/>
              <w:rPr>
                <w:rFonts w:ascii="Arial" w:hAnsi="Arial" w:cs="Arial"/>
                <w:i/>
                <w:iCs/>
                <w:color w:val="FFFF00"/>
                <w:sz w:val="16"/>
                <w:szCs w:val="16"/>
              </w:rPr>
            </w:pPr>
            <w:r w:rsidRPr="00954D98">
              <w:rPr>
                <w:rFonts w:ascii="Arial" w:hAnsi="Arial" w:cs="Arial"/>
                <w:i/>
                <w:iCs/>
                <w:sz w:val="16"/>
                <w:szCs w:val="16"/>
              </w:rPr>
              <w:t> </w:t>
            </w:r>
          </w:p>
        </w:tc>
        <w:tc>
          <w:tcPr>
            <w:tcW w:w="572" w:type="pct"/>
            <w:tcBorders>
              <w:top w:val="nil"/>
              <w:left w:val="nil"/>
              <w:bottom w:val="nil"/>
              <w:right w:val="nil"/>
            </w:tcBorders>
            <w:shd w:val="clear" w:color="000000" w:fill="FFFFFF"/>
            <w:noWrap/>
            <w:vAlign w:val="center"/>
            <w:hideMark/>
          </w:tcPr>
          <w:p w14:paraId="3850D86A" w14:textId="77777777" w:rsidR="000121FF" w:rsidRPr="00954D98" w:rsidRDefault="000121FF" w:rsidP="000121FF">
            <w:pPr>
              <w:spacing w:before="0" w:after="0" w:line="240" w:lineRule="auto"/>
              <w:rPr>
                <w:rFonts w:ascii="Arial" w:hAnsi="Arial" w:cs="Arial"/>
                <w:i/>
                <w:iCs/>
                <w:color w:val="FFFF00"/>
                <w:sz w:val="16"/>
                <w:szCs w:val="16"/>
              </w:rPr>
            </w:pPr>
            <w:r w:rsidRPr="00954D98">
              <w:rPr>
                <w:rFonts w:ascii="Arial" w:hAnsi="Arial" w:cs="Arial"/>
                <w:i/>
                <w:iCs/>
                <w:sz w:val="16"/>
                <w:szCs w:val="16"/>
              </w:rPr>
              <w:t> </w:t>
            </w:r>
          </w:p>
        </w:tc>
        <w:tc>
          <w:tcPr>
            <w:tcW w:w="572" w:type="pct"/>
            <w:tcBorders>
              <w:top w:val="nil"/>
              <w:left w:val="nil"/>
              <w:bottom w:val="nil"/>
              <w:right w:val="nil"/>
            </w:tcBorders>
            <w:shd w:val="clear" w:color="000000" w:fill="FFFFFF"/>
            <w:noWrap/>
            <w:vAlign w:val="center"/>
            <w:hideMark/>
          </w:tcPr>
          <w:p w14:paraId="108B3480" w14:textId="77777777" w:rsidR="000121FF" w:rsidRPr="00954D98" w:rsidRDefault="000121FF" w:rsidP="000121FF">
            <w:pPr>
              <w:spacing w:before="0" w:after="0" w:line="240" w:lineRule="auto"/>
              <w:rPr>
                <w:rFonts w:ascii="Arial" w:hAnsi="Arial" w:cs="Arial"/>
                <w:i/>
                <w:iCs/>
                <w:color w:val="FFFF00"/>
                <w:sz w:val="16"/>
                <w:szCs w:val="16"/>
              </w:rPr>
            </w:pPr>
            <w:r w:rsidRPr="00954D98">
              <w:rPr>
                <w:rFonts w:ascii="Arial" w:hAnsi="Arial" w:cs="Arial"/>
                <w:i/>
                <w:iCs/>
                <w:sz w:val="16"/>
                <w:szCs w:val="16"/>
              </w:rPr>
              <w:t> </w:t>
            </w:r>
          </w:p>
        </w:tc>
        <w:tc>
          <w:tcPr>
            <w:tcW w:w="572" w:type="pct"/>
            <w:tcBorders>
              <w:top w:val="nil"/>
              <w:left w:val="nil"/>
              <w:bottom w:val="nil"/>
              <w:right w:val="nil"/>
            </w:tcBorders>
            <w:shd w:val="clear" w:color="000000" w:fill="FFFFFF"/>
            <w:noWrap/>
            <w:vAlign w:val="center"/>
            <w:hideMark/>
          </w:tcPr>
          <w:p w14:paraId="4769CBBF" w14:textId="77777777" w:rsidR="000121FF" w:rsidRPr="00954D98" w:rsidRDefault="000121FF" w:rsidP="000121FF">
            <w:pPr>
              <w:spacing w:before="0" w:after="0" w:line="240" w:lineRule="auto"/>
              <w:rPr>
                <w:rFonts w:ascii="Arial" w:hAnsi="Arial" w:cs="Arial"/>
                <w:i/>
                <w:iCs/>
                <w:color w:val="FFFF00"/>
                <w:sz w:val="16"/>
                <w:szCs w:val="16"/>
              </w:rPr>
            </w:pPr>
            <w:r w:rsidRPr="00954D98">
              <w:rPr>
                <w:rFonts w:ascii="Arial" w:hAnsi="Arial" w:cs="Arial"/>
                <w:i/>
                <w:iCs/>
                <w:sz w:val="16"/>
                <w:szCs w:val="16"/>
              </w:rPr>
              <w:t> </w:t>
            </w:r>
          </w:p>
        </w:tc>
        <w:tc>
          <w:tcPr>
            <w:tcW w:w="81" w:type="pct"/>
            <w:tcBorders>
              <w:top w:val="nil"/>
              <w:left w:val="nil"/>
              <w:bottom w:val="nil"/>
              <w:right w:val="nil"/>
            </w:tcBorders>
            <w:shd w:val="clear" w:color="000000" w:fill="FFFFFF"/>
            <w:noWrap/>
            <w:vAlign w:val="center"/>
            <w:hideMark/>
          </w:tcPr>
          <w:p w14:paraId="40BA2F89" w14:textId="77777777" w:rsidR="000121FF" w:rsidRPr="00954D98" w:rsidRDefault="000121FF" w:rsidP="000121FF">
            <w:pPr>
              <w:spacing w:before="0" w:after="0" w:line="240" w:lineRule="auto"/>
              <w:rPr>
                <w:rFonts w:ascii="Arial" w:hAnsi="Arial" w:cs="Arial"/>
                <w:i/>
                <w:iCs/>
                <w:color w:val="FFFF00"/>
                <w:sz w:val="16"/>
                <w:szCs w:val="16"/>
              </w:rPr>
            </w:pPr>
            <w:r w:rsidRPr="00954D98">
              <w:rPr>
                <w:rFonts w:ascii="Arial" w:hAnsi="Arial" w:cs="Arial"/>
                <w:i/>
                <w:iCs/>
                <w:sz w:val="16"/>
                <w:szCs w:val="16"/>
              </w:rPr>
              <w:t> </w:t>
            </w:r>
          </w:p>
        </w:tc>
        <w:tc>
          <w:tcPr>
            <w:tcW w:w="580" w:type="pct"/>
            <w:tcBorders>
              <w:top w:val="nil"/>
              <w:left w:val="nil"/>
              <w:bottom w:val="nil"/>
              <w:right w:val="nil"/>
            </w:tcBorders>
            <w:shd w:val="clear" w:color="000000" w:fill="FFFFFF"/>
            <w:noWrap/>
            <w:vAlign w:val="center"/>
            <w:hideMark/>
          </w:tcPr>
          <w:p w14:paraId="41BE69BF" w14:textId="77777777" w:rsidR="000121FF" w:rsidRPr="00954D98" w:rsidRDefault="000121FF" w:rsidP="000121FF">
            <w:pPr>
              <w:spacing w:before="0" w:after="0" w:line="240" w:lineRule="auto"/>
              <w:rPr>
                <w:rFonts w:ascii="Arial" w:hAnsi="Arial" w:cs="Arial"/>
                <w:sz w:val="16"/>
                <w:szCs w:val="16"/>
              </w:rPr>
            </w:pPr>
            <w:r w:rsidRPr="00954D98">
              <w:rPr>
                <w:rFonts w:ascii="Arial" w:hAnsi="Arial" w:cs="Arial"/>
                <w:sz w:val="16"/>
                <w:szCs w:val="16"/>
              </w:rPr>
              <w:t> </w:t>
            </w:r>
          </w:p>
        </w:tc>
      </w:tr>
      <w:tr w:rsidR="000121FF" w:rsidRPr="00954D98" w14:paraId="2B5D966F"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26F74D37"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Effect of policy decisions(a)</w:t>
            </w:r>
          </w:p>
        </w:tc>
        <w:tc>
          <w:tcPr>
            <w:tcW w:w="572" w:type="pct"/>
            <w:tcBorders>
              <w:top w:val="nil"/>
              <w:left w:val="nil"/>
              <w:bottom w:val="nil"/>
              <w:right w:val="nil"/>
            </w:tcBorders>
            <w:shd w:val="clear" w:color="000000" w:fill="E6F2FF"/>
            <w:noWrap/>
            <w:vAlign w:val="center"/>
            <w:hideMark/>
          </w:tcPr>
          <w:p w14:paraId="7859F53E"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661</w:t>
            </w:r>
          </w:p>
        </w:tc>
        <w:tc>
          <w:tcPr>
            <w:tcW w:w="572" w:type="pct"/>
            <w:tcBorders>
              <w:top w:val="nil"/>
              <w:left w:val="nil"/>
              <w:bottom w:val="nil"/>
              <w:right w:val="nil"/>
            </w:tcBorders>
            <w:shd w:val="clear" w:color="000000" w:fill="FFFFFF"/>
            <w:noWrap/>
            <w:vAlign w:val="center"/>
            <w:hideMark/>
          </w:tcPr>
          <w:p w14:paraId="2E22498E"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1,334</w:t>
            </w:r>
          </w:p>
        </w:tc>
        <w:tc>
          <w:tcPr>
            <w:tcW w:w="572" w:type="pct"/>
            <w:tcBorders>
              <w:top w:val="nil"/>
              <w:left w:val="nil"/>
              <w:bottom w:val="nil"/>
              <w:right w:val="nil"/>
            </w:tcBorders>
            <w:shd w:val="clear" w:color="000000" w:fill="FFFFFF"/>
            <w:noWrap/>
            <w:vAlign w:val="center"/>
            <w:hideMark/>
          </w:tcPr>
          <w:p w14:paraId="746C9424"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-1,766</w:t>
            </w:r>
          </w:p>
        </w:tc>
        <w:tc>
          <w:tcPr>
            <w:tcW w:w="572" w:type="pct"/>
            <w:tcBorders>
              <w:top w:val="nil"/>
              <w:left w:val="nil"/>
              <w:bottom w:val="nil"/>
              <w:right w:val="nil"/>
            </w:tcBorders>
            <w:shd w:val="clear" w:color="000000" w:fill="FFFFFF"/>
            <w:noWrap/>
            <w:vAlign w:val="center"/>
            <w:hideMark/>
          </w:tcPr>
          <w:p w14:paraId="047C14D4"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-3,755</w:t>
            </w:r>
          </w:p>
        </w:tc>
        <w:tc>
          <w:tcPr>
            <w:tcW w:w="81" w:type="pct"/>
            <w:tcBorders>
              <w:top w:val="nil"/>
              <w:left w:val="nil"/>
              <w:bottom w:val="nil"/>
              <w:right w:val="nil"/>
            </w:tcBorders>
            <w:shd w:val="clear" w:color="000000" w:fill="FFFFFF"/>
            <w:noWrap/>
            <w:vAlign w:val="center"/>
            <w:hideMark/>
          </w:tcPr>
          <w:p w14:paraId="2737C449"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80" w:type="pct"/>
            <w:tcBorders>
              <w:top w:val="nil"/>
              <w:left w:val="nil"/>
              <w:bottom w:val="nil"/>
              <w:right w:val="nil"/>
            </w:tcBorders>
            <w:shd w:val="clear" w:color="000000" w:fill="FFFFFF"/>
            <w:noWrap/>
            <w:vAlign w:val="center"/>
            <w:hideMark/>
          </w:tcPr>
          <w:p w14:paraId="2171F1FF"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-3,526</w:t>
            </w:r>
          </w:p>
        </w:tc>
      </w:tr>
      <w:tr w:rsidR="000121FF" w:rsidRPr="00954D98" w14:paraId="44175D28"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4060EF26"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Effect of economic parameter variations</w:t>
            </w:r>
          </w:p>
        </w:tc>
        <w:tc>
          <w:tcPr>
            <w:tcW w:w="572" w:type="pct"/>
            <w:tcBorders>
              <w:top w:val="nil"/>
              <w:left w:val="nil"/>
              <w:bottom w:val="nil"/>
              <w:right w:val="nil"/>
            </w:tcBorders>
            <w:shd w:val="clear" w:color="000000" w:fill="E6F2FF"/>
            <w:noWrap/>
            <w:vAlign w:val="center"/>
            <w:hideMark/>
          </w:tcPr>
          <w:p w14:paraId="61C361F0"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FFFFFF"/>
            <w:noWrap/>
            <w:vAlign w:val="center"/>
            <w:hideMark/>
          </w:tcPr>
          <w:p w14:paraId="1F912BED"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FFFFFF"/>
            <w:noWrap/>
            <w:vAlign w:val="center"/>
            <w:hideMark/>
          </w:tcPr>
          <w:p w14:paraId="1F4EE09E"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72" w:type="pct"/>
            <w:tcBorders>
              <w:top w:val="nil"/>
              <w:left w:val="nil"/>
              <w:bottom w:val="nil"/>
              <w:right w:val="nil"/>
            </w:tcBorders>
            <w:shd w:val="clear" w:color="000000" w:fill="FFFFFF"/>
            <w:noWrap/>
            <w:vAlign w:val="center"/>
            <w:hideMark/>
          </w:tcPr>
          <w:p w14:paraId="300BC5BF"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4EADFAA4"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0" w:type="pct"/>
            <w:tcBorders>
              <w:top w:val="nil"/>
              <w:left w:val="nil"/>
              <w:bottom w:val="nil"/>
              <w:right w:val="nil"/>
            </w:tcBorders>
            <w:shd w:val="clear" w:color="000000" w:fill="FFFFFF"/>
            <w:noWrap/>
            <w:vAlign w:val="center"/>
            <w:hideMark/>
          </w:tcPr>
          <w:p w14:paraId="03753FA5" w14:textId="77777777" w:rsidR="000121FF" w:rsidRPr="00954D98" w:rsidRDefault="000121FF" w:rsidP="000121FF">
            <w:pPr>
              <w:spacing w:before="0" w:after="0" w:line="240" w:lineRule="auto"/>
              <w:rPr>
                <w:rFonts w:ascii="Arial" w:hAnsi="Arial" w:cs="Arial"/>
                <w:sz w:val="16"/>
                <w:szCs w:val="16"/>
              </w:rPr>
            </w:pPr>
            <w:r w:rsidRPr="00954D98">
              <w:rPr>
                <w:rFonts w:ascii="Arial" w:hAnsi="Arial" w:cs="Arial"/>
                <w:sz w:val="16"/>
                <w:szCs w:val="16"/>
              </w:rPr>
              <w:t> </w:t>
            </w:r>
          </w:p>
        </w:tc>
      </w:tr>
      <w:tr w:rsidR="000121FF" w:rsidRPr="00954D98" w14:paraId="04751939"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4F5D948F"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Total economic parameter variations</w:t>
            </w:r>
          </w:p>
        </w:tc>
        <w:tc>
          <w:tcPr>
            <w:tcW w:w="572" w:type="pct"/>
            <w:tcBorders>
              <w:top w:val="nil"/>
              <w:left w:val="nil"/>
              <w:bottom w:val="nil"/>
              <w:right w:val="nil"/>
            </w:tcBorders>
            <w:shd w:val="clear" w:color="000000" w:fill="E6F2FF"/>
            <w:noWrap/>
            <w:vAlign w:val="center"/>
            <w:hideMark/>
          </w:tcPr>
          <w:p w14:paraId="5419014C"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4,673</w:t>
            </w:r>
          </w:p>
        </w:tc>
        <w:tc>
          <w:tcPr>
            <w:tcW w:w="572" w:type="pct"/>
            <w:tcBorders>
              <w:top w:val="nil"/>
              <w:left w:val="nil"/>
              <w:bottom w:val="nil"/>
              <w:right w:val="nil"/>
            </w:tcBorders>
            <w:shd w:val="clear" w:color="000000" w:fill="FFFFFF"/>
            <w:noWrap/>
            <w:vAlign w:val="center"/>
            <w:hideMark/>
          </w:tcPr>
          <w:p w14:paraId="5E53A829"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5,951</w:t>
            </w:r>
          </w:p>
        </w:tc>
        <w:tc>
          <w:tcPr>
            <w:tcW w:w="572" w:type="pct"/>
            <w:tcBorders>
              <w:top w:val="nil"/>
              <w:left w:val="nil"/>
              <w:bottom w:val="nil"/>
              <w:right w:val="nil"/>
            </w:tcBorders>
            <w:shd w:val="clear" w:color="000000" w:fill="FFFFFF"/>
            <w:noWrap/>
            <w:vAlign w:val="center"/>
            <w:hideMark/>
          </w:tcPr>
          <w:p w14:paraId="4A6707C8"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5,824</w:t>
            </w:r>
          </w:p>
        </w:tc>
        <w:tc>
          <w:tcPr>
            <w:tcW w:w="572" w:type="pct"/>
            <w:tcBorders>
              <w:top w:val="nil"/>
              <w:left w:val="nil"/>
              <w:bottom w:val="nil"/>
              <w:right w:val="nil"/>
            </w:tcBorders>
            <w:shd w:val="clear" w:color="000000" w:fill="FFFFFF"/>
            <w:noWrap/>
            <w:vAlign w:val="center"/>
            <w:hideMark/>
          </w:tcPr>
          <w:p w14:paraId="6DA26A28"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6,535</w:t>
            </w:r>
          </w:p>
        </w:tc>
        <w:tc>
          <w:tcPr>
            <w:tcW w:w="81" w:type="pct"/>
            <w:tcBorders>
              <w:top w:val="nil"/>
              <w:left w:val="nil"/>
              <w:bottom w:val="nil"/>
              <w:right w:val="nil"/>
            </w:tcBorders>
            <w:shd w:val="clear" w:color="000000" w:fill="FFFFFF"/>
            <w:noWrap/>
            <w:vAlign w:val="center"/>
            <w:hideMark/>
          </w:tcPr>
          <w:p w14:paraId="0ACF6CF5"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0" w:type="pct"/>
            <w:tcBorders>
              <w:top w:val="nil"/>
              <w:left w:val="nil"/>
              <w:bottom w:val="nil"/>
              <w:right w:val="nil"/>
            </w:tcBorders>
            <w:shd w:val="clear" w:color="000000" w:fill="FFFFFF"/>
            <w:noWrap/>
            <w:vAlign w:val="center"/>
            <w:hideMark/>
          </w:tcPr>
          <w:p w14:paraId="5293A02F"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22,983</w:t>
            </w:r>
          </w:p>
        </w:tc>
      </w:tr>
      <w:tr w:rsidR="000121FF" w:rsidRPr="00954D98" w14:paraId="4D798EE0"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1B5553A3" w14:textId="77777777" w:rsidR="000121FF" w:rsidRPr="00954D98" w:rsidRDefault="000121FF" w:rsidP="000121FF">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Unemployment benefits</w:t>
            </w:r>
          </w:p>
        </w:tc>
        <w:tc>
          <w:tcPr>
            <w:tcW w:w="572" w:type="pct"/>
            <w:tcBorders>
              <w:top w:val="nil"/>
              <w:left w:val="nil"/>
              <w:bottom w:val="nil"/>
              <w:right w:val="nil"/>
            </w:tcBorders>
            <w:shd w:val="clear" w:color="000000" w:fill="E6F2FF"/>
            <w:noWrap/>
            <w:vAlign w:val="center"/>
            <w:hideMark/>
          </w:tcPr>
          <w:p w14:paraId="337642F9"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1,768</w:t>
            </w:r>
          </w:p>
        </w:tc>
        <w:tc>
          <w:tcPr>
            <w:tcW w:w="572" w:type="pct"/>
            <w:tcBorders>
              <w:top w:val="nil"/>
              <w:left w:val="nil"/>
              <w:bottom w:val="nil"/>
              <w:right w:val="nil"/>
            </w:tcBorders>
            <w:shd w:val="clear" w:color="000000" w:fill="FFFFFF"/>
            <w:noWrap/>
            <w:vAlign w:val="center"/>
            <w:hideMark/>
          </w:tcPr>
          <w:p w14:paraId="5AF40B1E"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1,672</w:t>
            </w:r>
          </w:p>
        </w:tc>
        <w:tc>
          <w:tcPr>
            <w:tcW w:w="572" w:type="pct"/>
            <w:tcBorders>
              <w:top w:val="nil"/>
              <w:left w:val="nil"/>
              <w:bottom w:val="nil"/>
              <w:right w:val="nil"/>
            </w:tcBorders>
            <w:shd w:val="clear" w:color="000000" w:fill="FFFFFF"/>
            <w:noWrap/>
            <w:vAlign w:val="center"/>
            <w:hideMark/>
          </w:tcPr>
          <w:p w14:paraId="5F5B74BC"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1,112</w:t>
            </w:r>
          </w:p>
        </w:tc>
        <w:tc>
          <w:tcPr>
            <w:tcW w:w="572" w:type="pct"/>
            <w:tcBorders>
              <w:top w:val="nil"/>
              <w:left w:val="nil"/>
              <w:bottom w:val="nil"/>
              <w:right w:val="nil"/>
            </w:tcBorders>
            <w:shd w:val="clear" w:color="000000" w:fill="FFFFFF"/>
            <w:noWrap/>
            <w:vAlign w:val="center"/>
            <w:hideMark/>
          </w:tcPr>
          <w:p w14:paraId="529A2D48"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285</w:t>
            </w:r>
          </w:p>
        </w:tc>
        <w:tc>
          <w:tcPr>
            <w:tcW w:w="81" w:type="pct"/>
            <w:tcBorders>
              <w:top w:val="nil"/>
              <w:left w:val="nil"/>
              <w:bottom w:val="nil"/>
              <w:right w:val="nil"/>
            </w:tcBorders>
            <w:shd w:val="clear" w:color="000000" w:fill="FFFFFF"/>
            <w:noWrap/>
            <w:vAlign w:val="center"/>
            <w:hideMark/>
          </w:tcPr>
          <w:p w14:paraId="7FC80CF4" w14:textId="77777777" w:rsidR="000121FF" w:rsidRPr="00954D98" w:rsidRDefault="000121FF" w:rsidP="000121FF">
            <w:pPr>
              <w:spacing w:before="0" w:after="0" w:line="240" w:lineRule="auto"/>
              <w:rPr>
                <w:rFonts w:ascii="Arial" w:hAnsi="Arial" w:cs="Arial"/>
                <w:i/>
                <w:iCs/>
                <w:color w:val="FFFF00"/>
                <w:sz w:val="16"/>
                <w:szCs w:val="16"/>
              </w:rPr>
            </w:pPr>
            <w:r w:rsidRPr="00954D98">
              <w:rPr>
                <w:rFonts w:ascii="Arial" w:hAnsi="Arial" w:cs="Arial"/>
                <w:i/>
                <w:iCs/>
                <w:sz w:val="16"/>
                <w:szCs w:val="16"/>
              </w:rPr>
              <w:t> </w:t>
            </w:r>
          </w:p>
        </w:tc>
        <w:tc>
          <w:tcPr>
            <w:tcW w:w="580" w:type="pct"/>
            <w:tcBorders>
              <w:top w:val="nil"/>
              <w:left w:val="nil"/>
              <w:bottom w:val="nil"/>
              <w:right w:val="nil"/>
            </w:tcBorders>
            <w:shd w:val="clear" w:color="000000" w:fill="FFFFFF"/>
            <w:noWrap/>
            <w:vAlign w:val="center"/>
            <w:hideMark/>
          </w:tcPr>
          <w:p w14:paraId="38A5D8C3" w14:textId="77777777" w:rsidR="000121FF" w:rsidRPr="00954D98" w:rsidRDefault="000121FF" w:rsidP="000121FF">
            <w:pPr>
              <w:spacing w:before="0" w:after="0" w:line="240" w:lineRule="auto"/>
              <w:jc w:val="right"/>
              <w:rPr>
                <w:rFonts w:ascii="Arial" w:hAnsi="Arial" w:cs="Arial"/>
                <w:i/>
                <w:iCs/>
                <w:sz w:val="16"/>
                <w:szCs w:val="16"/>
              </w:rPr>
            </w:pPr>
            <w:r w:rsidRPr="00954D98">
              <w:rPr>
                <w:rFonts w:ascii="Arial" w:hAnsi="Arial" w:cs="Arial"/>
                <w:i/>
                <w:iCs/>
                <w:sz w:val="16"/>
                <w:szCs w:val="16"/>
              </w:rPr>
              <w:t>4,836</w:t>
            </w:r>
          </w:p>
        </w:tc>
      </w:tr>
      <w:tr w:rsidR="000121FF" w:rsidRPr="00954D98" w14:paraId="549A60BC"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4B6AFFA4" w14:textId="77777777" w:rsidR="000121FF" w:rsidRPr="00954D98" w:rsidRDefault="000121FF" w:rsidP="000121FF">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Prices and wages</w:t>
            </w:r>
          </w:p>
        </w:tc>
        <w:tc>
          <w:tcPr>
            <w:tcW w:w="572" w:type="pct"/>
            <w:tcBorders>
              <w:top w:val="nil"/>
              <w:left w:val="nil"/>
              <w:bottom w:val="nil"/>
              <w:right w:val="nil"/>
            </w:tcBorders>
            <w:shd w:val="clear" w:color="000000" w:fill="E6F2FF"/>
            <w:noWrap/>
            <w:vAlign w:val="center"/>
            <w:hideMark/>
          </w:tcPr>
          <w:p w14:paraId="62DE0F5E"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737</w:t>
            </w:r>
          </w:p>
        </w:tc>
        <w:tc>
          <w:tcPr>
            <w:tcW w:w="572" w:type="pct"/>
            <w:tcBorders>
              <w:top w:val="nil"/>
              <w:left w:val="nil"/>
              <w:bottom w:val="nil"/>
              <w:right w:val="nil"/>
            </w:tcBorders>
            <w:shd w:val="clear" w:color="000000" w:fill="FFFFFF"/>
            <w:noWrap/>
            <w:vAlign w:val="center"/>
            <w:hideMark/>
          </w:tcPr>
          <w:p w14:paraId="7C006C5A"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2,076</w:t>
            </w:r>
          </w:p>
        </w:tc>
        <w:tc>
          <w:tcPr>
            <w:tcW w:w="572" w:type="pct"/>
            <w:tcBorders>
              <w:top w:val="nil"/>
              <w:left w:val="nil"/>
              <w:bottom w:val="nil"/>
              <w:right w:val="nil"/>
            </w:tcBorders>
            <w:shd w:val="clear" w:color="000000" w:fill="FFFFFF"/>
            <w:noWrap/>
            <w:vAlign w:val="center"/>
            <w:hideMark/>
          </w:tcPr>
          <w:p w14:paraId="3749A56B"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2,720</w:t>
            </w:r>
          </w:p>
        </w:tc>
        <w:tc>
          <w:tcPr>
            <w:tcW w:w="572" w:type="pct"/>
            <w:tcBorders>
              <w:top w:val="nil"/>
              <w:left w:val="nil"/>
              <w:bottom w:val="nil"/>
              <w:right w:val="nil"/>
            </w:tcBorders>
            <w:shd w:val="clear" w:color="000000" w:fill="FFFFFF"/>
            <w:noWrap/>
            <w:vAlign w:val="center"/>
            <w:hideMark/>
          </w:tcPr>
          <w:p w14:paraId="1F5BC2EE"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3,056</w:t>
            </w:r>
          </w:p>
        </w:tc>
        <w:tc>
          <w:tcPr>
            <w:tcW w:w="81" w:type="pct"/>
            <w:tcBorders>
              <w:top w:val="nil"/>
              <w:left w:val="nil"/>
              <w:bottom w:val="nil"/>
              <w:right w:val="nil"/>
            </w:tcBorders>
            <w:shd w:val="clear" w:color="000000" w:fill="FFFFFF"/>
            <w:noWrap/>
            <w:vAlign w:val="center"/>
            <w:hideMark/>
          </w:tcPr>
          <w:p w14:paraId="1E51DBC3" w14:textId="77777777" w:rsidR="000121FF" w:rsidRPr="00954D98" w:rsidRDefault="000121FF" w:rsidP="000121FF">
            <w:pPr>
              <w:spacing w:before="0" w:after="0" w:line="240" w:lineRule="auto"/>
              <w:rPr>
                <w:rFonts w:ascii="Arial" w:hAnsi="Arial" w:cs="Arial"/>
                <w:i/>
                <w:iCs/>
                <w:color w:val="FFFF00"/>
                <w:sz w:val="16"/>
                <w:szCs w:val="16"/>
              </w:rPr>
            </w:pPr>
            <w:r w:rsidRPr="00954D98">
              <w:rPr>
                <w:rFonts w:ascii="Arial" w:hAnsi="Arial" w:cs="Arial"/>
                <w:i/>
                <w:iCs/>
                <w:sz w:val="16"/>
                <w:szCs w:val="16"/>
              </w:rPr>
              <w:t> </w:t>
            </w:r>
          </w:p>
        </w:tc>
        <w:tc>
          <w:tcPr>
            <w:tcW w:w="580" w:type="pct"/>
            <w:tcBorders>
              <w:top w:val="nil"/>
              <w:left w:val="nil"/>
              <w:bottom w:val="nil"/>
              <w:right w:val="nil"/>
            </w:tcBorders>
            <w:shd w:val="clear" w:color="000000" w:fill="FFFFFF"/>
            <w:noWrap/>
            <w:vAlign w:val="center"/>
            <w:hideMark/>
          </w:tcPr>
          <w:p w14:paraId="45687D44" w14:textId="77777777" w:rsidR="000121FF" w:rsidRPr="00954D98" w:rsidRDefault="000121FF" w:rsidP="000121FF">
            <w:pPr>
              <w:spacing w:before="0" w:after="0" w:line="240" w:lineRule="auto"/>
              <w:jc w:val="right"/>
              <w:rPr>
                <w:rFonts w:ascii="Arial" w:hAnsi="Arial" w:cs="Arial"/>
                <w:i/>
                <w:iCs/>
                <w:sz w:val="16"/>
                <w:szCs w:val="16"/>
              </w:rPr>
            </w:pPr>
            <w:r w:rsidRPr="00954D98">
              <w:rPr>
                <w:rFonts w:ascii="Arial" w:hAnsi="Arial" w:cs="Arial"/>
                <w:i/>
                <w:iCs/>
                <w:sz w:val="16"/>
                <w:szCs w:val="16"/>
              </w:rPr>
              <w:t>8,590</w:t>
            </w:r>
          </w:p>
        </w:tc>
      </w:tr>
      <w:tr w:rsidR="000121FF" w:rsidRPr="00954D98" w14:paraId="11EE2755"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417DEDA1" w14:textId="77777777" w:rsidR="000121FF" w:rsidRPr="00954D98" w:rsidRDefault="000121FF" w:rsidP="000121FF">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Interest and exchange rates</w:t>
            </w:r>
          </w:p>
        </w:tc>
        <w:tc>
          <w:tcPr>
            <w:tcW w:w="572" w:type="pct"/>
            <w:tcBorders>
              <w:top w:val="nil"/>
              <w:left w:val="nil"/>
              <w:bottom w:val="nil"/>
              <w:right w:val="nil"/>
            </w:tcBorders>
            <w:shd w:val="clear" w:color="000000" w:fill="E6F2FF"/>
            <w:noWrap/>
            <w:vAlign w:val="center"/>
            <w:hideMark/>
          </w:tcPr>
          <w:p w14:paraId="17121175"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-123</w:t>
            </w:r>
          </w:p>
        </w:tc>
        <w:tc>
          <w:tcPr>
            <w:tcW w:w="572" w:type="pct"/>
            <w:tcBorders>
              <w:top w:val="nil"/>
              <w:left w:val="nil"/>
              <w:bottom w:val="nil"/>
              <w:right w:val="nil"/>
            </w:tcBorders>
            <w:shd w:val="clear" w:color="000000" w:fill="FFFFFF"/>
            <w:noWrap/>
            <w:vAlign w:val="center"/>
            <w:hideMark/>
          </w:tcPr>
          <w:p w14:paraId="2B34726C"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-39</w:t>
            </w:r>
          </w:p>
        </w:tc>
        <w:tc>
          <w:tcPr>
            <w:tcW w:w="572" w:type="pct"/>
            <w:tcBorders>
              <w:top w:val="nil"/>
              <w:left w:val="nil"/>
              <w:bottom w:val="nil"/>
              <w:right w:val="nil"/>
            </w:tcBorders>
            <w:shd w:val="clear" w:color="000000" w:fill="FFFFFF"/>
            <w:noWrap/>
            <w:vAlign w:val="center"/>
            <w:hideMark/>
          </w:tcPr>
          <w:p w14:paraId="16166690"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34</w:t>
            </w:r>
          </w:p>
        </w:tc>
        <w:tc>
          <w:tcPr>
            <w:tcW w:w="572" w:type="pct"/>
            <w:tcBorders>
              <w:top w:val="nil"/>
              <w:left w:val="nil"/>
              <w:bottom w:val="nil"/>
              <w:right w:val="nil"/>
            </w:tcBorders>
            <w:shd w:val="clear" w:color="000000" w:fill="FFFFFF"/>
            <w:noWrap/>
            <w:vAlign w:val="center"/>
            <w:hideMark/>
          </w:tcPr>
          <w:p w14:paraId="7469672B"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-18</w:t>
            </w:r>
          </w:p>
        </w:tc>
        <w:tc>
          <w:tcPr>
            <w:tcW w:w="81" w:type="pct"/>
            <w:tcBorders>
              <w:top w:val="nil"/>
              <w:left w:val="nil"/>
              <w:bottom w:val="nil"/>
              <w:right w:val="nil"/>
            </w:tcBorders>
            <w:shd w:val="clear" w:color="000000" w:fill="FFFFFF"/>
            <w:noWrap/>
            <w:vAlign w:val="center"/>
            <w:hideMark/>
          </w:tcPr>
          <w:p w14:paraId="0AA7DA0E" w14:textId="77777777" w:rsidR="000121FF" w:rsidRPr="00954D98" w:rsidRDefault="000121FF" w:rsidP="000121FF">
            <w:pPr>
              <w:spacing w:before="0" w:after="0" w:line="240" w:lineRule="auto"/>
              <w:rPr>
                <w:rFonts w:ascii="Arial" w:hAnsi="Arial" w:cs="Arial"/>
                <w:i/>
                <w:iCs/>
                <w:color w:val="FFFF00"/>
                <w:sz w:val="16"/>
                <w:szCs w:val="16"/>
              </w:rPr>
            </w:pPr>
            <w:r w:rsidRPr="00954D98">
              <w:rPr>
                <w:rFonts w:ascii="Arial" w:hAnsi="Arial" w:cs="Arial"/>
                <w:i/>
                <w:iCs/>
                <w:sz w:val="16"/>
                <w:szCs w:val="16"/>
              </w:rPr>
              <w:t> </w:t>
            </w:r>
          </w:p>
        </w:tc>
        <w:tc>
          <w:tcPr>
            <w:tcW w:w="580" w:type="pct"/>
            <w:tcBorders>
              <w:top w:val="nil"/>
              <w:left w:val="nil"/>
              <w:bottom w:val="nil"/>
              <w:right w:val="nil"/>
            </w:tcBorders>
            <w:shd w:val="clear" w:color="000000" w:fill="FFFFFF"/>
            <w:noWrap/>
            <w:vAlign w:val="center"/>
            <w:hideMark/>
          </w:tcPr>
          <w:p w14:paraId="64650142" w14:textId="77777777" w:rsidR="000121FF" w:rsidRPr="00954D98" w:rsidRDefault="000121FF" w:rsidP="000121FF">
            <w:pPr>
              <w:spacing w:before="0" w:after="0" w:line="240" w:lineRule="auto"/>
              <w:jc w:val="right"/>
              <w:rPr>
                <w:rFonts w:ascii="Arial" w:hAnsi="Arial" w:cs="Arial"/>
                <w:i/>
                <w:iCs/>
                <w:sz w:val="16"/>
                <w:szCs w:val="16"/>
              </w:rPr>
            </w:pPr>
            <w:r w:rsidRPr="00954D98">
              <w:rPr>
                <w:rFonts w:ascii="Arial" w:hAnsi="Arial" w:cs="Arial"/>
                <w:i/>
                <w:iCs/>
                <w:sz w:val="16"/>
                <w:szCs w:val="16"/>
              </w:rPr>
              <w:t>-146</w:t>
            </w:r>
          </w:p>
        </w:tc>
      </w:tr>
      <w:tr w:rsidR="000121FF" w:rsidRPr="00954D98" w14:paraId="21ACE21B"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78679FFF" w14:textId="76957693" w:rsidR="000121FF" w:rsidRPr="00954D98" w:rsidRDefault="000121FF" w:rsidP="000121FF">
            <w:pPr>
              <w:spacing w:before="0" w:after="0" w:line="240" w:lineRule="auto"/>
              <w:ind w:firstLineChars="100" w:firstLine="160"/>
              <w:rPr>
                <w:rFonts w:ascii="Arial" w:hAnsi="Arial" w:cs="Arial"/>
                <w:i/>
                <w:iCs/>
                <w:color w:val="FFFF00"/>
                <w:sz w:val="16"/>
                <w:szCs w:val="16"/>
              </w:rPr>
            </w:pPr>
            <w:r w:rsidRPr="00954D98">
              <w:rPr>
                <w:rFonts w:ascii="Arial" w:hAnsi="Arial" w:cs="Arial"/>
                <w:i/>
                <w:iCs/>
                <w:sz w:val="16"/>
                <w:szCs w:val="16"/>
              </w:rPr>
              <w:t>GST payments to the states</w:t>
            </w:r>
            <w:r w:rsidR="004C410A" w:rsidRPr="00954D98">
              <w:rPr>
                <w:rFonts w:ascii="Arial" w:hAnsi="Arial" w:cs="Arial"/>
                <w:i/>
                <w:iCs/>
                <w:sz w:val="16"/>
                <w:szCs w:val="16"/>
              </w:rPr>
              <w:t>(b)</w:t>
            </w:r>
          </w:p>
        </w:tc>
        <w:tc>
          <w:tcPr>
            <w:tcW w:w="572" w:type="pct"/>
            <w:tcBorders>
              <w:top w:val="nil"/>
              <w:left w:val="nil"/>
              <w:bottom w:val="nil"/>
              <w:right w:val="nil"/>
            </w:tcBorders>
            <w:shd w:val="clear" w:color="000000" w:fill="E6F2FF"/>
            <w:noWrap/>
            <w:vAlign w:val="center"/>
            <w:hideMark/>
          </w:tcPr>
          <w:p w14:paraId="3A71FBB7"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2,291</w:t>
            </w:r>
          </w:p>
        </w:tc>
        <w:tc>
          <w:tcPr>
            <w:tcW w:w="572" w:type="pct"/>
            <w:tcBorders>
              <w:top w:val="nil"/>
              <w:left w:val="nil"/>
              <w:bottom w:val="nil"/>
              <w:right w:val="nil"/>
            </w:tcBorders>
            <w:shd w:val="clear" w:color="000000" w:fill="FFFFFF"/>
            <w:noWrap/>
            <w:vAlign w:val="center"/>
            <w:hideMark/>
          </w:tcPr>
          <w:p w14:paraId="41D25B8B"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2,242</w:t>
            </w:r>
          </w:p>
        </w:tc>
        <w:tc>
          <w:tcPr>
            <w:tcW w:w="572" w:type="pct"/>
            <w:tcBorders>
              <w:top w:val="nil"/>
              <w:left w:val="nil"/>
              <w:bottom w:val="nil"/>
              <w:right w:val="nil"/>
            </w:tcBorders>
            <w:shd w:val="clear" w:color="000000" w:fill="FFFFFF"/>
            <w:noWrap/>
            <w:vAlign w:val="center"/>
            <w:hideMark/>
          </w:tcPr>
          <w:p w14:paraId="3E0EC8F3"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1,958</w:t>
            </w:r>
          </w:p>
        </w:tc>
        <w:tc>
          <w:tcPr>
            <w:tcW w:w="572" w:type="pct"/>
            <w:tcBorders>
              <w:top w:val="nil"/>
              <w:left w:val="nil"/>
              <w:bottom w:val="nil"/>
              <w:right w:val="nil"/>
            </w:tcBorders>
            <w:shd w:val="clear" w:color="000000" w:fill="FFFFFF"/>
            <w:noWrap/>
            <w:vAlign w:val="center"/>
            <w:hideMark/>
          </w:tcPr>
          <w:p w14:paraId="583FE9DE" w14:textId="77777777" w:rsidR="000121FF" w:rsidRPr="00954D98" w:rsidRDefault="000121FF" w:rsidP="000121FF">
            <w:pPr>
              <w:spacing w:before="0" w:after="0" w:line="240" w:lineRule="auto"/>
              <w:jc w:val="right"/>
              <w:rPr>
                <w:rFonts w:ascii="Arial" w:hAnsi="Arial" w:cs="Arial"/>
                <w:i/>
                <w:iCs/>
                <w:color w:val="FFFF00"/>
                <w:sz w:val="16"/>
                <w:szCs w:val="16"/>
              </w:rPr>
            </w:pPr>
            <w:r w:rsidRPr="00954D98">
              <w:rPr>
                <w:rFonts w:ascii="Arial" w:hAnsi="Arial" w:cs="Arial"/>
                <w:i/>
                <w:iCs/>
                <w:sz w:val="16"/>
                <w:szCs w:val="16"/>
              </w:rPr>
              <w:t>3,212</w:t>
            </w:r>
          </w:p>
        </w:tc>
        <w:tc>
          <w:tcPr>
            <w:tcW w:w="81" w:type="pct"/>
            <w:tcBorders>
              <w:top w:val="nil"/>
              <w:left w:val="nil"/>
              <w:bottom w:val="nil"/>
              <w:right w:val="nil"/>
            </w:tcBorders>
            <w:shd w:val="clear" w:color="000000" w:fill="FFFFFF"/>
            <w:noWrap/>
            <w:vAlign w:val="center"/>
            <w:hideMark/>
          </w:tcPr>
          <w:p w14:paraId="26FBD074" w14:textId="77777777" w:rsidR="000121FF" w:rsidRPr="00954D98" w:rsidRDefault="000121FF" w:rsidP="000121FF">
            <w:pPr>
              <w:spacing w:before="0" w:after="0" w:line="240" w:lineRule="auto"/>
              <w:rPr>
                <w:rFonts w:ascii="Arial" w:hAnsi="Arial" w:cs="Arial"/>
                <w:i/>
                <w:iCs/>
                <w:color w:val="FFFF00"/>
                <w:sz w:val="16"/>
                <w:szCs w:val="16"/>
              </w:rPr>
            </w:pPr>
            <w:r w:rsidRPr="00954D98">
              <w:rPr>
                <w:rFonts w:ascii="Arial" w:hAnsi="Arial" w:cs="Arial"/>
                <w:i/>
                <w:iCs/>
                <w:sz w:val="16"/>
                <w:szCs w:val="16"/>
              </w:rPr>
              <w:t> </w:t>
            </w:r>
          </w:p>
        </w:tc>
        <w:tc>
          <w:tcPr>
            <w:tcW w:w="580" w:type="pct"/>
            <w:tcBorders>
              <w:top w:val="nil"/>
              <w:left w:val="nil"/>
              <w:bottom w:val="nil"/>
              <w:right w:val="nil"/>
            </w:tcBorders>
            <w:shd w:val="clear" w:color="000000" w:fill="FFFFFF"/>
            <w:noWrap/>
            <w:vAlign w:val="center"/>
            <w:hideMark/>
          </w:tcPr>
          <w:p w14:paraId="2578ADB6" w14:textId="77777777" w:rsidR="000121FF" w:rsidRPr="00954D98" w:rsidRDefault="000121FF" w:rsidP="000121FF">
            <w:pPr>
              <w:spacing w:before="0" w:after="0" w:line="240" w:lineRule="auto"/>
              <w:jc w:val="right"/>
              <w:rPr>
                <w:rFonts w:ascii="Arial" w:hAnsi="Arial" w:cs="Arial"/>
                <w:i/>
                <w:iCs/>
                <w:sz w:val="16"/>
                <w:szCs w:val="16"/>
              </w:rPr>
            </w:pPr>
            <w:r w:rsidRPr="00954D98">
              <w:rPr>
                <w:rFonts w:ascii="Arial" w:hAnsi="Arial" w:cs="Arial"/>
                <w:i/>
                <w:iCs/>
                <w:sz w:val="16"/>
                <w:szCs w:val="16"/>
              </w:rPr>
              <w:t>9,702</w:t>
            </w:r>
          </w:p>
        </w:tc>
      </w:tr>
      <w:tr w:rsidR="000121FF" w:rsidRPr="00954D98" w14:paraId="772C4134"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006AE820"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Public debt interest</w:t>
            </w:r>
          </w:p>
        </w:tc>
        <w:tc>
          <w:tcPr>
            <w:tcW w:w="572" w:type="pct"/>
            <w:tcBorders>
              <w:top w:val="nil"/>
              <w:left w:val="nil"/>
              <w:bottom w:val="nil"/>
              <w:right w:val="nil"/>
            </w:tcBorders>
            <w:shd w:val="clear" w:color="000000" w:fill="E6F2FF"/>
            <w:noWrap/>
            <w:vAlign w:val="center"/>
            <w:hideMark/>
          </w:tcPr>
          <w:p w14:paraId="2057BD96"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-688</w:t>
            </w:r>
          </w:p>
        </w:tc>
        <w:tc>
          <w:tcPr>
            <w:tcW w:w="572" w:type="pct"/>
            <w:tcBorders>
              <w:top w:val="nil"/>
              <w:left w:val="nil"/>
              <w:bottom w:val="nil"/>
              <w:right w:val="nil"/>
            </w:tcBorders>
            <w:shd w:val="clear" w:color="000000" w:fill="FFFFFF"/>
            <w:noWrap/>
            <w:vAlign w:val="center"/>
            <w:hideMark/>
          </w:tcPr>
          <w:p w14:paraId="6110F28A"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-1,321</w:t>
            </w:r>
          </w:p>
        </w:tc>
        <w:tc>
          <w:tcPr>
            <w:tcW w:w="572" w:type="pct"/>
            <w:tcBorders>
              <w:top w:val="nil"/>
              <w:left w:val="nil"/>
              <w:bottom w:val="nil"/>
              <w:right w:val="nil"/>
            </w:tcBorders>
            <w:shd w:val="clear" w:color="000000" w:fill="FFFFFF"/>
            <w:noWrap/>
            <w:vAlign w:val="center"/>
            <w:hideMark/>
          </w:tcPr>
          <w:p w14:paraId="623595AC"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-841</w:t>
            </w:r>
          </w:p>
        </w:tc>
        <w:tc>
          <w:tcPr>
            <w:tcW w:w="572" w:type="pct"/>
            <w:tcBorders>
              <w:top w:val="nil"/>
              <w:left w:val="nil"/>
              <w:bottom w:val="nil"/>
              <w:right w:val="nil"/>
            </w:tcBorders>
            <w:shd w:val="clear" w:color="000000" w:fill="FFFFFF"/>
            <w:noWrap/>
            <w:vAlign w:val="center"/>
            <w:hideMark/>
          </w:tcPr>
          <w:p w14:paraId="3CBBE178"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-611</w:t>
            </w:r>
          </w:p>
        </w:tc>
        <w:tc>
          <w:tcPr>
            <w:tcW w:w="81" w:type="pct"/>
            <w:tcBorders>
              <w:top w:val="nil"/>
              <w:left w:val="nil"/>
              <w:bottom w:val="nil"/>
              <w:right w:val="nil"/>
            </w:tcBorders>
            <w:shd w:val="clear" w:color="000000" w:fill="FFFFFF"/>
            <w:noWrap/>
            <w:vAlign w:val="center"/>
            <w:hideMark/>
          </w:tcPr>
          <w:p w14:paraId="0EC58759"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0" w:type="pct"/>
            <w:tcBorders>
              <w:top w:val="nil"/>
              <w:left w:val="nil"/>
              <w:bottom w:val="nil"/>
              <w:right w:val="nil"/>
            </w:tcBorders>
            <w:shd w:val="clear" w:color="000000" w:fill="FFFFFF"/>
            <w:noWrap/>
            <w:vAlign w:val="center"/>
            <w:hideMark/>
          </w:tcPr>
          <w:p w14:paraId="4AE61123"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-3,460</w:t>
            </w:r>
          </w:p>
        </w:tc>
      </w:tr>
      <w:tr w:rsidR="000121FF" w:rsidRPr="00954D98" w14:paraId="65E325C4"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77CE71C1"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Program specific parameter variations</w:t>
            </w:r>
          </w:p>
        </w:tc>
        <w:tc>
          <w:tcPr>
            <w:tcW w:w="572" w:type="pct"/>
            <w:tcBorders>
              <w:top w:val="nil"/>
              <w:left w:val="nil"/>
              <w:bottom w:val="nil"/>
              <w:right w:val="nil"/>
            </w:tcBorders>
            <w:shd w:val="clear" w:color="000000" w:fill="E6F2FF"/>
            <w:noWrap/>
            <w:vAlign w:val="center"/>
            <w:hideMark/>
          </w:tcPr>
          <w:p w14:paraId="45EF01B5"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17,496</w:t>
            </w:r>
          </w:p>
        </w:tc>
        <w:tc>
          <w:tcPr>
            <w:tcW w:w="572" w:type="pct"/>
            <w:tcBorders>
              <w:top w:val="nil"/>
              <w:left w:val="nil"/>
              <w:bottom w:val="nil"/>
              <w:right w:val="nil"/>
            </w:tcBorders>
            <w:shd w:val="clear" w:color="000000" w:fill="FFFFFF"/>
            <w:noWrap/>
            <w:vAlign w:val="center"/>
            <w:hideMark/>
          </w:tcPr>
          <w:p w14:paraId="7D215BAF"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9,159</w:t>
            </w:r>
          </w:p>
        </w:tc>
        <w:tc>
          <w:tcPr>
            <w:tcW w:w="572" w:type="pct"/>
            <w:tcBorders>
              <w:top w:val="nil"/>
              <w:left w:val="nil"/>
              <w:bottom w:val="nil"/>
              <w:right w:val="nil"/>
            </w:tcBorders>
            <w:shd w:val="clear" w:color="000000" w:fill="FFFFFF"/>
            <w:noWrap/>
            <w:vAlign w:val="center"/>
            <w:hideMark/>
          </w:tcPr>
          <w:p w14:paraId="03C74E1A"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11,192</w:t>
            </w:r>
          </w:p>
        </w:tc>
        <w:tc>
          <w:tcPr>
            <w:tcW w:w="572" w:type="pct"/>
            <w:tcBorders>
              <w:top w:val="nil"/>
              <w:left w:val="nil"/>
              <w:bottom w:val="nil"/>
              <w:right w:val="nil"/>
            </w:tcBorders>
            <w:shd w:val="clear" w:color="000000" w:fill="FFFFFF"/>
            <w:noWrap/>
            <w:vAlign w:val="center"/>
            <w:hideMark/>
          </w:tcPr>
          <w:p w14:paraId="100BE2F0"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9,965</w:t>
            </w:r>
          </w:p>
        </w:tc>
        <w:tc>
          <w:tcPr>
            <w:tcW w:w="81" w:type="pct"/>
            <w:tcBorders>
              <w:top w:val="nil"/>
              <w:left w:val="nil"/>
              <w:bottom w:val="nil"/>
              <w:right w:val="nil"/>
            </w:tcBorders>
            <w:shd w:val="clear" w:color="000000" w:fill="FFFFFF"/>
            <w:noWrap/>
            <w:vAlign w:val="center"/>
            <w:hideMark/>
          </w:tcPr>
          <w:p w14:paraId="330DBA19"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0" w:type="pct"/>
            <w:tcBorders>
              <w:top w:val="nil"/>
              <w:left w:val="nil"/>
              <w:bottom w:val="nil"/>
              <w:right w:val="nil"/>
            </w:tcBorders>
            <w:shd w:val="clear" w:color="000000" w:fill="FFFFFF"/>
            <w:noWrap/>
            <w:vAlign w:val="center"/>
            <w:hideMark/>
          </w:tcPr>
          <w:p w14:paraId="30A931AA"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47,811</w:t>
            </w:r>
          </w:p>
        </w:tc>
      </w:tr>
      <w:tr w:rsidR="000121FF" w:rsidRPr="00954D98" w14:paraId="129E5834"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562CB654"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Other variations</w:t>
            </w:r>
          </w:p>
        </w:tc>
        <w:tc>
          <w:tcPr>
            <w:tcW w:w="572" w:type="pct"/>
            <w:tcBorders>
              <w:top w:val="nil"/>
              <w:left w:val="nil"/>
              <w:bottom w:val="single" w:sz="4" w:space="0" w:color="000000"/>
              <w:right w:val="nil"/>
            </w:tcBorders>
            <w:shd w:val="clear" w:color="000000" w:fill="E6F2FF"/>
            <w:noWrap/>
            <w:vAlign w:val="center"/>
            <w:hideMark/>
          </w:tcPr>
          <w:p w14:paraId="0C5BA476"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1,376</w:t>
            </w:r>
          </w:p>
        </w:tc>
        <w:tc>
          <w:tcPr>
            <w:tcW w:w="572" w:type="pct"/>
            <w:tcBorders>
              <w:top w:val="nil"/>
              <w:left w:val="nil"/>
              <w:bottom w:val="single" w:sz="4" w:space="0" w:color="000000"/>
              <w:right w:val="nil"/>
            </w:tcBorders>
            <w:shd w:val="clear" w:color="000000" w:fill="FFFFFF"/>
            <w:noWrap/>
            <w:vAlign w:val="center"/>
            <w:hideMark/>
          </w:tcPr>
          <w:p w14:paraId="32C10495"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-2,692</w:t>
            </w:r>
          </w:p>
        </w:tc>
        <w:tc>
          <w:tcPr>
            <w:tcW w:w="572" w:type="pct"/>
            <w:tcBorders>
              <w:top w:val="nil"/>
              <w:left w:val="nil"/>
              <w:bottom w:val="single" w:sz="4" w:space="0" w:color="000000"/>
              <w:right w:val="nil"/>
            </w:tcBorders>
            <w:shd w:val="clear" w:color="000000" w:fill="FFFFFF"/>
            <w:noWrap/>
            <w:vAlign w:val="center"/>
            <w:hideMark/>
          </w:tcPr>
          <w:p w14:paraId="31D98712"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-3,206</w:t>
            </w:r>
          </w:p>
        </w:tc>
        <w:tc>
          <w:tcPr>
            <w:tcW w:w="572" w:type="pct"/>
            <w:tcBorders>
              <w:top w:val="nil"/>
              <w:left w:val="nil"/>
              <w:bottom w:val="single" w:sz="4" w:space="0" w:color="000000"/>
              <w:right w:val="nil"/>
            </w:tcBorders>
            <w:shd w:val="clear" w:color="000000" w:fill="FFFFFF"/>
            <w:noWrap/>
            <w:vAlign w:val="center"/>
            <w:hideMark/>
          </w:tcPr>
          <w:p w14:paraId="011F8733"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-4,250</w:t>
            </w:r>
          </w:p>
        </w:tc>
        <w:tc>
          <w:tcPr>
            <w:tcW w:w="81" w:type="pct"/>
            <w:tcBorders>
              <w:top w:val="nil"/>
              <w:left w:val="nil"/>
              <w:bottom w:val="nil"/>
              <w:right w:val="nil"/>
            </w:tcBorders>
            <w:shd w:val="clear" w:color="000000" w:fill="FFFFFF"/>
            <w:noWrap/>
            <w:vAlign w:val="center"/>
            <w:hideMark/>
          </w:tcPr>
          <w:p w14:paraId="319251D9"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80" w:type="pct"/>
            <w:tcBorders>
              <w:top w:val="nil"/>
              <w:left w:val="nil"/>
              <w:bottom w:val="nil"/>
              <w:right w:val="nil"/>
            </w:tcBorders>
            <w:shd w:val="clear" w:color="000000" w:fill="FFFFFF"/>
            <w:noWrap/>
            <w:vAlign w:val="center"/>
            <w:hideMark/>
          </w:tcPr>
          <w:p w14:paraId="555AACA7"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-8,772</w:t>
            </w:r>
          </w:p>
        </w:tc>
      </w:tr>
      <w:tr w:rsidR="002C4687" w:rsidRPr="00954D98" w14:paraId="4A7D4557" w14:textId="77777777" w:rsidTr="000121FF">
        <w:trPr>
          <w:trHeight w:hRule="exact" w:val="225"/>
        </w:trPr>
        <w:tc>
          <w:tcPr>
            <w:tcW w:w="2050" w:type="pct"/>
            <w:tcBorders>
              <w:top w:val="nil"/>
              <w:left w:val="nil"/>
              <w:bottom w:val="nil"/>
              <w:right w:val="nil"/>
            </w:tcBorders>
            <w:shd w:val="clear" w:color="000000" w:fill="FFFFFF"/>
            <w:noWrap/>
            <w:vAlign w:val="center"/>
            <w:hideMark/>
          </w:tcPr>
          <w:p w14:paraId="5FAA704C"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Total variations</w:t>
            </w:r>
          </w:p>
        </w:tc>
        <w:tc>
          <w:tcPr>
            <w:tcW w:w="572" w:type="pct"/>
            <w:tcBorders>
              <w:top w:val="single" w:sz="4" w:space="0" w:color="293F5B"/>
              <w:left w:val="nil"/>
              <w:bottom w:val="single" w:sz="4" w:space="0" w:color="293F5B"/>
              <w:right w:val="nil"/>
            </w:tcBorders>
            <w:shd w:val="clear" w:color="000000" w:fill="E6F2FF"/>
            <w:noWrap/>
            <w:vAlign w:val="center"/>
            <w:hideMark/>
          </w:tcPr>
          <w:p w14:paraId="28A2F04C"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23,517</w:t>
            </w:r>
          </w:p>
        </w:tc>
        <w:tc>
          <w:tcPr>
            <w:tcW w:w="572" w:type="pct"/>
            <w:tcBorders>
              <w:top w:val="single" w:sz="4" w:space="0" w:color="293F5B"/>
              <w:left w:val="nil"/>
              <w:bottom w:val="single" w:sz="4" w:space="0" w:color="293F5B"/>
              <w:right w:val="nil"/>
            </w:tcBorders>
            <w:shd w:val="clear" w:color="000000" w:fill="FFFFFF"/>
            <w:noWrap/>
            <w:vAlign w:val="center"/>
            <w:hideMark/>
          </w:tcPr>
          <w:p w14:paraId="0DE9618A"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12,431</w:t>
            </w:r>
          </w:p>
        </w:tc>
        <w:tc>
          <w:tcPr>
            <w:tcW w:w="572" w:type="pct"/>
            <w:tcBorders>
              <w:top w:val="single" w:sz="4" w:space="0" w:color="293F5B"/>
              <w:left w:val="nil"/>
              <w:bottom w:val="single" w:sz="4" w:space="0" w:color="293F5B"/>
              <w:right w:val="nil"/>
            </w:tcBorders>
            <w:shd w:val="clear" w:color="000000" w:fill="FFFFFF"/>
            <w:noWrap/>
            <w:vAlign w:val="center"/>
            <w:hideMark/>
          </w:tcPr>
          <w:p w14:paraId="4D4F9B03"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11,204</w:t>
            </w:r>
          </w:p>
        </w:tc>
        <w:tc>
          <w:tcPr>
            <w:tcW w:w="572" w:type="pct"/>
            <w:tcBorders>
              <w:top w:val="single" w:sz="4" w:space="0" w:color="293F5B"/>
              <w:left w:val="nil"/>
              <w:bottom w:val="single" w:sz="4" w:space="0" w:color="293F5B"/>
              <w:right w:val="nil"/>
            </w:tcBorders>
            <w:shd w:val="clear" w:color="000000" w:fill="FFFFFF"/>
            <w:noWrap/>
            <w:vAlign w:val="center"/>
            <w:hideMark/>
          </w:tcPr>
          <w:p w14:paraId="01FA9E8E"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7,883</w:t>
            </w:r>
          </w:p>
        </w:tc>
        <w:tc>
          <w:tcPr>
            <w:tcW w:w="81" w:type="pct"/>
            <w:tcBorders>
              <w:top w:val="nil"/>
              <w:left w:val="nil"/>
              <w:bottom w:val="nil"/>
              <w:right w:val="nil"/>
            </w:tcBorders>
            <w:shd w:val="clear" w:color="000000" w:fill="FFFFFF"/>
            <w:noWrap/>
            <w:vAlign w:val="center"/>
            <w:hideMark/>
          </w:tcPr>
          <w:p w14:paraId="06A1669C"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80" w:type="pct"/>
            <w:tcBorders>
              <w:top w:val="single" w:sz="4" w:space="0" w:color="293F5B"/>
              <w:left w:val="nil"/>
              <w:bottom w:val="single" w:sz="4" w:space="0" w:color="293F5B"/>
              <w:right w:val="nil"/>
            </w:tcBorders>
            <w:shd w:val="clear" w:color="000000" w:fill="FFFFFF"/>
            <w:noWrap/>
            <w:vAlign w:val="center"/>
            <w:hideMark/>
          </w:tcPr>
          <w:p w14:paraId="78EA2AEA" w14:textId="77777777" w:rsidR="000121FF" w:rsidRPr="00954D98" w:rsidRDefault="000121FF" w:rsidP="000121FF">
            <w:pPr>
              <w:spacing w:before="0" w:after="0" w:line="240" w:lineRule="auto"/>
              <w:jc w:val="right"/>
              <w:rPr>
                <w:rFonts w:ascii="Arial" w:hAnsi="Arial" w:cs="Arial"/>
                <w:b/>
                <w:bCs/>
                <w:sz w:val="16"/>
                <w:szCs w:val="16"/>
              </w:rPr>
            </w:pPr>
            <w:r w:rsidRPr="00954D98">
              <w:rPr>
                <w:rFonts w:ascii="Arial" w:hAnsi="Arial" w:cs="Arial"/>
                <w:b/>
                <w:bCs/>
                <w:sz w:val="16"/>
                <w:szCs w:val="16"/>
              </w:rPr>
              <w:t>55,035</w:t>
            </w:r>
          </w:p>
        </w:tc>
      </w:tr>
      <w:tr w:rsidR="000121FF" w:rsidRPr="00954D98" w14:paraId="68A3750F" w14:textId="77777777" w:rsidTr="000121FF">
        <w:trPr>
          <w:trHeight w:hRule="exact" w:val="60"/>
        </w:trPr>
        <w:tc>
          <w:tcPr>
            <w:tcW w:w="2050" w:type="pct"/>
            <w:tcBorders>
              <w:top w:val="nil"/>
              <w:left w:val="nil"/>
              <w:bottom w:val="nil"/>
              <w:right w:val="nil"/>
            </w:tcBorders>
            <w:shd w:val="clear" w:color="000000" w:fill="FFFFFF"/>
            <w:noWrap/>
            <w:vAlign w:val="center"/>
            <w:hideMark/>
          </w:tcPr>
          <w:p w14:paraId="42D9EC5A"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72" w:type="pct"/>
            <w:tcBorders>
              <w:top w:val="nil"/>
              <w:left w:val="nil"/>
              <w:bottom w:val="nil"/>
              <w:right w:val="nil"/>
            </w:tcBorders>
            <w:shd w:val="clear" w:color="000000" w:fill="E6F2FF"/>
            <w:noWrap/>
            <w:vAlign w:val="center"/>
            <w:hideMark/>
          </w:tcPr>
          <w:p w14:paraId="3D4D190E"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72" w:type="pct"/>
            <w:tcBorders>
              <w:top w:val="nil"/>
              <w:left w:val="nil"/>
              <w:bottom w:val="nil"/>
              <w:right w:val="nil"/>
            </w:tcBorders>
            <w:shd w:val="clear" w:color="000000" w:fill="FFFFFF"/>
            <w:noWrap/>
            <w:vAlign w:val="center"/>
            <w:hideMark/>
          </w:tcPr>
          <w:p w14:paraId="51C6F830"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72" w:type="pct"/>
            <w:tcBorders>
              <w:top w:val="nil"/>
              <w:left w:val="nil"/>
              <w:bottom w:val="nil"/>
              <w:right w:val="nil"/>
            </w:tcBorders>
            <w:shd w:val="clear" w:color="000000" w:fill="FFFFFF"/>
            <w:noWrap/>
            <w:vAlign w:val="center"/>
            <w:hideMark/>
          </w:tcPr>
          <w:p w14:paraId="592C3BED"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72" w:type="pct"/>
            <w:tcBorders>
              <w:top w:val="nil"/>
              <w:left w:val="nil"/>
              <w:bottom w:val="nil"/>
              <w:right w:val="nil"/>
            </w:tcBorders>
            <w:shd w:val="clear" w:color="000000" w:fill="FFFFFF"/>
            <w:noWrap/>
            <w:vAlign w:val="center"/>
            <w:hideMark/>
          </w:tcPr>
          <w:p w14:paraId="1103E1EB"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81" w:type="pct"/>
            <w:tcBorders>
              <w:top w:val="nil"/>
              <w:left w:val="nil"/>
              <w:bottom w:val="nil"/>
              <w:right w:val="nil"/>
            </w:tcBorders>
            <w:shd w:val="clear" w:color="000000" w:fill="FFFFFF"/>
            <w:noWrap/>
            <w:vAlign w:val="center"/>
            <w:hideMark/>
          </w:tcPr>
          <w:p w14:paraId="5CFEC0A6"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80" w:type="pct"/>
            <w:tcBorders>
              <w:top w:val="nil"/>
              <w:left w:val="nil"/>
              <w:bottom w:val="nil"/>
              <w:right w:val="nil"/>
            </w:tcBorders>
            <w:shd w:val="clear" w:color="000000" w:fill="FFFFFF"/>
            <w:noWrap/>
            <w:vAlign w:val="center"/>
            <w:hideMark/>
          </w:tcPr>
          <w:p w14:paraId="343176B3" w14:textId="77777777" w:rsidR="000121FF" w:rsidRPr="00954D98" w:rsidRDefault="000121FF" w:rsidP="000121FF">
            <w:pPr>
              <w:spacing w:before="0" w:after="0" w:line="240" w:lineRule="auto"/>
              <w:rPr>
                <w:rFonts w:ascii="Arial" w:hAnsi="Arial" w:cs="Arial"/>
                <w:b/>
                <w:bCs/>
                <w:sz w:val="16"/>
                <w:szCs w:val="16"/>
              </w:rPr>
            </w:pPr>
            <w:r w:rsidRPr="00954D98">
              <w:rPr>
                <w:rFonts w:ascii="Arial" w:hAnsi="Arial" w:cs="Arial"/>
                <w:b/>
                <w:bCs/>
                <w:sz w:val="16"/>
                <w:szCs w:val="16"/>
              </w:rPr>
              <w:t> </w:t>
            </w:r>
          </w:p>
        </w:tc>
      </w:tr>
      <w:tr w:rsidR="000121FF" w:rsidRPr="00954D98" w14:paraId="1FEB9CC4" w14:textId="77777777" w:rsidTr="000121FF">
        <w:trPr>
          <w:trHeight w:hRule="exact" w:val="225"/>
        </w:trPr>
        <w:tc>
          <w:tcPr>
            <w:tcW w:w="2050" w:type="pct"/>
            <w:tcBorders>
              <w:top w:val="nil"/>
              <w:left w:val="nil"/>
              <w:bottom w:val="single" w:sz="4" w:space="0" w:color="293F5B"/>
              <w:right w:val="nil"/>
            </w:tcBorders>
            <w:shd w:val="clear" w:color="000000" w:fill="FFFFFF"/>
            <w:noWrap/>
            <w:vAlign w:val="center"/>
            <w:hideMark/>
          </w:tcPr>
          <w:p w14:paraId="61CEBDF4"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2025-26 MYEFO expenses</w:t>
            </w:r>
          </w:p>
        </w:tc>
        <w:tc>
          <w:tcPr>
            <w:tcW w:w="572" w:type="pct"/>
            <w:tcBorders>
              <w:top w:val="nil"/>
              <w:left w:val="nil"/>
              <w:bottom w:val="single" w:sz="4" w:space="0" w:color="293F5B"/>
              <w:right w:val="nil"/>
            </w:tcBorders>
            <w:shd w:val="clear" w:color="000000" w:fill="E6F2FF"/>
            <w:noWrap/>
            <w:vAlign w:val="center"/>
            <w:hideMark/>
          </w:tcPr>
          <w:p w14:paraId="535A1CFF"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809,232</w:t>
            </w:r>
          </w:p>
        </w:tc>
        <w:tc>
          <w:tcPr>
            <w:tcW w:w="572" w:type="pct"/>
            <w:tcBorders>
              <w:top w:val="nil"/>
              <w:left w:val="nil"/>
              <w:bottom w:val="single" w:sz="4" w:space="0" w:color="293F5B"/>
              <w:right w:val="nil"/>
            </w:tcBorders>
            <w:shd w:val="clear" w:color="000000" w:fill="FFFFFF"/>
            <w:noWrap/>
            <w:vAlign w:val="center"/>
            <w:hideMark/>
          </w:tcPr>
          <w:p w14:paraId="431736EE"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818,970</w:t>
            </w:r>
          </w:p>
        </w:tc>
        <w:tc>
          <w:tcPr>
            <w:tcW w:w="572" w:type="pct"/>
            <w:tcBorders>
              <w:top w:val="nil"/>
              <w:left w:val="nil"/>
              <w:bottom w:val="single" w:sz="4" w:space="0" w:color="293F5B"/>
              <w:right w:val="nil"/>
            </w:tcBorders>
            <w:shd w:val="clear" w:color="000000" w:fill="FFFFFF"/>
            <w:noWrap/>
            <w:vAlign w:val="center"/>
            <w:hideMark/>
          </w:tcPr>
          <w:p w14:paraId="6CA32F8F"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853,996</w:t>
            </w:r>
          </w:p>
        </w:tc>
        <w:tc>
          <w:tcPr>
            <w:tcW w:w="572" w:type="pct"/>
            <w:tcBorders>
              <w:top w:val="nil"/>
              <w:left w:val="nil"/>
              <w:bottom w:val="single" w:sz="4" w:space="0" w:color="293F5B"/>
              <w:right w:val="nil"/>
            </w:tcBorders>
            <w:shd w:val="clear" w:color="000000" w:fill="FFFFFF"/>
            <w:noWrap/>
            <w:vAlign w:val="center"/>
            <w:hideMark/>
          </w:tcPr>
          <w:p w14:paraId="4B647EC1"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897,459</w:t>
            </w:r>
          </w:p>
        </w:tc>
        <w:tc>
          <w:tcPr>
            <w:tcW w:w="81" w:type="pct"/>
            <w:tcBorders>
              <w:top w:val="nil"/>
              <w:left w:val="nil"/>
              <w:bottom w:val="single" w:sz="4" w:space="0" w:color="293F5B"/>
              <w:right w:val="nil"/>
            </w:tcBorders>
            <w:shd w:val="clear" w:color="000000" w:fill="FFFFFF"/>
            <w:noWrap/>
            <w:vAlign w:val="center"/>
            <w:hideMark/>
          </w:tcPr>
          <w:p w14:paraId="695F8B0D"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 </w:t>
            </w:r>
          </w:p>
        </w:tc>
        <w:tc>
          <w:tcPr>
            <w:tcW w:w="580" w:type="pct"/>
            <w:tcBorders>
              <w:top w:val="nil"/>
              <w:left w:val="nil"/>
              <w:bottom w:val="single" w:sz="4" w:space="0" w:color="293F5B"/>
              <w:right w:val="nil"/>
            </w:tcBorders>
            <w:shd w:val="clear" w:color="000000" w:fill="FFFFFF"/>
            <w:noWrap/>
            <w:vAlign w:val="center"/>
            <w:hideMark/>
          </w:tcPr>
          <w:p w14:paraId="116662DE" w14:textId="77777777" w:rsidR="000121FF" w:rsidRPr="00954D98" w:rsidRDefault="000121FF" w:rsidP="000121FF">
            <w:pPr>
              <w:spacing w:before="0" w:after="0" w:line="240" w:lineRule="auto"/>
              <w:jc w:val="right"/>
              <w:rPr>
                <w:rFonts w:ascii="Arial" w:hAnsi="Arial" w:cs="Arial"/>
                <w:b/>
                <w:bCs/>
                <w:sz w:val="16"/>
                <w:szCs w:val="16"/>
              </w:rPr>
            </w:pPr>
            <w:r w:rsidRPr="00954D98">
              <w:rPr>
                <w:rFonts w:ascii="Arial" w:hAnsi="Arial" w:cs="Arial"/>
                <w:b/>
                <w:bCs/>
                <w:sz w:val="16"/>
                <w:szCs w:val="16"/>
              </w:rPr>
              <w:t>3,379,657</w:t>
            </w:r>
          </w:p>
        </w:tc>
      </w:tr>
    </w:tbl>
    <w:p w14:paraId="39A00E81" w14:textId="5E26ADF9" w:rsidR="00F1044A" w:rsidRPr="00954D98" w:rsidRDefault="00F1044A" w:rsidP="00F1044A">
      <w:pPr>
        <w:pStyle w:val="ChartandTableFootnoteAlpha"/>
        <w:numPr>
          <w:ilvl w:val="0"/>
          <w:numId w:val="29"/>
        </w:numPr>
        <w:rPr>
          <w:rFonts w:eastAsiaTheme="minorHAnsi"/>
          <w:color w:val="auto"/>
        </w:rPr>
      </w:pPr>
      <w:r w:rsidRPr="00954D98">
        <w:rPr>
          <w:rFonts w:eastAsiaTheme="minorHAnsi"/>
          <w:color w:val="auto"/>
        </w:rPr>
        <w:t>Excludes secondary impacts on public debt interest of policy decisions and offsets from the Contingency Reserve for decisions taken.</w:t>
      </w:r>
    </w:p>
    <w:p w14:paraId="03652A44" w14:textId="6810C9FF" w:rsidR="0092415D" w:rsidRPr="00954D98" w:rsidRDefault="0092415D" w:rsidP="0092415D">
      <w:pPr>
        <w:pStyle w:val="ChartandTableFootnoteAlpha"/>
        <w:numPr>
          <w:ilvl w:val="0"/>
          <w:numId w:val="29"/>
        </w:numPr>
        <w:rPr>
          <w:rFonts w:eastAsiaTheme="minorHAnsi"/>
        </w:rPr>
      </w:pPr>
      <w:r w:rsidRPr="00954D98">
        <w:rPr>
          <w:rFonts w:eastAsiaTheme="minorHAnsi"/>
          <w:color w:val="auto"/>
        </w:rPr>
        <w:t>GST entitlement for 2025–26 accounts for the balancing adjustment from 2024–25</w:t>
      </w:r>
      <w:r w:rsidR="008E5B5B" w:rsidRPr="00954D98">
        <w:rPr>
          <w:rFonts w:eastAsiaTheme="minorHAnsi"/>
          <w:color w:val="auto"/>
        </w:rPr>
        <w:t>.</w:t>
      </w:r>
    </w:p>
    <w:p w14:paraId="4C593A5D" w14:textId="2C4F8428" w:rsidR="00F1044A" w:rsidRPr="00954D98" w:rsidRDefault="00F1044A" w:rsidP="00F1044A">
      <w:pPr>
        <w:pStyle w:val="TableLine"/>
      </w:pPr>
    </w:p>
    <w:p w14:paraId="1620D0EA" w14:textId="77777777" w:rsidR="00F1044A" w:rsidRPr="00954D98" w:rsidRDefault="00F1044A" w:rsidP="00F1044A">
      <w:pPr>
        <w:pStyle w:val="SingleParagraph"/>
        <w:rPr>
          <w:rStyle w:val="Heading2Char"/>
          <w:sz w:val="22"/>
        </w:rPr>
      </w:pPr>
      <w:bookmarkStart w:id="71" w:name="_Toc148428084"/>
      <w:r w:rsidRPr="00954D98">
        <w:rPr>
          <w:rStyle w:val="Heading2Char"/>
          <w:sz w:val="22"/>
        </w:rPr>
        <w:br w:type="page"/>
      </w:r>
    </w:p>
    <w:p w14:paraId="03FB4D4B" w14:textId="2E9BF323" w:rsidR="00F1044A" w:rsidRPr="00954D98" w:rsidRDefault="00F1044A" w:rsidP="00392639">
      <w:pPr>
        <w:pStyle w:val="Heading3"/>
      </w:pPr>
      <w:r w:rsidRPr="00954D98">
        <w:lastRenderedPageBreak/>
        <w:t>Net capital investment estimates</w:t>
      </w:r>
      <w:bookmarkEnd w:id="71"/>
    </w:p>
    <w:p w14:paraId="090EB69D" w14:textId="76DDED81" w:rsidR="00F1044A" w:rsidRPr="00954D98" w:rsidRDefault="00F1044A" w:rsidP="0025153F">
      <w:r w:rsidRPr="00954D98">
        <w:t>Net capital investment is broadly defined as the sale and acquisition of non</w:t>
      </w:r>
      <w:r w:rsidR="00536CFF">
        <w:noBreakHyphen/>
      </w:r>
      <w:r w:rsidRPr="00954D98">
        <w:t xml:space="preserve">financial assets, less depreciation expenses. It provides a measure of the overall growth in capital assets (including buildings and infrastructure, specialist military equipment, and computer software) after </w:t>
      </w:r>
      <w:proofErr w:type="gramStart"/>
      <w:r w:rsidRPr="00954D98">
        <w:t>taking into account</w:t>
      </w:r>
      <w:proofErr w:type="gramEnd"/>
      <w:r w:rsidRPr="00954D98">
        <w:t xml:space="preserve"> depreciation and amortisation as previously acquired assets age. </w:t>
      </w:r>
    </w:p>
    <w:p w14:paraId="1DA5B8BB" w14:textId="237A8B29" w:rsidR="00F1044A" w:rsidRPr="00954D98" w:rsidRDefault="00F1044A" w:rsidP="00F1044A">
      <w:pPr>
        <w:rPr>
          <w:rFonts w:ascii="Calibri" w:hAnsi="Calibri"/>
        </w:rPr>
      </w:pPr>
      <w:r w:rsidRPr="00954D98">
        <w:t>Government capital spending involves acquisition of physical assets, financial assets and provision of grants and subsidies to others (primarily state and territory governments), which they then use to acquire assets.</w:t>
      </w:r>
    </w:p>
    <w:p w14:paraId="1613F059" w14:textId="2A879641" w:rsidR="00AF7AED" w:rsidRPr="00954D98" w:rsidRDefault="00F1044A" w:rsidP="00F66FCB">
      <w:pPr>
        <w:pStyle w:val="TableHeading"/>
        <w:rPr>
          <w:rFonts w:eastAsiaTheme="minorHAnsi"/>
        </w:rPr>
      </w:pPr>
      <w:r w:rsidRPr="00954D98">
        <w:t>Table 3.</w:t>
      </w:r>
      <w:r w:rsidR="00D23DAA" w:rsidRPr="00954D98">
        <w:t>14</w:t>
      </w:r>
      <w:r w:rsidRPr="00954D98">
        <w:t>: Reconciliation of general government sector net capital investment estimates</w:t>
      </w:r>
    </w:p>
    <w:tbl>
      <w:tblPr>
        <w:tblW w:w="5000" w:type="pct"/>
        <w:tblCellMar>
          <w:left w:w="0" w:type="dxa"/>
          <w:right w:w="28" w:type="dxa"/>
        </w:tblCellMar>
        <w:tblLook w:val="04A0" w:firstRow="1" w:lastRow="0" w:firstColumn="1" w:lastColumn="0" w:noHBand="0" w:noVBand="1"/>
      </w:tblPr>
      <w:tblGrid>
        <w:gridCol w:w="3475"/>
        <w:gridCol w:w="819"/>
        <w:gridCol w:w="819"/>
        <w:gridCol w:w="819"/>
        <w:gridCol w:w="822"/>
        <w:gridCol w:w="125"/>
        <w:gridCol w:w="831"/>
      </w:tblGrid>
      <w:tr w:rsidR="000121FF" w:rsidRPr="00954D98" w14:paraId="0EF4CF48" w14:textId="77777777" w:rsidTr="000121FF">
        <w:trPr>
          <w:trHeight w:hRule="exact" w:val="225"/>
        </w:trPr>
        <w:tc>
          <w:tcPr>
            <w:tcW w:w="2254" w:type="pct"/>
            <w:tcBorders>
              <w:top w:val="single" w:sz="4" w:space="0" w:color="auto"/>
              <w:left w:val="nil"/>
              <w:bottom w:val="nil"/>
              <w:right w:val="nil"/>
            </w:tcBorders>
            <w:shd w:val="clear" w:color="000000" w:fill="FFFFFF"/>
            <w:noWrap/>
            <w:vAlign w:val="bottom"/>
            <w:hideMark/>
          </w:tcPr>
          <w:p w14:paraId="462393F2"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2126" w:type="pct"/>
            <w:gridSpan w:val="4"/>
            <w:tcBorders>
              <w:top w:val="single" w:sz="4" w:space="0" w:color="293F5B"/>
              <w:left w:val="nil"/>
              <w:bottom w:val="single" w:sz="4" w:space="0" w:color="293F5B"/>
              <w:right w:val="nil"/>
            </w:tcBorders>
            <w:shd w:val="clear" w:color="000000" w:fill="FFFFFF"/>
            <w:noWrap/>
            <w:vAlign w:val="center"/>
            <w:hideMark/>
          </w:tcPr>
          <w:p w14:paraId="5DEF97EF" w14:textId="77777777" w:rsidR="000121FF" w:rsidRPr="00954D98" w:rsidRDefault="000121FF" w:rsidP="000121FF">
            <w:pPr>
              <w:spacing w:before="0" w:after="0" w:line="240" w:lineRule="auto"/>
              <w:jc w:val="center"/>
              <w:rPr>
                <w:rFonts w:ascii="Arial" w:hAnsi="Arial" w:cs="Arial"/>
                <w:color w:val="FFFF00"/>
                <w:sz w:val="16"/>
                <w:szCs w:val="16"/>
              </w:rPr>
            </w:pPr>
            <w:r w:rsidRPr="00954D98">
              <w:rPr>
                <w:rFonts w:ascii="Arial" w:hAnsi="Arial" w:cs="Arial"/>
                <w:sz w:val="16"/>
                <w:szCs w:val="16"/>
              </w:rPr>
              <w:t>Estimates</w:t>
            </w:r>
          </w:p>
        </w:tc>
        <w:tc>
          <w:tcPr>
            <w:tcW w:w="81" w:type="pct"/>
            <w:tcBorders>
              <w:top w:val="single" w:sz="4" w:space="0" w:color="000000"/>
              <w:left w:val="nil"/>
              <w:bottom w:val="nil"/>
              <w:right w:val="nil"/>
            </w:tcBorders>
            <w:shd w:val="clear" w:color="000000" w:fill="FFFFFF"/>
            <w:noWrap/>
            <w:vAlign w:val="center"/>
            <w:hideMark/>
          </w:tcPr>
          <w:p w14:paraId="4BA490AD"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9" w:type="pct"/>
            <w:tcBorders>
              <w:top w:val="single" w:sz="4" w:space="0" w:color="293F5B"/>
              <w:left w:val="nil"/>
              <w:bottom w:val="single" w:sz="4" w:space="0" w:color="293F5B"/>
              <w:right w:val="nil"/>
            </w:tcBorders>
            <w:shd w:val="clear" w:color="000000" w:fill="FFFFFF"/>
            <w:noWrap/>
            <w:vAlign w:val="center"/>
            <w:hideMark/>
          </w:tcPr>
          <w:p w14:paraId="034F296C" w14:textId="77777777" w:rsidR="000121FF" w:rsidRPr="00954D98" w:rsidRDefault="000121FF" w:rsidP="000121FF">
            <w:pPr>
              <w:spacing w:before="0" w:after="0" w:line="240" w:lineRule="auto"/>
              <w:rPr>
                <w:rFonts w:ascii="Arial" w:hAnsi="Arial" w:cs="Arial"/>
                <w:sz w:val="16"/>
                <w:szCs w:val="16"/>
              </w:rPr>
            </w:pPr>
            <w:r w:rsidRPr="00954D98">
              <w:rPr>
                <w:rFonts w:ascii="Arial" w:hAnsi="Arial" w:cs="Arial"/>
                <w:sz w:val="16"/>
                <w:szCs w:val="16"/>
              </w:rPr>
              <w:t> </w:t>
            </w:r>
          </w:p>
        </w:tc>
      </w:tr>
      <w:tr w:rsidR="002C4687" w:rsidRPr="00954D98" w14:paraId="0D4FE6C2" w14:textId="77777777" w:rsidTr="000121FF">
        <w:trPr>
          <w:trHeight w:val="225"/>
        </w:trPr>
        <w:tc>
          <w:tcPr>
            <w:tcW w:w="2254" w:type="pct"/>
            <w:tcBorders>
              <w:top w:val="nil"/>
              <w:left w:val="nil"/>
              <w:bottom w:val="nil"/>
              <w:right w:val="nil"/>
            </w:tcBorders>
            <w:shd w:val="clear" w:color="000000" w:fill="FFFFFF"/>
            <w:noWrap/>
            <w:vAlign w:val="bottom"/>
            <w:hideMark/>
          </w:tcPr>
          <w:p w14:paraId="60C0B5BA"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1" w:type="pct"/>
            <w:tcBorders>
              <w:top w:val="single" w:sz="4" w:space="0" w:color="293F5B"/>
              <w:left w:val="nil"/>
              <w:bottom w:val="nil"/>
              <w:right w:val="nil"/>
            </w:tcBorders>
            <w:shd w:val="clear" w:color="000000" w:fill="E6F2FF"/>
            <w:noWrap/>
            <w:vAlign w:val="center"/>
            <w:hideMark/>
          </w:tcPr>
          <w:p w14:paraId="5C0896BB"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2025-26</w:t>
            </w:r>
          </w:p>
        </w:tc>
        <w:tc>
          <w:tcPr>
            <w:tcW w:w="531" w:type="pct"/>
            <w:tcBorders>
              <w:top w:val="single" w:sz="4" w:space="0" w:color="293F5B"/>
              <w:left w:val="nil"/>
              <w:bottom w:val="nil"/>
              <w:right w:val="nil"/>
            </w:tcBorders>
            <w:shd w:val="clear" w:color="000000" w:fill="FFFFFF"/>
            <w:noWrap/>
            <w:vAlign w:val="center"/>
            <w:hideMark/>
          </w:tcPr>
          <w:p w14:paraId="508B6EEE"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2026-27</w:t>
            </w:r>
          </w:p>
        </w:tc>
        <w:tc>
          <w:tcPr>
            <w:tcW w:w="531" w:type="pct"/>
            <w:tcBorders>
              <w:top w:val="single" w:sz="4" w:space="0" w:color="293F5B"/>
              <w:left w:val="nil"/>
              <w:bottom w:val="nil"/>
              <w:right w:val="nil"/>
            </w:tcBorders>
            <w:shd w:val="clear" w:color="000000" w:fill="FFFFFF"/>
            <w:noWrap/>
            <w:vAlign w:val="center"/>
            <w:hideMark/>
          </w:tcPr>
          <w:p w14:paraId="102B88FD"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2027-28</w:t>
            </w:r>
          </w:p>
        </w:tc>
        <w:tc>
          <w:tcPr>
            <w:tcW w:w="531" w:type="pct"/>
            <w:tcBorders>
              <w:top w:val="single" w:sz="4" w:space="0" w:color="293F5B"/>
              <w:left w:val="nil"/>
              <w:bottom w:val="nil"/>
              <w:right w:val="nil"/>
            </w:tcBorders>
            <w:shd w:val="clear" w:color="000000" w:fill="FFFFFF"/>
            <w:noWrap/>
            <w:vAlign w:val="center"/>
            <w:hideMark/>
          </w:tcPr>
          <w:p w14:paraId="7133144B"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2028-29</w:t>
            </w:r>
          </w:p>
        </w:tc>
        <w:tc>
          <w:tcPr>
            <w:tcW w:w="81" w:type="pct"/>
            <w:tcBorders>
              <w:top w:val="nil"/>
              <w:left w:val="nil"/>
              <w:bottom w:val="nil"/>
              <w:right w:val="nil"/>
            </w:tcBorders>
            <w:shd w:val="clear" w:color="000000" w:fill="FFFFFF"/>
            <w:noWrap/>
            <w:vAlign w:val="center"/>
            <w:hideMark/>
          </w:tcPr>
          <w:p w14:paraId="4F9E7EE6"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9" w:type="pct"/>
            <w:tcBorders>
              <w:top w:val="single" w:sz="4" w:space="0" w:color="293F5B"/>
              <w:left w:val="nil"/>
              <w:bottom w:val="nil"/>
              <w:right w:val="nil"/>
            </w:tcBorders>
            <w:shd w:val="clear" w:color="000000" w:fill="FFFFFF"/>
            <w:noWrap/>
            <w:vAlign w:val="center"/>
            <w:hideMark/>
          </w:tcPr>
          <w:p w14:paraId="0E772EED"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Total</w:t>
            </w:r>
          </w:p>
        </w:tc>
      </w:tr>
      <w:tr w:rsidR="002C4687" w:rsidRPr="00954D98" w14:paraId="79DE4602" w14:textId="77777777" w:rsidTr="000121FF">
        <w:trPr>
          <w:trHeight w:hRule="exact" w:val="225"/>
        </w:trPr>
        <w:tc>
          <w:tcPr>
            <w:tcW w:w="2254" w:type="pct"/>
            <w:tcBorders>
              <w:top w:val="nil"/>
              <w:left w:val="nil"/>
              <w:bottom w:val="nil"/>
              <w:right w:val="nil"/>
            </w:tcBorders>
            <w:shd w:val="clear" w:color="000000" w:fill="FFFFFF"/>
            <w:noWrap/>
            <w:vAlign w:val="center"/>
            <w:hideMark/>
          </w:tcPr>
          <w:p w14:paraId="4D545DD8"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1" w:type="pct"/>
            <w:tcBorders>
              <w:top w:val="nil"/>
              <w:left w:val="nil"/>
              <w:bottom w:val="single" w:sz="4" w:space="0" w:color="293F5B"/>
              <w:right w:val="nil"/>
            </w:tcBorders>
            <w:shd w:val="clear" w:color="000000" w:fill="E6F2FF"/>
            <w:noWrap/>
            <w:vAlign w:val="center"/>
            <w:hideMark/>
          </w:tcPr>
          <w:p w14:paraId="38A0F83E"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31" w:type="pct"/>
            <w:tcBorders>
              <w:top w:val="nil"/>
              <w:left w:val="nil"/>
              <w:bottom w:val="single" w:sz="4" w:space="0" w:color="293F5B"/>
              <w:right w:val="nil"/>
            </w:tcBorders>
            <w:shd w:val="clear" w:color="000000" w:fill="FFFFFF"/>
            <w:noWrap/>
            <w:vAlign w:val="center"/>
            <w:hideMark/>
          </w:tcPr>
          <w:p w14:paraId="12603506"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31" w:type="pct"/>
            <w:tcBorders>
              <w:top w:val="nil"/>
              <w:left w:val="nil"/>
              <w:bottom w:val="single" w:sz="4" w:space="0" w:color="293F5B"/>
              <w:right w:val="nil"/>
            </w:tcBorders>
            <w:shd w:val="clear" w:color="000000" w:fill="FFFFFF"/>
            <w:noWrap/>
            <w:vAlign w:val="center"/>
            <w:hideMark/>
          </w:tcPr>
          <w:p w14:paraId="0FDEDA22"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531" w:type="pct"/>
            <w:tcBorders>
              <w:top w:val="nil"/>
              <w:left w:val="nil"/>
              <w:bottom w:val="single" w:sz="4" w:space="0" w:color="293F5B"/>
              <w:right w:val="nil"/>
            </w:tcBorders>
            <w:shd w:val="clear" w:color="000000" w:fill="FFFFFF"/>
            <w:noWrap/>
            <w:vAlign w:val="center"/>
            <w:hideMark/>
          </w:tcPr>
          <w:p w14:paraId="7363119B"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$m</w:t>
            </w:r>
          </w:p>
        </w:tc>
        <w:tc>
          <w:tcPr>
            <w:tcW w:w="81" w:type="pct"/>
            <w:tcBorders>
              <w:top w:val="nil"/>
              <w:left w:val="nil"/>
              <w:bottom w:val="nil"/>
              <w:right w:val="nil"/>
            </w:tcBorders>
            <w:shd w:val="clear" w:color="000000" w:fill="FFFFFF"/>
            <w:noWrap/>
            <w:vAlign w:val="center"/>
            <w:hideMark/>
          </w:tcPr>
          <w:p w14:paraId="3AA75D8C"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9" w:type="pct"/>
            <w:tcBorders>
              <w:top w:val="nil"/>
              <w:left w:val="nil"/>
              <w:bottom w:val="single" w:sz="4" w:space="0" w:color="293F5B"/>
              <w:right w:val="nil"/>
            </w:tcBorders>
            <w:shd w:val="clear" w:color="000000" w:fill="FFFFFF"/>
            <w:noWrap/>
            <w:vAlign w:val="center"/>
            <w:hideMark/>
          </w:tcPr>
          <w:p w14:paraId="41BC8F9D"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$m</w:t>
            </w:r>
          </w:p>
        </w:tc>
      </w:tr>
      <w:tr w:rsidR="000121FF" w:rsidRPr="00954D98" w14:paraId="527533DB" w14:textId="77777777" w:rsidTr="000121FF">
        <w:trPr>
          <w:trHeight w:hRule="exact" w:val="225"/>
        </w:trPr>
        <w:tc>
          <w:tcPr>
            <w:tcW w:w="2254" w:type="pct"/>
            <w:tcBorders>
              <w:top w:val="nil"/>
              <w:left w:val="nil"/>
              <w:bottom w:val="nil"/>
              <w:right w:val="nil"/>
            </w:tcBorders>
            <w:shd w:val="clear" w:color="000000" w:fill="FFFFFF"/>
            <w:noWrap/>
            <w:vAlign w:val="center"/>
            <w:hideMark/>
          </w:tcPr>
          <w:p w14:paraId="5F30C1F8"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2025-26 Budget net capital investment</w:t>
            </w:r>
          </w:p>
        </w:tc>
        <w:tc>
          <w:tcPr>
            <w:tcW w:w="531" w:type="pct"/>
            <w:tcBorders>
              <w:top w:val="single" w:sz="4" w:space="0" w:color="auto"/>
              <w:left w:val="nil"/>
              <w:bottom w:val="nil"/>
              <w:right w:val="nil"/>
            </w:tcBorders>
            <w:shd w:val="clear" w:color="000000" w:fill="E6F2FF"/>
            <w:noWrap/>
            <w:vAlign w:val="center"/>
            <w:hideMark/>
          </w:tcPr>
          <w:p w14:paraId="6C8E420C"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8,771</w:t>
            </w:r>
          </w:p>
        </w:tc>
        <w:tc>
          <w:tcPr>
            <w:tcW w:w="531" w:type="pct"/>
            <w:tcBorders>
              <w:top w:val="single" w:sz="4" w:space="0" w:color="auto"/>
              <w:left w:val="nil"/>
              <w:bottom w:val="nil"/>
              <w:right w:val="nil"/>
            </w:tcBorders>
            <w:shd w:val="clear" w:color="000000" w:fill="FFFFFF"/>
            <w:noWrap/>
            <w:vAlign w:val="center"/>
            <w:hideMark/>
          </w:tcPr>
          <w:p w14:paraId="2888C956"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9,140</w:t>
            </w:r>
          </w:p>
        </w:tc>
        <w:tc>
          <w:tcPr>
            <w:tcW w:w="531" w:type="pct"/>
            <w:tcBorders>
              <w:top w:val="single" w:sz="4" w:space="0" w:color="auto"/>
              <w:left w:val="nil"/>
              <w:bottom w:val="nil"/>
              <w:right w:val="nil"/>
            </w:tcBorders>
            <w:shd w:val="clear" w:color="000000" w:fill="FFFFFF"/>
            <w:noWrap/>
            <w:vAlign w:val="center"/>
            <w:hideMark/>
          </w:tcPr>
          <w:p w14:paraId="22A0AF34"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12,025</w:t>
            </w:r>
          </w:p>
        </w:tc>
        <w:tc>
          <w:tcPr>
            <w:tcW w:w="531" w:type="pct"/>
            <w:tcBorders>
              <w:top w:val="single" w:sz="4" w:space="0" w:color="auto"/>
              <w:left w:val="nil"/>
              <w:bottom w:val="nil"/>
              <w:right w:val="nil"/>
            </w:tcBorders>
            <w:shd w:val="clear" w:color="000000" w:fill="FFFFFF"/>
            <w:noWrap/>
            <w:vAlign w:val="center"/>
            <w:hideMark/>
          </w:tcPr>
          <w:p w14:paraId="096E11E5"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10,196</w:t>
            </w:r>
          </w:p>
        </w:tc>
        <w:tc>
          <w:tcPr>
            <w:tcW w:w="81" w:type="pct"/>
            <w:tcBorders>
              <w:top w:val="nil"/>
              <w:left w:val="nil"/>
              <w:bottom w:val="nil"/>
              <w:right w:val="nil"/>
            </w:tcBorders>
            <w:shd w:val="clear" w:color="000000" w:fill="FFFFFF"/>
            <w:noWrap/>
            <w:vAlign w:val="center"/>
            <w:hideMark/>
          </w:tcPr>
          <w:p w14:paraId="5EB133EA"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9" w:type="pct"/>
            <w:tcBorders>
              <w:top w:val="nil"/>
              <w:left w:val="nil"/>
              <w:bottom w:val="nil"/>
              <w:right w:val="nil"/>
            </w:tcBorders>
            <w:shd w:val="clear" w:color="000000" w:fill="FFFFFF"/>
            <w:noWrap/>
            <w:vAlign w:val="center"/>
            <w:hideMark/>
          </w:tcPr>
          <w:p w14:paraId="4F217AEA" w14:textId="77777777" w:rsidR="000121FF" w:rsidRPr="00954D98" w:rsidRDefault="000121FF" w:rsidP="000121FF">
            <w:pPr>
              <w:spacing w:before="0" w:after="0" w:line="240" w:lineRule="auto"/>
              <w:jc w:val="right"/>
              <w:rPr>
                <w:rFonts w:ascii="Arial" w:hAnsi="Arial" w:cs="Arial"/>
                <w:b/>
                <w:bCs/>
                <w:sz w:val="16"/>
                <w:szCs w:val="16"/>
              </w:rPr>
            </w:pPr>
            <w:r w:rsidRPr="00954D98">
              <w:rPr>
                <w:rFonts w:ascii="Arial" w:hAnsi="Arial" w:cs="Arial"/>
                <w:b/>
                <w:bCs/>
                <w:sz w:val="16"/>
                <w:szCs w:val="16"/>
              </w:rPr>
              <w:t>40,132</w:t>
            </w:r>
          </w:p>
        </w:tc>
      </w:tr>
      <w:tr w:rsidR="000121FF" w:rsidRPr="00954D98" w14:paraId="0068AC11" w14:textId="77777777" w:rsidTr="000121FF">
        <w:trPr>
          <w:trHeight w:hRule="exact" w:val="60"/>
        </w:trPr>
        <w:tc>
          <w:tcPr>
            <w:tcW w:w="2254" w:type="pct"/>
            <w:tcBorders>
              <w:top w:val="nil"/>
              <w:left w:val="nil"/>
              <w:bottom w:val="nil"/>
              <w:right w:val="nil"/>
            </w:tcBorders>
            <w:shd w:val="clear" w:color="000000" w:fill="FFFFFF"/>
            <w:noWrap/>
            <w:vAlign w:val="center"/>
            <w:hideMark/>
          </w:tcPr>
          <w:p w14:paraId="75533205"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1" w:type="pct"/>
            <w:tcBorders>
              <w:top w:val="nil"/>
              <w:left w:val="nil"/>
              <w:bottom w:val="nil"/>
              <w:right w:val="nil"/>
            </w:tcBorders>
            <w:shd w:val="clear" w:color="000000" w:fill="E6F2FF"/>
            <w:noWrap/>
            <w:vAlign w:val="center"/>
            <w:hideMark/>
          </w:tcPr>
          <w:p w14:paraId="13B2E560"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1" w:type="pct"/>
            <w:tcBorders>
              <w:top w:val="nil"/>
              <w:left w:val="nil"/>
              <w:bottom w:val="nil"/>
              <w:right w:val="nil"/>
            </w:tcBorders>
            <w:shd w:val="clear" w:color="000000" w:fill="FFFFFF"/>
            <w:noWrap/>
            <w:vAlign w:val="center"/>
            <w:hideMark/>
          </w:tcPr>
          <w:p w14:paraId="51165B95"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1" w:type="pct"/>
            <w:tcBorders>
              <w:top w:val="nil"/>
              <w:left w:val="nil"/>
              <w:bottom w:val="nil"/>
              <w:right w:val="nil"/>
            </w:tcBorders>
            <w:shd w:val="clear" w:color="000000" w:fill="FFFFFF"/>
            <w:noWrap/>
            <w:vAlign w:val="center"/>
            <w:hideMark/>
          </w:tcPr>
          <w:p w14:paraId="61C43673"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1" w:type="pct"/>
            <w:tcBorders>
              <w:top w:val="nil"/>
              <w:left w:val="nil"/>
              <w:bottom w:val="nil"/>
              <w:right w:val="nil"/>
            </w:tcBorders>
            <w:shd w:val="clear" w:color="000000" w:fill="FFFFFF"/>
            <w:noWrap/>
            <w:vAlign w:val="center"/>
            <w:hideMark/>
          </w:tcPr>
          <w:p w14:paraId="3F69B304"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81" w:type="pct"/>
            <w:tcBorders>
              <w:top w:val="nil"/>
              <w:left w:val="nil"/>
              <w:bottom w:val="nil"/>
              <w:right w:val="nil"/>
            </w:tcBorders>
            <w:shd w:val="clear" w:color="000000" w:fill="FFFFFF"/>
            <w:noWrap/>
            <w:vAlign w:val="center"/>
            <w:hideMark/>
          </w:tcPr>
          <w:p w14:paraId="5505871B"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9" w:type="pct"/>
            <w:tcBorders>
              <w:top w:val="nil"/>
              <w:left w:val="nil"/>
              <w:bottom w:val="nil"/>
              <w:right w:val="nil"/>
            </w:tcBorders>
            <w:shd w:val="clear" w:color="000000" w:fill="FFFFFF"/>
            <w:noWrap/>
            <w:vAlign w:val="center"/>
            <w:hideMark/>
          </w:tcPr>
          <w:p w14:paraId="501CEACD" w14:textId="77777777" w:rsidR="000121FF" w:rsidRPr="00954D98" w:rsidRDefault="000121FF" w:rsidP="000121FF">
            <w:pPr>
              <w:spacing w:before="0" w:after="0" w:line="240" w:lineRule="auto"/>
              <w:jc w:val="right"/>
              <w:rPr>
                <w:rFonts w:ascii="Arial" w:hAnsi="Arial" w:cs="Arial"/>
                <w:b/>
                <w:bCs/>
                <w:sz w:val="16"/>
                <w:szCs w:val="16"/>
              </w:rPr>
            </w:pPr>
            <w:r w:rsidRPr="00954D98">
              <w:rPr>
                <w:rFonts w:ascii="Arial" w:hAnsi="Arial" w:cs="Arial"/>
                <w:b/>
                <w:bCs/>
                <w:sz w:val="16"/>
                <w:szCs w:val="16"/>
              </w:rPr>
              <w:t> </w:t>
            </w:r>
          </w:p>
        </w:tc>
      </w:tr>
      <w:tr w:rsidR="000121FF" w:rsidRPr="00954D98" w14:paraId="12C4B094" w14:textId="77777777" w:rsidTr="000121FF">
        <w:trPr>
          <w:trHeight w:hRule="exact" w:val="60"/>
        </w:trPr>
        <w:tc>
          <w:tcPr>
            <w:tcW w:w="2254" w:type="pct"/>
            <w:tcBorders>
              <w:top w:val="nil"/>
              <w:left w:val="nil"/>
              <w:bottom w:val="nil"/>
              <w:right w:val="nil"/>
            </w:tcBorders>
            <w:shd w:val="clear" w:color="000000" w:fill="FFFFFF"/>
            <w:noWrap/>
            <w:vAlign w:val="center"/>
            <w:hideMark/>
          </w:tcPr>
          <w:p w14:paraId="4A9DC9BD"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1" w:type="pct"/>
            <w:tcBorders>
              <w:top w:val="nil"/>
              <w:left w:val="nil"/>
              <w:bottom w:val="nil"/>
              <w:right w:val="nil"/>
            </w:tcBorders>
            <w:shd w:val="clear" w:color="000000" w:fill="E6F2FF"/>
            <w:noWrap/>
            <w:vAlign w:val="center"/>
            <w:hideMark/>
          </w:tcPr>
          <w:p w14:paraId="22512F08"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1" w:type="pct"/>
            <w:tcBorders>
              <w:top w:val="nil"/>
              <w:left w:val="nil"/>
              <w:bottom w:val="nil"/>
              <w:right w:val="nil"/>
            </w:tcBorders>
            <w:shd w:val="clear" w:color="000000" w:fill="FFFFFF"/>
            <w:noWrap/>
            <w:vAlign w:val="center"/>
            <w:hideMark/>
          </w:tcPr>
          <w:p w14:paraId="1F85FFD4"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1" w:type="pct"/>
            <w:tcBorders>
              <w:top w:val="nil"/>
              <w:left w:val="nil"/>
              <w:bottom w:val="nil"/>
              <w:right w:val="nil"/>
            </w:tcBorders>
            <w:shd w:val="clear" w:color="000000" w:fill="FFFFFF"/>
            <w:noWrap/>
            <w:vAlign w:val="center"/>
            <w:hideMark/>
          </w:tcPr>
          <w:p w14:paraId="72B42B26"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1" w:type="pct"/>
            <w:tcBorders>
              <w:top w:val="nil"/>
              <w:left w:val="nil"/>
              <w:bottom w:val="nil"/>
              <w:right w:val="nil"/>
            </w:tcBorders>
            <w:shd w:val="clear" w:color="000000" w:fill="FFFFFF"/>
            <w:noWrap/>
            <w:vAlign w:val="center"/>
            <w:hideMark/>
          </w:tcPr>
          <w:p w14:paraId="04E8476C"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5E089C07"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9" w:type="pct"/>
            <w:tcBorders>
              <w:top w:val="nil"/>
              <w:left w:val="nil"/>
              <w:bottom w:val="nil"/>
              <w:right w:val="nil"/>
            </w:tcBorders>
            <w:shd w:val="clear" w:color="000000" w:fill="FFFFFF"/>
            <w:noWrap/>
            <w:vAlign w:val="center"/>
            <w:hideMark/>
          </w:tcPr>
          <w:p w14:paraId="0B568F50"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 </w:t>
            </w:r>
          </w:p>
        </w:tc>
      </w:tr>
      <w:tr w:rsidR="000121FF" w:rsidRPr="00954D98" w14:paraId="45D03F09" w14:textId="77777777" w:rsidTr="000121FF">
        <w:trPr>
          <w:trHeight w:hRule="exact" w:val="230"/>
        </w:trPr>
        <w:tc>
          <w:tcPr>
            <w:tcW w:w="2254" w:type="pct"/>
            <w:tcBorders>
              <w:top w:val="nil"/>
              <w:left w:val="nil"/>
              <w:bottom w:val="nil"/>
              <w:right w:val="nil"/>
            </w:tcBorders>
            <w:shd w:val="clear" w:color="000000" w:fill="FFFFFF"/>
            <w:noWrap/>
            <w:vAlign w:val="center"/>
            <w:hideMark/>
          </w:tcPr>
          <w:p w14:paraId="1EB6E04E"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2025 PEFO net capital investment</w:t>
            </w:r>
          </w:p>
        </w:tc>
        <w:tc>
          <w:tcPr>
            <w:tcW w:w="531" w:type="pct"/>
            <w:tcBorders>
              <w:top w:val="nil"/>
              <w:left w:val="nil"/>
              <w:bottom w:val="nil"/>
              <w:right w:val="nil"/>
            </w:tcBorders>
            <w:shd w:val="clear" w:color="000000" w:fill="E6F2FF"/>
            <w:noWrap/>
            <w:vAlign w:val="center"/>
            <w:hideMark/>
          </w:tcPr>
          <w:p w14:paraId="68C7CF33"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8,774</w:t>
            </w:r>
          </w:p>
        </w:tc>
        <w:tc>
          <w:tcPr>
            <w:tcW w:w="531" w:type="pct"/>
            <w:tcBorders>
              <w:top w:val="nil"/>
              <w:left w:val="nil"/>
              <w:bottom w:val="nil"/>
              <w:right w:val="nil"/>
            </w:tcBorders>
            <w:shd w:val="clear" w:color="000000" w:fill="FFFFFF"/>
            <w:noWrap/>
            <w:vAlign w:val="center"/>
            <w:hideMark/>
          </w:tcPr>
          <w:p w14:paraId="5464C093"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9,140</w:t>
            </w:r>
          </w:p>
        </w:tc>
        <w:tc>
          <w:tcPr>
            <w:tcW w:w="531" w:type="pct"/>
            <w:tcBorders>
              <w:top w:val="nil"/>
              <w:left w:val="nil"/>
              <w:bottom w:val="nil"/>
              <w:right w:val="nil"/>
            </w:tcBorders>
            <w:shd w:val="clear" w:color="000000" w:fill="FFFFFF"/>
            <w:noWrap/>
            <w:vAlign w:val="center"/>
            <w:hideMark/>
          </w:tcPr>
          <w:p w14:paraId="383CBA91"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12,026</w:t>
            </w:r>
          </w:p>
        </w:tc>
        <w:tc>
          <w:tcPr>
            <w:tcW w:w="531" w:type="pct"/>
            <w:tcBorders>
              <w:top w:val="nil"/>
              <w:left w:val="nil"/>
              <w:bottom w:val="nil"/>
              <w:right w:val="nil"/>
            </w:tcBorders>
            <w:shd w:val="clear" w:color="000000" w:fill="FFFFFF"/>
            <w:noWrap/>
            <w:vAlign w:val="center"/>
            <w:hideMark/>
          </w:tcPr>
          <w:p w14:paraId="0CCE2D7D"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10,196</w:t>
            </w:r>
          </w:p>
        </w:tc>
        <w:tc>
          <w:tcPr>
            <w:tcW w:w="81" w:type="pct"/>
            <w:tcBorders>
              <w:top w:val="nil"/>
              <w:left w:val="nil"/>
              <w:bottom w:val="nil"/>
              <w:right w:val="nil"/>
            </w:tcBorders>
            <w:shd w:val="clear" w:color="000000" w:fill="FFFFFF"/>
            <w:noWrap/>
            <w:vAlign w:val="center"/>
            <w:hideMark/>
          </w:tcPr>
          <w:p w14:paraId="5CB3BB99"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9" w:type="pct"/>
            <w:tcBorders>
              <w:top w:val="nil"/>
              <w:left w:val="nil"/>
              <w:bottom w:val="nil"/>
              <w:right w:val="nil"/>
            </w:tcBorders>
            <w:shd w:val="clear" w:color="000000" w:fill="FFFFFF"/>
            <w:noWrap/>
            <w:vAlign w:val="center"/>
            <w:hideMark/>
          </w:tcPr>
          <w:p w14:paraId="7630B658" w14:textId="77777777" w:rsidR="000121FF" w:rsidRPr="00954D98" w:rsidRDefault="000121FF" w:rsidP="000121FF">
            <w:pPr>
              <w:spacing w:before="0" w:after="0" w:line="240" w:lineRule="auto"/>
              <w:jc w:val="right"/>
              <w:rPr>
                <w:rFonts w:ascii="Arial" w:hAnsi="Arial" w:cs="Arial"/>
                <w:b/>
                <w:bCs/>
                <w:sz w:val="16"/>
                <w:szCs w:val="16"/>
              </w:rPr>
            </w:pPr>
            <w:r w:rsidRPr="00954D98">
              <w:rPr>
                <w:rFonts w:ascii="Arial" w:hAnsi="Arial" w:cs="Arial"/>
                <w:b/>
                <w:bCs/>
                <w:sz w:val="16"/>
                <w:szCs w:val="16"/>
              </w:rPr>
              <w:t>40,136</w:t>
            </w:r>
          </w:p>
        </w:tc>
      </w:tr>
      <w:tr w:rsidR="000121FF" w:rsidRPr="00954D98" w14:paraId="2B0F67DC" w14:textId="77777777" w:rsidTr="000121FF">
        <w:trPr>
          <w:trHeight w:hRule="exact" w:val="60"/>
        </w:trPr>
        <w:tc>
          <w:tcPr>
            <w:tcW w:w="2254" w:type="pct"/>
            <w:tcBorders>
              <w:top w:val="nil"/>
              <w:left w:val="nil"/>
              <w:bottom w:val="nil"/>
              <w:right w:val="nil"/>
            </w:tcBorders>
            <w:shd w:val="clear" w:color="000000" w:fill="FFFFFF"/>
            <w:noWrap/>
            <w:vAlign w:val="center"/>
            <w:hideMark/>
          </w:tcPr>
          <w:p w14:paraId="610F19DA"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1" w:type="pct"/>
            <w:tcBorders>
              <w:top w:val="nil"/>
              <w:left w:val="nil"/>
              <w:bottom w:val="nil"/>
              <w:right w:val="nil"/>
            </w:tcBorders>
            <w:shd w:val="clear" w:color="000000" w:fill="E6F2FF"/>
            <w:noWrap/>
            <w:vAlign w:val="center"/>
            <w:hideMark/>
          </w:tcPr>
          <w:p w14:paraId="1B5FBB61"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1" w:type="pct"/>
            <w:tcBorders>
              <w:top w:val="nil"/>
              <w:left w:val="nil"/>
              <w:bottom w:val="nil"/>
              <w:right w:val="nil"/>
            </w:tcBorders>
            <w:shd w:val="clear" w:color="000000" w:fill="FFFFFF"/>
            <w:noWrap/>
            <w:vAlign w:val="center"/>
            <w:hideMark/>
          </w:tcPr>
          <w:p w14:paraId="42A44364"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1" w:type="pct"/>
            <w:tcBorders>
              <w:top w:val="nil"/>
              <w:left w:val="nil"/>
              <w:bottom w:val="nil"/>
              <w:right w:val="nil"/>
            </w:tcBorders>
            <w:shd w:val="clear" w:color="000000" w:fill="FFFFFF"/>
            <w:noWrap/>
            <w:vAlign w:val="center"/>
            <w:hideMark/>
          </w:tcPr>
          <w:p w14:paraId="32BA3449"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1" w:type="pct"/>
            <w:tcBorders>
              <w:top w:val="nil"/>
              <w:left w:val="nil"/>
              <w:bottom w:val="nil"/>
              <w:right w:val="nil"/>
            </w:tcBorders>
            <w:shd w:val="clear" w:color="000000" w:fill="FFFFFF"/>
            <w:noWrap/>
            <w:vAlign w:val="center"/>
            <w:hideMark/>
          </w:tcPr>
          <w:p w14:paraId="2C74B002"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13910E40"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9" w:type="pct"/>
            <w:tcBorders>
              <w:top w:val="nil"/>
              <w:left w:val="nil"/>
              <w:bottom w:val="nil"/>
              <w:right w:val="nil"/>
            </w:tcBorders>
            <w:shd w:val="clear" w:color="000000" w:fill="FFFFFF"/>
            <w:noWrap/>
            <w:vAlign w:val="center"/>
            <w:hideMark/>
          </w:tcPr>
          <w:p w14:paraId="3EDC78B4"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 </w:t>
            </w:r>
          </w:p>
        </w:tc>
      </w:tr>
      <w:tr w:rsidR="000121FF" w:rsidRPr="00954D98" w14:paraId="296597B4" w14:textId="77777777" w:rsidTr="000121FF">
        <w:trPr>
          <w:trHeight w:hRule="exact" w:val="225"/>
        </w:trPr>
        <w:tc>
          <w:tcPr>
            <w:tcW w:w="2254" w:type="pct"/>
            <w:tcBorders>
              <w:top w:val="nil"/>
              <w:left w:val="nil"/>
              <w:bottom w:val="nil"/>
              <w:right w:val="nil"/>
            </w:tcBorders>
            <w:shd w:val="clear" w:color="000000" w:fill="FFFFFF"/>
            <w:noWrap/>
            <w:vAlign w:val="center"/>
            <w:hideMark/>
          </w:tcPr>
          <w:p w14:paraId="09102DEE"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xml:space="preserve">Changes from 2025 PEFO to </w:t>
            </w:r>
          </w:p>
        </w:tc>
        <w:tc>
          <w:tcPr>
            <w:tcW w:w="531" w:type="pct"/>
            <w:tcBorders>
              <w:top w:val="nil"/>
              <w:left w:val="nil"/>
              <w:bottom w:val="nil"/>
              <w:right w:val="nil"/>
            </w:tcBorders>
            <w:shd w:val="clear" w:color="000000" w:fill="E6F2FF"/>
            <w:noWrap/>
            <w:vAlign w:val="center"/>
            <w:hideMark/>
          </w:tcPr>
          <w:p w14:paraId="4CBEB01E"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1" w:type="pct"/>
            <w:tcBorders>
              <w:top w:val="nil"/>
              <w:left w:val="nil"/>
              <w:bottom w:val="nil"/>
              <w:right w:val="nil"/>
            </w:tcBorders>
            <w:shd w:val="clear" w:color="000000" w:fill="FFFFFF"/>
            <w:noWrap/>
            <w:vAlign w:val="center"/>
            <w:hideMark/>
          </w:tcPr>
          <w:p w14:paraId="4A7752A1"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1" w:type="pct"/>
            <w:tcBorders>
              <w:top w:val="nil"/>
              <w:left w:val="nil"/>
              <w:bottom w:val="nil"/>
              <w:right w:val="nil"/>
            </w:tcBorders>
            <w:shd w:val="clear" w:color="000000" w:fill="FFFFFF"/>
            <w:noWrap/>
            <w:vAlign w:val="center"/>
            <w:hideMark/>
          </w:tcPr>
          <w:p w14:paraId="5EA9BB42"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1" w:type="pct"/>
            <w:tcBorders>
              <w:top w:val="nil"/>
              <w:left w:val="nil"/>
              <w:bottom w:val="nil"/>
              <w:right w:val="nil"/>
            </w:tcBorders>
            <w:shd w:val="clear" w:color="000000" w:fill="FFFFFF"/>
            <w:noWrap/>
            <w:vAlign w:val="center"/>
            <w:hideMark/>
          </w:tcPr>
          <w:p w14:paraId="3081CBD6"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7E75AA0E"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9" w:type="pct"/>
            <w:tcBorders>
              <w:top w:val="nil"/>
              <w:left w:val="nil"/>
              <w:bottom w:val="nil"/>
              <w:right w:val="nil"/>
            </w:tcBorders>
            <w:shd w:val="clear" w:color="000000" w:fill="FFFFFF"/>
            <w:noWrap/>
            <w:vAlign w:val="center"/>
            <w:hideMark/>
          </w:tcPr>
          <w:p w14:paraId="0309C8B6"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 </w:t>
            </w:r>
          </w:p>
        </w:tc>
      </w:tr>
      <w:tr w:rsidR="000121FF" w:rsidRPr="00954D98" w14:paraId="5721971F" w14:textId="77777777" w:rsidTr="000121FF">
        <w:trPr>
          <w:trHeight w:hRule="exact" w:val="225"/>
        </w:trPr>
        <w:tc>
          <w:tcPr>
            <w:tcW w:w="2254" w:type="pct"/>
            <w:tcBorders>
              <w:top w:val="nil"/>
              <w:left w:val="nil"/>
              <w:bottom w:val="nil"/>
              <w:right w:val="nil"/>
            </w:tcBorders>
            <w:shd w:val="clear" w:color="000000" w:fill="FFFFFF"/>
            <w:noWrap/>
            <w:vAlign w:val="center"/>
            <w:hideMark/>
          </w:tcPr>
          <w:p w14:paraId="3979A6F7" w14:textId="77777777" w:rsidR="000121FF" w:rsidRPr="00954D98" w:rsidRDefault="000121FF" w:rsidP="000121FF">
            <w:pPr>
              <w:spacing w:before="0" w:after="0" w:line="240" w:lineRule="auto"/>
              <w:ind w:firstLineChars="100" w:firstLine="161"/>
              <w:rPr>
                <w:rFonts w:ascii="Arial" w:hAnsi="Arial" w:cs="Arial"/>
                <w:b/>
                <w:bCs/>
                <w:color w:val="FFFF00"/>
                <w:sz w:val="16"/>
                <w:szCs w:val="16"/>
              </w:rPr>
            </w:pPr>
            <w:r w:rsidRPr="00954D98">
              <w:rPr>
                <w:rFonts w:ascii="Arial" w:hAnsi="Arial" w:cs="Arial"/>
                <w:b/>
                <w:bCs/>
                <w:sz w:val="16"/>
                <w:szCs w:val="16"/>
              </w:rPr>
              <w:t>2025-26 MYEFO</w:t>
            </w:r>
          </w:p>
        </w:tc>
        <w:tc>
          <w:tcPr>
            <w:tcW w:w="531" w:type="pct"/>
            <w:tcBorders>
              <w:top w:val="nil"/>
              <w:left w:val="nil"/>
              <w:bottom w:val="nil"/>
              <w:right w:val="nil"/>
            </w:tcBorders>
            <w:shd w:val="clear" w:color="000000" w:fill="E6F2FF"/>
            <w:noWrap/>
            <w:vAlign w:val="center"/>
            <w:hideMark/>
          </w:tcPr>
          <w:p w14:paraId="0B0722A8" w14:textId="77777777" w:rsidR="000121FF" w:rsidRPr="00954D98" w:rsidRDefault="000121FF" w:rsidP="000121FF">
            <w:pPr>
              <w:spacing w:before="0" w:after="0" w:line="240" w:lineRule="auto"/>
              <w:rPr>
                <w:rFonts w:ascii="Arial" w:hAnsi="Arial" w:cs="Arial"/>
                <w:i/>
                <w:iCs/>
                <w:color w:val="FFFF00"/>
                <w:sz w:val="16"/>
                <w:szCs w:val="16"/>
              </w:rPr>
            </w:pPr>
            <w:r w:rsidRPr="00954D98">
              <w:rPr>
                <w:rFonts w:ascii="Arial" w:hAnsi="Arial" w:cs="Arial"/>
                <w:i/>
                <w:iCs/>
                <w:sz w:val="16"/>
                <w:szCs w:val="16"/>
              </w:rPr>
              <w:t> </w:t>
            </w:r>
          </w:p>
        </w:tc>
        <w:tc>
          <w:tcPr>
            <w:tcW w:w="531" w:type="pct"/>
            <w:tcBorders>
              <w:top w:val="nil"/>
              <w:left w:val="nil"/>
              <w:bottom w:val="nil"/>
              <w:right w:val="nil"/>
            </w:tcBorders>
            <w:shd w:val="clear" w:color="000000" w:fill="FFFFFF"/>
            <w:noWrap/>
            <w:vAlign w:val="center"/>
            <w:hideMark/>
          </w:tcPr>
          <w:p w14:paraId="2BC9411A" w14:textId="77777777" w:rsidR="000121FF" w:rsidRPr="00954D98" w:rsidRDefault="000121FF" w:rsidP="000121FF">
            <w:pPr>
              <w:spacing w:before="0" w:after="0" w:line="240" w:lineRule="auto"/>
              <w:rPr>
                <w:rFonts w:ascii="Arial" w:hAnsi="Arial" w:cs="Arial"/>
                <w:i/>
                <w:iCs/>
                <w:color w:val="FFFF00"/>
                <w:sz w:val="16"/>
                <w:szCs w:val="16"/>
              </w:rPr>
            </w:pPr>
            <w:r w:rsidRPr="00954D98">
              <w:rPr>
                <w:rFonts w:ascii="Arial" w:hAnsi="Arial" w:cs="Arial"/>
                <w:i/>
                <w:iCs/>
                <w:sz w:val="16"/>
                <w:szCs w:val="16"/>
              </w:rPr>
              <w:t> </w:t>
            </w:r>
          </w:p>
        </w:tc>
        <w:tc>
          <w:tcPr>
            <w:tcW w:w="531" w:type="pct"/>
            <w:tcBorders>
              <w:top w:val="nil"/>
              <w:left w:val="nil"/>
              <w:bottom w:val="nil"/>
              <w:right w:val="nil"/>
            </w:tcBorders>
            <w:shd w:val="clear" w:color="000000" w:fill="FFFFFF"/>
            <w:noWrap/>
            <w:vAlign w:val="center"/>
            <w:hideMark/>
          </w:tcPr>
          <w:p w14:paraId="62D35384" w14:textId="77777777" w:rsidR="000121FF" w:rsidRPr="00954D98" w:rsidRDefault="000121FF" w:rsidP="000121FF">
            <w:pPr>
              <w:spacing w:before="0" w:after="0" w:line="240" w:lineRule="auto"/>
              <w:rPr>
                <w:rFonts w:ascii="Arial" w:hAnsi="Arial" w:cs="Arial"/>
                <w:i/>
                <w:iCs/>
                <w:color w:val="FFFF00"/>
                <w:sz w:val="16"/>
                <w:szCs w:val="16"/>
              </w:rPr>
            </w:pPr>
            <w:r w:rsidRPr="00954D98">
              <w:rPr>
                <w:rFonts w:ascii="Arial" w:hAnsi="Arial" w:cs="Arial"/>
                <w:i/>
                <w:iCs/>
                <w:sz w:val="16"/>
                <w:szCs w:val="16"/>
              </w:rPr>
              <w:t> </w:t>
            </w:r>
          </w:p>
        </w:tc>
        <w:tc>
          <w:tcPr>
            <w:tcW w:w="531" w:type="pct"/>
            <w:tcBorders>
              <w:top w:val="nil"/>
              <w:left w:val="nil"/>
              <w:bottom w:val="nil"/>
              <w:right w:val="nil"/>
            </w:tcBorders>
            <w:shd w:val="clear" w:color="000000" w:fill="FFFFFF"/>
            <w:noWrap/>
            <w:vAlign w:val="center"/>
            <w:hideMark/>
          </w:tcPr>
          <w:p w14:paraId="6037DD52" w14:textId="77777777" w:rsidR="000121FF" w:rsidRPr="00954D98" w:rsidRDefault="000121FF" w:rsidP="000121FF">
            <w:pPr>
              <w:spacing w:before="0" w:after="0" w:line="240" w:lineRule="auto"/>
              <w:rPr>
                <w:rFonts w:ascii="Arial" w:hAnsi="Arial" w:cs="Arial"/>
                <w:i/>
                <w:iCs/>
                <w:color w:val="FFFF00"/>
                <w:sz w:val="16"/>
                <w:szCs w:val="16"/>
              </w:rPr>
            </w:pPr>
            <w:r w:rsidRPr="00954D98">
              <w:rPr>
                <w:rFonts w:ascii="Arial" w:hAnsi="Arial" w:cs="Arial"/>
                <w:i/>
                <w:iCs/>
                <w:sz w:val="16"/>
                <w:szCs w:val="16"/>
              </w:rPr>
              <w:t> </w:t>
            </w:r>
          </w:p>
        </w:tc>
        <w:tc>
          <w:tcPr>
            <w:tcW w:w="81" w:type="pct"/>
            <w:tcBorders>
              <w:top w:val="nil"/>
              <w:left w:val="nil"/>
              <w:bottom w:val="nil"/>
              <w:right w:val="nil"/>
            </w:tcBorders>
            <w:shd w:val="clear" w:color="000000" w:fill="FFFFFF"/>
            <w:noWrap/>
            <w:vAlign w:val="center"/>
            <w:hideMark/>
          </w:tcPr>
          <w:p w14:paraId="5A3281FB" w14:textId="77777777" w:rsidR="000121FF" w:rsidRPr="00954D98" w:rsidRDefault="000121FF" w:rsidP="000121FF">
            <w:pPr>
              <w:spacing w:before="0" w:after="0" w:line="240" w:lineRule="auto"/>
              <w:rPr>
                <w:rFonts w:ascii="Arial" w:hAnsi="Arial" w:cs="Arial"/>
                <w:i/>
                <w:iCs/>
                <w:color w:val="FFFF00"/>
                <w:sz w:val="16"/>
                <w:szCs w:val="16"/>
              </w:rPr>
            </w:pPr>
            <w:r w:rsidRPr="00954D98">
              <w:rPr>
                <w:rFonts w:ascii="Arial" w:hAnsi="Arial" w:cs="Arial"/>
                <w:i/>
                <w:iCs/>
                <w:sz w:val="16"/>
                <w:szCs w:val="16"/>
              </w:rPr>
              <w:t> </w:t>
            </w:r>
          </w:p>
        </w:tc>
        <w:tc>
          <w:tcPr>
            <w:tcW w:w="539" w:type="pct"/>
            <w:tcBorders>
              <w:top w:val="nil"/>
              <w:left w:val="nil"/>
              <w:bottom w:val="nil"/>
              <w:right w:val="nil"/>
            </w:tcBorders>
            <w:shd w:val="clear" w:color="000000" w:fill="FFFFFF"/>
            <w:noWrap/>
            <w:vAlign w:val="center"/>
            <w:hideMark/>
          </w:tcPr>
          <w:p w14:paraId="5EB1694D"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 </w:t>
            </w:r>
          </w:p>
        </w:tc>
      </w:tr>
      <w:tr w:rsidR="000121FF" w:rsidRPr="00954D98" w14:paraId="79D479DC" w14:textId="77777777" w:rsidTr="000121FF">
        <w:trPr>
          <w:trHeight w:hRule="exact" w:val="225"/>
        </w:trPr>
        <w:tc>
          <w:tcPr>
            <w:tcW w:w="2254" w:type="pct"/>
            <w:tcBorders>
              <w:top w:val="nil"/>
              <w:left w:val="nil"/>
              <w:bottom w:val="nil"/>
              <w:right w:val="nil"/>
            </w:tcBorders>
            <w:shd w:val="clear" w:color="000000" w:fill="FFFFFF"/>
            <w:noWrap/>
            <w:vAlign w:val="center"/>
            <w:hideMark/>
          </w:tcPr>
          <w:p w14:paraId="3EAF6C89"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Effect of policy decisions(a)</w:t>
            </w:r>
          </w:p>
        </w:tc>
        <w:tc>
          <w:tcPr>
            <w:tcW w:w="531" w:type="pct"/>
            <w:tcBorders>
              <w:top w:val="nil"/>
              <w:left w:val="nil"/>
              <w:bottom w:val="nil"/>
              <w:right w:val="nil"/>
            </w:tcBorders>
            <w:shd w:val="clear" w:color="000000" w:fill="E6F2FF"/>
            <w:noWrap/>
            <w:vAlign w:val="center"/>
            <w:hideMark/>
          </w:tcPr>
          <w:p w14:paraId="6AE3894D"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609</w:t>
            </w:r>
          </w:p>
        </w:tc>
        <w:tc>
          <w:tcPr>
            <w:tcW w:w="531" w:type="pct"/>
            <w:tcBorders>
              <w:top w:val="nil"/>
              <w:left w:val="nil"/>
              <w:bottom w:val="nil"/>
              <w:right w:val="nil"/>
            </w:tcBorders>
            <w:shd w:val="clear" w:color="000000" w:fill="FFFFFF"/>
            <w:noWrap/>
            <w:vAlign w:val="center"/>
            <w:hideMark/>
          </w:tcPr>
          <w:p w14:paraId="36173E64"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795</w:t>
            </w:r>
          </w:p>
        </w:tc>
        <w:tc>
          <w:tcPr>
            <w:tcW w:w="531" w:type="pct"/>
            <w:tcBorders>
              <w:top w:val="nil"/>
              <w:left w:val="nil"/>
              <w:bottom w:val="nil"/>
              <w:right w:val="nil"/>
            </w:tcBorders>
            <w:shd w:val="clear" w:color="000000" w:fill="FFFFFF"/>
            <w:noWrap/>
            <w:vAlign w:val="center"/>
            <w:hideMark/>
          </w:tcPr>
          <w:p w14:paraId="34C16010"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366</w:t>
            </w:r>
          </w:p>
        </w:tc>
        <w:tc>
          <w:tcPr>
            <w:tcW w:w="531" w:type="pct"/>
            <w:tcBorders>
              <w:top w:val="nil"/>
              <w:left w:val="nil"/>
              <w:bottom w:val="nil"/>
              <w:right w:val="nil"/>
            </w:tcBorders>
            <w:shd w:val="clear" w:color="000000" w:fill="FFFFFF"/>
            <w:noWrap/>
            <w:vAlign w:val="center"/>
            <w:hideMark/>
          </w:tcPr>
          <w:p w14:paraId="798F2891"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103</w:t>
            </w:r>
          </w:p>
        </w:tc>
        <w:tc>
          <w:tcPr>
            <w:tcW w:w="81" w:type="pct"/>
            <w:tcBorders>
              <w:top w:val="nil"/>
              <w:left w:val="nil"/>
              <w:bottom w:val="nil"/>
              <w:right w:val="nil"/>
            </w:tcBorders>
            <w:shd w:val="clear" w:color="000000" w:fill="FFFFFF"/>
            <w:noWrap/>
            <w:vAlign w:val="center"/>
            <w:hideMark/>
          </w:tcPr>
          <w:p w14:paraId="04142BF4"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9" w:type="pct"/>
            <w:tcBorders>
              <w:top w:val="nil"/>
              <w:left w:val="nil"/>
              <w:bottom w:val="nil"/>
              <w:right w:val="nil"/>
            </w:tcBorders>
            <w:shd w:val="clear" w:color="000000" w:fill="FFFFFF"/>
            <w:noWrap/>
            <w:vAlign w:val="center"/>
            <w:hideMark/>
          </w:tcPr>
          <w:p w14:paraId="14E6EB10"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1,873</w:t>
            </w:r>
          </w:p>
        </w:tc>
      </w:tr>
      <w:tr w:rsidR="000121FF" w:rsidRPr="00954D98" w14:paraId="149674E0" w14:textId="77777777" w:rsidTr="000121FF">
        <w:trPr>
          <w:trHeight w:hRule="exact" w:val="225"/>
        </w:trPr>
        <w:tc>
          <w:tcPr>
            <w:tcW w:w="2254" w:type="pct"/>
            <w:tcBorders>
              <w:top w:val="nil"/>
              <w:left w:val="nil"/>
              <w:bottom w:val="nil"/>
              <w:right w:val="nil"/>
            </w:tcBorders>
            <w:shd w:val="clear" w:color="000000" w:fill="FFFFFF"/>
            <w:noWrap/>
            <w:vAlign w:val="center"/>
            <w:hideMark/>
          </w:tcPr>
          <w:p w14:paraId="6753DDD6"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Effect of parameter and other variations</w:t>
            </w:r>
          </w:p>
        </w:tc>
        <w:tc>
          <w:tcPr>
            <w:tcW w:w="531" w:type="pct"/>
            <w:tcBorders>
              <w:top w:val="nil"/>
              <w:left w:val="nil"/>
              <w:bottom w:val="single" w:sz="4" w:space="0" w:color="auto"/>
              <w:right w:val="nil"/>
            </w:tcBorders>
            <w:shd w:val="clear" w:color="000000" w:fill="E6F2FF"/>
            <w:noWrap/>
            <w:vAlign w:val="center"/>
            <w:hideMark/>
          </w:tcPr>
          <w:p w14:paraId="177250C2"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1,790</w:t>
            </w:r>
          </w:p>
        </w:tc>
        <w:tc>
          <w:tcPr>
            <w:tcW w:w="531" w:type="pct"/>
            <w:tcBorders>
              <w:top w:val="nil"/>
              <w:left w:val="nil"/>
              <w:bottom w:val="single" w:sz="4" w:space="0" w:color="auto"/>
              <w:right w:val="nil"/>
            </w:tcBorders>
            <w:shd w:val="clear" w:color="000000" w:fill="FFFFFF"/>
            <w:noWrap/>
            <w:vAlign w:val="center"/>
            <w:hideMark/>
          </w:tcPr>
          <w:p w14:paraId="1790D92D"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492</w:t>
            </w:r>
          </w:p>
        </w:tc>
        <w:tc>
          <w:tcPr>
            <w:tcW w:w="531" w:type="pct"/>
            <w:tcBorders>
              <w:top w:val="nil"/>
              <w:left w:val="nil"/>
              <w:bottom w:val="single" w:sz="4" w:space="0" w:color="auto"/>
              <w:right w:val="nil"/>
            </w:tcBorders>
            <w:shd w:val="clear" w:color="000000" w:fill="FFFFFF"/>
            <w:noWrap/>
            <w:vAlign w:val="center"/>
            <w:hideMark/>
          </w:tcPr>
          <w:p w14:paraId="2AE85DC1"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-2,413</w:t>
            </w:r>
          </w:p>
        </w:tc>
        <w:tc>
          <w:tcPr>
            <w:tcW w:w="531" w:type="pct"/>
            <w:tcBorders>
              <w:top w:val="nil"/>
              <w:left w:val="nil"/>
              <w:bottom w:val="single" w:sz="4" w:space="0" w:color="auto"/>
              <w:right w:val="nil"/>
            </w:tcBorders>
            <w:shd w:val="clear" w:color="000000" w:fill="FFFFFF"/>
            <w:noWrap/>
            <w:vAlign w:val="center"/>
            <w:hideMark/>
          </w:tcPr>
          <w:p w14:paraId="2F6176C0"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77</w:t>
            </w:r>
          </w:p>
        </w:tc>
        <w:tc>
          <w:tcPr>
            <w:tcW w:w="81" w:type="pct"/>
            <w:tcBorders>
              <w:top w:val="nil"/>
              <w:left w:val="nil"/>
              <w:bottom w:val="nil"/>
              <w:right w:val="nil"/>
            </w:tcBorders>
            <w:shd w:val="clear" w:color="000000" w:fill="FFFFFF"/>
            <w:noWrap/>
            <w:vAlign w:val="center"/>
            <w:hideMark/>
          </w:tcPr>
          <w:p w14:paraId="49158216" w14:textId="77777777" w:rsidR="000121FF" w:rsidRPr="00954D98" w:rsidRDefault="000121FF" w:rsidP="000121FF">
            <w:pPr>
              <w:spacing w:before="0" w:after="0" w:line="240" w:lineRule="auto"/>
              <w:jc w:val="right"/>
              <w:rPr>
                <w:rFonts w:ascii="Arial" w:hAnsi="Arial" w:cs="Arial"/>
                <w:color w:val="FFFF00"/>
                <w:sz w:val="16"/>
                <w:szCs w:val="16"/>
              </w:rPr>
            </w:pPr>
            <w:r w:rsidRPr="00954D98">
              <w:rPr>
                <w:rFonts w:ascii="Arial" w:hAnsi="Arial" w:cs="Arial"/>
                <w:sz w:val="16"/>
                <w:szCs w:val="16"/>
              </w:rPr>
              <w:t> </w:t>
            </w:r>
          </w:p>
        </w:tc>
        <w:tc>
          <w:tcPr>
            <w:tcW w:w="539" w:type="pct"/>
            <w:tcBorders>
              <w:top w:val="nil"/>
              <w:left w:val="nil"/>
              <w:bottom w:val="nil"/>
              <w:right w:val="nil"/>
            </w:tcBorders>
            <w:shd w:val="clear" w:color="000000" w:fill="FFFFFF"/>
            <w:noWrap/>
            <w:vAlign w:val="center"/>
            <w:hideMark/>
          </w:tcPr>
          <w:p w14:paraId="592C53C4"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-54</w:t>
            </w:r>
          </w:p>
        </w:tc>
      </w:tr>
      <w:tr w:rsidR="002C4687" w:rsidRPr="00954D98" w14:paraId="3E5FA231" w14:textId="77777777" w:rsidTr="000121FF">
        <w:trPr>
          <w:trHeight w:hRule="exact" w:val="225"/>
        </w:trPr>
        <w:tc>
          <w:tcPr>
            <w:tcW w:w="2254" w:type="pct"/>
            <w:tcBorders>
              <w:top w:val="nil"/>
              <w:left w:val="nil"/>
              <w:bottom w:val="nil"/>
              <w:right w:val="nil"/>
            </w:tcBorders>
            <w:shd w:val="clear" w:color="000000" w:fill="FFFFFF"/>
            <w:noWrap/>
            <w:vAlign w:val="center"/>
            <w:hideMark/>
          </w:tcPr>
          <w:p w14:paraId="6B0E73B7"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Total variations</w:t>
            </w:r>
          </w:p>
        </w:tc>
        <w:tc>
          <w:tcPr>
            <w:tcW w:w="531" w:type="pct"/>
            <w:tcBorders>
              <w:top w:val="single" w:sz="4" w:space="0" w:color="293F5B"/>
              <w:left w:val="nil"/>
              <w:bottom w:val="single" w:sz="4" w:space="0" w:color="293F5B"/>
              <w:right w:val="nil"/>
            </w:tcBorders>
            <w:shd w:val="clear" w:color="000000" w:fill="E6F2FF"/>
            <w:noWrap/>
            <w:vAlign w:val="center"/>
            <w:hideMark/>
          </w:tcPr>
          <w:p w14:paraId="247A121E"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2,399</w:t>
            </w:r>
          </w:p>
        </w:tc>
        <w:tc>
          <w:tcPr>
            <w:tcW w:w="531" w:type="pct"/>
            <w:tcBorders>
              <w:top w:val="single" w:sz="4" w:space="0" w:color="293F5B"/>
              <w:left w:val="nil"/>
              <w:bottom w:val="single" w:sz="4" w:space="0" w:color="293F5B"/>
              <w:right w:val="nil"/>
            </w:tcBorders>
            <w:shd w:val="clear" w:color="000000" w:fill="FFFFFF"/>
            <w:noWrap/>
            <w:vAlign w:val="center"/>
            <w:hideMark/>
          </w:tcPr>
          <w:p w14:paraId="7A15CC41"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1,287</w:t>
            </w:r>
          </w:p>
        </w:tc>
        <w:tc>
          <w:tcPr>
            <w:tcW w:w="531" w:type="pct"/>
            <w:tcBorders>
              <w:top w:val="single" w:sz="4" w:space="0" w:color="293F5B"/>
              <w:left w:val="nil"/>
              <w:bottom w:val="single" w:sz="4" w:space="0" w:color="293F5B"/>
              <w:right w:val="nil"/>
            </w:tcBorders>
            <w:shd w:val="clear" w:color="000000" w:fill="FFFFFF"/>
            <w:noWrap/>
            <w:vAlign w:val="center"/>
            <w:hideMark/>
          </w:tcPr>
          <w:p w14:paraId="3149E522"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-2,046</w:t>
            </w:r>
          </w:p>
        </w:tc>
        <w:tc>
          <w:tcPr>
            <w:tcW w:w="531" w:type="pct"/>
            <w:tcBorders>
              <w:top w:val="single" w:sz="4" w:space="0" w:color="293F5B"/>
              <w:left w:val="nil"/>
              <w:bottom w:val="single" w:sz="4" w:space="0" w:color="293F5B"/>
              <w:right w:val="nil"/>
            </w:tcBorders>
            <w:shd w:val="clear" w:color="000000" w:fill="FFFFFF"/>
            <w:noWrap/>
            <w:vAlign w:val="center"/>
            <w:hideMark/>
          </w:tcPr>
          <w:p w14:paraId="7AE80537"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180</w:t>
            </w:r>
          </w:p>
        </w:tc>
        <w:tc>
          <w:tcPr>
            <w:tcW w:w="81" w:type="pct"/>
            <w:tcBorders>
              <w:top w:val="nil"/>
              <w:left w:val="nil"/>
              <w:bottom w:val="nil"/>
              <w:right w:val="nil"/>
            </w:tcBorders>
            <w:shd w:val="clear" w:color="000000" w:fill="FFFFFF"/>
            <w:noWrap/>
            <w:vAlign w:val="center"/>
            <w:hideMark/>
          </w:tcPr>
          <w:p w14:paraId="321D1434"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9" w:type="pct"/>
            <w:tcBorders>
              <w:top w:val="single" w:sz="4" w:space="0" w:color="293F5B"/>
              <w:left w:val="nil"/>
              <w:bottom w:val="single" w:sz="4" w:space="0" w:color="293F5B"/>
              <w:right w:val="nil"/>
            </w:tcBorders>
            <w:shd w:val="clear" w:color="000000" w:fill="FFFFFF"/>
            <w:noWrap/>
            <w:vAlign w:val="center"/>
            <w:hideMark/>
          </w:tcPr>
          <w:p w14:paraId="209CE73C" w14:textId="77777777" w:rsidR="000121FF" w:rsidRPr="00954D98" w:rsidRDefault="000121FF" w:rsidP="000121FF">
            <w:pPr>
              <w:spacing w:before="0" w:after="0" w:line="240" w:lineRule="auto"/>
              <w:jc w:val="right"/>
              <w:rPr>
                <w:rFonts w:ascii="Arial" w:hAnsi="Arial" w:cs="Arial"/>
                <w:b/>
                <w:bCs/>
                <w:sz w:val="16"/>
                <w:szCs w:val="16"/>
              </w:rPr>
            </w:pPr>
            <w:r w:rsidRPr="00954D98">
              <w:rPr>
                <w:rFonts w:ascii="Arial" w:hAnsi="Arial" w:cs="Arial"/>
                <w:b/>
                <w:bCs/>
                <w:sz w:val="16"/>
                <w:szCs w:val="16"/>
              </w:rPr>
              <w:t>1,819</w:t>
            </w:r>
          </w:p>
        </w:tc>
      </w:tr>
      <w:tr w:rsidR="000121FF" w:rsidRPr="00954D98" w14:paraId="2708067A" w14:textId="77777777" w:rsidTr="000121FF">
        <w:trPr>
          <w:trHeight w:hRule="exact" w:val="60"/>
        </w:trPr>
        <w:tc>
          <w:tcPr>
            <w:tcW w:w="2254" w:type="pct"/>
            <w:tcBorders>
              <w:top w:val="nil"/>
              <w:left w:val="nil"/>
              <w:bottom w:val="nil"/>
              <w:right w:val="nil"/>
            </w:tcBorders>
            <w:shd w:val="clear" w:color="000000" w:fill="FFFFFF"/>
            <w:noWrap/>
            <w:vAlign w:val="center"/>
            <w:hideMark/>
          </w:tcPr>
          <w:p w14:paraId="75DE10E2"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1" w:type="pct"/>
            <w:tcBorders>
              <w:top w:val="nil"/>
              <w:left w:val="nil"/>
              <w:bottom w:val="nil"/>
              <w:right w:val="nil"/>
            </w:tcBorders>
            <w:shd w:val="clear" w:color="000000" w:fill="E6F2FF"/>
            <w:noWrap/>
            <w:vAlign w:val="center"/>
            <w:hideMark/>
          </w:tcPr>
          <w:p w14:paraId="633A9B32"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1" w:type="pct"/>
            <w:tcBorders>
              <w:top w:val="nil"/>
              <w:left w:val="nil"/>
              <w:bottom w:val="nil"/>
              <w:right w:val="nil"/>
            </w:tcBorders>
            <w:shd w:val="clear" w:color="000000" w:fill="FFFFFF"/>
            <w:noWrap/>
            <w:vAlign w:val="center"/>
            <w:hideMark/>
          </w:tcPr>
          <w:p w14:paraId="5A60B8FC"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1" w:type="pct"/>
            <w:tcBorders>
              <w:top w:val="nil"/>
              <w:left w:val="nil"/>
              <w:bottom w:val="nil"/>
              <w:right w:val="nil"/>
            </w:tcBorders>
            <w:shd w:val="clear" w:color="000000" w:fill="FFFFFF"/>
            <w:noWrap/>
            <w:vAlign w:val="center"/>
            <w:hideMark/>
          </w:tcPr>
          <w:p w14:paraId="4BA583FF"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1" w:type="pct"/>
            <w:tcBorders>
              <w:top w:val="nil"/>
              <w:left w:val="nil"/>
              <w:bottom w:val="nil"/>
              <w:right w:val="nil"/>
            </w:tcBorders>
            <w:shd w:val="clear" w:color="000000" w:fill="FFFFFF"/>
            <w:noWrap/>
            <w:vAlign w:val="center"/>
            <w:hideMark/>
          </w:tcPr>
          <w:p w14:paraId="27C5AF6C"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81" w:type="pct"/>
            <w:tcBorders>
              <w:top w:val="nil"/>
              <w:left w:val="nil"/>
              <w:bottom w:val="nil"/>
              <w:right w:val="nil"/>
            </w:tcBorders>
            <w:shd w:val="clear" w:color="000000" w:fill="FFFFFF"/>
            <w:noWrap/>
            <w:vAlign w:val="center"/>
            <w:hideMark/>
          </w:tcPr>
          <w:p w14:paraId="65E77748" w14:textId="77777777" w:rsidR="000121FF" w:rsidRPr="00954D98" w:rsidRDefault="000121FF" w:rsidP="000121FF">
            <w:pPr>
              <w:spacing w:before="0" w:after="0" w:line="240" w:lineRule="auto"/>
              <w:rPr>
                <w:rFonts w:ascii="Arial" w:hAnsi="Arial" w:cs="Arial"/>
                <w:color w:val="FFFF00"/>
                <w:sz w:val="16"/>
                <w:szCs w:val="16"/>
              </w:rPr>
            </w:pPr>
            <w:r w:rsidRPr="00954D98">
              <w:rPr>
                <w:rFonts w:ascii="Arial" w:hAnsi="Arial" w:cs="Arial"/>
                <w:sz w:val="16"/>
                <w:szCs w:val="16"/>
              </w:rPr>
              <w:t> </w:t>
            </w:r>
          </w:p>
        </w:tc>
        <w:tc>
          <w:tcPr>
            <w:tcW w:w="539" w:type="pct"/>
            <w:tcBorders>
              <w:top w:val="nil"/>
              <w:left w:val="nil"/>
              <w:bottom w:val="nil"/>
              <w:right w:val="nil"/>
            </w:tcBorders>
            <w:shd w:val="clear" w:color="000000" w:fill="FFFFFF"/>
            <w:noWrap/>
            <w:vAlign w:val="center"/>
            <w:hideMark/>
          </w:tcPr>
          <w:p w14:paraId="7BD7F612" w14:textId="77777777" w:rsidR="000121FF" w:rsidRPr="00954D98" w:rsidRDefault="000121FF" w:rsidP="000121FF">
            <w:pPr>
              <w:spacing w:before="0" w:after="0" w:line="240" w:lineRule="auto"/>
              <w:jc w:val="right"/>
              <w:rPr>
                <w:rFonts w:ascii="Arial" w:hAnsi="Arial" w:cs="Arial"/>
                <w:sz w:val="16"/>
                <w:szCs w:val="16"/>
              </w:rPr>
            </w:pPr>
            <w:r w:rsidRPr="00954D98">
              <w:rPr>
                <w:rFonts w:ascii="Arial" w:hAnsi="Arial" w:cs="Arial"/>
                <w:sz w:val="16"/>
                <w:szCs w:val="16"/>
              </w:rPr>
              <w:t> </w:t>
            </w:r>
          </w:p>
        </w:tc>
      </w:tr>
      <w:tr w:rsidR="000121FF" w:rsidRPr="00954D98" w14:paraId="27C6EB2A" w14:textId="77777777" w:rsidTr="000121FF">
        <w:trPr>
          <w:trHeight w:hRule="exact" w:val="225"/>
        </w:trPr>
        <w:tc>
          <w:tcPr>
            <w:tcW w:w="2254" w:type="pct"/>
            <w:tcBorders>
              <w:top w:val="nil"/>
              <w:left w:val="nil"/>
              <w:bottom w:val="single" w:sz="4" w:space="0" w:color="293F5B"/>
              <w:right w:val="nil"/>
            </w:tcBorders>
            <w:shd w:val="clear" w:color="000000" w:fill="FFFFFF"/>
            <w:noWrap/>
            <w:vAlign w:val="center"/>
            <w:hideMark/>
          </w:tcPr>
          <w:p w14:paraId="79ED4C8F"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2025-26 MYEFO net capital investment</w:t>
            </w:r>
          </w:p>
        </w:tc>
        <w:tc>
          <w:tcPr>
            <w:tcW w:w="531" w:type="pct"/>
            <w:tcBorders>
              <w:top w:val="nil"/>
              <w:left w:val="nil"/>
              <w:bottom w:val="single" w:sz="4" w:space="0" w:color="293F5B"/>
              <w:right w:val="nil"/>
            </w:tcBorders>
            <w:shd w:val="clear" w:color="000000" w:fill="E6F2FF"/>
            <w:noWrap/>
            <w:vAlign w:val="center"/>
            <w:hideMark/>
          </w:tcPr>
          <w:p w14:paraId="1F9F0CC7"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11,173</w:t>
            </w:r>
          </w:p>
        </w:tc>
        <w:tc>
          <w:tcPr>
            <w:tcW w:w="531" w:type="pct"/>
            <w:tcBorders>
              <w:top w:val="nil"/>
              <w:left w:val="nil"/>
              <w:bottom w:val="single" w:sz="4" w:space="0" w:color="293F5B"/>
              <w:right w:val="nil"/>
            </w:tcBorders>
            <w:shd w:val="clear" w:color="000000" w:fill="FFFFFF"/>
            <w:noWrap/>
            <w:vAlign w:val="center"/>
            <w:hideMark/>
          </w:tcPr>
          <w:p w14:paraId="33B9E777"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10,427</w:t>
            </w:r>
          </w:p>
        </w:tc>
        <w:tc>
          <w:tcPr>
            <w:tcW w:w="531" w:type="pct"/>
            <w:tcBorders>
              <w:top w:val="nil"/>
              <w:left w:val="nil"/>
              <w:bottom w:val="single" w:sz="4" w:space="0" w:color="293F5B"/>
              <w:right w:val="nil"/>
            </w:tcBorders>
            <w:shd w:val="clear" w:color="000000" w:fill="FFFFFF"/>
            <w:noWrap/>
            <w:vAlign w:val="center"/>
            <w:hideMark/>
          </w:tcPr>
          <w:p w14:paraId="7DF18A68"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9,980</w:t>
            </w:r>
          </w:p>
        </w:tc>
        <w:tc>
          <w:tcPr>
            <w:tcW w:w="531" w:type="pct"/>
            <w:tcBorders>
              <w:top w:val="nil"/>
              <w:left w:val="nil"/>
              <w:bottom w:val="single" w:sz="4" w:space="0" w:color="293F5B"/>
              <w:right w:val="nil"/>
            </w:tcBorders>
            <w:shd w:val="clear" w:color="000000" w:fill="FFFFFF"/>
            <w:noWrap/>
            <w:vAlign w:val="center"/>
            <w:hideMark/>
          </w:tcPr>
          <w:p w14:paraId="3657B13E" w14:textId="77777777" w:rsidR="000121FF" w:rsidRPr="00954D98" w:rsidRDefault="000121FF" w:rsidP="000121FF">
            <w:pPr>
              <w:spacing w:before="0" w:after="0" w:line="240" w:lineRule="auto"/>
              <w:jc w:val="right"/>
              <w:rPr>
                <w:rFonts w:ascii="Arial" w:hAnsi="Arial" w:cs="Arial"/>
                <w:b/>
                <w:bCs/>
                <w:color w:val="FFFF00"/>
                <w:sz w:val="16"/>
                <w:szCs w:val="16"/>
              </w:rPr>
            </w:pPr>
            <w:r w:rsidRPr="00954D98">
              <w:rPr>
                <w:rFonts w:ascii="Arial" w:hAnsi="Arial" w:cs="Arial"/>
                <w:b/>
                <w:bCs/>
                <w:sz w:val="16"/>
                <w:szCs w:val="16"/>
              </w:rPr>
              <w:t>10,376</w:t>
            </w:r>
          </w:p>
        </w:tc>
        <w:tc>
          <w:tcPr>
            <w:tcW w:w="81" w:type="pct"/>
            <w:tcBorders>
              <w:top w:val="nil"/>
              <w:left w:val="nil"/>
              <w:bottom w:val="single" w:sz="4" w:space="0" w:color="293F5B"/>
              <w:right w:val="nil"/>
            </w:tcBorders>
            <w:shd w:val="clear" w:color="000000" w:fill="FFFFFF"/>
            <w:noWrap/>
            <w:vAlign w:val="center"/>
            <w:hideMark/>
          </w:tcPr>
          <w:p w14:paraId="5D375BEE" w14:textId="77777777" w:rsidR="000121FF" w:rsidRPr="00954D98" w:rsidRDefault="000121FF" w:rsidP="000121FF">
            <w:pPr>
              <w:spacing w:before="0" w:after="0" w:line="240" w:lineRule="auto"/>
              <w:rPr>
                <w:rFonts w:ascii="Arial" w:hAnsi="Arial" w:cs="Arial"/>
                <w:b/>
                <w:bCs/>
                <w:color w:val="FFFF00"/>
                <w:sz w:val="16"/>
                <w:szCs w:val="16"/>
              </w:rPr>
            </w:pPr>
            <w:r w:rsidRPr="00954D98">
              <w:rPr>
                <w:rFonts w:ascii="Arial" w:hAnsi="Arial" w:cs="Arial"/>
                <w:b/>
                <w:bCs/>
                <w:sz w:val="16"/>
                <w:szCs w:val="16"/>
              </w:rPr>
              <w:t> </w:t>
            </w:r>
          </w:p>
        </w:tc>
        <w:tc>
          <w:tcPr>
            <w:tcW w:w="539" w:type="pct"/>
            <w:tcBorders>
              <w:top w:val="nil"/>
              <w:left w:val="nil"/>
              <w:bottom w:val="single" w:sz="4" w:space="0" w:color="293F5B"/>
              <w:right w:val="nil"/>
            </w:tcBorders>
            <w:shd w:val="clear" w:color="000000" w:fill="FFFFFF"/>
            <w:noWrap/>
            <w:vAlign w:val="center"/>
            <w:hideMark/>
          </w:tcPr>
          <w:p w14:paraId="2FCEB372" w14:textId="77777777" w:rsidR="000121FF" w:rsidRPr="00954D98" w:rsidRDefault="000121FF" w:rsidP="000121FF">
            <w:pPr>
              <w:spacing w:before="0" w:after="0" w:line="240" w:lineRule="auto"/>
              <w:jc w:val="right"/>
              <w:rPr>
                <w:rFonts w:ascii="Arial" w:hAnsi="Arial" w:cs="Arial"/>
                <w:b/>
                <w:bCs/>
                <w:sz w:val="16"/>
                <w:szCs w:val="16"/>
              </w:rPr>
            </w:pPr>
            <w:r w:rsidRPr="00954D98">
              <w:rPr>
                <w:rFonts w:ascii="Arial" w:hAnsi="Arial" w:cs="Arial"/>
                <w:b/>
                <w:bCs/>
                <w:sz w:val="16"/>
                <w:szCs w:val="16"/>
              </w:rPr>
              <w:t>41,955</w:t>
            </w:r>
          </w:p>
        </w:tc>
      </w:tr>
    </w:tbl>
    <w:p w14:paraId="541A4089" w14:textId="5AB6933A" w:rsidR="00F1044A" w:rsidRPr="00954D98" w:rsidRDefault="00F1044A" w:rsidP="00F1044A">
      <w:pPr>
        <w:pStyle w:val="ChartandTableFootnoteAlpha"/>
        <w:numPr>
          <w:ilvl w:val="0"/>
          <w:numId w:val="30"/>
        </w:numPr>
        <w:rPr>
          <w:rFonts w:eastAsiaTheme="minorHAnsi"/>
          <w:color w:val="auto"/>
        </w:rPr>
      </w:pPr>
      <w:r w:rsidRPr="00954D98">
        <w:rPr>
          <w:rFonts w:eastAsiaTheme="minorHAnsi"/>
          <w:color w:val="auto"/>
        </w:rPr>
        <w:t>Excludes secondary impacts on public debt interest of policy decisions and offsets from the Contingency Reserve for decisions taken.</w:t>
      </w:r>
    </w:p>
    <w:p w14:paraId="0E2AA49C" w14:textId="77777777" w:rsidR="00F1044A" w:rsidRPr="00954D98" w:rsidRDefault="00F1044A" w:rsidP="00F1044A">
      <w:pPr>
        <w:pStyle w:val="TableLine"/>
      </w:pPr>
    </w:p>
    <w:p w14:paraId="14F9AA2C" w14:textId="124A6BE8" w:rsidR="00F1044A" w:rsidRPr="00954D98" w:rsidRDefault="00F1044A" w:rsidP="00F1044A">
      <w:pPr>
        <w:pStyle w:val="Heading2"/>
      </w:pPr>
      <w:bookmarkStart w:id="72" w:name="_Toc117356574"/>
      <w:bookmarkStart w:id="73" w:name="_Toc134093776"/>
      <w:bookmarkStart w:id="74" w:name="_Toc148428085"/>
      <w:bookmarkStart w:id="75" w:name="OLE_LINK1"/>
      <w:r w:rsidRPr="00954D98">
        <w:t>Structural budget balance estimates</w:t>
      </w:r>
      <w:bookmarkEnd w:id="72"/>
      <w:bookmarkEnd w:id="73"/>
      <w:bookmarkEnd w:id="74"/>
    </w:p>
    <w:p w14:paraId="09C3C68F" w14:textId="3DD2FFE5" w:rsidR="008A5EE5" w:rsidRPr="00954D98" w:rsidRDefault="008A5EE5" w:rsidP="0025153F">
      <w:pPr>
        <w:rPr>
          <w:b/>
        </w:rPr>
      </w:pPr>
      <w:r w:rsidRPr="00954D98">
        <w:t>The structural budget balance estimate adjusts the underlying cash balance to remove the estimated effects of cyclical factors that have a temporary impact on receipts and payments. These factors include deviations in commodity prices and economic activity from their long</w:t>
      </w:r>
      <w:r w:rsidR="00536CFF">
        <w:noBreakHyphen/>
      </w:r>
      <w:r w:rsidRPr="00954D98">
        <w:t>run levels. The structural budget balance can provide insight into the sustainability of fiscal settings.</w:t>
      </w:r>
    </w:p>
    <w:p w14:paraId="14806B8C" w14:textId="77777777" w:rsidR="008A5EE5" w:rsidRPr="00954D98" w:rsidRDefault="008A5EE5" w:rsidP="008A5EE5">
      <w:r w:rsidRPr="00954D98">
        <w:t>The structural balance is estimated rather than observed, so it is sensitive to the assumptions and parameters that underpin it. Commodity price volatility has increased the uncertainty around the estimate.</w:t>
      </w:r>
    </w:p>
    <w:p w14:paraId="670C0D5B" w14:textId="0BBC8EE3" w:rsidR="00147E36" w:rsidRPr="00954D98" w:rsidRDefault="00147E36" w:rsidP="008A5EE5">
      <w:r w:rsidRPr="00954D98">
        <w:t>The overall trajectory for the structural budget balance is broadly consistent with the 2025</w:t>
      </w:r>
      <w:r w:rsidR="001A33B7" w:rsidRPr="00954D98">
        <w:rPr>
          <w:w w:val="1"/>
        </w:rPr>
        <w:t> </w:t>
      </w:r>
      <w:r w:rsidR="00C9225F" w:rsidRPr="00954D98">
        <w:t>–</w:t>
      </w:r>
      <w:r w:rsidR="001A33B7" w:rsidRPr="00954D98">
        <w:rPr>
          <w:w w:val="1"/>
        </w:rPr>
        <w:t> </w:t>
      </w:r>
      <w:r w:rsidRPr="00954D98">
        <w:t>26 Budget. While the near</w:t>
      </w:r>
      <w:r w:rsidR="00536CFF">
        <w:noBreakHyphen/>
      </w:r>
      <w:r w:rsidRPr="00954D98">
        <w:t>term</w:t>
      </w:r>
      <w:r w:rsidR="00FC5A51" w:rsidRPr="00954D98">
        <w:t xml:space="preserve"> has changed</w:t>
      </w:r>
      <w:r w:rsidRPr="00954D98">
        <w:t>, the structural budget balance is still projected to increase towards balance by the end of the medium term.</w:t>
      </w:r>
    </w:p>
    <w:p w14:paraId="5D3ECF3F" w14:textId="00248A1B" w:rsidR="00C51A16" w:rsidRPr="00954D98" w:rsidRDefault="00C51A16" w:rsidP="00C51A16">
      <w:r w:rsidRPr="00954D98">
        <w:t xml:space="preserve">The estimate of the structural budget balance for 2024–25 has </w:t>
      </w:r>
      <w:r w:rsidR="00926CA1" w:rsidRPr="00954D98">
        <w:t>i</w:t>
      </w:r>
      <w:r w:rsidR="00F97B3B" w:rsidRPr="00954D98">
        <w:t xml:space="preserve">mproved since the </w:t>
      </w:r>
      <w:r w:rsidR="005C6BEA" w:rsidRPr="00954D98">
        <w:t>2025</w:t>
      </w:r>
      <w:r w:rsidR="00362223" w:rsidRPr="00954D98">
        <w:rPr>
          <w:w w:val="1"/>
        </w:rPr>
        <w:t> </w:t>
      </w:r>
      <w:r w:rsidR="00362223" w:rsidRPr="00954D98">
        <w:t>–</w:t>
      </w:r>
      <w:r w:rsidR="00362223" w:rsidRPr="00954D98">
        <w:rPr>
          <w:w w:val="1"/>
        </w:rPr>
        <w:t> </w:t>
      </w:r>
      <w:r w:rsidR="005C6BEA" w:rsidRPr="00954D98">
        <w:t>26</w:t>
      </w:r>
      <w:r w:rsidR="00362223" w:rsidRPr="00954D98">
        <w:t> </w:t>
      </w:r>
      <w:r w:rsidR="00790052" w:rsidRPr="00954D98">
        <w:t>Budget</w:t>
      </w:r>
      <w:r w:rsidRPr="00954D98">
        <w:t xml:space="preserve"> to a deficit of 0.6 per cent of GDP, consistent with the higher</w:t>
      </w:r>
      <w:r w:rsidR="00536CFF">
        <w:noBreakHyphen/>
      </w:r>
      <w:r w:rsidRPr="00954D98">
        <w:t>than</w:t>
      </w:r>
      <w:r w:rsidR="00536CFF">
        <w:noBreakHyphen/>
      </w:r>
      <w:r w:rsidRPr="00954D98">
        <w:t xml:space="preserve">expected underlying cash balance outcome for that year (Chart 3.10). </w:t>
      </w:r>
    </w:p>
    <w:p w14:paraId="4DA191CE" w14:textId="77777777" w:rsidR="00D57915" w:rsidRPr="00954D98" w:rsidRDefault="00D57915" w:rsidP="00D57915">
      <w:r w:rsidRPr="00954D98">
        <w:lastRenderedPageBreak/>
        <w:t xml:space="preserve">The structural budget position is forecast to remain in deficit over the </w:t>
      </w:r>
      <w:r w:rsidR="00C51A16" w:rsidRPr="00954D98">
        <w:t>projection period</w:t>
      </w:r>
      <w:r w:rsidRPr="00954D98">
        <w:t>, peaking at 1.5 per cent of GDP in 2025–26 and then narrowing</w:t>
      </w:r>
      <w:r w:rsidR="00C51A16" w:rsidRPr="00954D98">
        <w:t xml:space="preserve"> to the end of the forward estimates.</w:t>
      </w:r>
      <w:r w:rsidRPr="00954D98">
        <w:t xml:space="preserve"> </w:t>
      </w:r>
    </w:p>
    <w:p w14:paraId="4A637795" w14:textId="76537F22" w:rsidR="00D57915" w:rsidRPr="002A1EE4" w:rsidRDefault="00D57915" w:rsidP="003911ED">
      <w:r w:rsidRPr="002A1EE4">
        <w:t>Cyclical factors are estimated to have a small positive contribution to the underlying cash balance in 2025–26, in large part due to elevated commodity prices. This recedes as commodity prices return to their assumed long</w:t>
      </w:r>
      <w:r w:rsidR="00536CFF">
        <w:noBreakHyphen/>
      </w:r>
      <w:r w:rsidRPr="002A1EE4">
        <w:t>run levels.</w:t>
      </w:r>
    </w:p>
    <w:bookmarkEnd w:id="75"/>
    <w:p w14:paraId="32987688" w14:textId="5D145B63" w:rsidR="00F1044A" w:rsidRPr="00954D98" w:rsidRDefault="00F1044A" w:rsidP="00F1044A">
      <w:pPr>
        <w:pStyle w:val="ChartMainHeading"/>
      </w:pPr>
      <w:r w:rsidRPr="00954D98">
        <w:t>Chart 3.</w:t>
      </w:r>
      <w:r w:rsidR="00890CA5" w:rsidRPr="00954D98">
        <w:t>1</w:t>
      </w:r>
      <w:r w:rsidR="00535A3C" w:rsidRPr="00954D98">
        <w:t>0</w:t>
      </w:r>
      <w:r w:rsidRPr="00954D98">
        <w:t>: Structural budget balance</w:t>
      </w:r>
    </w:p>
    <w:p w14:paraId="1E081906" w14:textId="724F33B0" w:rsidR="00F1044A" w:rsidRPr="00954D98" w:rsidRDefault="00F70C52" w:rsidP="00F1044A">
      <w:pPr>
        <w:pStyle w:val="ChartGraphic"/>
        <w:rPr>
          <w:rFonts w:eastAsia="Calibri"/>
        </w:rPr>
      </w:pPr>
      <w:r w:rsidRPr="00954D98">
        <w:rPr>
          <w:noProof/>
        </w:rPr>
        <w:drawing>
          <wp:inline distT="0" distB="0" distL="0" distR="0" wp14:anchorId="28F67C71" wp14:editId="66213115">
            <wp:extent cx="4695825" cy="2914650"/>
            <wp:effectExtent l="0" t="0" r="9525" b="0"/>
            <wp:docPr id="1701641433" name="Graphic 1" descr="This chart shows the structural budget balance, cyclical factors, and temporary fiscal measures. Together, these sum up to the underlying cash balance. The structural budget deficit is expected to reach 1.5 per cent of GDP in 2025–26, and average 1.1 per cent of GDP over the forward estimates. The structural budget balance averages 0.8 per cent of GDP over the medium term and gradually increases to be 0.1 per cent of GDP in 2035-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41433" name="Graphic 1" descr="This chart shows the structural budget balance, cyclical factors, and temporary fiscal measures. Together, these sum up to the underlying cash balance. The structural budget deficit is expected to reach 1.5 per cent of GDP in 2025–26, and average 1.1 per cent of GDP over the forward estimates. The structural budget balance averages 0.8 per cent of GDP over the medium term and gradually increases to be 0.1 per cent of GDP in 2035-36.&#10;"/>
                    <pic:cNvPicPr/>
                  </pic:nvPicPr>
                  <pic:blipFill>
                    <a:blip r:embed="rId25">
                      <a:extLst>
                        <a:ext uri="{96DAC541-7B7A-43D3-8B79-37D633B846F1}">
                          <asvg:svgBlip xmlns:asvg="http://schemas.microsoft.com/office/drawing/2016/SVG/main" r:embed="rId26"/>
                        </a:ext>
                      </a:extLst>
                    </a:blip>
                    <a:stretch>
                      <a:fillRect/>
                    </a:stretch>
                  </pic:blipFill>
                  <pic:spPr>
                    <a:xfrm>
                      <a:off x="0" y="0"/>
                      <a:ext cx="4695825" cy="2914650"/>
                    </a:xfrm>
                    <a:prstGeom prst="rect">
                      <a:avLst/>
                    </a:prstGeom>
                  </pic:spPr>
                </pic:pic>
              </a:graphicData>
            </a:graphic>
          </wp:inline>
        </w:drawing>
      </w:r>
    </w:p>
    <w:p w14:paraId="37B4B7F3" w14:textId="6CFD773C" w:rsidR="00F1044A" w:rsidRPr="00954D98" w:rsidRDefault="00F1044A" w:rsidP="00F1044A">
      <w:pPr>
        <w:pStyle w:val="ChartandTableFootnote"/>
        <w:rPr>
          <w:color w:val="auto"/>
        </w:rPr>
      </w:pPr>
      <w:r w:rsidRPr="00954D98">
        <w:rPr>
          <w:color w:val="auto"/>
        </w:rPr>
        <w:t>Note:</w:t>
      </w:r>
      <w:r w:rsidRPr="00954D98">
        <w:rPr>
          <w:color w:val="auto"/>
        </w:rPr>
        <w:tab/>
        <w:t xml:space="preserve">The approach separating the budgetary impact of </w:t>
      </w:r>
      <w:r w:rsidR="00AF1CE8" w:rsidRPr="00954D98">
        <w:rPr>
          <w:color w:val="auto"/>
        </w:rPr>
        <w:t>cyclical factors</w:t>
      </w:r>
      <w:r w:rsidRPr="00954D98">
        <w:rPr>
          <w:color w:val="auto"/>
        </w:rPr>
        <w:t xml:space="preserve"> from structural measures follows the methodology detailed in Treasury Working Paper 2013–01. Cyclical factors measure the estimated impact on the underlying cash balance from automatic stabilisers and cyclical movements in asset and commodity prices. Temporary fiscal measures comprise direct economic and health support measures initiated between the onset of the COVID</w:t>
      </w:r>
      <w:r w:rsidR="00536CFF">
        <w:rPr>
          <w:color w:val="auto"/>
        </w:rPr>
        <w:noBreakHyphen/>
      </w:r>
      <w:r w:rsidRPr="00954D98">
        <w:rPr>
          <w:color w:val="auto"/>
        </w:rPr>
        <w:t>19 pandemic and the 2022–</w:t>
      </w:r>
      <w:r w:rsidR="00AF1CE8" w:rsidRPr="00954D98">
        <w:rPr>
          <w:color w:val="auto"/>
        </w:rPr>
        <w:t xml:space="preserve">23 October Budget. Underspends in these direct economic and health support measures are not captured in the derivation of the structural budget balance, which may alter the structural budget balance estimate in those years. </w:t>
      </w:r>
    </w:p>
    <w:p w14:paraId="2B01A4AB" w14:textId="256DD876" w:rsidR="002B5811" w:rsidRPr="002B5811" w:rsidRDefault="00F1044A" w:rsidP="002B5811">
      <w:pPr>
        <w:pStyle w:val="ChartandTableFootnote"/>
        <w:rPr>
          <w:color w:val="auto"/>
        </w:rPr>
      </w:pPr>
      <w:r w:rsidRPr="00954D98">
        <w:rPr>
          <w:color w:val="auto"/>
        </w:rPr>
        <w:t>Source:</w:t>
      </w:r>
      <w:r w:rsidRPr="00954D98">
        <w:rPr>
          <w:color w:val="auto"/>
        </w:rPr>
        <w:tab/>
        <w:t>Treasury.</w:t>
      </w:r>
    </w:p>
    <w:p w14:paraId="79170138" w14:textId="22015661" w:rsidR="008923B7" w:rsidRPr="00F1044A" w:rsidRDefault="008923B7" w:rsidP="004638B8">
      <w:pPr>
        <w:pStyle w:val="ChartLine"/>
      </w:pPr>
    </w:p>
    <w:sectPr w:rsidR="008923B7" w:rsidRPr="00F1044A" w:rsidSect="003507C1">
      <w:headerReference w:type="even" r:id="rId27"/>
      <w:headerReference w:type="default" r:id="rId28"/>
      <w:footerReference w:type="even" r:id="rId29"/>
      <w:footerReference w:type="default" r:id="rId30"/>
      <w:headerReference w:type="first" r:id="rId31"/>
      <w:footerReference w:type="first" r:id="rId32"/>
      <w:pgSz w:w="11906" w:h="16838" w:code="9"/>
      <w:pgMar w:top="2835" w:right="2098" w:bottom="2466" w:left="2098" w:header="1814" w:footer="1814" w:gutter="0"/>
      <w:pgNumType w:start="4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AA0C3" w14:textId="77777777" w:rsidR="006B729E" w:rsidRDefault="006B729E" w:rsidP="00E40261">
      <w:pPr>
        <w:spacing w:after="0" w:line="240" w:lineRule="auto"/>
      </w:pPr>
      <w:r>
        <w:separator/>
      </w:r>
    </w:p>
  </w:endnote>
  <w:endnote w:type="continuationSeparator" w:id="0">
    <w:p w14:paraId="106CEDB9" w14:textId="77777777" w:rsidR="006B729E" w:rsidRDefault="006B729E" w:rsidP="00E40261">
      <w:pPr>
        <w:spacing w:after="0" w:line="240" w:lineRule="auto"/>
      </w:pPr>
      <w:r>
        <w:continuationSeparator/>
      </w:r>
    </w:p>
  </w:endnote>
  <w:endnote w:type="continuationNotice" w:id="1">
    <w:p w14:paraId="1C7CFAD3" w14:textId="77777777" w:rsidR="006B729E" w:rsidRDefault="006B729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14E57" w14:textId="5E729EB2" w:rsidR="0007571E" w:rsidRDefault="008923B7" w:rsidP="00360947">
    <w:pPr>
      <w:pStyle w:val="FooterEven"/>
    </w:pP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6</w:t>
    </w:r>
    <w:r w:rsidRPr="00B3705D">
      <w:rPr>
        <w:b/>
        <w:bCs/>
      </w:rPr>
      <w:fldChar w:fldCharType="end"/>
    </w:r>
    <w:r w:rsidRPr="00081542">
      <w:t> | </w:t>
    </w:r>
    <w:fldSimple w:instr=" SUBJECT   \* MERGEFORMAT ">
      <w:r w:rsidR="003851A2">
        <w:t>Part 3: Fiscal Strategy and Outlook</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B06E1" w14:textId="01AA4405" w:rsidR="0007571E" w:rsidRDefault="003851A2" w:rsidP="009F3CAB">
    <w:pPr>
      <w:pStyle w:val="FooterOdd"/>
    </w:pPr>
    <w:fldSimple w:instr=" SUBJECT   \* MERGEFORMAT ">
      <w:r>
        <w:t>Part 3: Fiscal Strategy and Outlook</w:t>
      </w:r>
    </w:fldSimple>
    <w:r w:rsidR="0007571E" w:rsidRPr="00081542">
      <w:t> | </w:t>
    </w:r>
    <w:r w:rsidR="0007571E" w:rsidRPr="00B3705D">
      <w:rPr>
        <w:b/>
        <w:bCs/>
      </w:rPr>
      <w:t xml:space="preserve">Page </w:t>
    </w:r>
    <w:r w:rsidR="0007571E" w:rsidRPr="00B3705D">
      <w:rPr>
        <w:b/>
        <w:bCs/>
      </w:rPr>
      <w:fldChar w:fldCharType="begin"/>
    </w:r>
    <w:r w:rsidR="0007571E" w:rsidRPr="00B3705D">
      <w:rPr>
        <w:b/>
        <w:bCs/>
      </w:rPr>
      <w:instrText xml:space="preserve"> PAGE  \* Arabic  \* MERGEFORMAT </w:instrText>
    </w:r>
    <w:r w:rsidR="0007571E" w:rsidRPr="00B3705D">
      <w:rPr>
        <w:b/>
        <w:bCs/>
      </w:rPr>
      <w:fldChar w:fldCharType="separate"/>
    </w:r>
    <w:r w:rsidR="0007571E">
      <w:rPr>
        <w:b/>
        <w:bCs/>
      </w:rPr>
      <w:t>1</w:t>
    </w:r>
    <w:r w:rsidR="0007571E" w:rsidRPr="00B3705D">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F5912" w14:textId="2ADF51B7" w:rsidR="0007571E" w:rsidRDefault="003851A2" w:rsidP="00360947">
    <w:pPr>
      <w:pStyle w:val="FooterOdd"/>
    </w:pPr>
    <w:fldSimple w:instr=" SUBJECT   \* MERGEFORMAT ">
      <w:r>
        <w:t>Part 3: Fiscal Strategy and Outlook</w:t>
      </w:r>
    </w:fldSimple>
    <w:r w:rsidR="0007571E" w:rsidRPr="00081542">
      <w:t> | </w:t>
    </w:r>
    <w:r w:rsidR="0007571E" w:rsidRPr="00B3705D">
      <w:rPr>
        <w:b/>
        <w:bCs/>
      </w:rPr>
      <w:t xml:space="preserve">Page </w:t>
    </w:r>
    <w:r w:rsidR="0007571E" w:rsidRPr="00B3705D">
      <w:rPr>
        <w:b/>
        <w:bCs/>
      </w:rPr>
      <w:fldChar w:fldCharType="begin"/>
    </w:r>
    <w:r w:rsidR="0007571E" w:rsidRPr="00B3705D">
      <w:rPr>
        <w:b/>
        <w:bCs/>
      </w:rPr>
      <w:instrText xml:space="preserve"> PAGE  \* Arabic  \* MERGEFORMAT </w:instrText>
    </w:r>
    <w:r w:rsidR="0007571E" w:rsidRPr="00B3705D">
      <w:rPr>
        <w:b/>
        <w:bCs/>
      </w:rPr>
      <w:fldChar w:fldCharType="separate"/>
    </w:r>
    <w:r w:rsidR="0007571E">
      <w:rPr>
        <w:b/>
        <w:bCs/>
      </w:rPr>
      <w:t>1</w:t>
    </w:r>
    <w:r w:rsidR="0007571E" w:rsidRPr="00B3705D">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5A4B2" w14:textId="77777777" w:rsidR="006B729E" w:rsidRPr="003C1CA4" w:rsidRDefault="006B729E" w:rsidP="00EB6597">
      <w:pPr>
        <w:spacing w:after="0" w:line="240" w:lineRule="auto"/>
        <w:ind w:right="8277"/>
        <w:rPr>
          <w:rFonts w:asciiTheme="majorHAnsi" w:hAnsiTheme="majorHAnsi"/>
          <w:color w:val="E1E3E6" w:themeColor="background2" w:themeTint="33"/>
        </w:rPr>
      </w:pPr>
      <w:r w:rsidRPr="003C1CA4">
        <w:rPr>
          <w:rFonts w:asciiTheme="majorHAnsi" w:hAnsiTheme="majorHAnsi"/>
          <w:color w:val="E1E3E6" w:themeColor="background2" w:themeTint="33"/>
        </w:rPr>
        <w:t>—</w:t>
      </w:r>
    </w:p>
  </w:footnote>
  <w:footnote w:type="continuationSeparator" w:id="0">
    <w:p w14:paraId="6C0515E4" w14:textId="77777777" w:rsidR="006B729E" w:rsidRDefault="006B729E" w:rsidP="00E40261">
      <w:pPr>
        <w:spacing w:after="0" w:line="240" w:lineRule="auto"/>
      </w:pPr>
      <w:r>
        <w:continuationSeparator/>
      </w:r>
    </w:p>
  </w:footnote>
  <w:footnote w:type="continuationNotice" w:id="1">
    <w:p w14:paraId="33794A0A" w14:textId="77777777" w:rsidR="006B729E" w:rsidRDefault="006B729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74B20" w14:textId="43C01597" w:rsidR="0007571E" w:rsidRPr="00AA5439" w:rsidRDefault="0007571E" w:rsidP="00AA5439">
    <w:pPr>
      <w:pStyle w:val="HeaderEven"/>
      <w:rPr>
        <w:sz w:val="2"/>
        <w:szCs w:val="2"/>
      </w:rPr>
    </w:pPr>
  </w:p>
  <w:tbl>
    <w:tblPr>
      <w:tblW w:w="7797" w:type="dxa"/>
      <w:tblCellMar>
        <w:left w:w="0" w:type="dxa"/>
        <w:right w:w="0" w:type="dxa"/>
      </w:tblCellMar>
      <w:tblLook w:val="04A0" w:firstRow="1" w:lastRow="0" w:firstColumn="1" w:lastColumn="0" w:noHBand="0" w:noVBand="1"/>
    </w:tblPr>
    <w:tblGrid>
      <w:gridCol w:w="7797"/>
    </w:tblGrid>
    <w:tr w:rsidR="0007571E" w14:paraId="60DC5379" w14:textId="77777777" w:rsidTr="00E3495A">
      <w:trPr>
        <w:trHeight w:hRule="exact" w:val="340"/>
      </w:trPr>
      <w:tc>
        <w:tcPr>
          <w:tcW w:w="7797" w:type="dxa"/>
          <w:tcBorders>
            <w:top w:val="nil"/>
            <w:left w:val="nil"/>
            <w:bottom w:val="nil"/>
            <w:right w:val="nil"/>
          </w:tcBorders>
        </w:tcPr>
        <w:p w14:paraId="5739D63A" w14:textId="2E234A7C" w:rsidR="0007571E" w:rsidRPr="008C56E1" w:rsidRDefault="0007571E" w:rsidP="00F60EA1">
          <w:pPr>
            <w:pStyle w:val="HeaderEven"/>
          </w:pPr>
          <w:r w:rsidRPr="008C56E1">
            <w:rPr>
              <w:noProof/>
              <w:position w:val="-8"/>
            </w:rPr>
            <w:drawing>
              <wp:inline distT="0" distB="0" distL="0" distR="0" wp14:anchorId="2A13C69D" wp14:editId="3F0CD3E2">
                <wp:extent cx="864091" cy="198000"/>
                <wp:effectExtent l="0" t="0" r="0" b="0"/>
                <wp:docPr id="974694567" name="Picture 974694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94567" name="Picture 97469456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4091" cy="198000"/>
                        </a:xfrm>
                        <a:prstGeom prst="rect">
                          <a:avLst/>
                        </a:prstGeom>
                      </pic:spPr>
                    </pic:pic>
                  </a:graphicData>
                </a:graphic>
              </wp:inline>
            </w:drawing>
          </w:r>
          <w:r w:rsidRPr="00081542">
            <w:t> | </w:t>
          </w:r>
          <w:fldSimple w:instr=" TITLE   \* MERGEFORMAT ">
            <w:r w:rsidR="003851A2">
              <w:t>Mid-Year Economic and Fiscal Outlook 2025–26</w:t>
            </w:r>
          </w:fldSimple>
        </w:p>
      </w:tc>
    </w:tr>
  </w:tbl>
  <w:p w14:paraId="7F7B3214" w14:textId="77777777" w:rsidR="0007571E" w:rsidRPr="00AA5439" w:rsidRDefault="0007571E" w:rsidP="00AA5439">
    <w:pPr>
      <w:pStyle w:val="HeaderEven"/>
      <w:rPr>
        <w:sz w:val="2"/>
        <w:szCs w:val="4"/>
      </w:rPr>
    </w:pPr>
  </w:p>
  <w:p w14:paraId="343D2366" w14:textId="77777777" w:rsidR="0007571E" w:rsidRPr="007703C7" w:rsidRDefault="0007571E" w:rsidP="007703C7">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797" w:type="dxa"/>
      <w:tblCellMar>
        <w:left w:w="0" w:type="dxa"/>
        <w:right w:w="0" w:type="dxa"/>
      </w:tblCellMar>
      <w:tblLook w:val="04A0" w:firstRow="1" w:lastRow="0" w:firstColumn="1" w:lastColumn="0" w:noHBand="0" w:noVBand="1"/>
    </w:tblPr>
    <w:tblGrid>
      <w:gridCol w:w="7797"/>
    </w:tblGrid>
    <w:tr w:rsidR="0007571E" w14:paraId="43143E4D" w14:textId="77777777" w:rsidTr="00E3495A">
      <w:trPr>
        <w:trHeight w:hRule="exact" w:val="340"/>
      </w:trPr>
      <w:tc>
        <w:tcPr>
          <w:tcW w:w="7797" w:type="dxa"/>
          <w:tcMar>
            <w:left w:w="108" w:type="dxa"/>
            <w:right w:w="108" w:type="dxa"/>
          </w:tcMar>
        </w:tcPr>
        <w:p w14:paraId="65BDF2B0" w14:textId="188513D9" w:rsidR="0007571E" w:rsidRPr="00D13BF9" w:rsidRDefault="003851A2" w:rsidP="00D13BF9">
          <w:pPr>
            <w:pStyle w:val="HeaderOdd"/>
          </w:pPr>
          <w:fldSimple w:instr=" TITLE   \* MERGEFORMAT ">
            <w:r>
              <w:t>Mid-Year Economic and Fiscal Outlook 2025–26</w:t>
            </w:r>
          </w:fldSimple>
          <w:r w:rsidR="0007571E" w:rsidRPr="00081542">
            <w:t> | </w:t>
          </w:r>
          <w:r w:rsidR="0007571E" w:rsidRPr="002709D2">
            <w:rPr>
              <w:noProof/>
              <w:position w:val="-8"/>
              <w:vertAlign w:val="subscript"/>
            </w:rPr>
            <w:drawing>
              <wp:inline distT="0" distB="0" distL="0" distR="0" wp14:anchorId="3A2BBB1E" wp14:editId="6A296289">
                <wp:extent cx="864091" cy="198000"/>
                <wp:effectExtent l="0" t="0" r="0" b="0"/>
                <wp:docPr id="15371864" name="Picture 153718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864" name="Picture 1537186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4091" cy="198000"/>
                        </a:xfrm>
                        <a:prstGeom prst="rect">
                          <a:avLst/>
                        </a:prstGeom>
                      </pic:spPr>
                    </pic:pic>
                  </a:graphicData>
                </a:graphic>
              </wp:inline>
            </w:drawing>
          </w:r>
        </w:p>
      </w:tc>
    </w:tr>
  </w:tbl>
  <w:p w14:paraId="7AA6ED2E" w14:textId="5B4E9AFC" w:rsidR="0007571E" w:rsidRPr="00562EDC" w:rsidRDefault="0007571E" w:rsidP="00562EDC">
    <w:pPr>
      <w:pStyle w:val="HeaderOdd"/>
      <w:jc w:val="left"/>
      <w:rPr>
        <w:sz w:val="2"/>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BCC15" w14:textId="197DCC06" w:rsidR="0007571E" w:rsidRDefault="0007571E">
    <w:pPr>
      <w:pStyle w:val="Header"/>
      <w:rPr>
        <w:sz w:val="2"/>
        <w:szCs w:val="2"/>
      </w:rPr>
    </w:pPr>
  </w:p>
  <w:p w14:paraId="24910B49" w14:textId="77777777" w:rsidR="0007571E" w:rsidRDefault="0007571E">
    <w:pPr>
      <w:pStyle w:val="Header"/>
      <w:rPr>
        <w:sz w:val="2"/>
        <w:szCs w:val="2"/>
      </w:rPr>
    </w:pPr>
  </w:p>
  <w:p w14:paraId="65FCD938" w14:textId="77777777" w:rsidR="0007571E" w:rsidRPr="005B2F30" w:rsidRDefault="0007571E">
    <w:pPr>
      <w:pStyle w:val="Header"/>
      <w:rPr>
        <w:sz w:val="2"/>
        <w:szCs w:val="2"/>
      </w:rPr>
    </w:pPr>
    <w:r w:rsidRPr="00692105">
      <w:rPr>
        <w:noProof/>
        <w:sz w:val="32"/>
        <w:szCs w:val="32"/>
      </w:rPr>
      <mc:AlternateContent>
        <mc:Choice Requires="wps">
          <w:drawing>
            <wp:anchor distT="0" distB="0" distL="114300" distR="114300" simplePos="0" relativeHeight="251658240" behindDoc="0" locked="0" layoutInCell="1" allowOverlap="1" wp14:anchorId="2D636C70" wp14:editId="5A43C786">
              <wp:simplePos x="0" y="0"/>
              <wp:positionH relativeFrom="column">
                <wp:posOffset>7560945</wp:posOffset>
              </wp:positionH>
              <wp:positionV relativeFrom="margin">
                <wp:align>bottom</wp:align>
              </wp:positionV>
              <wp:extent cx="399600" cy="4896000"/>
              <wp:effectExtent l="0" t="0" r="635" b="0"/>
              <wp:wrapNone/>
              <wp:docPr id="843381355"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80153" w14:textId="6A929ED6" w:rsidR="0007571E" w:rsidRPr="00137C7E" w:rsidRDefault="003851A2" w:rsidP="001D33D6">
                          <w:pPr>
                            <w:pStyle w:val="HeaderOdd"/>
                          </w:pPr>
                          <w:fldSimple w:instr=" TITLE   \* MERGEFORMAT ">
                            <w:r>
                              <w:t>Mid-Year Economic and Fiscal Outlook 2025–26</w:t>
                            </w:r>
                          </w:fldSimple>
                          <w:r w:rsidR="0007571E">
                            <w:t xml:space="preserve">  |  </w:t>
                          </w:r>
                          <w:r w:rsidR="0007571E" w:rsidRPr="000635BE">
                            <w:rPr>
                              <w:rFonts w:ascii="Arial Bold" w:hAnsi="Arial Bold"/>
                              <w:b/>
                              <w:bCs/>
                              <w:noProof/>
                              <w:position w:val="-10"/>
                            </w:rPr>
                            <w:drawing>
                              <wp:inline distT="0" distB="0" distL="0" distR="0" wp14:anchorId="736BAD84" wp14:editId="0ACD9061">
                                <wp:extent cx="1000760" cy="228609"/>
                                <wp:effectExtent l="5080" t="0" r="0" b="0"/>
                                <wp:docPr id="1879132608" name="Picture 1879132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32608" name="Picture 187913260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8609"/>
                                        </a:xfrm>
                                        <a:prstGeom prst="rect">
                                          <a:avLst/>
                                        </a:prstGeom>
                                        <a:noFill/>
                                      </pic:spPr>
                                    </pic:pic>
                                  </a:graphicData>
                                </a:graphic>
                              </wp:inline>
                            </w:drawing>
                          </w: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36C70" id="_x0000_t202" coordsize="21600,21600" o:spt="202" path="m,l,21600r21600,l21600,xe">
              <v:stroke joinstyle="miter"/>
              <v:path gradientshapeok="t" o:connecttype="rect"/>
            </v:shapetype>
            <v:shape id="Text Box 6" o:spid="_x0000_s1026" type="#_x0000_t202" alt="Landscape Odd Header" style="position:absolute;margin-left:595.35pt;margin-top:0;width:31.45pt;height:385.5pt;z-index:251658240;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" stroked="f">
              <v:textbox style="layout-flow:vertical" inset="0,0,0,.2mm">
                <w:txbxContent>
                  <w:p w14:paraId="6DC80153" w14:textId="6A929ED6" w:rsidR="0007571E" w:rsidRPr="00137C7E" w:rsidRDefault="003851A2" w:rsidP="001D33D6">
                    <w:pPr>
                      <w:pStyle w:val="HeaderOdd"/>
                    </w:pPr>
                    <w:fldSimple w:instr=" TITLE   \* MERGEFORMAT ">
                      <w:r>
                        <w:t>Mid-Year Economic and Fiscal Outlook 2025–26</w:t>
                      </w:r>
                    </w:fldSimple>
                    <w:r w:rsidR="0007571E">
                      <w:t xml:space="preserve">  |  </w:t>
                    </w:r>
                    <w:r w:rsidR="0007571E" w:rsidRPr="000635BE">
                      <w:rPr>
                        <w:rFonts w:ascii="Arial Bold" w:hAnsi="Arial Bold"/>
                        <w:b/>
                        <w:bCs/>
                        <w:noProof/>
                        <w:position w:val="-10"/>
                      </w:rPr>
                      <w:drawing>
                        <wp:inline distT="0" distB="0" distL="0" distR="0" wp14:anchorId="736BAD84" wp14:editId="0ACD9061">
                          <wp:extent cx="1000760" cy="228609"/>
                          <wp:effectExtent l="5080" t="0" r="0" b="0"/>
                          <wp:docPr id="1879132608" name="Picture 1879132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32608" name="Picture 187913260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8609"/>
                                  </a:xfrm>
                                  <a:prstGeom prst="rect">
                                    <a:avLst/>
                                  </a:prstGeom>
                                  <a:noFill/>
                                </pic:spPr>
                              </pic:pic>
                            </a:graphicData>
                          </a:graphic>
                        </wp:inline>
                      </w:drawing>
                    </w:r>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BA4A8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4E7D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BC0E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74B4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821A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60DD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F2C7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4A2E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16B0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7C7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1"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12" w15:restartNumberingAfterBreak="0">
    <w:nsid w:val="1339370D"/>
    <w:multiLevelType w:val="multilevel"/>
    <w:tmpl w:val="48B6F318"/>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1647577F"/>
    <w:multiLevelType w:val="multilevel"/>
    <w:tmpl w:val="794240C4"/>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19C960FD"/>
    <w:multiLevelType w:val="multilevel"/>
    <w:tmpl w:val="F9EA08CE"/>
    <w:name w:val="OneLevelNumberedParagraphList"/>
    <w:lvl w:ilvl="0">
      <w:start w:val="1"/>
      <w:numFmt w:val="decimal"/>
      <w:lvlRestart w:val="0"/>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5" w15:restartNumberingAfterBreak="0">
    <w:nsid w:val="1A6840FD"/>
    <w:multiLevelType w:val="hybridMultilevel"/>
    <w:tmpl w:val="B2E69B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7" w15:restartNumberingAfterBreak="0">
    <w:nsid w:val="5FAA4416"/>
    <w:multiLevelType w:val="multilevel"/>
    <w:tmpl w:val="D2300CFC"/>
    <w:lvl w:ilvl="0">
      <w:start w:val="1"/>
      <w:numFmt w:val="decimal"/>
      <w:pStyle w:val="OutlineNumbered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EA3959"/>
    <w:multiLevelType w:val="multilevel"/>
    <w:tmpl w:val="BA54A7CC"/>
    <w:lvl w:ilvl="0">
      <w:start w:val="1"/>
      <w:numFmt w:val="lowerLetter"/>
      <w:lvlRestart w:val="0"/>
      <w:lvlText w:val="(%1)"/>
      <w:lvlJc w:val="left"/>
      <w:pPr>
        <w:tabs>
          <w:tab w:val="num" w:pos="284"/>
        </w:tabs>
        <w:ind w:left="284" w:hanging="284"/>
      </w:pPr>
      <w:rPr>
        <w:rFonts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9" w15:restartNumberingAfterBreak="0">
    <w:nsid w:val="6FD20A93"/>
    <w:multiLevelType w:val="singleLevel"/>
    <w:tmpl w:val="3B6E6640"/>
    <w:name w:val="AlphaChartTableFootnoteSmallList"/>
    <w:lvl w:ilvl="0">
      <w:start w:val="1"/>
      <w:numFmt w:val="lowerLetter"/>
      <w:lvlRestart w:val="0"/>
      <w:pStyle w:val="ChartandTableFootnoteAlphaSmall"/>
      <w:lvlText w:val="(%1)"/>
      <w:lvlJc w:val="left"/>
      <w:pPr>
        <w:tabs>
          <w:tab w:val="num" w:pos="283"/>
        </w:tabs>
        <w:ind w:left="283" w:hanging="283"/>
      </w:pPr>
      <w:rPr>
        <w:rFonts w:ascii="Arial" w:hAnsi="Arial" w:cs="Arial"/>
        <w:b w:val="0"/>
        <w:i w:val="0"/>
        <w:sz w:val="15"/>
      </w:rPr>
    </w:lvl>
  </w:abstractNum>
  <w:abstractNum w:abstractNumId="20" w15:restartNumberingAfterBreak="0">
    <w:nsid w:val="74553C6C"/>
    <w:multiLevelType w:val="multilevel"/>
    <w:tmpl w:val="EF5ADE80"/>
    <w:name w:val="StandardNumberedList"/>
    <w:lvl w:ilvl="0">
      <w:start w:val="1"/>
      <w:numFmt w:val="decimal"/>
      <w:lvlText w:val="%1."/>
      <w:lvlJc w:val="left"/>
      <w:pPr>
        <w:tabs>
          <w:tab w:val="num" w:pos="449"/>
        </w:tabs>
        <w:ind w:left="449" w:hanging="449"/>
      </w:pPr>
    </w:lvl>
    <w:lvl w:ilvl="1">
      <w:start w:val="1"/>
      <w:numFmt w:val="decimal"/>
      <w:pStyle w:val="OutlineNumbered2"/>
      <w:lvlText w:val="%1.%2."/>
      <w:lvlJc w:val="left"/>
      <w:pPr>
        <w:tabs>
          <w:tab w:val="num" w:pos="898"/>
        </w:tabs>
        <w:ind w:left="898" w:hanging="449"/>
      </w:pPr>
    </w:lvl>
    <w:lvl w:ilvl="2">
      <w:start w:val="1"/>
      <w:numFmt w:val="decimal"/>
      <w:pStyle w:val="OutlineNumbered3"/>
      <w:lvlText w:val="%1.%2.%3."/>
      <w:lvlJc w:val="left"/>
      <w:pPr>
        <w:tabs>
          <w:tab w:val="num" w:pos="1347"/>
        </w:tabs>
        <w:ind w:left="1347" w:hanging="449"/>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03410866">
    <w:abstractNumId w:val="16"/>
  </w:num>
  <w:num w:numId="2" w16cid:durableId="70975900">
    <w:abstractNumId w:val="11"/>
  </w:num>
  <w:num w:numId="3" w16cid:durableId="1903564601">
    <w:abstractNumId w:val="10"/>
  </w:num>
  <w:num w:numId="4" w16cid:durableId="778522229">
    <w:abstractNumId w:val="13"/>
  </w:num>
  <w:num w:numId="5" w16cid:durableId="308556280">
    <w:abstractNumId w:val="18"/>
  </w:num>
  <w:num w:numId="6" w16cid:durableId="772752326">
    <w:abstractNumId w:val="10"/>
  </w:num>
  <w:num w:numId="7" w16cid:durableId="541596858">
    <w:abstractNumId w:val="10"/>
  </w:num>
  <w:num w:numId="8" w16cid:durableId="322590933">
    <w:abstractNumId w:val="9"/>
  </w:num>
  <w:num w:numId="9" w16cid:durableId="1723669811">
    <w:abstractNumId w:val="7"/>
  </w:num>
  <w:num w:numId="10" w16cid:durableId="235865475">
    <w:abstractNumId w:val="6"/>
  </w:num>
  <w:num w:numId="11" w16cid:durableId="1066297075">
    <w:abstractNumId w:val="5"/>
  </w:num>
  <w:num w:numId="12" w16cid:durableId="10422456">
    <w:abstractNumId w:val="4"/>
  </w:num>
  <w:num w:numId="13" w16cid:durableId="4594083">
    <w:abstractNumId w:val="8"/>
  </w:num>
  <w:num w:numId="14" w16cid:durableId="961616114">
    <w:abstractNumId w:val="3"/>
  </w:num>
  <w:num w:numId="15" w16cid:durableId="760225057">
    <w:abstractNumId w:val="2"/>
  </w:num>
  <w:num w:numId="16" w16cid:durableId="1531915683">
    <w:abstractNumId w:val="1"/>
  </w:num>
  <w:num w:numId="17" w16cid:durableId="288900107">
    <w:abstractNumId w:val="0"/>
  </w:num>
  <w:num w:numId="18" w16cid:durableId="131681990">
    <w:abstractNumId w:val="13"/>
  </w:num>
  <w:num w:numId="19" w16cid:durableId="5211629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844135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7239319">
    <w:abstractNumId w:val="20"/>
  </w:num>
  <w:num w:numId="22" w16cid:durableId="1518692781">
    <w:abstractNumId w:val="17"/>
  </w:num>
  <w:num w:numId="23" w16cid:durableId="1160733018">
    <w:abstractNumId w:val="19"/>
  </w:num>
  <w:num w:numId="24" w16cid:durableId="24987747">
    <w:abstractNumId w:val="14"/>
  </w:num>
  <w:num w:numId="25" w16cid:durableId="19931768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59186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55351630">
    <w:abstractNumId w:val="12"/>
  </w:num>
  <w:num w:numId="28" w16cid:durableId="5826423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531750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447189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766416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87372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413322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221900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53412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167826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44163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89164570">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697632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F1044A"/>
    <w:rsid w:val="000000C8"/>
    <w:rsid w:val="000002D8"/>
    <w:rsid w:val="00000461"/>
    <w:rsid w:val="000004EA"/>
    <w:rsid w:val="000008FE"/>
    <w:rsid w:val="00000A08"/>
    <w:rsid w:val="00000ABF"/>
    <w:rsid w:val="00000CD1"/>
    <w:rsid w:val="000014A3"/>
    <w:rsid w:val="00001641"/>
    <w:rsid w:val="00001738"/>
    <w:rsid w:val="000017B9"/>
    <w:rsid w:val="00001875"/>
    <w:rsid w:val="00001883"/>
    <w:rsid w:val="000019A7"/>
    <w:rsid w:val="00001A48"/>
    <w:rsid w:val="00001B77"/>
    <w:rsid w:val="00001B7A"/>
    <w:rsid w:val="00001C77"/>
    <w:rsid w:val="00001E00"/>
    <w:rsid w:val="00001E19"/>
    <w:rsid w:val="00001E2B"/>
    <w:rsid w:val="00001E78"/>
    <w:rsid w:val="00001F21"/>
    <w:rsid w:val="00001F5B"/>
    <w:rsid w:val="00002069"/>
    <w:rsid w:val="0000206E"/>
    <w:rsid w:val="00002184"/>
    <w:rsid w:val="00002249"/>
    <w:rsid w:val="00002527"/>
    <w:rsid w:val="00002830"/>
    <w:rsid w:val="00002D5F"/>
    <w:rsid w:val="00003088"/>
    <w:rsid w:val="000032AA"/>
    <w:rsid w:val="000033FB"/>
    <w:rsid w:val="00003400"/>
    <w:rsid w:val="0000369F"/>
    <w:rsid w:val="000038E0"/>
    <w:rsid w:val="000039B3"/>
    <w:rsid w:val="00003BC6"/>
    <w:rsid w:val="00003D6C"/>
    <w:rsid w:val="00003DF6"/>
    <w:rsid w:val="00004154"/>
    <w:rsid w:val="000041D4"/>
    <w:rsid w:val="000043E7"/>
    <w:rsid w:val="000043F4"/>
    <w:rsid w:val="0000457F"/>
    <w:rsid w:val="000048FE"/>
    <w:rsid w:val="000049D2"/>
    <w:rsid w:val="00004A83"/>
    <w:rsid w:val="00004D2F"/>
    <w:rsid w:val="00004D48"/>
    <w:rsid w:val="00004E8D"/>
    <w:rsid w:val="000050D2"/>
    <w:rsid w:val="00005385"/>
    <w:rsid w:val="000054E4"/>
    <w:rsid w:val="0000568F"/>
    <w:rsid w:val="00005957"/>
    <w:rsid w:val="00005B32"/>
    <w:rsid w:val="00005B37"/>
    <w:rsid w:val="00005BAC"/>
    <w:rsid w:val="00005D22"/>
    <w:rsid w:val="000064E4"/>
    <w:rsid w:val="00006682"/>
    <w:rsid w:val="00006E32"/>
    <w:rsid w:val="00006FA8"/>
    <w:rsid w:val="0001066B"/>
    <w:rsid w:val="00010670"/>
    <w:rsid w:val="0001076D"/>
    <w:rsid w:val="000109FB"/>
    <w:rsid w:val="00011132"/>
    <w:rsid w:val="00011282"/>
    <w:rsid w:val="0001137F"/>
    <w:rsid w:val="0001162E"/>
    <w:rsid w:val="00011B19"/>
    <w:rsid w:val="00011BEE"/>
    <w:rsid w:val="00011C21"/>
    <w:rsid w:val="00011DBB"/>
    <w:rsid w:val="00011E0F"/>
    <w:rsid w:val="00011EC7"/>
    <w:rsid w:val="00011FFB"/>
    <w:rsid w:val="000120E6"/>
    <w:rsid w:val="000121FF"/>
    <w:rsid w:val="000122FE"/>
    <w:rsid w:val="0001240B"/>
    <w:rsid w:val="0001266B"/>
    <w:rsid w:val="000127EF"/>
    <w:rsid w:val="0001290F"/>
    <w:rsid w:val="00012A7D"/>
    <w:rsid w:val="00012B76"/>
    <w:rsid w:val="00012D6F"/>
    <w:rsid w:val="00012DB9"/>
    <w:rsid w:val="00012F93"/>
    <w:rsid w:val="00012FD9"/>
    <w:rsid w:val="00013069"/>
    <w:rsid w:val="0001323D"/>
    <w:rsid w:val="00013278"/>
    <w:rsid w:val="000132EB"/>
    <w:rsid w:val="000133B1"/>
    <w:rsid w:val="00013936"/>
    <w:rsid w:val="00013B0F"/>
    <w:rsid w:val="00013D09"/>
    <w:rsid w:val="00013EA8"/>
    <w:rsid w:val="000140F5"/>
    <w:rsid w:val="000141AA"/>
    <w:rsid w:val="000141F7"/>
    <w:rsid w:val="00014332"/>
    <w:rsid w:val="00014566"/>
    <w:rsid w:val="000149B3"/>
    <w:rsid w:val="000149ED"/>
    <w:rsid w:val="00014B29"/>
    <w:rsid w:val="00014C21"/>
    <w:rsid w:val="00014F90"/>
    <w:rsid w:val="000151C2"/>
    <w:rsid w:val="000153C5"/>
    <w:rsid w:val="00015517"/>
    <w:rsid w:val="000157C1"/>
    <w:rsid w:val="00015A7F"/>
    <w:rsid w:val="00015AB3"/>
    <w:rsid w:val="00015B4A"/>
    <w:rsid w:val="00015BD1"/>
    <w:rsid w:val="00015C19"/>
    <w:rsid w:val="00015C5C"/>
    <w:rsid w:val="00015C7F"/>
    <w:rsid w:val="00015D3F"/>
    <w:rsid w:val="00015D9C"/>
    <w:rsid w:val="00015DBD"/>
    <w:rsid w:val="0001600C"/>
    <w:rsid w:val="00016123"/>
    <w:rsid w:val="0001636A"/>
    <w:rsid w:val="00016509"/>
    <w:rsid w:val="00016530"/>
    <w:rsid w:val="0001661F"/>
    <w:rsid w:val="00016654"/>
    <w:rsid w:val="00016B54"/>
    <w:rsid w:val="00016C5B"/>
    <w:rsid w:val="000170EB"/>
    <w:rsid w:val="000176CB"/>
    <w:rsid w:val="0001775C"/>
    <w:rsid w:val="000177AA"/>
    <w:rsid w:val="000178AC"/>
    <w:rsid w:val="00017975"/>
    <w:rsid w:val="00017B3D"/>
    <w:rsid w:val="00017BCF"/>
    <w:rsid w:val="00017CBE"/>
    <w:rsid w:val="00017D1E"/>
    <w:rsid w:val="00017FB8"/>
    <w:rsid w:val="00017FD4"/>
    <w:rsid w:val="0002019C"/>
    <w:rsid w:val="0002042A"/>
    <w:rsid w:val="000204E0"/>
    <w:rsid w:val="00020794"/>
    <w:rsid w:val="00020859"/>
    <w:rsid w:val="000209F8"/>
    <w:rsid w:val="00020A4D"/>
    <w:rsid w:val="00020DE0"/>
    <w:rsid w:val="00020E30"/>
    <w:rsid w:val="00021232"/>
    <w:rsid w:val="0002123C"/>
    <w:rsid w:val="00021248"/>
    <w:rsid w:val="00021568"/>
    <w:rsid w:val="000216A1"/>
    <w:rsid w:val="0002187E"/>
    <w:rsid w:val="0002196F"/>
    <w:rsid w:val="00021982"/>
    <w:rsid w:val="00021DF3"/>
    <w:rsid w:val="000220EC"/>
    <w:rsid w:val="00022385"/>
    <w:rsid w:val="000223EA"/>
    <w:rsid w:val="000223F4"/>
    <w:rsid w:val="00022603"/>
    <w:rsid w:val="00022770"/>
    <w:rsid w:val="00022A0B"/>
    <w:rsid w:val="00022C78"/>
    <w:rsid w:val="00022E9E"/>
    <w:rsid w:val="000230C9"/>
    <w:rsid w:val="000230EC"/>
    <w:rsid w:val="00023214"/>
    <w:rsid w:val="000232DF"/>
    <w:rsid w:val="000234CB"/>
    <w:rsid w:val="00023924"/>
    <w:rsid w:val="00023B2A"/>
    <w:rsid w:val="00023B47"/>
    <w:rsid w:val="00023C05"/>
    <w:rsid w:val="00023D0A"/>
    <w:rsid w:val="00023D2F"/>
    <w:rsid w:val="00023D8B"/>
    <w:rsid w:val="00023DB1"/>
    <w:rsid w:val="00023E49"/>
    <w:rsid w:val="00023E85"/>
    <w:rsid w:val="00023FD3"/>
    <w:rsid w:val="000240E0"/>
    <w:rsid w:val="0002411F"/>
    <w:rsid w:val="0002431D"/>
    <w:rsid w:val="0002448A"/>
    <w:rsid w:val="0002457C"/>
    <w:rsid w:val="00024807"/>
    <w:rsid w:val="00024A48"/>
    <w:rsid w:val="00024A74"/>
    <w:rsid w:val="00024BA4"/>
    <w:rsid w:val="00024CC4"/>
    <w:rsid w:val="00024EBF"/>
    <w:rsid w:val="00024EC7"/>
    <w:rsid w:val="00024F91"/>
    <w:rsid w:val="000254EF"/>
    <w:rsid w:val="0002576F"/>
    <w:rsid w:val="000258CD"/>
    <w:rsid w:val="000258FF"/>
    <w:rsid w:val="000259D1"/>
    <w:rsid w:val="000259E6"/>
    <w:rsid w:val="00025BB7"/>
    <w:rsid w:val="00025F26"/>
    <w:rsid w:val="00025F2E"/>
    <w:rsid w:val="00025F64"/>
    <w:rsid w:val="000260E9"/>
    <w:rsid w:val="0002628F"/>
    <w:rsid w:val="000262E4"/>
    <w:rsid w:val="0002630D"/>
    <w:rsid w:val="0002668E"/>
    <w:rsid w:val="000268A3"/>
    <w:rsid w:val="0002699A"/>
    <w:rsid w:val="00026A81"/>
    <w:rsid w:val="00026C62"/>
    <w:rsid w:val="00026DBD"/>
    <w:rsid w:val="00026F6F"/>
    <w:rsid w:val="00027016"/>
    <w:rsid w:val="00027029"/>
    <w:rsid w:val="000270C9"/>
    <w:rsid w:val="0002733F"/>
    <w:rsid w:val="00027452"/>
    <w:rsid w:val="00027A60"/>
    <w:rsid w:val="00027AD6"/>
    <w:rsid w:val="00027B2F"/>
    <w:rsid w:val="00027BD1"/>
    <w:rsid w:val="00027C91"/>
    <w:rsid w:val="00027D04"/>
    <w:rsid w:val="00027E60"/>
    <w:rsid w:val="00030001"/>
    <w:rsid w:val="000300EE"/>
    <w:rsid w:val="00030144"/>
    <w:rsid w:val="0003026E"/>
    <w:rsid w:val="00030332"/>
    <w:rsid w:val="000303DA"/>
    <w:rsid w:val="0003064A"/>
    <w:rsid w:val="000307DA"/>
    <w:rsid w:val="000307E7"/>
    <w:rsid w:val="00030882"/>
    <w:rsid w:val="0003092F"/>
    <w:rsid w:val="00030B8F"/>
    <w:rsid w:val="0003102B"/>
    <w:rsid w:val="000310BC"/>
    <w:rsid w:val="00031523"/>
    <w:rsid w:val="000315E1"/>
    <w:rsid w:val="0003185D"/>
    <w:rsid w:val="00031935"/>
    <w:rsid w:val="00031CAE"/>
    <w:rsid w:val="00031CE3"/>
    <w:rsid w:val="00031D76"/>
    <w:rsid w:val="00031E22"/>
    <w:rsid w:val="00031ECF"/>
    <w:rsid w:val="00031F78"/>
    <w:rsid w:val="00031F84"/>
    <w:rsid w:val="0003252E"/>
    <w:rsid w:val="000327F6"/>
    <w:rsid w:val="00032802"/>
    <w:rsid w:val="000328B1"/>
    <w:rsid w:val="000328F9"/>
    <w:rsid w:val="00032A4A"/>
    <w:rsid w:val="00032AE6"/>
    <w:rsid w:val="00032B1F"/>
    <w:rsid w:val="00032B5D"/>
    <w:rsid w:val="00032C09"/>
    <w:rsid w:val="00032D1F"/>
    <w:rsid w:val="00032D6F"/>
    <w:rsid w:val="000330C2"/>
    <w:rsid w:val="000331F4"/>
    <w:rsid w:val="00033251"/>
    <w:rsid w:val="0003341D"/>
    <w:rsid w:val="000335CB"/>
    <w:rsid w:val="00033933"/>
    <w:rsid w:val="00033A2D"/>
    <w:rsid w:val="00033AD1"/>
    <w:rsid w:val="00033B90"/>
    <w:rsid w:val="00033D14"/>
    <w:rsid w:val="00033DB1"/>
    <w:rsid w:val="00033DE6"/>
    <w:rsid w:val="00033F27"/>
    <w:rsid w:val="0003427F"/>
    <w:rsid w:val="00034387"/>
    <w:rsid w:val="000343B7"/>
    <w:rsid w:val="00034660"/>
    <w:rsid w:val="000346B3"/>
    <w:rsid w:val="0003474E"/>
    <w:rsid w:val="00034961"/>
    <w:rsid w:val="00034987"/>
    <w:rsid w:val="00034AE7"/>
    <w:rsid w:val="00034D37"/>
    <w:rsid w:val="00034E93"/>
    <w:rsid w:val="00035280"/>
    <w:rsid w:val="00035423"/>
    <w:rsid w:val="000354AE"/>
    <w:rsid w:val="00035501"/>
    <w:rsid w:val="0003550D"/>
    <w:rsid w:val="0003572D"/>
    <w:rsid w:val="00035A6F"/>
    <w:rsid w:val="00035D8D"/>
    <w:rsid w:val="00035E99"/>
    <w:rsid w:val="00036116"/>
    <w:rsid w:val="00036327"/>
    <w:rsid w:val="00036360"/>
    <w:rsid w:val="00036B2F"/>
    <w:rsid w:val="00036BD7"/>
    <w:rsid w:val="00036C14"/>
    <w:rsid w:val="00036CBF"/>
    <w:rsid w:val="00036D13"/>
    <w:rsid w:val="00036EAE"/>
    <w:rsid w:val="00036ECF"/>
    <w:rsid w:val="0003730A"/>
    <w:rsid w:val="0003737F"/>
    <w:rsid w:val="00037473"/>
    <w:rsid w:val="00037798"/>
    <w:rsid w:val="00037E67"/>
    <w:rsid w:val="00037EBB"/>
    <w:rsid w:val="00037F4D"/>
    <w:rsid w:val="00037FC7"/>
    <w:rsid w:val="00040236"/>
    <w:rsid w:val="0004046A"/>
    <w:rsid w:val="0004067D"/>
    <w:rsid w:val="00040AE0"/>
    <w:rsid w:val="00040C2A"/>
    <w:rsid w:val="00040CCE"/>
    <w:rsid w:val="00041126"/>
    <w:rsid w:val="00041619"/>
    <w:rsid w:val="00041917"/>
    <w:rsid w:val="00041A36"/>
    <w:rsid w:val="00041D12"/>
    <w:rsid w:val="00041D98"/>
    <w:rsid w:val="0004223F"/>
    <w:rsid w:val="00042741"/>
    <w:rsid w:val="00042965"/>
    <w:rsid w:val="000429F8"/>
    <w:rsid w:val="00042ADB"/>
    <w:rsid w:val="00042B25"/>
    <w:rsid w:val="00042C6C"/>
    <w:rsid w:val="00042E4D"/>
    <w:rsid w:val="00043078"/>
    <w:rsid w:val="000431A6"/>
    <w:rsid w:val="000431C3"/>
    <w:rsid w:val="00043396"/>
    <w:rsid w:val="000433C5"/>
    <w:rsid w:val="000434DB"/>
    <w:rsid w:val="000434F2"/>
    <w:rsid w:val="000436EB"/>
    <w:rsid w:val="000436ED"/>
    <w:rsid w:val="0004379D"/>
    <w:rsid w:val="0004380B"/>
    <w:rsid w:val="0004388C"/>
    <w:rsid w:val="00043A9F"/>
    <w:rsid w:val="00043BD9"/>
    <w:rsid w:val="00043D24"/>
    <w:rsid w:val="00043E87"/>
    <w:rsid w:val="00043F1C"/>
    <w:rsid w:val="00043FFD"/>
    <w:rsid w:val="0004413C"/>
    <w:rsid w:val="00044261"/>
    <w:rsid w:val="000442B6"/>
    <w:rsid w:val="00044426"/>
    <w:rsid w:val="0004459E"/>
    <w:rsid w:val="00044637"/>
    <w:rsid w:val="000446E7"/>
    <w:rsid w:val="00044723"/>
    <w:rsid w:val="00044914"/>
    <w:rsid w:val="00044957"/>
    <w:rsid w:val="00044B15"/>
    <w:rsid w:val="00044DA4"/>
    <w:rsid w:val="00044DE7"/>
    <w:rsid w:val="00044F97"/>
    <w:rsid w:val="0004521F"/>
    <w:rsid w:val="00045244"/>
    <w:rsid w:val="00045656"/>
    <w:rsid w:val="000456F2"/>
    <w:rsid w:val="00045808"/>
    <w:rsid w:val="000458A8"/>
    <w:rsid w:val="00045A8E"/>
    <w:rsid w:val="00045D14"/>
    <w:rsid w:val="00046042"/>
    <w:rsid w:val="000461BC"/>
    <w:rsid w:val="000461D8"/>
    <w:rsid w:val="000467BF"/>
    <w:rsid w:val="00046814"/>
    <w:rsid w:val="00046AE5"/>
    <w:rsid w:val="00046DD5"/>
    <w:rsid w:val="00046DFF"/>
    <w:rsid w:val="00046E6F"/>
    <w:rsid w:val="000471D5"/>
    <w:rsid w:val="000471E0"/>
    <w:rsid w:val="0004739F"/>
    <w:rsid w:val="000473F6"/>
    <w:rsid w:val="00047443"/>
    <w:rsid w:val="0004746D"/>
    <w:rsid w:val="0004752C"/>
    <w:rsid w:val="00047563"/>
    <w:rsid w:val="0004771C"/>
    <w:rsid w:val="000477C1"/>
    <w:rsid w:val="0004794B"/>
    <w:rsid w:val="00047AB0"/>
    <w:rsid w:val="00047C2D"/>
    <w:rsid w:val="00047CCC"/>
    <w:rsid w:val="00047CDF"/>
    <w:rsid w:val="00047EE0"/>
    <w:rsid w:val="00047F51"/>
    <w:rsid w:val="00047F54"/>
    <w:rsid w:val="00047F77"/>
    <w:rsid w:val="00047FDA"/>
    <w:rsid w:val="00050187"/>
    <w:rsid w:val="00050368"/>
    <w:rsid w:val="000506B0"/>
    <w:rsid w:val="00050C57"/>
    <w:rsid w:val="00050DD7"/>
    <w:rsid w:val="00050F5E"/>
    <w:rsid w:val="00051328"/>
    <w:rsid w:val="000514AB"/>
    <w:rsid w:val="00051521"/>
    <w:rsid w:val="000516AC"/>
    <w:rsid w:val="000516E1"/>
    <w:rsid w:val="00051959"/>
    <w:rsid w:val="00051BCD"/>
    <w:rsid w:val="00051E91"/>
    <w:rsid w:val="0005208C"/>
    <w:rsid w:val="0005214D"/>
    <w:rsid w:val="000522DD"/>
    <w:rsid w:val="00052728"/>
    <w:rsid w:val="00052827"/>
    <w:rsid w:val="000529CD"/>
    <w:rsid w:val="00052A38"/>
    <w:rsid w:val="00052A69"/>
    <w:rsid w:val="00052C2C"/>
    <w:rsid w:val="00052FAC"/>
    <w:rsid w:val="0005313B"/>
    <w:rsid w:val="00053158"/>
    <w:rsid w:val="00053273"/>
    <w:rsid w:val="0005353A"/>
    <w:rsid w:val="00053551"/>
    <w:rsid w:val="000537DA"/>
    <w:rsid w:val="00053A99"/>
    <w:rsid w:val="00053EC6"/>
    <w:rsid w:val="000541BB"/>
    <w:rsid w:val="000542DC"/>
    <w:rsid w:val="000544D5"/>
    <w:rsid w:val="0005462F"/>
    <w:rsid w:val="0005466F"/>
    <w:rsid w:val="000546EB"/>
    <w:rsid w:val="000547E0"/>
    <w:rsid w:val="00054800"/>
    <w:rsid w:val="00054933"/>
    <w:rsid w:val="00054AFB"/>
    <w:rsid w:val="00054C05"/>
    <w:rsid w:val="00054C2C"/>
    <w:rsid w:val="00054D7F"/>
    <w:rsid w:val="00054E8A"/>
    <w:rsid w:val="00054F9D"/>
    <w:rsid w:val="00055111"/>
    <w:rsid w:val="0005522E"/>
    <w:rsid w:val="00055243"/>
    <w:rsid w:val="00055733"/>
    <w:rsid w:val="000557AE"/>
    <w:rsid w:val="00055991"/>
    <w:rsid w:val="00055B64"/>
    <w:rsid w:val="00055EE9"/>
    <w:rsid w:val="00056091"/>
    <w:rsid w:val="0005619C"/>
    <w:rsid w:val="00056282"/>
    <w:rsid w:val="00056357"/>
    <w:rsid w:val="000563D0"/>
    <w:rsid w:val="000564B1"/>
    <w:rsid w:val="000564F9"/>
    <w:rsid w:val="000565DA"/>
    <w:rsid w:val="0005665A"/>
    <w:rsid w:val="00056764"/>
    <w:rsid w:val="00056803"/>
    <w:rsid w:val="00056B8A"/>
    <w:rsid w:val="00056B97"/>
    <w:rsid w:val="00056EC0"/>
    <w:rsid w:val="0005728B"/>
    <w:rsid w:val="00057618"/>
    <w:rsid w:val="0005791F"/>
    <w:rsid w:val="00057957"/>
    <w:rsid w:val="00057B47"/>
    <w:rsid w:val="00057B60"/>
    <w:rsid w:val="00057F05"/>
    <w:rsid w:val="0006030B"/>
    <w:rsid w:val="00060335"/>
    <w:rsid w:val="000606B9"/>
    <w:rsid w:val="00060897"/>
    <w:rsid w:val="00060A84"/>
    <w:rsid w:val="00060CBF"/>
    <w:rsid w:val="00060CD6"/>
    <w:rsid w:val="00060D01"/>
    <w:rsid w:val="00060FAD"/>
    <w:rsid w:val="000610E5"/>
    <w:rsid w:val="00061503"/>
    <w:rsid w:val="00061805"/>
    <w:rsid w:val="00061E96"/>
    <w:rsid w:val="00061FBD"/>
    <w:rsid w:val="0006204F"/>
    <w:rsid w:val="00062060"/>
    <w:rsid w:val="0006227A"/>
    <w:rsid w:val="000622DA"/>
    <w:rsid w:val="00062315"/>
    <w:rsid w:val="0006244D"/>
    <w:rsid w:val="000624C0"/>
    <w:rsid w:val="0006266D"/>
    <w:rsid w:val="000626BD"/>
    <w:rsid w:val="00062756"/>
    <w:rsid w:val="000627EB"/>
    <w:rsid w:val="00062850"/>
    <w:rsid w:val="00062880"/>
    <w:rsid w:val="0006291E"/>
    <w:rsid w:val="0006293B"/>
    <w:rsid w:val="00062AF1"/>
    <w:rsid w:val="00062FFD"/>
    <w:rsid w:val="000632A2"/>
    <w:rsid w:val="000633E9"/>
    <w:rsid w:val="00063407"/>
    <w:rsid w:val="00063489"/>
    <w:rsid w:val="000635BE"/>
    <w:rsid w:val="0006377C"/>
    <w:rsid w:val="00063AE4"/>
    <w:rsid w:val="00063F6E"/>
    <w:rsid w:val="00063F81"/>
    <w:rsid w:val="00063FB8"/>
    <w:rsid w:val="0006412A"/>
    <w:rsid w:val="0006432C"/>
    <w:rsid w:val="0006445E"/>
    <w:rsid w:val="00064679"/>
    <w:rsid w:val="00064847"/>
    <w:rsid w:val="00064A14"/>
    <w:rsid w:val="00064BA9"/>
    <w:rsid w:val="00064CC7"/>
    <w:rsid w:val="00064F47"/>
    <w:rsid w:val="0006504C"/>
    <w:rsid w:val="0006505E"/>
    <w:rsid w:val="00065268"/>
    <w:rsid w:val="0006549A"/>
    <w:rsid w:val="00065523"/>
    <w:rsid w:val="00065700"/>
    <w:rsid w:val="00065A0B"/>
    <w:rsid w:val="00065BE3"/>
    <w:rsid w:val="00065C3E"/>
    <w:rsid w:val="00065C58"/>
    <w:rsid w:val="00065FA2"/>
    <w:rsid w:val="000660B6"/>
    <w:rsid w:val="00066244"/>
    <w:rsid w:val="000662F0"/>
    <w:rsid w:val="000665ED"/>
    <w:rsid w:val="000666C8"/>
    <w:rsid w:val="0006670D"/>
    <w:rsid w:val="00066883"/>
    <w:rsid w:val="0006690C"/>
    <w:rsid w:val="00066E1A"/>
    <w:rsid w:val="00066E39"/>
    <w:rsid w:val="00067043"/>
    <w:rsid w:val="00067167"/>
    <w:rsid w:val="00067B3B"/>
    <w:rsid w:val="00067F4E"/>
    <w:rsid w:val="0007005F"/>
    <w:rsid w:val="00070273"/>
    <w:rsid w:val="00070401"/>
    <w:rsid w:val="00070965"/>
    <w:rsid w:val="00070A5B"/>
    <w:rsid w:val="00070BD1"/>
    <w:rsid w:val="00070BEE"/>
    <w:rsid w:val="00070D9C"/>
    <w:rsid w:val="00070DFF"/>
    <w:rsid w:val="00070EE4"/>
    <w:rsid w:val="00070F5E"/>
    <w:rsid w:val="00071164"/>
    <w:rsid w:val="000711D7"/>
    <w:rsid w:val="000712D6"/>
    <w:rsid w:val="000714BC"/>
    <w:rsid w:val="00071BAB"/>
    <w:rsid w:val="00071D36"/>
    <w:rsid w:val="00071D6E"/>
    <w:rsid w:val="0007224A"/>
    <w:rsid w:val="00072376"/>
    <w:rsid w:val="0007280C"/>
    <w:rsid w:val="0007287E"/>
    <w:rsid w:val="00072DC1"/>
    <w:rsid w:val="00072F45"/>
    <w:rsid w:val="0007303B"/>
    <w:rsid w:val="00073091"/>
    <w:rsid w:val="00073134"/>
    <w:rsid w:val="00073471"/>
    <w:rsid w:val="000735B3"/>
    <w:rsid w:val="000735DC"/>
    <w:rsid w:val="000737F0"/>
    <w:rsid w:val="0007380D"/>
    <w:rsid w:val="000739A7"/>
    <w:rsid w:val="00073B62"/>
    <w:rsid w:val="00073D03"/>
    <w:rsid w:val="00073D3E"/>
    <w:rsid w:val="00073E6C"/>
    <w:rsid w:val="00073F31"/>
    <w:rsid w:val="00073F9A"/>
    <w:rsid w:val="0007405E"/>
    <w:rsid w:val="000741C8"/>
    <w:rsid w:val="000741FF"/>
    <w:rsid w:val="00074380"/>
    <w:rsid w:val="00074610"/>
    <w:rsid w:val="0007466C"/>
    <w:rsid w:val="000746A9"/>
    <w:rsid w:val="0007499B"/>
    <w:rsid w:val="00074A9A"/>
    <w:rsid w:val="00074AA5"/>
    <w:rsid w:val="00074D8C"/>
    <w:rsid w:val="00074E57"/>
    <w:rsid w:val="00074FD5"/>
    <w:rsid w:val="00075288"/>
    <w:rsid w:val="0007545D"/>
    <w:rsid w:val="00075675"/>
    <w:rsid w:val="0007571E"/>
    <w:rsid w:val="00075875"/>
    <w:rsid w:val="000758F7"/>
    <w:rsid w:val="00075B6D"/>
    <w:rsid w:val="00075D49"/>
    <w:rsid w:val="00075E8B"/>
    <w:rsid w:val="00076008"/>
    <w:rsid w:val="000763B2"/>
    <w:rsid w:val="000763CC"/>
    <w:rsid w:val="000765BE"/>
    <w:rsid w:val="000765FD"/>
    <w:rsid w:val="00076629"/>
    <w:rsid w:val="0007667A"/>
    <w:rsid w:val="00076847"/>
    <w:rsid w:val="0007684A"/>
    <w:rsid w:val="0007692E"/>
    <w:rsid w:val="0007698E"/>
    <w:rsid w:val="00076993"/>
    <w:rsid w:val="00076BFE"/>
    <w:rsid w:val="00076F11"/>
    <w:rsid w:val="00076F8D"/>
    <w:rsid w:val="00077162"/>
    <w:rsid w:val="00077208"/>
    <w:rsid w:val="000773F0"/>
    <w:rsid w:val="00077431"/>
    <w:rsid w:val="0007745F"/>
    <w:rsid w:val="000774E6"/>
    <w:rsid w:val="000775CB"/>
    <w:rsid w:val="00077B10"/>
    <w:rsid w:val="00077EE8"/>
    <w:rsid w:val="00080048"/>
    <w:rsid w:val="0008020E"/>
    <w:rsid w:val="00080389"/>
    <w:rsid w:val="00080529"/>
    <w:rsid w:val="00080880"/>
    <w:rsid w:val="00080AE3"/>
    <w:rsid w:val="00080CF2"/>
    <w:rsid w:val="000810C2"/>
    <w:rsid w:val="00081113"/>
    <w:rsid w:val="0008118F"/>
    <w:rsid w:val="00081236"/>
    <w:rsid w:val="00081472"/>
    <w:rsid w:val="00081542"/>
    <w:rsid w:val="000815C0"/>
    <w:rsid w:val="0008187C"/>
    <w:rsid w:val="00081A16"/>
    <w:rsid w:val="00081DC5"/>
    <w:rsid w:val="00081E8A"/>
    <w:rsid w:val="00081F46"/>
    <w:rsid w:val="00081F56"/>
    <w:rsid w:val="00081F65"/>
    <w:rsid w:val="000822C5"/>
    <w:rsid w:val="00082D12"/>
    <w:rsid w:val="00082E76"/>
    <w:rsid w:val="00082FFA"/>
    <w:rsid w:val="00083015"/>
    <w:rsid w:val="00083667"/>
    <w:rsid w:val="00083985"/>
    <w:rsid w:val="0008399A"/>
    <w:rsid w:val="00083A06"/>
    <w:rsid w:val="00083E15"/>
    <w:rsid w:val="00083E4C"/>
    <w:rsid w:val="00083EA0"/>
    <w:rsid w:val="00083F84"/>
    <w:rsid w:val="00083FC5"/>
    <w:rsid w:val="00084018"/>
    <w:rsid w:val="00084051"/>
    <w:rsid w:val="000840A6"/>
    <w:rsid w:val="000840AD"/>
    <w:rsid w:val="000841FA"/>
    <w:rsid w:val="00084303"/>
    <w:rsid w:val="0008433F"/>
    <w:rsid w:val="0008464D"/>
    <w:rsid w:val="000846FB"/>
    <w:rsid w:val="0008489D"/>
    <w:rsid w:val="00084B00"/>
    <w:rsid w:val="00084C43"/>
    <w:rsid w:val="00085094"/>
    <w:rsid w:val="000852BD"/>
    <w:rsid w:val="0008552F"/>
    <w:rsid w:val="00085576"/>
    <w:rsid w:val="000855D7"/>
    <w:rsid w:val="0008560F"/>
    <w:rsid w:val="0008566E"/>
    <w:rsid w:val="00085706"/>
    <w:rsid w:val="00085895"/>
    <w:rsid w:val="000858B6"/>
    <w:rsid w:val="000858F8"/>
    <w:rsid w:val="0008597F"/>
    <w:rsid w:val="00085B6F"/>
    <w:rsid w:val="00085BAD"/>
    <w:rsid w:val="00085E39"/>
    <w:rsid w:val="00085F24"/>
    <w:rsid w:val="00086446"/>
    <w:rsid w:val="0008674C"/>
    <w:rsid w:val="000867BB"/>
    <w:rsid w:val="00086922"/>
    <w:rsid w:val="0008697B"/>
    <w:rsid w:val="00086AA0"/>
    <w:rsid w:val="00086D70"/>
    <w:rsid w:val="00086FBE"/>
    <w:rsid w:val="00086FEF"/>
    <w:rsid w:val="00087036"/>
    <w:rsid w:val="000870E2"/>
    <w:rsid w:val="000870E3"/>
    <w:rsid w:val="00087188"/>
    <w:rsid w:val="00087316"/>
    <w:rsid w:val="00087400"/>
    <w:rsid w:val="0008746D"/>
    <w:rsid w:val="000875C7"/>
    <w:rsid w:val="000875EA"/>
    <w:rsid w:val="0008785D"/>
    <w:rsid w:val="000878BE"/>
    <w:rsid w:val="000878DD"/>
    <w:rsid w:val="000879EF"/>
    <w:rsid w:val="00087AE1"/>
    <w:rsid w:val="00087C84"/>
    <w:rsid w:val="00087E79"/>
    <w:rsid w:val="00090236"/>
    <w:rsid w:val="0009023A"/>
    <w:rsid w:val="00090315"/>
    <w:rsid w:val="0009036A"/>
    <w:rsid w:val="000903A8"/>
    <w:rsid w:val="00090454"/>
    <w:rsid w:val="000904D2"/>
    <w:rsid w:val="000905FB"/>
    <w:rsid w:val="000906B5"/>
    <w:rsid w:val="00090721"/>
    <w:rsid w:val="0009073C"/>
    <w:rsid w:val="000908DE"/>
    <w:rsid w:val="0009099E"/>
    <w:rsid w:val="00090A93"/>
    <w:rsid w:val="00090B59"/>
    <w:rsid w:val="00090D56"/>
    <w:rsid w:val="00090F40"/>
    <w:rsid w:val="0009110D"/>
    <w:rsid w:val="000911D7"/>
    <w:rsid w:val="000914DA"/>
    <w:rsid w:val="00091745"/>
    <w:rsid w:val="0009180A"/>
    <w:rsid w:val="000918AB"/>
    <w:rsid w:val="00091D1B"/>
    <w:rsid w:val="00091E31"/>
    <w:rsid w:val="00091EF7"/>
    <w:rsid w:val="0009218D"/>
    <w:rsid w:val="0009246B"/>
    <w:rsid w:val="000926F2"/>
    <w:rsid w:val="00092B71"/>
    <w:rsid w:val="00092D02"/>
    <w:rsid w:val="00092D97"/>
    <w:rsid w:val="00092DD1"/>
    <w:rsid w:val="00092F17"/>
    <w:rsid w:val="00092F23"/>
    <w:rsid w:val="00092F36"/>
    <w:rsid w:val="00092F7D"/>
    <w:rsid w:val="00093162"/>
    <w:rsid w:val="000931F4"/>
    <w:rsid w:val="000932FC"/>
    <w:rsid w:val="0009341F"/>
    <w:rsid w:val="00093576"/>
    <w:rsid w:val="000935C2"/>
    <w:rsid w:val="000937D2"/>
    <w:rsid w:val="000937F9"/>
    <w:rsid w:val="00093A07"/>
    <w:rsid w:val="00093B2A"/>
    <w:rsid w:val="00094000"/>
    <w:rsid w:val="00094091"/>
    <w:rsid w:val="000941E0"/>
    <w:rsid w:val="0009427B"/>
    <w:rsid w:val="000942D1"/>
    <w:rsid w:val="000942F9"/>
    <w:rsid w:val="0009447A"/>
    <w:rsid w:val="000944CC"/>
    <w:rsid w:val="00094772"/>
    <w:rsid w:val="00094CE9"/>
    <w:rsid w:val="00094D35"/>
    <w:rsid w:val="000950B9"/>
    <w:rsid w:val="0009531A"/>
    <w:rsid w:val="00095434"/>
    <w:rsid w:val="00095440"/>
    <w:rsid w:val="000954DC"/>
    <w:rsid w:val="000955ED"/>
    <w:rsid w:val="00095610"/>
    <w:rsid w:val="000957C5"/>
    <w:rsid w:val="00095860"/>
    <w:rsid w:val="0009587E"/>
    <w:rsid w:val="00095885"/>
    <w:rsid w:val="00095C21"/>
    <w:rsid w:val="00095C54"/>
    <w:rsid w:val="00095E32"/>
    <w:rsid w:val="000960A1"/>
    <w:rsid w:val="00096146"/>
    <w:rsid w:val="000961CC"/>
    <w:rsid w:val="0009624B"/>
    <w:rsid w:val="000962B5"/>
    <w:rsid w:val="0009674F"/>
    <w:rsid w:val="00096AF7"/>
    <w:rsid w:val="00096F37"/>
    <w:rsid w:val="00096F8A"/>
    <w:rsid w:val="0009721F"/>
    <w:rsid w:val="00097232"/>
    <w:rsid w:val="0009723B"/>
    <w:rsid w:val="0009743A"/>
    <w:rsid w:val="000975F6"/>
    <w:rsid w:val="00097644"/>
    <w:rsid w:val="00097750"/>
    <w:rsid w:val="00097990"/>
    <w:rsid w:val="00097A3F"/>
    <w:rsid w:val="00097A89"/>
    <w:rsid w:val="00097B78"/>
    <w:rsid w:val="00097D3A"/>
    <w:rsid w:val="00097D8E"/>
    <w:rsid w:val="00097DD4"/>
    <w:rsid w:val="00097E6E"/>
    <w:rsid w:val="000A008B"/>
    <w:rsid w:val="000A026F"/>
    <w:rsid w:val="000A035F"/>
    <w:rsid w:val="000A047D"/>
    <w:rsid w:val="000A04D3"/>
    <w:rsid w:val="000A0689"/>
    <w:rsid w:val="000A0980"/>
    <w:rsid w:val="000A0B6B"/>
    <w:rsid w:val="000A0D68"/>
    <w:rsid w:val="000A0F0F"/>
    <w:rsid w:val="000A0F17"/>
    <w:rsid w:val="000A1197"/>
    <w:rsid w:val="000A135C"/>
    <w:rsid w:val="000A1436"/>
    <w:rsid w:val="000A165B"/>
    <w:rsid w:val="000A19C0"/>
    <w:rsid w:val="000A1AB0"/>
    <w:rsid w:val="000A1AE9"/>
    <w:rsid w:val="000A1E9F"/>
    <w:rsid w:val="000A281D"/>
    <w:rsid w:val="000A2EE3"/>
    <w:rsid w:val="000A2F4B"/>
    <w:rsid w:val="000A2F86"/>
    <w:rsid w:val="000A2F90"/>
    <w:rsid w:val="000A31E4"/>
    <w:rsid w:val="000A3238"/>
    <w:rsid w:val="000A36A6"/>
    <w:rsid w:val="000A36C2"/>
    <w:rsid w:val="000A37C7"/>
    <w:rsid w:val="000A3870"/>
    <w:rsid w:val="000A3AC4"/>
    <w:rsid w:val="000A3B53"/>
    <w:rsid w:val="000A3B5D"/>
    <w:rsid w:val="000A3E5C"/>
    <w:rsid w:val="000A3E8E"/>
    <w:rsid w:val="000A3EAA"/>
    <w:rsid w:val="000A3EE4"/>
    <w:rsid w:val="000A3F72"/>
    <w:rsid w:val="000A40DA"/>
    <w:rsid w:val="000A4342"/>
    <w:rsid w:val="000A4458"/>
    <w:rsid w:val="000A45EA"/>
    <w:rsid w:val="000A45F8"/>
    <w:rsid w:val="000A4607"/>
    <w:rsid w:val="000A4712"/>
    <w:rsid w:val="000A4760"/>
    <w:rsid w:val="000A4943"/>
    <w:rsid w:val="000A4A11"/>
    <w:rsid w:val="000A4A8E"/>
    <w:rsid w:val="000A4E0B"/>
    <w:rsid w:val="000A50D6"/>
    <w:rsid w:val="000A52AC"/>
    <w:rsid w:val="000A533C"/>
    <w:rsid w:val="000A5419"/>
    <w:rsid w:val="000A5483"/>
    <w:rsid w:val="000A5776"/>
    <w:rsid w:val="000A5A68"/>
    <w:rsid w:val="000A5A9E"/>
    <w:rsid w:val="000A5AEB"/>
    <w:rsid w:val="000A5B1B"/>
    <w:rsid w:val="000A5BE1"/>
    <w:rsid w:val="000A5CC9"/>
    <w:rsid w:val="000A630F"/>
    <w:rsid w:val="000A6A07"/>
    <w:rsid w:val="000A6A57"/>
    <w:rsid w:val="000A6BEB"/>
    <w:rsid w:val="000A70BD"/>
    <w:rsid w:val="000A70C5"/>
    <w:rsid w:val="000A7152"/>
    <w:rsid w:val="000A719D"/>
    <w:rsid w:val="000A71F2"/>
    <w:rsid w:val="000A722E"/>
    <w:rsid w:val="000A723B"/>
    <w:rsid w:val="000A7288"/>
    <w:rsid w:val="000A752E"/>
    <w:rsid w:val="000A76B6"/>
    <w:rsid w:val="000A7A82"/>
    <w:rsid w:val="000A7B88"/>
    <w:rsid w:val="000A7D2B"/>
    <w:rsid w:val="000A7D73"/>
    <w:rsid w:val="000A7EF6"/>
    <w:rsid w:val="000B0049"/>
    <w:rsid w:val="000B0126"/>
    <w:rsid w:val="000B017C"/>
    <w:rsid w:val="000B058C"/>
    <w:rsid w:val="000B0B0B"/>
    <w:rsid w:val="000B0B4C"/>
    <w:rsid w:val="000B0BD2"/>
    <w:rsid w:val="000B0C0B"/>
    <w:rsid w:val="000B0D3B"/>
    <w:rsid w:val="000B105B"/>
    <w:rsid w:val="000B1520"/>
    <w:rsid w:val="000B1592"/>
    <w:rsid w:val="000B1619"/>
    <w:rsid w:val="000B1AD5"/>
    <w:rsid w:val="000B1AF1"/>
    <w:rsid w:val="000B1D20"/>
    <w:rsid w:val="000B1DD3"/>
    <w:rsid w:val="000B20A6"/>
    <w:rsid w:val="000B20E6"/>
    <w:rsid w:val="000B21C0"/>
    <w:rsid w:val="000B2325"/>
    <w:rsid w:val="000B23A3"/>
    <w:rsid w:val="000B2507"/>
    <w:rsid w:val="000B2546"/>
    <w:rsid w:val="000B274F"/>
    <w:rsid w:val="000B290E"/>
    <w:rsid w:val="000B2BC5"/>
    <w:rsid w:val="000B2C0B"/>
    <w:rsid w:val="000B2E21"/>
    <w:rsid w:val="000B3109"/>
    <w:rsid w:val="000B3351"/>
    <w:rsid w:val="000B3399"/>
    <w:rsid w:val="000B33F9"/>
    <w:rsid w:val="000B349A"/>
    <w:rsid w:val="000B3605"/>
    <w:rsid w:val="000B3647"/>
    <w:rsid w:val="000B367D"/>
    <w:rsid w:val="000B372B"/>
    <w:rsid w:val="000B38A8"/>
    <w:rsid w:val="000B3963"/>
    <w:rsid w:val="000B39E9"/>
    <w:rsid w:val="000B3AB5"/>
    <w:rsid w:val="000B4020"/>
    <w:rsid w:val="000B40D7"/>
    <w:rsid w:val="000B443D"/>
    <w:rsid w:val="000B46C1"/>
    <w:rsid w:val="000B4743"/>
    <w:rsid w:val="000B4782"/>
    <w:rsid w:val="000B47DD"/>
    <w:rsid w:val="000B4AD9"/>
    <w:rsid w:val="000B4BCD"/>
    <w:rsid w:val="000B4CC1"/>
    <w:rsid w:val="000B4FB7"/>
    <w:rsid w:val="000B4FF6"/>
    <w:rsid w:val="000B5172"/>
    <w:rsid w:val="000B51B3"/>
    <w:rsid w:val="000B5200"/>
    <w:rsid w:val="000B526D"/>
    <w:rsid w:val="000B5297"/>
    <w:rsid w:val="000B54DE"/>
    <w:rsid w:val="000B552A"/>
    <w:rsid w:val="000B5550"/>
    <w:rsid w:val="000B576E"/>
    <w:rsid w:val="000B581D"/>
    <w:rsid w:val="000B5A5E"/>
    <w:rsid w:val="000B5C7C"/>
    <w:rsid w:val="000B5D58"/>
    <w:rsid w:val="000B6200"/>
    <w:rsid w:val="000B64A7"/>
    <w:rsid w:val="000B65D8"/>
    <w:rsid w:val="000B66EA"/>
    <w:rsid w:val="000B66ED"/>
    <w:rsid w:val="000B6861"/>
    <w:rsid w:val="000B6B5A"/>
    <w:rsid w:val="000B6BC5"/>
    <w:rsid w:val="000B6ED8"/>
    <w:rsid w:val="000B71CC"/>
    <w:rsid w:val="000B7289"/>
    <w:rsid w:val="000B7379"/>
    <w:rsid w:val="000B7483"/>
    <w:rsid w:val="000B7491"/>
    <w:rsid w:val="000B749A"/>
    <w:rsid w:val="000B75A9"/>
    <w:rsid w:val="000B78BD"/>
    <w:rsid w:val="000B7D1E"/>
    <w:rsid w:val="000B7D93"/>
    <w:rsid w:val="000B7F47"/>
    <w:rsid w:val="000C0019"/>
    <w:rsid w:val="000C02F8"/>
    <w:rsid w:val="000C03DF"/>
    <w:rsid w:val="000C04AF"/>
    <w:rsid w:val="000C04F2"/>
    <w:rsid w:val="000C050B"/>
    <w:rsid w:val="000C0651"/>
    <w:rsid w:val="000C07A8"/>
    <w:rsid w:val="000C0848"/>
    <w:rsid w:val="000C098B"/>
    <w:rsid w:val="000C0AD7"/>
    <w:rsid w:val="000C0B23"/>
    <w:rsid w:val="000C1025"/>
    <w:rsid w:val="000C10C6"/>
    <w:rsid w:val="000C17EE"/>
    <w:rsid w:val="000C18CE"/>
    <w:rsid w:val="000C1B34"/>
    <w:rsid w:val="000C1BF1"/>
    <w:rsid w:val="000C1E45"/>
    <w:rsid w:val="000C22BF"/>
    <w:rsid w:val="000C25CF"/>
    <w:rsid w:val="000C2651"/>
    <w:rsid w:val="000C28F3"/>
    <w:rsid w:val="000C2A5F"/>
    <w:rsid w:val="000C2A84"/>
    <w:rsid w:val="000C2C77"/>
    <w:rsid w:val="000C2D0F"/>
    <w:rsid w:val="000C3170"/>
    <w:rsid w:val="000C3250"/>
    <w:rsid w:val="000C3264"/>
    <w:rsid w:val="000C33A4"/>
    <w:rsid w:val="000C3432"/>
    <w:rsid w:val="000C38AF"/>
    <w:rsid w:val="000C38BF"/>
    <w:rsid w:val="000C38F9"/>
    <w:rsid w:val="000C3CD4"/>
    <w:rsid w:val="000C3EF0"/>
    <w:rsid w:val="000C4135"/>
    <w:rsid w:val="000C47A5"/>
    <w:rsid w:val="000C54C0"/>
    <w:rsid w:val="000C56CB"/>
    <w:rsid w:val="000C56E1"/>
    <w:rsid w:val="000C56F0"/>
    <w:rsid w:val="000C5763"/>
    <w:rsid w:val="000C5974"/>
    <w:rsid w:val="000C5B7F"/>
    <w:rsid w:val="000C5CF3"/>
    <w:rsid w:val="000C5E9E"/>
    <w:rsid w:val="000C629F"/>
    <w:rsid w:val="000C64DF"/>
    <w:rsid w:val="000C6613"/>
    <w:rsid w:val="000C67C4"/>
    <w:rsid w:val="000C694F"/>
    <w:rsid w:val="000C6D32"/>
    <w:rsid w:val="000C6EFB"/>
    <w:rsid w:val="000C6F1D"/>
    <w:rsid w:val="000C718C"/>
    <w:rsid w:val="000C73B5"/>
    <w:rsid w:val="000C74C5"/>
    <w:rsid w:val="000C7708"/>
    <w:rsid w:val="000C7710"/>
    <w:rsid w:val="000C7736"/>
    <w:rsid w:val="000C7773"/>
    <w:rsid w:val="000C77CC"/>
    <w:rsid w:val="000C7DF6"/>
    <w:rsid w:val="000C7E66"/>
    <w:rsid w:val="000D028D"/>
    <w:rsid w:val="000D0346"/>
    <w:rsid w:val="000D05CE"/>
    <w:rsid w:val="000D0602"/>
    <w:rsid w:val="000D06F8"/>
    <w:rsid w:val="000D07B1"/>
    <w:rsid w:val="000D0A67"/>
    <w:rsid w:val="000D0B5E"/>
    <w:rsid w:val="000D0C99"/>
    <w:rsid w:val="000D0DF9"/>
    <w:rsid w:val="000D1028"/>
    <w:rsid w:val="000D1091"/>
    <w:rsid w:val="000D1096"/>
    <w:rsid w:val="000D113C"/>
    <w:rsid w:val="000D12E9"/>
    <w:rsid w:val="000D15C6"/>
    <w:rsid w:val="000D1A6D"/>
    <w:rsid w:val="000D1C61"/>
    <w:rsid w:val="000D1D0E"/>
    <w:rsid w:val="000D1D2C"/>
    <w:rsid w:val="000D1E1E"/>
    <w:rsid w:val="000D1E52"/>
    <w:rsid w:val="000D1ED1"/>
    <w:rsid w:val="000D205E"/>
    <w:rsid w:val="000D2367"/>
    <w:rsid w:val="000D241F"/>
    <w:rsid w:val="000D27A5"/>
    <w:rsid w:val="000D27C9"/>
    <w:rsid w:val="000D2945"/>
    <w:rsid w:val="000D29CC"/>
    <w:rsid w:val="000D2BC5"/>
    <w:rsid w:val="000D2D35"/>
    <w:rsid w:val="000D2E2C"/>
    <w:rsid w:val="000D2F73"/>
    <w:rsid w:val="000D2F97"/>
    <w:rsid w:val="000D2FAA"/>
    <w:rsid w:val="000D3371"/>
    <w:rsid w:val="000D3399"/>
    <w:rsid w:val="000D35D1"/>
    <w:rsid w:val="000D3657"/>
    <w:rsid w:val="000D37BF"/>
    <w:rsid w:val="000D3811"/>
    <w:rsid w:val="000D38E5"/>
    <w:rsid w:val="000D3982"/>
    <w:rsid w:val="000D3B33"/>
    <w:rsid w:val="000D3DA9"/>
    <w:rsid w:val="000D3F82"/>
    <w:rsid w:val="000D3F9A"/>
    <w:rsid w:val="000D4183"/>
    <w:rsid w:val="000D41C9"/>
    <w:rsid w:val="000D41DD"/>
    <w:rsid w:val="000D41E5"/>
    <w:rsid w:val="000D42E4"/>
    <w:rsid w:val="000D4303"/>
    <w:rsid w:val="000D45EC"/>
    <w:rsid w:val="000D4929"/>
    <w:rsid w:val="000D4957"/>
    <w:rsid w:val="000D49B8"/>
    <w:rsid w:val="000D4BD2"/>
    <w:rsid w:val="000D4EAA"/>
    <w:rsid w:val="000D4FB1"/>
    <w:rsid w:val="000D4FB5"/>
    <w:rsid w:val="000D508D"/>
    <w:rsid w:val="000D521D"/>
    <w:rsid w:val="000D5238"/>
    <w:rsid w:val="000D527B"/>
    <w:rsid w:val="000D532E"/>
    <w:rsid w:val="000D55D7"/>
    <w:rsid w:val="000D55FB"/>
    <w:rsid w:val="000D573C"/>
    <w:rsid w:val="000D5778"/>
    <w:rsid w:val="000D577F"/>
    <w:rsid w:val="000D58B1"/>
    <w:rsid w:val="000D5C80"/>
    <w:rsid w:val="000D5F57"/>
    <w:rsid w:val="000D6149"/>
    <w:rsid w:val="000D6195"/>
    <w:rsid w:val="000D619E"/>
    <w:rsid w:val="000D6453"/>
    <w:rsid w:val="000D64C1"/>
    <w:rsid w:val="000D655D"/>
    <w:rsid w:val="000D6896"/>
    <w:rsid w:val="000D689D"/>
    <w:rsid w:val="000D6CDF"/>
    <w:rsid w:val="000D6D01"/>
    <w:rsid w:val="000D6E12"/>
    <w:rsid w:val="000D74D4"/>
    <w:rsid w:val="000D778A"/>
    <w:rsid w:val="000D78F4"/>
    <w:rsid w:val="000D7A51"/>
    <w:rsid w:val="000D7B10"/>
    <w:rsid w:val="000D7BF2"/>
    <w:rsid w:val="000D7C51"/>
    <w:rsid w:val="000D7D2C"/>
    <w:rsid w:val="000D7F06"/>
    <w:rsid w:val="000E00D8"/>
    <w:rsid w:val="000E00F3"/>
    <w:rsid w:val="000E0134"/>
    <w:rsid w:val="000E0556"/>
    <w:rsid w:val="000E0613"/>
    <w:rsid w:val="000E073B"/>
    <w:rsid w:val="000E07E8"/>
    <w:rsid w:val="000E081C"/>
    <w:rsid w:val="000E0944"/>
    <w:rsid w:val="000E099F"/>
    <w:rsid w:val="000E0A05"/>
    <w:rsid w:val="000E0D3F"/>
    <w:rsid w:val="000E0F2B"/>
    <w:rsid w:val="000E105B"/>
    <w:rsid w:val="000E132A"/>
    <w:rsid w:val="000E149B"/>
    <w:rsid w:val="000E14F9"/>
    <w:rsid w:val="000E16FF"/>
    <w:rsid w:val="000E1980"/>
    <w:rsid w:val="000E1C72"/>
    <w:rsid w:val="000E1F2D"/>
    <w:rsid w:val="000E221D"/>
    <w:rsid w:val="000E24B0"/>
    <w:rsid w:val="000E257F"/>
    <w:rsid w:val="000E2601"/>
    <w:rsid w:val="000E2C09"/>
    <w:rsid w:val="000E2E1D"/>
    <w:rsid w:val="000E308F"/>
    <w:rsid w:val="000E31BB"/>
    <w:rsid w:val="000E322E"/>
    <w:rsid w:val="000E3253"/>
    <w:rsid w:val="000E32FE"/>
    <w:rsid w:val="000E3330"/>
    <w:rsid w:val="000E341F"/>
    <w:rsid w:val="000E3712"/>
    <w:rsid w:val="000E3866"/>
    <w:rsid w:val="000E3867"/>
    <w:rsid w:val="000E3954"/>
    <w:rsid w:val="000E3B5E"/>
    <w:rsid w:val="000E3E3E"/>
    <w:rsid w:val="000E3EF7"/>
    <w:rsid w:val="000E3F7A"/>
    <w:rsid w:val="000E3FDC"/>
    <w:rsid w:val="000E4631"/>
    <w:rsid w:val="000E4692"/>
    <w:rsid w:val="000E4C74"/>
    <w:rsid w:val="000E4FA4"/>
    <w:rsid w:val="000E50CA"/>
    <w:rsid w:val="000E5107"/>
    <w:rsid w:val="000E525F"/>
    <w:rsid w:val="000E538C"/>
    <w:rsid w:val="000E542F"/>
    <w:rsid w:val="000E5523"/>
    <w:rsid w:val="000E5799"/>
    <w:rsid w:val="000E5950"/>
    <w:rsid w:val="000E59BC"/>
    <w:rsid w:val="000E5ADC"/>
    <w:rsid w:val="000E614F"/>
    <w:rsid w:val="000E64D0"/>
    <w:rsid w:val="000E66DB"/>
    <w:rsid w:val="000E672B"/>
    <w:rsid w:val="000E6740"/>
    <w:rsid w:val="000E68BD"/>
    <w:rsid w:val="000E6C00"/>
    <w:rsid w:val="000E6E67"/>
    <w:rsid w:val="000E7415"/>
    <w:rsid w:val="000E7627"/>
    <w:rsid w:val="000E762B"/>
    <w:rsid w:val="000E771E"/>
    <w:rsid w:val="000E77C8"/>
    <w:rsid w:val="000E7DFA"/>
    <w:rsid w:val="000E7FED"/>
    <w:rsid w:val="000F025A"/>
    <w:rsid w:val="000F0337"/>
    <w:rsid w:val="000F04C3"/>
    <w:rsid w:val="000F0597"/>
    <w:rsid w:val="000F0998"/>
    <w:rsid w:val="000F09A7"/>
    <w:rsid w:val="000F0C86"/>
    <w:rsid w:val="000F0CBE"/>
    <w:rsid w:val="000F0D12"/>
    <w:rsid w:val="000F0D39"/>
    <w:rsid w:val="000F0D70"/>
    <w:rsid w:val="000F10A4"/>
    <w:rsid w:val="000F1248"/>
    <w:rsid w:val="000F124A"/>
    <w:rsid w:val="000F13A7"/>
    <w:rsid w:val="000F13D2"/>
    <w:rsid w:val="000F1588"/>
    <w:rsid w:val="000F15B1"/>
    <w:rsid w:val="000F17B7"/>
    <w:rsid w:val="000F1989"/>
    <w:rsid w:val="000F19C1"/>
    <w:rsid w:val="000F1ADA"/>
    <w:rsid w:val="000F1B12"/>
    <w:rsid w:val="000F1BE5"/>
    <w:rsid w:val="000F1D32"/>
    <w:rsid w:val="000F1DE3"/>
    <w:rsid w:val="000F2023"/>
    <w:rsid w:val="000F2067"/>
    <w:rsid w:val="000F20BB"/>
    <w:rsid w:val="000F2117"/>
    <w:rsid w:val="000F2455"/>
    <w:rsid w:val="000F2595"/>
    <w:rsid w:val="000F27DA"/>
    <w:rsid w:val="000F27FF"/>
    <w:rsid w:val="000F2970"/>
    <w:rsid w:val="000F2997"/>
    <w:rsid w:val="000F2AD5"/>
    <w:rsid w:val="000F2C93"/>
    <w:rsid w:val="000F3092"/>
    <w:rsid w:val="000F31B2"/>
    <w:rsid w:val="000F3822"/>
    <w:rsid w:val="000F3BA0"/>
    <w:rsid w:val="000F3BCD"/>
    <w:rsid w:val="000F3CEC"/>
    <w:rsid w:val="000F3FD5"/>
    <w:rsid w:val="000F4046"/>
    <w:rsid w:val="000F4220"/>
    <w:rsid w:val="000F44FC"/>
    <w:rsid w:val="000F457E"/>
    <w:rsid w:val="000F482F"/>
    <w:rsid w:val="000F4AE6"/>
    <w:rsid w:val="000F4B14"/>
    <w:rsid w:val="000F4B46"/>
    <w:rsid w:val="000F4B68"/>
    <w:rsid w:val="000F4C39"/>
    <w:rsid w:val="000F4C80"/>
    <w:rsid w:val="000F506F"/>
    <w:rsid w:val="000F5143"/>
    <w:rsid w:val="000F53E4"/>
    <w:rsid w:val="000F56C4"/>
    <w:rsid w:val="000F57D8"/>
    <w:rsid w:val="000F5C1A"/>
    <w:rsid w:val="000F5D9A"/>
    <w:rsid w:val="000F68F7"/>
    <w:rsid w:val="000F6A83"/>
    <w:rsid w:val="000F6C14"/>
    <w:rsid w:val="000F6C3F"/>
    <w:rsid w:val="000F6DBE"/>
    <w:rsid w:val="000F70A5"/>
    <w:rsid w:val="000F737E"/>
    <w:rsid w:val="000F7477"/>
    <w:rsid w:val="000F75BF"/>
    <w:rsid w:val="000F76C3"/>
    <w:rsid w:val="000F7755"/>
    <w:rsid w:val="000F779F"/>
    <w:rsid w:val="000F78FC"/>
    <w:rsid w:val="000F7B9B"/>
    <w:rsid w:val="000F7EAD"/>
    <w:rsid w:val="000F7FD2"/>
    <w:rsid w:val="0010010C"/>
    <w:rsid w:val="001001C8"/>
    <w:rsid w:val="00100707"/>
    <w:rsid w:val="00100A54"/>
    <w:rsid w:val="00100CCF"/>
    <w:rsid w:val="0010102E"/>
    <w:rsid w:val="0010109F"/>
    <w:rsid w:val="00101448"/>
    <w:rsid w:val="00101503"/>
    <w:rsid w:val="00101794"/>
    <w:rsid w:val="001017C7"/>
    <w:rsid w:val="00101994"/>
    <w:rsid w:val="00101BAB"/>
    <w:rsid w:val="00101CC5"/>
    <w:rsid w:val="0010205C"/>
    <w:rsid w:val="0010214C"/>
    <w:rsid w:val="00102154"/>
    <w:rsid w:val="001023CD"/>
    <w:rsid w:val="00102449"/>
    <w:rsid w:val="001024A3"/>
    <w:rsid w:val="00102868"/>
    <w:rsid w:val="0010297B"/>
    <w:rsid w:val="0010299E"/>
    <w:rsid w:val="001029E8"/>
    <w:rsid w:val="00102A26"/>
    <w:rsid w:val="00102B47"/>
    <w:rsid w:val="00102E3F"/>
    <w:rsid w:val="00102E59"/>
    <w:rsid w:val="00102F5F"/>
    <w:rsid w:val="00102FC1"/>
    <w:rsid w:val="0010307E"/>
    <w:rsid w:val="001030FB"/>
    <w:rsid w:val="001031B9"/>
    <w:rsid w:val="0010338D"/>
    <w:rsid w:val="001034BE"/>
    <w:rsid w:val="001037B4"/>
    <w:rsid w:val="001038CF"/>
    <w:rsid w:val="00103B89"/>
    <w:rsid w:val="00103BFB"/>
    <w:rsid w:val="00103F65"/>
    <w:rsid w:val="00104147"/>
    <w:rsid w:val="00104322"/>
    <w:rsid w:val="00104598"/>
    <w:rsid w:val="00104A3F"/>
    <w:rsid w:val="00104B0B"/>
    <w:rsid w:val="00104C73"/>
    <w:rsid w:val="00104DEE"/>
    <w:rsid w:val="00104E4E"/>
    <w:rsid w:val="0010502F"/>
    <w:rsid w:val="001051B9"/>
    <w:rsid w:val="001052CF"/>
    <w:rsid w:val="0010549E"/>
    <w:rsid w:val="001054FF"/>
    <w:rsid w:val="0010554E"/>
    <w:rsid w:val="00105762"/>
    <w:rsid w:val="00105B40"/>
    <w:rsid w:val="00105C90"/>
    <w:rsid w:val="00105CD5"/>
    <w:rsid w:val="00105D04"/>
    <w:rsid w:val="00105E85"/>
    <w:rsid w:val="001060B9"/>
    <w:rsid w:val="00106144"/>
    <w:rsid w:val="00106284"/>
    <w:rsid w:val="001062CC"/>
    <w:rsid w:val="00106376"/>
    <w:rsid w:val="001068A7"/>
    <w:rsid w:val="001069A7"/>
    <w:rsid w:val="00106BA6"/>
    <w:rsid w:val="00106BEC"/>
    <w:rsid w:val="00106D41"/>
    <w:rsid w:val="00106FB7"/>
    <w:rsid w:val="00107001"/>
    <w:rsid w:val="001073C4"/>
    <w:rsid w:val="001075C2"/>
    <w:rsid w:val="00107628"/>
    <w:rsid w:val="0010765F"/>
    <w:rsid w:val="0010777C"/>
    <w:rsid w:val="00107791"/>
    <w:rsid w:val="0010789B"/>
    <w:rsid w:val="00107962"/>
    <w:rsid w:val="00107A2B"/>
    <w:rsid w:val="00107A95"/>
    <w:rsid w:val="00107F8E"/>
    <w:rsid w:val="0011009E"/>
    <w:rsid w:val="00110121"/>
    <w:rsid w:val="001101B4"/>
    <w:rsid w:val="00110242"/>
    <w:rsid w:val="00110333"/>
    <w:rsid w:val="00110363"/>
    <w:rsid w:val="00110617"/>
    <w:rsid w:val="001106C4"/>
    <w:rsid w:val="00110C40"/>
    <w:rsid w:val="00110FD6"/>
    <w:rsid w:val="001110AA"/>
    <w:rsid w:val="0011151C"/>
    <w:rsid w:val="00111622"/>
    <w:rsid w:val="0011166B"/>
    <w:rsid w:val="0011169D"/>
    <w:rsid w:val="001116EB"/>
    <w:rsid w:val="0011175D"/>
    <w:rsid w:val="00111B0C"/>
    <w:rsid w:val="00111BFB"/>
    <w:rsid w:val="00111EFC"/>
    <w:rsid w:val="00111F48"/>
    <w:rsid w:val="00112073"/>
    <w:rsid w:val="001120C6"/>
    <w:rsid w:val="001128AD"/>
    <w:rsid w:val="00112EAD"/>
    <w:rsid w:val="001131F6"/>
    <w:rsid w:val="0011333C"/>
    <w:rsid w:val="00113376"/>
    <w:rsid w:val="0011344C"/>
    <w:rsid w:val="00113645"/>
    <w:rsid w:val="00113686"/>
    <w:rsid w:val="001136EF"/>
    <w:rsid w:val="0011377E"/>
    <w:rsid w:val="001137A0"/>
    <w:rsid w:val="001138C8"/>
    <w:rsid w:val="00113A68"/>
    <w:rsid w:val="00113AAB"/>
    <w:rsid w:val="00113B37"/>
    <w:rsid w:val="00113B39"/>
    <w:rsid w:val="00113CB7"/>
    <w:rsid w:val="0011404A"/>
    <w:rsid w:val="001141EA"/>
    <w:rsid w:val="00114259"/>
    <w:rsid w:val="001146D7"/>
    <w:rsid w:val="00114753"/>
    <w:rsid w:val="00114823"/>
    <w:rsid w:val="001148E0"/>
    <w:rsid w:val="00114B8A"/>
    <w:rsid w:val="00114B9E"/>
    <w:rsid w:val="00114BE5"/>
    <w:rsid w:val="00114CBB"/>
    <w:rsid w:val="00114EB9"/>
    <w:rsid w:val="001153AC"/>
    <w:rsid w:val="0011544C"/>
    <w:rsid w:val="00115467"/>
    <w:rsid w:val="00115587"/>
    <w:rsid w:val="0011589B"/>
    <w:rsid w:val="00115A93"/>
    <w:rsid w:val="00115B0F"/>
    <w:rsid w:val="00115C9A"/>
    <w:rsid w:val="00115D60"/>
    <w:rsid w:val="00115F36"/>
    <w:rsid w:val="00115FEA"/>
    <w:rsid w:val="00116332"/>
    <w:rsid w:val="001163A6"/>
    <w:rsid w:val="0011646A"/>
    <w:rsid w:val="00116D71"/>
    <w:rsid w:val="00116E41"/>
    <w:rsid w:val="00116E7E"/>
    <w:rsid w:val="00116FD7"/>
    <w:rsid w:val="00117003"/>
    <w:rsid w:val="001170CF"/>
    <w:rsid w:val="0011723C"/>
    <w:rsid w:val="0011753A"/>
    <w:rsid w:val="0011765B"/>
    <w:rsid w:val="001176D9"/>
    <w:rsid w:val="0011799B"/>
    <w:rsid w:val="00117B5F"/>
    <w:rsid w:val="00117C47"/>
    <w:rsid w:val="00117CDA"/>
    <w:rsid w:val="00117E03"/>
    <w:rsid w:val="0012019A"/>
    <w:rsid w:val="001202C6"/>
    <w:rsid w:val="001203D7"/>
    <w:rsid w:val="00120643"/>
    <w:rsid w:val="00120676"/>
    <w:rsid w:val="001208CE"/>
    <w:rsid w:val="001209ED"/>
    <w:rsid w:val="00120ABC"/>
    <w:rsid w:val="00120B10"/>
    <w:rsid w:val="00120C5A"/>
    <w:rsid w:val="00120ED8"/>
    <w:rsid w:val="00120EF1"/>
    <w:rsid w:val="00120FC1"/>
    <w:rsid w:val="00121089"/>
    <w:rsid w:val="00121322"/>
    <w:rsid w:val="00121333"/>
    <w:rsid w:val="0012149F"/>
    <w:rsid w:val="001215CC"/>
    <w:rsid w:val="001216B8"/>
    <w:rsid w:val="00121842"/>
    <w:rsid w:val="001218E2"/>
    <w:rsid w:val="001219FB"/>
    <w:rsid w:val="00121BC2"/>
    <w:rsid w:val="00121DC2"/>
    <w:rsid w:val="00121FE8"/>
    <w:rsid w:val="00122146"/>
    <w:rsid w:val="00122465"/>
    <w:rsid w:val="001224EE"/>
    <w:rsid w:val="00122507"/>
    <w:rsid w:val="0012274A"/>
    <w:rsid w:val="001227BE"/>
    <w:rsid w:val="00122E94"/>
    <w:rsid w:val="00122FE1"/>
    <w:rsid w:val="0012302F"/>
    <w:rsid w:val="0012318D"/>
    <w:rsid w:val="001232EC"/>
    <w:rsid w:val="001235D2"/>
    <w:rsid w:val="001236D1"/>
    <w:rsid w:val="001236DA"/>
    <w:rsid w:val="00123838"/>
    <w:rsid w:val="00123AB2"/>
    <w:rsid w:val="00123BF0"/>
    <w:rsid w:val="00123DE1"/>
    <w:rsid w:val="00123E62"/>
    <w:rsid w:val="00123F65"/>
    <w:rsid w:val="00123FCE"/>
    <w:rsid w:val="001240F0"/>
    <w:rsid w:val="00124241"/>
    <w:rsid w:val="00124696"/>
    <w:rsid w:val="001246ED"/>
    <w:rsid w:val="0012471A"/>
    <w:rsid w:val="0012481D"/>
    <w:rsid w:val="00124887"/>
    <w:rsid w:val="00124CC7"/>
    <w:rsid w:val="00124DFA"/>
    <w:rsid w:val="00124F0B"/>
    <w:rsid w:val="00124FC5"/>
    <w:rsid w:val="00125062"/>
    <w:rsid w:val="001250C9"/>
    <w:rsid w:val="0012522C"/>
    <w:rsid w:val="00125269"/>
    <w:rsid w:val="001253EA"/>
    <w:rsid w:val="00125421"/>
    <w:rsid w:val="00125587"/>
    <w:rsid w:val="001258F8"/>
    <w:rsid w:val="00125973"/>
    <w:rsid w:val="0012599F"/>
    <w:rsid w:val="00125A0F"/>
    <w:rsid w:val="00125B99"/>
    <w:rsid w:val="00125BB1"/>
    <w:rsid w:val="00125D86"/>
    <w:rsid w:val="00125FED"/>
    <w:rsid w:val="001266A1"/>
    <w:rsid w:val="0012679D"/>
    <w:rsid w:val="001269F9"/>
    <w:rsid w:val="00126B09"/>
    <w:rsid w:val="00126BDA"/>
    <w:rsid w:val="00126F45"/>
    <w:rsid w:val="00127342"/>
    <w:rsid w:val="00127420"/>
    <w:rsid w:val="001274D9"/>
    <w:rsid w:val="001276DA"/>
    <w:rsid w:val="00127AA3"/>
    <w:rsid w:val="00127AAB"/>
    <w:rsid w:val="00127C40"/>
    <w:rsid w:val="00127DE7"/>
    <w:rsid w:val="00127FDB"/>
    <w:rsid w:val="00130102"/>
    <w:rsid w:val="001302BE"/>
    <w:rsid w:val="001302E5"/>
    <w:rsid w:val="0013032A"/>
    <w:rsid w:val="0013036B"/>
    <w:rsid w:val="00130A19"/>
    <w:rsid w:val="00130A1C"/>
    <w:rsid w:val="00130A23"/>
    <w:rsid w:val="00131107"/>
    <w:rsid w:val="0013123F"/>
    <w:rsid w:val="001312A0"/>
    <w:rsid w:val="00131621"/>
    <w:rsid w:val="00131748"/>
    <w:rsid w:val="00131C2C"/>
    <w:rsid w:val="00131EA6"/>
    <w:rsid w:val="00132054"/>
    <w:rsid w:val="0013241B"/>
    <w:rsid w:val="001329EF"/>
    <w:rsid w:val="00132E75"/>
    <w:rsid w:val="00132EF2"/>
    <w:rsid w:val="00132F41"/>
    <w:rsid w:val="00132F77"/>
    <w:rsid w:val="00132FF0"/>
    <w:rsid w:val="001334E3"/>
    <w:rsid w:val="001336C8"/>
    <w:rsid w:val="00133787"/>
    <w:rsid w:val="0013384A"/>
    <w:rsid w:val="00133A74"/>
    <w:rsid w:val="00133AE5"/>
    <w:rsid w:val="00133B3A"/>
    <w:rsid w:val="00133C16"/>
    <w:rsid w:val="00133C96"/>
    <w:rsid w:val="00133F00"/>
    <w:rsid w:val="00133F0A"/>
    <w:rsid w:val="00134078"/>
    <w:rsid w:val="001343C9"/>
    <w:rsid w:val="001345FE"/>
    <w:rsid w:val="0013470B"/>
    <w:rsid w:val="00134961"/>
    <w:rsid w:val="0013497B"/>
    <w:rsid w:val="00134D9D"/>
    <w:rsid w:val="00134DEC"/>
    <w:rsid w:val="00134E49"/>
    <w:rsid w:val="00134EB6"/>
    <w:rsid w:val="00135109"/>
    <w:rsid w:val="0013529D"/>
    <w:rsid w:val="00135315"/>
    <w:rsid w:val="00135447"/>
    <w:rsid w:val="001354E8"/>
    <w:rsid w:val="00135979"/>
    <w:rsid w:val="00135A50"/>
    <w:rsid w:val="00135B65"/>
    <w:rsid w:val="00135CD1"/>
    <w:rsid w:val="0013605F"/>
    <w:rsid w:val="00136073"/>
    <w:rsid w:val="00136182"/>
    <w:rsid w:val="001361AF"/>
    <w:rsid w:val="001364B1"/>
    <w:rsid w:val="00136609"/>
    <w:rsid w:val="0013684C"/>
    <w:rsid w:val="00136851"/>
    <w:rsid w:val="001368CD"/>
    <w:rsid w:val="001369CA"/>
    <w:rsid w:val="00136AB6"/>
    <w:rsid w:val="00136D46"/>
    <w:rsid w:val="0013734C"/>
    <w:rsid w:val="00137471"/>
    <w:rsid w:val="001375FA"/>
    <w:rsid w:val="00137C0B"/>
    <w:rsid w:val="00137D47"/>
    <w:rsid w:val="00137DB3"/>
    <w:rsid w:val="00140252"/>
    <w:rsid w:val="001402AE"/>
    <w:rsid w:val="00140563"/>
    <w:rsid w:val="001405F0"/>
    <w:rsid w:val="0014076D"/>
    <w:rsid w:val="00140A08"/>
    <w:rsid w:val="00140C55"/>
    <w:rsid w:val="00140E3E"/>
    <w:rsid w:val="001410B1"/>
    <w:rsid w:val="00141202"/>
    <w:rsid w:val="00141247"/>
    <w:rsid w:val="001412EE"/>
    <w:rsid w:val="0014142F"/>
    <w:rsid w:val="00141528"/>
    <w:rsid w:val="001415C5"/>
    <w:rsid w:val="001416DE"/>
    <w:rsid w:val="00141894"/>
    <w:rsid w:val="00141E78"/>
    <w:rsid w:val="001420CD"/>
    <w:rsid w:val="001420E0"/>
    <w:rsid w:val="0014215D"/>
    <w:rsid w:val="0014219C"/>
    <w:rsid w:val="001422CC"/>
    <w:rsid w:val="00142462"/>
    <w:rsid w:val="001424B2"/>
    <w:rsid w:val="0014257D"/>
    <w:rsid w:val="001429A1"/>
    <w:rsid w:val="00142BA1"/>
    <w:rsid w:val="00143244"/>
    <w:rsid w:val="001435CC"/>
    <w:rsid w:val="00143844"/>
    <w:rsid w:val="001438EE"/>
    <w:rsid w:val="0014391F"/>
    <w:rsid w:val="00143AAE"/>
    <w:rsid w:val="00143BEA"/>
    <w:rsid w:val="00143E0E"/>
    <w:rsid w:val="00143EA2"/>
    <w:rsid w:val="00144112"/>
    <w:rsid w:val="00144136"/>
    <w:rsid w:val="001441B0"/>
    <w:rsid w:val="00144489"/>
    <w:rsid w:val="001444D1"/>
    <w:rsid w:val="00144630"/>
    <w:rsid w:val="0014466B"/>
    <w:rsid w:val="00144745"/>
    <w:rsid w:val="00144A79"/>
    <w:rsid w:val="00144D0D"/>
    <w:rsid w:val="00145101"/>
    <w:rsid w:val="0014540B"/>
    <w:rsid w:val="00145758"/>
    <w:rsid w:val="00145877"/>
    <w:rsid w:val="0014591C"/>
    <w:rsid w:val="00145EDA"/>
    <w:rsid w:val="00145F42"/>
    <w:rsid w:val="00145F69"/>
    <w:rsid w:val="001460D7"/>
    <w:rsid w:val="00146124"/>
    <w:rsid w:val="00146166"/>
    <w:rsid w:val="001463AE"/>
    <w:rsid w:val="001464A9"/>
    <w:rsid w:val="00146526"/>
    <w:rsid w:val="00146539"/>
    <w:rsid w:val="001468F5"/>
    <w:rsid w:val="00146A90"/>
    <w:rsid w:val="00147166"/>
    <w:rsid w:val="00147294"/>
    <w:rsid w:val="001472CA"/>
    <w:rsid w:val="001472D8"/>
    <w:rsid w:val="001473F7"/>
    <w:rsid w:val="001474D9"/>
    <w:rsid w:val="001475FF"/>
    <w:rsid w:val="00147708"/>
    <w:rsid w:val="001477B7"/>
    <w:rsid w:val="00147BBC"/>
    <w:rsid w:val="00147D55"/>
    <w:rsid w:val="00147DBD"/>
    <w:rsid w:val="00147E36"/>
    <w:rsid w:val="00147EA8"/>
    <w:rsid w:val="001500B0"/>
    <w:rsid w:val="001501F7"/>
    <w:rsid w:val="001502FD"/>
    <w:rsid w:val="001503D7"/>
    <w:rsid w:val="00150419"/>
    <w:rsid w:val="00150420"/>
    <w:rsid w:val="00150448"/>
    <w:rsid w:val="00150551"/>
    <w:rsid w:val="00150606"/>
    <w:rsid w:val="00150902"/>
    <w:rsid w:val="001509B8"/>
    <w:rsid w:val="00150ADC"/>
    <w:rsid w:val="00150AE3"/>
    <w:rsid w:val="00150E7E"/>
    <w:rsid w:val="001513E6"/>
    <w:rsid w:val="00151479"/>
    <w:rsid w:val="001514F9"/>
    <w:rsid w:val="00151574"/>
    <w:rsid w:val="0015192A"/>
    <w:rsid w:val="00151B9D"/>
    <w:rsid w:val="00151C34"/>
    <w:rsid w:val="00151D81"/>
    <w:rsid w:val="00151EF6"/>
    <w:rsid w:val="001520D5"/>
    <w:rsid w:val="00152135"/>
    <w:rsid w:val="001521C3"/>
    <w:rsid w:val="00152242"/>
    <w:rsid w:val="00152289"/>
    <w:rsid w:val="00152292"/>
    <w:rsid w:val="001522C5"/>
    <w:rsid w:val="0015253A"/>
    <w:rsid w:val="001526A7"/>
    <w:rsid w:val="00152D0B"/>
    <w:rsid w:val="00152D1C"/>
    <w:rsid w:val="00152DF2"/>
    <w:rsid w:val="00152F43"/>
    <w:rsid w:val="00152F5D"/>
    <w:rsid w:val="001531CE"/>
    <w:rsid w:val="00153499"/>
    <w:rsid w:val="001534D8"/>
    <w:rsid w:val="001534DC"/>
    <w:rsid w:val="00153618"/>
    <w:rsid w:val="001537D2"/>
    <w:rsid w:val="00153825"/>
    <w:rsid w:val="0015383D"/>
    <w:rsid w:val="001538B4"/>
    <w:rsid w:val="001538FD"/>
    <w:rsid w:val="00153FDB"/>
    <w:rsid w:val="00154049"/>
    <w:rsid w:val="0015460F"/>
    <w:rsid w:val="001546A6"/>
    <w:rsid w:val="00154820"/>
    <w:rsid w:val="00154AF8"/>
    <w:rsid w:val="00154B26"/>
    <w:rsid w:val="00154B9E"/>
    <w:rsid w:val="00154BDC"/>
    <w:rsid w:val="00154D95"/>
    <w:rsid w:val="00154DFC"/>
    <w:rsid w:val="00154EB8"/>
    <w:rsid w:val="001554E4"/>
    <w:rsid w:val="00155550"/>
    <w:rsid w:val="0015559D"/>
    <w:rsid w:val="001557C5"/>
    <w:rsid w:val="00155AF5"/>
    <w:rsid w:val="00155BA8"/>
    <w:rsid w:val="00155CC2"/>
    <w:rsid w:val="00155D1F"/>
    <w:rsid w:val="00155D90"/>
    <w:rsid w:val="00155DA6"/>
    <w:rsid w:val="001560C6"/>
    <w:rsid w:val="001560D6"/>
    <w:rsid w:val="0015615F"/>
    <w:rsid w:val="00156174"/>
    <w:rsid w:val="001561EB"/>
    <w:rsid w:val="0015664D"/>
    <w:rsid w:val="00156787"/>
    <w:rsid w:val="001567E1"/>
    <w:rsid w:val="00156B94"/>
    <w:rsid w:val="00156C05"/>
    <w:rsid w:val="00156C6E"/>
    <w:rsid w:val="0015730D"/>
    <w:rsid w:val="0015770C"/>
    <w:rsid w:val="001577EB"/>
    <w:rsid w:val="0015788B"/>
    <w:rsid w:val="00157AC7"/>
    <w:rsid w:val="00157B93"/>
    <w:rsid w:val="00157D43"/>
    <w:rsid w:val="00157EE6"/>
    <w:rsid w:val="00157FE2"/>
    <w:rsid w:val="00160039"/>
    <w:rsid w:val="00160444"/>
    <w:rsid w:val="0016047D"/>
    <w:rsid w:val="0016052D"/>
    <w:rsid w:val="0016061A"/>
    <w:rsid w:val="0016071E"/>
    <w:rsid w:val="00160928"/>
    <w:rsid w:val="00160D5E"/>
    <w:rsid w:val="00160DD5"/>
    <w:rsid w:val="00160E5A"/>
    <w:rsid w:val="001610C9"/>
    <w:rsid w:val="00161116"/>
    <w:rsid w:val="001619D7"/>
    <w:rsid w:val="00161C7B"/>
    <w:rsid w:val="001620D6"/>
    <w:rsid w:val="0016260A"/>
    <w:rsid w:val="00162685"/>
    <w:rsid w:val="001626AD"/>
    <w:rsid w:val="001629F7"/>
    <w:rsid w:val="00162A29"/>
    <w:rsid w:val="00162A71"/>
    <w:rsid w:val="00163059"/>
    <w:rsid w:val="00163185"/>
    <w:rsid w:val="00163230"/>
    <w:rsid w:val="00163249"/>
    <w:rsid w:val="001633A1"/>
    <w:rsid w:val="00163453"/>
    <w:rsid w:val="0016368A"/>
    <w:rsid w:val="001636AF"/>
    <w:rsid w:val="001636BF"/>
    <w:rsid w:val="00163716"/>
    <w:rsid w:val="00163796"/>
    <w:rsid w:val="00163828"/>
    <w:rsid w:val="00163856"/>
    <w:rsid w:val="00163A51"/>
    <w:rsid w:val="00163C82"/>
    <w:rsid w:val="00163C90"/>
    <w:rsid w:val="00163D47"/>
    <w:rsid w:val="00163F29"/>
    <w:rsid w:val="00163F41"/>
    <w:rsid w:val="001641F7"/>
    <w:rsid w:val="001646E3"/>
    <w:rsid w:val="0016488A"/>
    <w:rsid w:val="001649D7"/>
    <w:rsid w:val="00164A24"/>
    <w:rsid w:val="00164C14"/>
    <w:rsid w:val="00164CAA"/>
    <w:rsid w:val="00164CD2"/>
    <w:rsid w:val="00164F3B"/>
    <w:rsid w:val="00164F53"/>
    <w:rsid w:val="0016518B"/>
    <w:rsid w:val="001653BD"/>
    <w:rsid w:val="001653E5"/>
    <w:rsid w:val="00165567"/>
    <w:rsid w:val="001655FB"/>
    <w:rsid w:val="00165666"/>
    <w:rsid w:val="00165A97"/>
    <w:rsid w:val="00165B3C"/>
    <w:rsid w:val="00165D3F"/>
    <w:rsid w:val="00165EC1"/>
    <w:rsid w:val="00165F4C"/>
    <w:rsid w:val="00166209"/>
    <w:rsid w:val="0016636E"/>
    <w:rsid w:val="00166A9A"/>
    <w:rsid w:val="00166C66"/>
    <w:rsid w:val="00166D0A"/>
    <w:rsid w:val="00166D3B"/>
    <w:rsid w:val="00166D78"/>
    <w:rsid w:val="00166E3C"/>
    <w:rsid w:val="00166E49"/>
    <w:rsid w:val="00167028"/>
    <w:rsid w:val="0016706C"/>
    <w:rsid w:val="0016710A"/>
    <w:rsid w:val="001671B9"/>
    <w:rsid w:val="0016728A"/>
    <w:rsid w:val="00167298"/>
    <w:rsid w:val="0016729A"/>
    <w:rsid w:val="001673C7"/>
    <w:rsid w:val="00167414"/>
    <w:rsid w:val="0016770B"/>
    <w:rsid w:val="001678B5"/>
    <w:rsid w:val="001679C6"/>
    <w:rsid w:val="00167B01"/>
    <w:rsid w:val="00167C28"/>
    <w:rsid w:val="001701A3"/>
    <w:rsid w:val="001701CD"/>
    <w:rsid w:val="001704C1"/>
    <w:rsid w:val="001707FF"/>
    <w:rsid w:val="00170846"/>
    <w:rsid w:val="0017094B"/>
    <w:rsid w:val="00170979"/>
    <w:rsid w:val="00170A31"/>
    <w:rsid w:val="00170B17"/>
    <w:rsid w:val="00170CE0"/>
    <w:rsid w:val="0017114F"/>
    <w:rsid w:val="00171252"/>
    <w:rsid w:val="00171383"/>
    <w:rsid w:val="001713BE"/>
    <w:rsid w:val="001713C3"/>
    <w:rsid w:val="001715D1"/>
    <w:rsid w:val="0017192D"/>
    <w:rsid w:val="00171D03"/>
    <w:rsid w:val="00171EAF"/>
    <w:rsid w:val="0017214A"/>
    <w:rsid w:val="00172582"/>
    <w:rsid w:val="00172610"/>
    <w:rsid w:val="00172624"/>
    <w:rsid w:val="0017269C"/>
    <w:rsid w:val="0017279E"/>
    <w:rsid w:val="0017298B"/>
    <w:rsid w:val="00172A0F"/>
    <w:rsid w:val="00172CFE"/>
    <w:rsid w:val="0017315E"/>
    <w:rsid w:val="0017324E"/>
    <w:rsid w:val="001735F9"/>
    <w:rsid w:val="001737CB"/>
    <w:rsid w:val="001739C7"/>
    <w:rsid w:val="00173C1E"/>
    <w:rsid w:val="00173E09"/>
    <w:rsid w:val="00173F09"/>
    <w:rsid w:val="00173F88"/>
    <w:rsid w:val="00173FB1"/>
    <w:rsid w:val="0017455D"/>
    <w:rsid w:val="00174852"/>
    <w:rsid w:val="001748CD"/>
    <w:rsid w:val="001748DF"/>
    <w:rsid w:val="00174983"/>
    <w:rsid w:val="001749CE"/>
    <w:rsid w:val="00174A98"/>
    <w:rsid w:val="00174C8D"/>
    <w:rsid w:val="00174E0B"/>
    <w:rsid w:val="001750E5"/>
    <w:rsid w:val="00175158"/>
    <w:rsid w:val="001752F0"/>
    <w:rsid w:val="00175540"/>
    <w:rsid w:val="00175954"/>
    <w:rsid w:val="00175B1E"/>
    <w:rsid w:val="00176028"/>
    <w:rsid w:val="00176083"/>
    <w:rsid w:val="0017618C"/>
    <w:rsid w:val="001761EC"/>
    <w:rsid w:val="001762B8"/>
    <w:rsid w:val="0017641C"/>
    <w:rsid w:val="0017678F"/>
    <w:rsid w:val="001767A9"/>
    <w:rsid w:val="00176856"/>
    <w:rsid w:val="0017692D"/>
    <w:rsid w:val="00176943"/>
    <w:rsid w:val="00176C95"/>
    <w:rsid w:val="00176E4E"/>
    <w:rsid w:val="00176FB7"/>
    <w:rsid w:val="001771A0"/>
    <w:rsid w:val="00177226"/>
    <w:rsid w:val="0017723A"/>
    <w:rsid w:val="00177309"/>
    <w:rsid w:val="001774FC"/>
    <w:rsid w:val="00177524"/>
    <w:rsid w:val="0017767C"/>
    <w:rsid w:val="00177D62"/>
    <w:rsid w:val="00177E24"/>
    <w:rsid w:val="00177F97"/>
    <w:rsid w:val="00180028"/>
    <w:rsid w:val="00180571"/>
    <w:rsid w:val="001805F4"/>
    <w:rsid w:val="00180692"/>
    <w:rsid w:val="00180900"/>
    <w:rsid w:val="00180928"/>
    <w:rsid w:val="001809E2"/>
    <w:rsid w:val="00180AF6"/>
    <w:rsid w:val="00180B52"/>
    <w:rsid w:val="00180C13"/>
    <w:rsid w:val="001810A9"/>
    <w:rsid w:val="00181199"/>
    <w:rsid w:val="0018144B"/>
    <w:rsid w:val="00181662"/>
    <w:rsid w:val="0018191D"/>
    <w:rsid w:val="00181AFF"/>
    <w:rsid w:val="00181DE6"/>
    <w:rsid w:val="00181E22"/>
    <w:rsid w:val="001820BC"/>
    <w:rsid w:val="00182348"/>
    <w:rsid w:val="0018234A"/>
    <w:rsid w:val="001824E8"/>
    <w:rsid w:val="00182558"/>
    <w:rsid w:val="00182658"/>
    <w:rsid w:val="0018279F"/>
    <w:rsid w:val="001828E7"/>
    <w:rsid w:val="00182A0A"/>
    <w:rsid w:val="00182D6F"/>
    <w:rsid w:val="00182F8B"/>
    <w:rsid w:val="001838A0"/>
    <w:rsid w:val="00183A64"/>
    <w:rsid w:val="00184140"/>
    <w:rsid w:val="00184151"/>
    <w:rsid w:val="001843E2"/>
    <w:rsid w:val="001844B3"/>
    <w:rsid w:val="00184887"/>
    <w:rsid w:val="00184A52"/>
    <w:rsid w:val="00184AE0"/>
    <w:rsid w:val="00184AE9"/>
    <w:rsid w:val="00184CA1"/>
    <w:rsid w:val="00184DC7"/>
    <w:rsid w:val="00184E3E"/>
    <w:rsid w:val="00184FB2"/>
    <w:rsid w:val="00185027"/>
    <w:rsid w:val="001855EB"/>
    <w:rsid w:val="00185B07"/>
    <w:rsid w:val="00185F91"/>
    <w:rsid w:val="0018656F"/>
    <w:rsid w:val="00186671"/>
    <w:rsid w:val="00186A17"/>
    <w:rsid w:val="00186AD2"/>
    <w:rsid w:val="00186C56"/>
    <w:rsid w:val="00186E99"/>
    <w:rsid w:val="00187023"/>
    <w:rsid w:val="00187206"/>
    <w:rsid w:val="00187265"/>
    <w:rsid w:val="00187411"/>
    <w:rsid w:val="0018762E"/>
    <w:rsid w:val="00187694"/>
    <w:rsid w:val="00187980"/>
    <w:rsid w:val="001879B3"/>
    <w:rsid w:val="00187AE6"/>
    <w:rsid w:val="00187D8E"/>
    <w:rsid w:val="00187DAB"/>
    <w:rsid w:val="00187DD0"/>
    <w:rsid w:val="00190424"/>
    <w:rsid w:val="0019075C"/>
    <w:rsid w:val="001908E3"/>
    <w:rsid w:val="0019097A"/>
    <w:rsid w:val="00190AB2"/>
    <w:rsid w:val="00190C27"/>
    <w:rsid w:val="00190F03"/>
    <w:rsid w:val="0019115B"/>
    <w:rsid w:val="001912D2"/>
    <w:rsid w:val="001914B3"/>
    <w:rsid w:val="00191699"/>
    <w:rsid w:val="00191A1D"/>
    <w:rsid w:val="00191A4B"/>
    <w:rsid w:val="00191A56"/>
    <w:rsid w:val="00191A7E"/>
    <w:rsid w:val="00191AF6"/>
    <w:rsid w:val="00191B99"/>
    <w:rsid w:val="00191D3F"/>
    <w:rsid w:val="00191E65"/>
    <w:rsid w:val="0019244D"/>
    <w:rsid w:val="00192469"/>
    <w:rsid w:val="001924EA"/>
    <w:rsid w:val="00192619"/>
    <w:rsid w:val="00192666"/>
    <w:rsid w:val="001927A8"/>
    <w:rsid w:val="001927AA"/>
    <w:rsid w:val="00192CC7"/>
    <w:rsid w:val="00192DB3"/>
    <w:rsid w:val="00192EB2"/>
    <w:rsid w:val="0019315A"/>
    <w:rsid w:val="00193333"/>
    <w:rsid w:val="001933CE"/>
    <w:rsid w:val="001934A4"/>
    <w:rsid w:val="00193891"/>
    <w:rsid w:val="00193920"/>
    <w:rsid w:val="00193A92"/>
    <w:rsid w:val="00193E83"/>
    <w:rsid w:val="00194258"/>
    <w:rsid w:val="00194360"/>
    <w:rsid w:val="001944B3"/>
    <w:rsid w:val="00194586"/>
    <w:rsid w:val="001945FD"/>
    <w:rsid w:val="0019475C"/>
    <w:rsid w:val="001948E2"/>
    <w:rsid w:val="00194BA9"/>
    <w:rsid w:val="00194FF0"/>
    <w:rsid w:val="00195181"/>
    <w:rsid w:val="001951DC"/>
    <w:rsid w:val="00195258"/>
    <w:rsid w:val="001955F7"/>
    <w:rsid w:val="001956CC"/>
    <w:rsid w:val="00195702"/>
    <w:rsid w:val="00195AF6"/>
    <w:rsid w:val="00195EB2"/>
    <w:rsid w:val="00196029"/>
    <w:rsid w:val="00196058"/>
    <w:rsid w:val="00196233"/>
    <w:rsid w:val="0019626E"/>
    <w:rsid w:val="0019631C"/>
    <w:rsid w:val="00196433"/>
    <w:rsid w:val="001964AA"/>
    <w:rsid w:val="00196569"/>
    <w:rsid w:val="00196588"/>
    <w:rsid w:val="00196595"/>
    <w:rsid w:val="00196932"/>
    <w:rsid w:val="00196AFB"/>
    <w:rsid w:val="00196C7F"/>
    <w:rsid w:val="00196D36"/>
    <w:rsid w:val="00196D8C"/>
    <w:rsid w:val="00196F26"/>
    <w:rsid w:val="00196F36"/>
    <w:rsid w:val="00196FCB"/>
    <w:rsid w:val="00197016"/>
    <w:rsid w:val="001970E6"/>
    <w:rsid w:val="00197260"/>
    <w:rsid w:val="001973F7"/>
    <w:rsid w:val="00197484"/>
    <w:rsid w:val="0019754E"/>
    <w:rsid w:val="00197564"/>
    <w:rsid w:val="00197877"/>
    <w:rsid w:val="001979B6"/>
    <w:rsid w:val="00197BC6"/>
    <w:rsid w:val="00197DC2"/>
    <w:rsid w:val="00197E9D"/>
    <w:rsid w:val="00197F3C"/>
    <w:rsid w:val="001A00AF"/>
    <w:rsid w:val="001A0170"/>
    <w:rsid w:val="001A0460"/>
    <w:rsid w:val="001A04C2"/>
    <w:rsid w:val="001A0623"/>
    <w:rsid w:val="001A085A"/>
    <w:rsid w:val="001A08D8"/>
    <w:rsid w:val="001A1024"/>
    <w:rsid w:val="001A1205"/>
    <w:rsid w:val="001A148F"/>
    <w:rsid w:val="001A1494"/>
    <w:rsid w:val="001A152C"/>
    <w:rsid w:val="001A16FC"/>
    <w:rsid w:val="001A17E4"/>
    <w:rsid w:val="001A1A82"/>
    <w:rsid w:val="001A1B5A"/>
    <w:rsid w:val="001A1B88"/>
    <w:rsid w:val="001A1DF7"/>
    <w:rsid w:val="001A1EFA"/>
    <w:rsid w:val="001A2079"/>
    <w:rsid w:val="001A209F"/>
    <w:rsid w:val="001A214F"/>
    <w:rsid w:val="001A2200"/>
    <w:rsid w:val="001A24D8"/>
    <w:rsid w:val="001A2652"/>
    <w:rsid w:val="001A2EA3"/>
    <w:rsid w:val="001A33B7"/>
    <w:rsid w:val="001A3471"/>
    <w:rsid w:val="001A368F"/>
    <w:rsid w:val="001A39EE"/>
    <w:rsid w:val="001A3E0B"/>
    <w:rsid w:val="001A3F26"/>
    <w:rsid w:val="001A42C8"/>
    <w:rsid w:val="001A436B"/>
    <w:rsid w:val="001A4686"/>
    <w:rsid w:val="001A471F"/>
    <w:rsid w:val="001A488C"/>
    <w:rsid w:val="001A48FE"/>
    <w:rsid w:val="001A4973"/>
    <w:rsid w:val="001A4A96"/>
    <w:rsid w:val="001A4BB3"/>
    <w:rsid w:val="001A4EAF"/>
    <w:rsid w:val="001A503D"/>
    <w:rsid w:val="001A5094"/>
    <w:rsid w:val="001A50A2"/>
    <w:rsid w:val="001A5213"/>
    <w:rsid w:val="001A555D"/>
    <w:rsid w:val="001A5A92"/>
    <w:rsid w:val="001A5C28"/>
    <w:rsid w:val="001A5CF7"/>
    <w:rsid w:val="001A5D04"/>
    <w:rsid w:val="001A6028"/>
    <w:rsid w:val="001A60A9"/>
    <w:rsid w:val="001A6106"/>
    <w:rsid w:val="001A6199"/>
    <w:rsid w:val="001A636C"/>
    <w:rsid w:val="001A64DC"/>
    <w:rsid w:val="001A6AA3"/>
    <w:rsid w:val="001A71C3"/>
    <w:rsid w:val="001A728B"/>
    <w:rsid w:val="001A72A3"/>
    <w:rsid w:val="001A737E"/>
    <w:rsid w:val="001A7712"/>
    <w:rsid w:val="001A7738"/>
    <w:rsid w:val="001A7BF1"/>
    <w:rsid w:val="001A7C9A"/>
    <w:rsid w:val="001A7DBA"/>
    <w:rsid w:val="001A7F59"/>
    <w:rsid w:val="001A7F98"/>
    <w:rsid w:val="001B055B"/>
    <w:rsid w:val="001B0611"/>
    <w:rsid w:val="001B065F"/>
    <w:rsid w:val="001B068C"/>
    <w:rsid w:val="001B077B"/>
    <w:rsid w:val="001B0933"/>
    <w:rsid w:val="001B0B78"/>
    <w:rsid w:val="001B0C5F"/>
    <w:rsid w:val="001B0D0F"/>
    <w:rsid w:val="001B0E02"/>
    <w:rsid w:val="001B0E7A"/>
    <w:rsid w:val="001B0E9C"/>
    <w:rsid w:val="001B1152"/>
    <w:rsid w:val="001B13ED"/>
    <w:rsid w:val="001B178F"/>
    <w:rsid w:val="001B1B1A"/>
    <w:rsid w:val="001B1C43"/>
    <w:rsid w:val="001B1D89"/>
    <w:rsid w:val="001B2043"/>
    <w:rsid w:val="001B2087"/>
    <w:rsid w:val="001B20B4"/>
    <w:rsid w:val="001B21D3"/>
    <w:rsid w:val="001B2514"/>
    <w:rsid w:val="001B2564"/>
    <w:rsid w:val="001B2578"/>
    <w:rsid w:val="001B267B"/>
    <w:rsid w:val="001B2834"/>
    <w:rsid w:val="001B2E77"/>
    <w:rsid w:val="001B2ED7"/>
    <w:rsid w:val="001B3083"/>
    <w:rsid w:val="001B33E3"/>
    <w:rsid w:val="001B33EA"/>
    <w:rsid w:val="001B347C"/>
    <w:rsid w:val="001B3584"/>
    <w:rsid w:val="001B35C8"/>
    <w:rsid w:val="001B3694"/>
    <w:rsid w:val="001B3722"/>
    <w:rsid w:val="001B3724"/>
    <w:rsid w:val="001B375B"/>
    <w:rsid w:val="001B391E"/>
    <w:rsid w:val="001B3AB7"/>
    <w:rsid w:val="001B3C46"/>
    <w:rsid w:val="001B3FC9"/>
    <w:rsid w:val="001B3FD6"/>
    <w:rsid w:val="001B4059"/>
    <w:rsid w:val="001B4172"/>
    <w:rsid w:val="001B4585"/>
    <w:rsid w:val="001B45CA"/>
    <w:rsid w:val="001B46C1"/>
    <w:rsid w:val="001B48CD"/>
    <w:rsid w:val="001B49AF"/>
    <w:rsid w:val="001B4A8B"/>
    <w:rsid w:val="001B4A96"/>
    <w:rsid w:val="001B4DA3"/>
    <w:rsid w:val="001B4E8C"/>
    <w:rsid w:val="001B504A"/>
    <w:rsid w:val="001B5113"/>
    <w:rsid w:val="001B51A9"/>
    <w:rsid w:val="001B5255"/>
    <w:rsid w:val="001B5556"/>
    <w:rsid w:val="001B561A"/>
    <w:rsid w:val="001B5622"/>
    <w:rsid w:val="001B598A"/>
    <w:rsid w:val="001B59BE"/>
    <w:rsid w:val="001B5AE2"/>
    <w:rsid w:val="001B5E30"/>
    <w:rsid w:val="001B5E77"/>
    <w:rsid w:val="001B5ECF"/>
    <w:rsid w:val="001B608B"/>
    <w:rsid w:val="001B6347"/>
    <w:rsid w:val="001B63F2"/>
    <w:rsid w:val="001B64C5"/>
    <w:rsid w:val="001B6597"/>
    <w:rsid w:val="001B661B"/>
    <w:rsid w:val="001B66F5"/>
    <w:rsid w:val="001B6800"/>
    <w:rsid w:val="001B6895"/>
    <w:rsid w:val="001B6CB2"/>
    <w:rsid w:val="001B710B"/>
    <w:rsid w:val="001B7219"/>
    <w:rsid w:val="001B7232"/>
    <w:rsid w:val="001B7438"/>
    <w:rsid w:val="001B7718"/>
    <w:rsid w:val="001B777C"/>
    <w:rsid w:val="001B7AE1"/>
    <w:rsid w:val="001B7D84"/>
    <w:rsid w:val="001B7F25"/>
    <w:rsid w:val="001C0000"/>
    <w:rsid w:val="001C0074"/>
    <w:rsid w:val="001C029C"/>
    <w:rsid w:val="001C02DF"/>
    <w:rsid w:val="001C0493"/>
    <w:rsid w:val="001C059B"/>
    <w:rsid w:val="001C0949"/>
    <w:rsid w:val="001C0DEE"/>
    <w:rsid w:val="001C0E53"/>
    <w:rsid w:val="001C0E5E"/>
    <w:rsid w:val="001C1291"/>
    <w:rsid w:val="001C12B8"/>
    <w:rsid w:val="001C1455"/>
    <w:rsid w:val="001C14BF"/>
    <w:rsid w:val="001C15D3"/>
    <w:rsid w:val="001C190B"/>
    <w:rsid w:val="001C1914"/>
    <w:rsid w:val="001C1C91"/>
    <w:rsid w:val="001C1CA1"/>
    <w:rsid w:val="001C1D5F"/>
    <w:rsid w:val="001C20AC"/>
    <w:rsid w:val="001C2256"/>
    <w:rsid w:val="001C2809"/>
    <w:rsid w:val="001C29BA"/>
    <w:rsid w:val="001C2BD0"/>
    <w:rsid w:val="001C2C5C"/>
    <w:rsid w:val="001C3358"/>
    <w:rsid w:val="001C3590"/>
    <w:rsid w:val="001C386A"/>
    <w:rsid w:val="001C38BD"/>
    <w:rsid w:val="001C3B4C"/>
    <w:rsid w:val="001C3F0D"/>
    <w:rsid w:val="001C3FF2"/>
    <w:rsid w:val="001C40D1"/>
    <w:rsid w:val="001C4159"/>
    <w:rsid w:val="001C42E4"/>
    <w:rsid w:val="001C43EE"/>
    <w:rsid w:val="001C45A1"/>
    <w:rsid w:val="001C45C6"/>
    <w:rsid w:val="001C45F5"/>
    <w:rsid w:val="001C473F"/>
    <w:rsid w:val="001C483C"/>
    <w:rsid w:val="001C48B6"/>
    <w:rsid w:val="001C4A13"/>
    <w:rsid w:val="001C4B4D"/>
    <w:rsid w:val="001C4FA8"/>
    <w:rsid w:val="001C5159"/>
    <w:rsid w:val="001C5425"/>
    <w:rsid w:val="001C564E"/>
    <w:rsid w:val="001C56B1"/>
    <w:rsid w:val="001C5CF4"/>
    <w:rsid w:val="001C5D0E"/>
    <w:rsid w:val="001C5E21"/>
    <w:rsid w:val="001C5F7B"/>
    <w:rsid w:val="001C5F90"/>
    <w:rsid w:val="001C672F"/>
    <w:rsid w:val="001C693C"/>
    <w:rsid w:val="001C69DC"/>
    <w:rsid w:val="001C6CAE"/>
    <w:rsid w:val="001C7064"/>
    <w:rsid w:val="001C71DB"/>
    <w:rsid w:val="001C75FE"/>
    <w:rsid w:val="001C7818"/>
    <w:rsid w:val="001C7A11"/>
    <w:rsid w:val="001C7BBB"/>
    <w:rsid w:val="001C7C49"/>
    <w:rsid w:val="001C7D2C"/>
    <w:rsid w:val="001C7E76"/>
    <w:rsid w:val="001D004A"/>
    <w:rsid w:val="001D00AA"/>
    <w:rsid w:val="001D01CF"/>
    <w:rsid w:val="001D0297"/>
    <w:rsid w:val="001D0358"/>
    <w:rsid w:val="001D0440"/>
    <w:rsid w:val="001D04BE"/>
    <w:rsid w:val="001D0514"/>
    <w:rsid w:val="001D0A28"/>
    <w:rsid w:val="001D0C8A"/>
    <w:rsid w:val="001D0CEB"/>
    <w:rsid w:val="001D0D0E"/>
    <w:rsid w:val="001D0D6B"/>
    <w:rsid w:val="001D0DB1"/>
    <w:rsid w:val="001D117E"/>
    <w:rsid w:val="001D141D"/>
    <w:rsid w:val="001D173F"/>
    <w:rsid w:val="001D17E2"/>
    <w:rsid w:val="001D18CE"/>
    <w:rsid w:val="001D18D5"/>
    <w:rsid w:val="001D1AF3"/>
    <w:rsid w:val="001D1C94"/>
    <w:rsid w:val="001D1D02"/>
    <w:rsid w:val="001D1D62"/>
    <w:rsid w:val="001D1E17"/>
    <w:rsid w:val="001D1E45"/>
    <w:rsid w:val="001D1F32"/>
    <w:rsid w:val="001D2003"/>
    <w:rsid w:val="001D204D"/>
    <w:rsid w:val="001D206A"/>
    <w:rsid w:val="001D2229"/>
    <w:rsid w:val="001D269C"/>
    <w:rsid w:val="001D26E4"/>
    <w:rsid w:val="001D270C"/>
    <w:rsid w:val="001D2762"/>
    <w:rsid w:val="001D28E3"/>
    <w:rsid w:val="001D297B"/>
    <w:rsid w:val="001D2A4A"/>
    <w:rsid w:val="001D2BCD"/>
    <w:rsid w:val="001D2D6D"/>
    <w:rsid w:val="001D327C"/>
    <w:rsid w:val="001D33D6"/>
    <w:rsid w:val="001D348B"/>
    <w:rsid w:val="001D35BF"/>
    <w:rsid w:val="001D35D6"/>
    <w:rsid w:val="001D35FE"/>
    <w:rsid w:val="001D3605"/>
    <w:rsid w:val="001D3614"/>
    <w:rsid w:val="001D383F"/>
    <w:rsid w:val="001D38A3"/>
    <w:rsid w:val="001D38E2"/>
    <w:rsid w:val="001D399C"/>
    <w:rsid w:val="001D3AA4"/>
    <w:rsid w:val="001D3B0E"/>
    <w:rsid w:val="001D3B28"/>
    <w:rsid w:val="001D3B70"/>
    <w:rsid w:val="001D3BC0"/>
    <w:rsid w:val="001D3C1C"/>
    <w:rsid w:val="001D3E07"/>
    <w:rsid w:val="001D3F67"/>
    <w:rsid w:val="001D40B0"/>
    <w:rsid w:val="001D42A9"/>
    <w:rsid w:val="001D44CE"/>
    <w:rsid w:val="001D452A"/>
    <w:rsid w:val="001D4584"/>
    <w:rsid w:val="001D4865"/>
    <w:rsid w:val="001D4A0F"/>
    <w:rsid w:val="001D4AAB"/>
    <w:rsid w:val="001D4B6C"/>
    <w:rsid w:val="001D4C6E"/>
    <w:rsid w:val="001D4CD0"/>
    <w:rsid w:val="001D4DD2"/>
    <w:rsid w:val="001D5035"/>
    <w:rsid w:val="001D5299"/>
    <w:rsid w:val="001D5326"/>
    <w:rsid w:val="001D57C9"/>
    <w:rsid w:val="001D5848"/>
    <w:rsid w:val="001D5CA1"/>
    <w:rsid w:val="001D5CD5"/>
    <w:rsid w:val="001D5ECD"/>
    <w:rsid w:val="001D6037"/>
    <w:rsid w:val="001D604D"/>
    <w:rsid w:val="001D609F"/>
    <w:rsid w:val="001D64AE"/>
    <w:rsid w:val="001D6532"/>
    <w:rsid w:val="001D65DB"/>
    <w:rsid w:val="001D67A1"/>
    <w:rsid w:val="001D6CC7"/>
    <w:rsid w:val="001D6CCB"/>
    <w:rsid w:val="001D6DA7"/>
    <w:rsid w:val="001D7071"/>
    <w:rsid w:val="001D7084"/>
    <w:rsid w:val="001D7215"/>
    <w:rsid w:val="001D73B8"/>
    <w:rsid w:val="001D73B9"/>
    <w:rsid w:val="001D7471"/>
    <w:rsid w:val="001D7644"/>
    <w:rsid w:val="001D768E"/>
    <w:rsid w:val="001D7796"/>
    <w:rsid w:val="001D7B7F"/>
    <w:rsid w:val="001D7C2C"/>
    <w:rsid w:val="001D7CD2"/>
    <w:rsid w:val="001D7D32"/>
    <w:rsid w:val="001D7DE1"/>
    <w:rsid w:val="001D7ED6"/>
    <w:rsid w:val="001D7FE9"/>
    <w:rsid w:val="001E0191"/>
    <w:rsid w:val="001E0253"/>
    <w:rsid w:val="001E0347"/>
    <w:rsid w:val="001E0379"/>
    <w:rsid w:val="001E0524"/>
    <w:rsid w:val="001E07A2"/>
    <w:rsid w:val="001E0AE4"/>
    <w:rsid w:val="001E0C0F"/>
    <w:rsid w:val="001E0D8C"/>
    <w:rsid w:val="001E0F53"/>
    <w:rsid w:val="001E13A6"/>
    <w:rsid w:val="001E13A7"/>
    <w:rsid w:val="001E1589"/>
    <w:rsid w:val="001E169B"/>
    <w:rsid w:val="001E16E6"/>
    <w:rsid w:val="001E1717"/>
    <w:rsid w:val="001E19E2"/>
    <w:rsid w:val="001E1AF3"/>
    <w:rsid w:val="001E1B09"/>
    <w:rsid w:val="001E1BCA"/>
    <w:rsid w:val="001E1D05"/>
    <w:rsid w:val="001E1E15"/>
    <w:rsid w:val="001E2165"/>
    <w:rsid w:val="001E2281"/>
    <w:rsid w:val="001E2382"/>
    <w:rsid w:val="001E2555"/>
    <w:rsid w:val="001E2594"/>
    <w:rsid w:val="001E25A8"/>
    <w:rsid w:val="001E2649"/>
    <w:rsid w:val="001E2703"/>
    <w:rsid w:val="001E27E6"/>
    <w:rsid w:val="001E2A99"/>
    <w:rsid w:val="001E2B8F"/>
    <w:rsid w:val="001E3237"/>
    <w:rsid w:val="001E34AB"/>
    <w:rsid w:val="001E3771"/>
    <w:rsid w:val="001E398C"/>
    <w:rsid w:val="001E3BB2"/>
    <w:rsid w:val="001E3BBE"/>
    <w:rsid w:val="001E3D01"/>
    <w:rsid w:val="001E3E3C"/>
    <w:rsid w:val="001E3ED6"/>
    <w:rsid w:val="001E3EF6"/>
    <w:rsid w:val="001E3F04"/>
    <w:rsid w:val="001E429E"/>
    <w:rsid w:val="001E430E"/>
    <w:rsid w:val="001E4872"/>
    <w:rsid w:val="001E48AE"/>
    <w:rsid w:val="001E4A76"/>
    <w:rsid w:val="001E4C0E"/>
    <w:rsid w:val="001E4ECC"/>
    <w:rsid w:val="001E4F0E"/>
    <w:rsid w:val="001E4FE5"/>
    <w:rsid w:val="001E50FA"/>
    <w:rsid w:val="001E555F"/>
    <w:rsid w:val="001E5653"/>
    <w:rsid w:val="001E569D"/>
    <w:rsid w:val="001E597A"/>
    <w:rsid w:val="001E5A3B"/>
    <w:rsid w:val="001E5A87"/>
    <w:rsid w:val="001E5ADC"/>
    <w:rsid w:val="001E5B79"/>
    <w:rsid w:val="001E5CC1"/>
    <w:rsid w:val="001E5FE1"/>
    <w:rsid w:val="001E61BA"/>
    <w:rsid w:val="001E63D2"/>
    <w:rsid w:val="001E63E5"/>
    <w:rsid w:val="001E6510"/>
    <w:rsid w:val="001E65D0"/>
    <w:rsid w:val="001E671E"/>
    <w:rsid w:val="001E6833"/>
    <w:rsid w:val="001E68CD"/>
    <w:rsid w:val="001E694F"/>
    <w:rsid w:val="001E6D87"/>
    <w:rsid w:val="001E6DC4"/>
    <w:rsid w:val="001E6F09"/>
    <w:rsid w:val="001E6F36"/>
    <w:rsid w:val="001E6FD3"/>
    <w:rsid w:val="001E720D"/>
    <w:rsid w:val="001E72B8"/>
    <w:rsid w:val="001E74FF"/>
    <w:rsid w:val="001E77D9"/>
    <w:rsid w:val="001E79EB"/>
    <w:rsid w:val="001E7A8A"/>
    <w:rsid w:val="001E7B1C"/>
    <w:rsid w:val="001E7B52"/>
    <w:rsid w:val="001E7D42"/>
    <w:rsid w:val="001E7D6C"/>
    <w:rsid w:val="001E7DAD"/>
    <w:rsid w:val="001E7DFF"/>
    <w:rsid w:val="001F0057"/>
    <w:rsid w:val="001F0074"/>
    <w:rsid w:val="001F02A4"/>
    <w:rsid w:val="001F0357"/>
    <w:rsid w:val="001F035D"/>
    <w:rsid w:val="001F04AC"/>
    <w:rsid w:val="001F057E"/>
    <w:rsid w:val="001F08E1"/>
    <w:rsid w:val="001F09E0"/>
    <w:rsid w:val="001F09F7"/>
    <w:rsid w:val="001F0AC6"/>
    <w:rsid w:val="001F0B62"/>
    <w:rsid w:val="001F0CB0"/>
    <w:rsid w:val="001F0FFB"/>
    <w:rsid w:val="001F103F"/>
    <w:rsid w:val="001F13EA"/>
    <w:rsid w:val="001F14E1"/>
    <w:rsid w:val="001F1571"/>
    <w:rsid w:val="001F160F"/>
    <w:rsid w:val="001F1C5A"/>
    <w:rsid w:val="001F1D08"/>
    <w:rsid w:val="001F1DA0"/>
    <w:rsid w:val="001F1E6A"/>
    <w:rsid w:val="001F1FF2"/>
    <w:rsid w:val="001F2326"/>
    <w:rsid w:val="001F2697"/>
    <w:rsid w:val="001F278C"/>
    <w:rsid w:val="001F288A"/>
    <w:rsid w:val="001F2AC9"/>
    <w:rsid w:val="001F2B33"/>
    <w:rsid w:val="001F2C66"/>
    <w:rsid w:val="001F2D40"/>
    <w:rsid w:val="001F2E39"/>
    <w:rsid w:val="001F2ED2"/>
    <w:rsid w:val="001F2EF5"/>
    <w:rsid w:val="001F319A"/>
    <w:rsid w:val="001F32FA"/>
    <w:rsid w:val="001F351E"/>
    <w:rsid w:val="001F37A8"/>
    <w:rsid w:val="001F3A05"/>
    <w:rsid w:val="001F3B61"/>
    <w:rsid w:val="001F3C9E"/>
    <w:rsid w:val="001F3D54"/>
    <w:rsid w:val="001F3DE9"/>
    <w:rsid w:val="001F4122"/>
    <w:rsid w:val="001F4314"/>
    <w:rsid w:val="001F4439"/>
    <w:rsid w:val="001F452C"/>
    <w:rsid w:val="001F4624"/>
    <w:rsid w:val="001F4732"/>
    <w:rsid w:val="001F4735"/>
    <w:rsid w:val="001F4974"/>
    <w:rsid w:val="001F4991"/>
    <w:rsid w:val="001F49FD"/>
    <w:rsid w:val="001F4AA6"/>
    <w:rsid w:val="001F4E72"/>
    <w:rsid w:val="001F50DA"/>
    <w:rsid w:val="001F5110"/>
    <w:rsid w:val="001F5156"/>
    <w:rsid w:val="001F51A8"/>
    <w:rsid w:val="001F525D"/>
    <w:rsid w:val="001F52E5"/>
    <w:rsid w:val="001F52FC"/>
    <w:rsid w:val="001F5385"/>
    <w:rsid w:val="001F53C8"/>
    <w:rsid w:val="001F5472"/>
    <w:rsid w:val="001F5C71"/>
    <w:rsid w:val="001F5CAC"/>
    <w:rsid w:val="001F5CE5"/>
    <w:rsid w:val="001F5F3D"/>
    <w:rsid w:val="001F6064"/>
    <w:rsid w:val="001F61AC"/>
    <w:rsid w:val="001F6741"/>
    <w:rsid w:val="001F67E9"/>
    <w:rsid w:val="001F687C"/>
    <w:rsid w:val="001F6CCB"/>
    <w:rsid w:val="001F7003"/>
    <w:rsid w:val="001F7021"/>
    <w:rsid w:val="001F7028"/>
    <w:rsid w:val="001F745E"/>
    <w:rsid w:val="001F753A"/>
    <w:rsid w:val="001F7697"/>
    <w:rsid w:val="00200374"/>
    <w:rsid w:val="002006F1"/>
    <w:rsid w:val="00200733"/>
    <w:rsid w:val="002009AF"/>
    <w:rsid w:val="002009BD"/>
    <w:rsid w:val="00200AE5"/>
    <w:rsid w:val="00200B27"/>
    <w:rsid w:val="00200C08"/>
    <w:rsid w:val="0020123F"/>
    <w:rsid w:val="0020162C"/>
    <w:rsid w:val="002017B4"/>
    <w:rsid w:val="00201907"/>
    <w:rsid w:val="00201AF2"/>
    <w:rsid w:val="00201C4F"/>
    <w:rsid w:val="00201C7C"/>
    <w:rsid w:val="00201CC6"/>
    <w:rsid w:val="00201D09"/>
    <w:rsid w:val="00201EDF"/>
    <w:rsid w:val="00201F08"/>
    <w:rsid w:val="00201FB6"/>
    <w:rsid w:val="002020C1"/>
    <w:rsid w:val="0020217A"/>
    <w:rsid w:val="002022A9"/>
    <w:rsid w:val="002022FD"/>
    <w:rsid w:val="002023EF"/>
    <w:rsid w:val="002025C2"/>
    <w:rsid w:val="00202618"/>
    <w:rsid w:val="002026B4"/>
    <w:rsid w:val="0020284C"/>
    <w:rsid w:val="0020290C"/>
    <w:rsid w:val="00202E81"/>
    <w:rsid w:val="00202F78"/>
    <w:rsid w:val="00202FF5"/>
    <w:rsid w:val="00203103"/>
    <w:rsid w:val="00203184"/>
    <w:rsid w:val="002032E9"/>
    <w:rsid w:val="002035F7"/>
    <w:rsid w:val="00203879"/>
    <w:rsid w:val="00203ECE"/>
    <w:rsid w:val="00204135"/>
    <w:rsid w:val="0020437D"/>
    <w:rsid w:val="0020442B"/>
    <w:rsid w:val="002045F0"/>
    <w:rsid w:val="002046F2"/>
    <w:rsid w:val="0020487F"/>
    <w:rsid w:val="00204BD4"/>
    <w:rsid w:val="00204D9E"/>
    <w:rsid w:val="00204E33"/>
    <w:rsid w:val="00205062"/>
    <w:rsid w:val="00205134"/>
    <w:rsid w:val="002053F8"/>
    <w:rsid w:val="00205414"/>
    <w:rsid w:val="002058FC"/>
    <w:rsid w:val="002059B1"/>
    <w:rsid w:val="00206093"/>
    <w:rsid w:val="002060C4"/>
    <w:rsid w:val="002061BA"/>
    <w:rsid w:val="00206295"/>
    <w:rsid w:val="00206297"/>
    <w:rsid w:val="0020632C"/>
    <w:rsid w:val="00206387"/>
    <w:rsid w:val="0020638D"/>
    <w:rsid w:val="002064F7"/>
    <w:rsid w:val="002065AE"/>
    <w:rsid w:val="002066BE"/>
    <w:rsid w:val="0020672E"/>
    <w:rsid w:val="00206743"/>
    <w:rsid w:val="0020679B"/>
    <w:rsid w:val="002067D7"/>
    <w:rsid w:val="00206A05"/>
    <w:rsid w:val="002070EE"/>
    <w:rsid w:val="0020712E"/>
    <w:rsid w:val="0020736B"/>
    <w:rsid w:val="00207403"/>
    <w:rsid w:val="00207481"/>
    <w:rsid w:val="002075ED"/>
    <w:rsid w:val="0020775C"/>
    <w:rsid w:val="002078F3"/>
    <w:rsid w:val="00207924"/>
    <w:rsid w:val="00207C27"/>
    <w:rsid w:val="00207CED"/>
    <w:rsid w:val="00207D71"/>
    <w:rsid w:val="00207FB8"/>
    <w:rsid w:val="00210139"/>
    <w:rsid w:val="00210326"/>
    <w:rsid w:val="00210508"/>
    <w:rsid w:val="002105E1"/>
    <w:rsid w:val="00210975"/>
    <w:rsid w:val="00210AD6"/>
    <w:rsid w:val="00210C8F"/>
    <w:rsid w:val="00210D4D"/>
    <w:rsid w:val="00210D69"/>
    <w:rsid w:val="00210E20"/>
    <w:rsid w:val="00211084"/>
    <w:rsid w:val="00211532"/>
    <w:rsid w:val="002115A6"/>
    <w:rsid w:val="00211731"/>
    <w:rsid w:val="002118DB"/>
    <w:rsid w:val="00211BB7"/>
    <w:rsid w:val="00211CEA"/>
    <w:rsid w:val="00211D3E"/>
    <w:rsid w:val="002121B2"/>
    <w:rsid w:val="002122A5"/>
    <w:rsid w:val="00212361"/>
    <w:rsid w:val="002129CF"/>
    <w:rsid w:val="00212A5C"/>
    <w:rsid w:val="00212E4D"/>
    <w:rsid w:val="00212FDD"/>
    <w:rsid w:val="002131BB"/>
    <w:rsid w:val="00213486"/>
    <w:rsid w:val="002134B1"/>
    <w:rsid w:val="002135B0"/>
    <w:rsid w:val="002135C2"/>
    <w:rsid w:val="002136B6"/>
    <w:rsid w:val="00213979"/>
    <w:rsid w:val="002139D9"/>
    <w:rsid w:val="00213BBE"/>
    <w:rsid w:val="00213CEA"/>
    <w:rsid w:val="00213FBB"/>
    <w:rsid w:val="00213FBC"/>
    <w:rsid w:val="002141EF"/>
    <w:rsid w:val="0021422E"/>
    <w:rsid w:val="00214308"/>
    <w:rsid w:val="002144D6"/>
    <w:rsid w:val="002146FA"/>
    <w:rsid w:val="00214A26"/>
    <w:rsid w:val="00214A99"/>
    <w:rsid w:val="00214AA8"/>
    <w:rsid w:val="00214C6E"/>
    <w:rsid w:val="00214F41"/>
    <w:rsid w:val="00214F53"/>
    <w:rsid w:val="00215070"/>
    <w:rsid w:val="0021516F"/>
    <w:rsid w:val="002153D4"/>
    <w:rsid w:val="002153F1"/>
    <w:rsid w:val="0021552F"/>
    <w:rsid w:val="0021561C"/>
    <w:rsid w:val="002157CE"/>
    <w:rsid w:val="00215890"/>
    <w:rsid w:val="00215C93"/>
    <w:rsid w:val="002162BC"/>
    <w:rsid w:val="0021635A"/>
    <w:rsid w:val="0021654C"/>
    <w:rsid w:val="0021691F"/>
    <w:rsid w:val="00216A1F"/>
    <w:rsid w:val="00216BDA"/>
    <w:rsid w:val="00216C43"/>
    <w:rsid w:val="00216D84"/>
    <w:rsid w:val="00216FAF"/>
    <w:rsid w:val="002172D9"/>
    <w:rsid w:val="00217384"/>
    <w:rsid w:val="002173B2"/>
    <w:rsid w:val="002176A0"/>
    <w:rsid w:val="002176F3"/>
    <w:rsid w:val="00217735"/>
    <w:rsid w:val="002179B2"/>
    <w:rsid w:val="00217A10"/>
    <w:rsid w:val="00217BBA"/>
    <w:rsid w:val="00217C0B"/>
    <w:rsid w:val="00217D92"/>
    <w:rsid w:val="00217DE9"/>
    <w:rsid w:val="00220308"/>
    <w:rsid w:val="002205F8"/>
    <w:rsid w:val="00220607"/>
    <w:rsid w:val="002206C3"/>
    <w:rsid w:val="002209EC"/>
    <w:rsid w:val="002209F9"/>
    <w:rsid w:val="00220A12"/>
    <w:rsid w:val="00220A36"/>
    <w:rsid w:val="00220AB2"/>
    <w:rsid w:val="00220ABA"/>
    <w:rsid w:val="00220AEE"/>
    <w:rsid w:val="00220BFC"/>
    <w:rsid w:val="00220E98"/>
    <w:rsid w:val="00220F00"/>
    <w:rsid w:val="0022148A"/>
    <w:rsid w:val="00221622"/>
    <w:rsid w:val="00221713"/>
    <w:rsid w:val="0022183F"/>
    <w:rsid w:val="00221912"/>
    <w:rsid w:val="00221A9C"/>
    <w:rsid w:val="00221BF5"/>
    <w:rsid w:val="00221C2B"/>
    <w:rsid w:val="00221D7B"/>
    <w:rsid w:val="00221E68"/>
    <w:rsid w:val="00221EE7"/>
    <w:rsid w:val="00221F7A"/>
    <w:rsid w:val="002220DA"/>
    <w:rsid w:val="002221A0"/>
    <w:rsid w:val="0022269D"/>
    <w:rsid w:val="00222EFB"/>
    <w:rsid w:val="0022309E"/>
    <w:rsid w:val="002230B5"/>
    <w:rsid w:val="0022322A"/>
    <w:rsid w:val="00223242"/>
    <w:rsid w:val="002233A3"/>
    <w:rsid w:val="002235D8"/>
    <w:rsid w:val="0022383B"/>
    <w:rsid w:val="00223CA9"/>
    <w:rsid w:val="00223D76"/>
    <w:rsid w:val="00223D97"/>
    <w:rsid w:val="002240D4"/>
    <w:rsid w:val="002240F5"/>
    <w:rsid w:val="00224128"/>
    <w:rsid w:val="00224155"/>
    <w:rsid w:val="002242C6"/>
    <w:rsid w:val="002243AB"/>
    <w:rsid w:val="0022442D"/>
    <w:rsid w:val="00224695"/>
    <w:rsid w:val="0022484E"/>
    <w:rsid w:val="00224998"/>
    <w:rsid w:val="00224B0E"/>
    <w:rsid w:val="00224BA4"/>
    <w:rsid w:val="00224BDD"/>
    <w:rsid w:val="00224C77"/>
    <w:rsid w:val="00224DA0"/>
    <w:rsid w:val="00224DB0"/>
    <w:rsid w:val="00224EB5"/>
    <w:rsid w:val="00224EF7"/>
    <w:rsid w:val="00224F0B"/>
    <w:rsid w:val="00224F2F"/>
    <w:rsid w:val="00225092"/>
    <w:rsid w:val="0022512C"/>
    <w:rsid w:val="00225583"/>
    <w:rsid w:val="00225593"/>
    <w:rsid w:val="00225783"/>
    <w:rsid w:val="002259A3"/>
    <w:rsid w:val="00225A70"/>
    <w:rsid w:val="00225AC6"/>
    <w:rsid w:val="00225B7D"/>
    <w:rsid w:val="00225F47"/>
    <w:rsid w:val="002261A3"/>
    <w:rsid w:val="0022623B"/>
    <w:rsid w:val="002263B7"/>
    <w:rsid w:val="0022640F"/>
    <w:rsid w:val="002269BE"/>
    <w:rsid w:val="00226BCB"/>
    <w:rsid w:val="00226C5E"/>
    <w:rsid w:val="00226D02"/>
    <w:rsid w:val="00226E55"/>
    <w:rsid w:val="00226F61"/>
    <w:rsid w:val="00227049"/>
    <w:rsid w:val="002272B6"/>
    <w:rsid w:val="00227392"/>
    <w:rsid w:val="002275A3"/>
    <w:rsid w:val="002277A2"/>
    <w:rsid w:val="0022786B"/>
    <w:rsid w:val="00227896"/>
    <w:rsid w:val="00227E5E"/>
    <w:rsid w:val="00227EE9"/>
    <w:rsid w:val="00230095"/>
    <w:rsid w:val="002300DA"/>
    <w:rsid w:val="0023025F"/>
    <w:rsid w:val="00230333"/>
    <w:rsid w:val="00230456"/>
    <w:rsid w:val="0023046F"/>
    <w:rsid w:val="002306C6"/>
    <w:rsid w:val="002306DA"/>
    <w:rsid w:val="0023081D"/>
    <w:rsid w:val="00230930"/>
    <w:rsid w:val="00230B1C"/>
    <w:rsid w:val="00230B76"/>
    <w:rsid w:val="00230E95"/>
    <w:rsid w:val="00230EB8"/>
    <w:rsid w:val="00230F36"/>
    <w:rsid w:val="00231099"/>
    <w:rsid w:val="002312BE"/>
    <w:rsid w:val="002318C5"/>
    <w:rsid w:val="00231A81"/>
    <w:rsid w:val="00231A93"/>
    <w:rsid w:val="00231A94"/>
    <w:rsid w:val="00231C9E"/>
    <w:rsid w:val="00231CA2"/>
    <w:rsid w:val="00232050"/>
    <w:rsid w:val="002324BB"/>
    <w:rsid w:val="002329A8"/>
    <w:rsid w:val="00232A34"/>
    <w:rsid w:val="00232EF1"/>
    <w:rsid w:val="002330CD"/>
    <w:rsid w:val="002331F8"/>
    <w:rsid w:val="00233519"/>
    <w:rsid w:val="00233642"/>
    <w:rsid w:val="00233EBA"/>
    <w:rsid w:val="00233FED"/>
    <w:rsid w:val="00234048"/>
    <w:rsid w:val="0023409B"/>
    <w:rsid w:val="00234100"/>
    <w:rsid w:val="002341DD"/>
    <w:rsid w:val="00234251"/>
    <w:rsid w:val="00234572"/>
    <w:rsid w:val="002346F5"/>
    <w:rsid w:val="00234816"/>
    <w:rsid w:val="00234837"/>
    <w:rsid w:val="0023489C"/>
    <w:rsid w:val="00234923"/>
    <w:rsid w:val="00234A3E"/>
    <w:rsid w:val="00234E15"/>
    <w:rsid w:val="00234E19"/>
    <w:rsid w:val="0023507F"/>
    <w:rsid w:val="002352AC"/>
    <w:rsid w:val="00235490"/>
    <w:rsid w:val="00235602"/>
    <w:rsid w:val="0023571C"/>
    <w:rsid w:val="00235758"/>
    <w:rsid w:val="00235798"/>
    <w:rsid w:val="002358CC"/>
    <w:rsid w:val="00235A14"/>
    <w:rsid w:val="00235AFD"/>
    <w:rsid w:val="00235BB0"/>
    <w:rsid w:val="00235D24"/>
    <w:rsid w:val="00236433"/>
    <w:rsid w:val="0023647A"/>
    <w:rsid w:val="00236482"/>
    <w:rsid w:val="00236524"/>
    <w:rsid w:val="00236590"/>
    <w:rsid w:val="0023679F"/>
    <w:rsid w:val="002367CE"/>
    <w:rsid w:val="00236851"/>
    <w:rsid w:val="002369F7"/>
    <w:rsid w:val="00236C73"/>
    <w:rsid w:val="00236D88"/>
    <w:rsid w:val="00236F98"/>
    <w:rsid w:val="00237052"/>
    <w:rsid w:val="00237373"/>
    <w:rsid w:val="0023775C"/>
    <w:rsid w:val="002379A9"/>
    <w:rsid w:val="00237A18"/>
    <w:rsid w:val="00237A2F"/>
    <w:rsid w:val="00237AF4"/>
    <w:rsid w:val="00237AFD"/>
    <w:rsid w:val="00237BAE"/>
    <w:rsid w:val="00237BC0"/>
    <w:rsid w:val="00237C3B"/>
    <w:rsid w:val="00237C70"/>
    <w:rsid w:val="00237C80"/>
    <w:rsid w:val="00237CF7"/>
    <w:rsid w:val="00237F04"/>
    <w:rsid w:val="00240196"/>
    <w:rsid w:val="0024022B"/>
    <w:rsid w:val="00240290"/>
    <w:rsid w:val="00240347"/>
    <w:rsid w:val="00240468"/>
    <w:rsid w:val="002406F4"/>
    <w:rsid w:val="0024090C"/>
    <w:rsid w:val="00240B51"/>
    <w:rsid w:val="00240CE6"/>
    <w:rsid w:val="00240F86"/>
    <w:rsid w:val="00241067"/>
    <w:rsid w:val="002410CC"/>
    <w:rsid w:val="002415F3"/>
    <w:rsid w:val="0024165C"/>
    <w:rsid w:val="00241701"/>
    <w:rsid w:val="00241760"/>
    <w:rsid w:val="002419C5"/>
    <w:rsid w:val="00241B0D"/>
    <w:rsid w:val="00241B24"/>
    <w:rsid w:val="00241C57"/>
    <w:rsid w:val="00241C9D"/>
    <w:rsid w:val="00241DC5"/>
    <w:rsid w:val="00241E2D"/>
    <w:rsid w:val="002421BD"/>
    <w:rsid w:val="002421E8"/>
    <w:rsid w:val="00242462"/>
    <w:rsid w:val="00242479"/>
    <w:rsid w:val="0024254E"/>
    <w:rsid w:val="00242710"/>
    <w:rsid w:val="002427D7"/>
    <w:rsid w:val="0024292B"/>
    <w:rsid w:val="00242CB6"/>
    <w:rsid w:val="0024305A"/>
    <w:rsid w:val="00243386"/>
    <w:rsid w:val="0024346C"/>
    <w:rsid w:val="00243489"/>
    <w:rsid w:val="002434A9"/>
    <w:rsid w:val="002439CD"/>
    <w:rsid w:val="00243C14"/>
    <w:rsid w:val="00243E2A"/>
    <w:rsid w:val="00243F89"/>
    <w:rsid w:val="00244130"/>
    <w:rsid w:val="002442E9"/>
    <w:rsid w:val="00244328"/>
    <w:rsid w:val="00244448"/>
    <w:rsid w:val="002444A6"/>
    <w:rsid w:val="0024458A"/>
    <w:rsid w:val="0024459D"/>
    <w:rsid w:val="002447E2"/>
    <w:rsid w:val="0024481C"/>
    <w:rsid w:val="002448E9"/>
    <w:rsid w:val="002449D0"/>
    <w:rsid w:val="00244B6E"/>
    <w:rsid w:val="00244CE6"/>
    <w:rsid w:val="00244D50"/>
    <w:rsid w:val="0024503D"/>
    <w:rsid w:val="002450B7"/>
    <w:rsid w:val="002450CB"/>
    <w:rsid w:val="002451EE"/>
    <w:rsid w:val="0024521A"/>
    <w:rsid w:val="00245288"/>
    <w:rsid w:val="00245754"/>
    <w:rsid w:val="002457EC"/>
    <w:rsid w:val="00245AEE"/>
    <w:rsid w:val="00245B01"/>
    <w:rsid w:val="00245CE3"/>
    <w:rsid w:val="00245D9F"/>
    <w:rsid w:val="00245E19"/>
    <w:rsid w:val="00246097"/>
    <w:rsid w:val="002461E2"/>
    <w:rsid w:val="00246222"/>
    <w:rsid w:val="00246281"/>
    <w:rsid w:val="002467A1"/>
    <w:rsid w:val="002468B4"/>
    <w:rsid w:val="00246AE1"/>
    <w:rsid w:val="00246BFC"/>
    <w:rsid w:val="00246D96"/>
    <w:rsid w:val="00246FCC"/>
    <w:rsid w:val="00247158"/>
    <w:rsid w:val="002474E7"/>
    <w:rsid w:val="00247639"/>
    <w:rsid w:val="0024798F"/>
    <w:rsid w:val="00247991"/>
    <w:rsid w:val="00247CD9"/>
    <w:rsid w:val="00247D7B"/>
    <w:rsid w:val="00247EC0"/>
    <w:rsid w:val="00250001"/>
    <w:rsid w:val="00250208"/>
    <w:rsid w:val="002502CB"/>
    <w:rsid w:val="002503D7"/>
    <w:rsid w:val="0025041D"/>
    <w:rsid w:val="002505A9"/>
    <w:rsid w:val="00250686"/>
    <w:rsid w:val="00250795"/>
    <w:rsid w:val="002507C1"/>
    <w:rsid w:val="002508D2"/>
    <w:rsid w:val="0025096D"/>
    <w:rsid w:val="00250986"/>
    <w:rsid w:val="00250A1B"/>
    <w:rsid w:val="00250B64"/>
    <w:rsid w:val="00250BAC"/>
    <w:rsid w:val="002510AE"/>
    <w:rsid w:val="002510CF"/>
    <w:rsid w:val="002511A4"/>
    <w:rsid w:val="00251385"/>
    <w:rsid w:val="0025141A"/>
    <w:rsid w:val="0025153F"/>
    <w:rsid w:val="00251653"/>
    <w:rsid w:val="00251A1F"/>
    <w:rsid w:val="00251A57"/>
    <w:rsid w:val="00251A7F"/>
    <w:rsid w:val="00251B34"/>
    <w:rsid w:val="00251E09"/>
    <w:rsid w:val="00251E51"/>
    <w:rsid w:val="00251F01"/>
    <w:rsid w:val="002520BF"/>
    <w:rsid w:val="00252132"/>
    <w:rsid w:val="00252167"/>
    <w:rsid w:val="0025242A"/>
    <w:rsid w:val="002528DE"/>
    <w:rsid w:val="002529A6"/>
    <w:rsid w:val="00252A04"/>
    <w:rsid w:val="00252B95"/>
    <w:rsid w:val="00252B97"/>
    <w:rsid w:val="00252BE9"/>
    <w:rsid w:val="00252CF4"/>
    <w:rsid w:val="00252D45"/>
    <w:rsid w:val="00252D67"/>
    <w:rsid w:val="0025329D"/>
    <w:rsid w:val="00253349"/>
    <w:rsid w:val="0025338C"/>
    <w:rsid w:val="002534AD"/>
    <w:rsid w:val="002536A5"/>
    <w:rsid w:val="00253709"/>
    <w:rsid w:val="00253AFF"/>
    <w:rsid w:val="00253BB0"/>
    <w:rsid w:val="00253C72"/>
    <w:rsid w:val="00253E79"/>
    <w:rsid w:val="0025409E"/>
    <w:rsid w:val="0025412B"/>
    <w:rsid w:val="002542A5"/>
    <w:rsid w:val="002549A5"/>
    <w:rsid w:val="00254B48"/>
    <w:rsid w:val="00254BC3"/>
    <w:rsid w:val="00254CD0"/>
    <w:rsid w:val="00254FAB"/>
    <w:rsid w:val="00254FF3"/>
    <w:rsid w:val="00255096"/>
    <w:rsid w:val="0025520A"/>
    <w:rsid w:val="00255247"/>
    <w:rsid w:val="002553F4"/>
    <w:rsid w:val="002555EE"/>
    <w:rsid w:val="0025582A"/>
    <w:rsid w:val="00255862"/>
    <w:rsid w:val="002558E2"/>
    <w:rsid w:val="00255BE2"/>
    <w:rsid w:val="00255C2A"/>
    <w:rsid w:val="00255C95"/>
    <w:rsid w:val="00255F33"/>
    <w:rsid w:val="00255FBD"/>
    <w:rsid w:val="0025647F"/>
    <w:rsid w:val="002565A3"/>
    <w:rsid w:val="002565AB"/>
    <w:rsid w:val="002568B5"/>
    <w:rsid w:val="00256A45"/>
    <w:rsid w:val="00256B5E"/>
    <w:rsid w:val="00256B5F"/>
    <w:rsid w:val="00256D99"/>
    <w:rsid w:val="00256DBE"/>
    <w:rsid w:val="00257752"/>
    <w:rsid w:val="002578AA"/>
    <w:rsid w:val="002578E9"/>
    <w:rsid w:val="00260268"/>
    <w:rsid w:val="002602B7"/>
    <w:rsid w:val="002602FA"/>
    <w:rsid w:val="002608D1"/>
    <w:rsid w:val="002609C8"/>
    <w:rsid w:val="00260CAA"/>
    <w:rsid w:val="002612EA"/>
    <w:rsid w:val="00261556"/>
    <w:rsid w:val="002615C8"/>
    <w:rsid w:val="00261635"/>
    <w:rsid w:val="002616B3"/>
    <w:rsid w:val="0026172E"/>
    <w:rsid w:val="0026189D"/>
    <w:rsid w:val="0026190D"/>
    <w:rsid w:val="0026198C"/>
    <w:rsid w:val="00261AB6"/>
    <w:rsid w:val="00261B1E"/>
    <w:rsid w:val="00261DCE"/>
    <w:rsid w:val="00261DE2"/>
    <w:rsid w:val="0026203E"/>
    <w:rsid w:val="0026210D"/>
    <w:rsid w:val="00262178"/>
    <w:rsid w:val="0026238F"/>
    <w:rsid w:val="0026275F"/>
    <w:rsid w:val="0026294F"/>
    <w:rsid w:val="00262A82"/>
    <w:rsid w:val="00262BF0"/>
    <w:rsid w:val="00262F05"/>
    <w:rsid w:val="00262FC6"/>
    <w:rsid w:val="00263259"/>
    <w:rsid w:val="0026365B"/>
    <w:rsid w:val="002637C2"/>
    <w:rsid w:val="00263819"/>
    <w:rsid w:val="00263E0C"/>
    <w:rsid w:val="00263F24"/>
    <w:rsid w:val="00263F8A"/>
    <w:rsid w:val="002641E8"/>
    <w:rsid w:val="0026435E"/>
    <w:rsid w:val="00264363"/>
    <w:rsid w:val="0026436A"/>
    <w:rsid w:val="0026447F"/>
    <w:rsid w:val="0026478F"/>
    <w:rsid w:val="0026484B"/>
    <w:rsid w:val="002648B9"/>
    <w:rsid w:val="002649A4"/>
    <w:rsid w:val="00264A17"/>
    <w:rsid w:val="00264B57"/>
    <w:rsid w:val="00264B90"/>
    <w:rsid w:val="00264BFC"/>
    <w:rsid w:val="00264E2D"/>
    <w:rsid w:val="0026539F"/>
    <w:rsid w:val="00265431"/>
    <w:rsid w:val="002654BA"/>
    <w:rsid w:val="0026563D"/>
    <w:rsid w:val="00265AEC"/>
    <w:rsid w:val="00265BAC"/>
    <w:rsid w:val="00265EA5"/>
    <w:rsid w:val="002661BF"/>
    <w:rsid w:val="002661DE"/>
    <w:rsid w:val="002662B0"/>
    <w:rsid w:val="00266532"/>
    <w:rsid w:val="0026667A"/>
    <w:rsid w:val="0026677E"/>
    <w:rsid w:val="0026698E"/>
    <w:rsid w:val="00266B4E"/>
    <w:rsid w:val="00266B57"/>
    <w:rsid w:val="00266D73"/>
    <w:rsid w:val="00266DEC"/>
    <w:rsid w:val="00266EBF"/>
    <w:rsid w:val="00266F46"/>
    <w:rsid w:val="0026700C"/>
    <w:rsid w:val="00267200"/>
    <w:rsid w:val="002675CB"/>
    <w:rsid w:val="00267943"/>
    <w:rsid w:val="00267977"/>
    <w:rsid w:val="002679C1"/>
    <w:rsid w:val="00267A71"/>
    <w:rsid w:val="00267EAC"/>
    <w:rsid w:val="002700AD"/>
    <w:rsid w:val="0027027B"/>
    <w:rsid w:val="002704FD"/>
    <w:rsid w:val="00270543"/>
    <w:rsid w:val="002707A2"/>
    <w:rsid w:val="00270816"/>
    <w:rsid w:val="0027094B"/>
    <w:rsid w:val="002709D2"/>
    <w:rsid w:val="00270A04"/>
    <w:rsid w:val="00270A73"/>
    <w:rsid w:val="00270BBE"/>
    <w:rsid w:val="00270C58"/>
    <w:rsid w:val="00270E10"/>
    <w:rsid w:val="00270F49"/>
    <w:rsid w:val="002710FF"/>
    <w:rsid w:val="00271403"/>
    <w:rsid w:val="002714DC"/>
    <w:rsid w:val="00271897"/>
    <w:rsid w:val="00271A13"/>
    <w:rsid w:val="00271CAB"/>
    <w:rsid w:val="00271DCC"/>
    <w:rsid w:val="00271DD4"/>
    <w:rsid w:val="00271FC1"/>
    <w:rsid w:val="002721D5"/>
    <w:rsid w:val="00272280"/>
    <w:rsid w:val="00272386"/>
    <w:rsid w:val="002724A7"/>
    <w:rsid w:val="00272613"/>
    <w:rsid w:val="00272862"/>
    <w:rsid w:val="00272948"/>
    <w:rsid w:val="00272AB2"/>
    <w:rsid w:val="00272B14"/>
    <w:rsid w:val="00272EB3"/>
    <w:rsid w:val="00272F5B"/>
    <w:rsid w:val="0027305A"/>
    <w:rsid w:val="002731FE"/>
    <w:rsid w:val="00273231"/>
    <w:rsid w:val="0027323E"/>
    <w:rsid w:val="00273397"/>
    <w:rsid w:val="0027351C"/>
    <w:rsid w:val="00273554"/>
    <w:rsid w:val="00273A2C"/>
    <w:rsid w:val="00273B93"/>
    <w:rsid w:val="00273D29"/>
    <w:rsid w:val="00273FBA"/>
    <w:rsid w:val="00273FF6"/>
    <w:rsid w:val="002740F4"/>
    <w:rsid w:val="0027411B"/>
    <w:rsid w:val="002747AA"/>
    <w:rsid w:val="002748C5"/>
    <w:rsid w:val="002749A3"/>
    <w:rsid w:val="00274AAB"/>
    <w:rsid w:val="00274F11"/>
    <w:rsid w:val="002750D3"/>
    <w:rsid w:val="002753EF"/>
    <w:rsid w:val="00275428"/>
    <w:rsid w:val="00275445"/>
    <w:rsid w:val="00275460"/>
    <w:rsid w:val="002758F6"/>
    <w:rsid w:val="00275939"/>
    <w:rsid w:val="00275B4B"/>
    <w:rsid w:val="00275CBD"/>
    <w:rsid w:val="00275D67"/>
    <w:rsid w:val="00275DCD"/>
    <w:rsid w:val="002760AA"/>
    <w:rsid w:val="002761AB"/>
    <w:rsid w:val="00276394"/>
    <w:rsid w:val="002763B1"/>
    <w:rsid w:val="0027642E"/>
    <w:rsid w:val="002767F5"/>
    <w:rsid w:val="00276BAD"/>
    <w:rsid w:val="00276D61"/>
    <w:rsid w:val="00276DFA"/>
    <w:rsid w:val="00276E03"/>
    <w:rsid w:val="00276E55"/>
    <w:rsid w:val="002770F0"/>
    <w:rsid w:val="002770F7"/>
    <w:rsid w:val="002771A4"/>
    <w:rsid w:val="00277454"/>
    <w:rsid w:val="0027779B"/>
    <w:rsid w:val="0027783B"/>
    <w:rsid w:val="00277878"/>
    <w:rsid w:val="002778D2"/>
    <w:rsid w:val="002778FD"/>
    <w:rsid w:val="002779DA"/>
    <w:rsid w:val="00277A72"/>
    <w:rsid w:val="00277DC6"/>
    <w:rsid w:val="00277F77"/>
    <w:rsid w:val="00277FC8"/>
    <w:rsid w:val="002800A6"/>
    <w:rsid w:val="00280133"/>
    <w:rsid w:val="002801A2"/>
    <w:rsid w:val="00280216"/>
    <w:rsid w:val="002802D5"/>
    <w:rsid w:val="002804CB"/>
    <w:rsid w:val="002804D4"/>
    <w:rsid w:val="0028079C"/>
    <w:rsid w:val="002807AB"/>
    <w:rsid w:val="0028080C"/>
    <w:rsid w:val="002809E9"/>
    <w:rsid w:val="00280AF6"/>
    <w:rsid w:val="00280B92"/>
    <w:rsid w:val="00280C55"/>
    <w:rsid w:val="00280F90"/>
    <w:rsid w:val="002810A3"/>
    <w:rsid w:val="002815D3"/>
    <w:rsid w:val="00281716"/>
    <w:rsid w:val="00281919"/>
    <w:rsid w:val="00281983"/>
    <w:rsid w:val="00281A35"/>
    <w:rsid w:val="00281B4B"/>
    <w:rsid w:val="00281DA9"/>
    <w:rsid w:val="00281F7C"/>
    <w:rsid w:val="00281FE7"/>
    <w:rsid w:val="0028231A"/>
    <w:rsid w:val="002824B5"/>
    <w:rsid w:val="0028252E"/>
    <w:rsid w:val="002827AB"/>
    <w:rsid w:val="00282801"/>
    <w:rsid w:val="00282BAB"/>
    <w:rsid w:val="00282C0B"/>
    <w:rsid w:val="00282CB3"/>
    <w:rsid w:val="00282CF8"/>
    <w:rsid w:val="00282EFD"/>
    <w:rsid w:val="00283014"/>
    <w:rsid w:val="0028324A"/>
    <w:rsid w:val="002832EC"/>
    <w:rsid w:val="002832F9"/>
    <w:rsid w:val="00283490"/>
    <w:rsid w:val="00283AAA"/>
    <w:rsid w:val="00283D3F"/>
    <w:rsid w:val="00283D5F"/>
    <w:rsid w:val="00283D97"/>
    <w:rsid w:val="00283F9E"/>
    <w:rsid w:val="00284495"/>
    <w:rsid w:val="0028463A"/>
    <w:rsid w:val="002846D8"/>
    <w:rsid w:val="002849DE"/>
    <w:rsid w:val="00284A0C"/>
    <w:rsid w:val="00284A52"/>
    <w:rsid w:val="00284BEE"/>
    <w:rsid w:val="00284E33"/>
    <w:rsid w:val="00284F43"/>
    <w:rsid w:val="0028501D"/>
    <w:rsid w:val="0028521C"/>
    <w:rsid w:val="002852A0"/>
    <w:rsid w:val="002856CC"/>
    <w:rsid w:val="00285707"/>
    <w:rsid w:val="002858FB"/>
    <w:rsid w:val="00285A00"/>
    <w:rsid w:val="00285A26"/>
    <w:rsid w:val="00285AC1"/>
    <w:rsid w:val="00285C71"/>
    <w:rsid w:val="00285C98"/>
    <w:rsid w:val="00285EF2"/>
    <w:rsid w:val="0028606B"/>
    <w:rsid w:val="002869AB"/>
    <w:rsid w:val="002869E7"/>
    <w:rsid w:val="00286A90"/>
    <w:rsid w:val="00286B6A"/>
    <w:rsid w:val="00286DC6"/>
    <w:rsid w:val="00286FAF"/>
    <w:rsid w:val="002870DA"/>
    <w:rsid w:val="002875B2"/>
    <w:rsid w:val="00287600"/>
    <w:rsid w:val="002879B7"/>
    <w:rsid w:val="002879CC"/>
    <w:rsid w:val="002879F0"/>
    <w:rsid w:val="00287B83"/>
    <w:rsid w:val="00287C71"/>
    <w:rsid w:val="00287C77"/>
    <w:rsid w:val="00287D1C"/>
    <w:rsid w:val="00287F88"/>
    <w:rsid w:val="00287FC0"/>
    <w:rsid w:val="00287FDC"/>
    <w:rsid w:val="002900DA"/>
    <w:rsid w:val="0029043D"/>
    <w:rsid w:val="00290446"/>
    <w:rsid w:val="0029056F"/>
    <w:rsid w:val="002905F7"/>
    <w:rsid w:val="002907EA"/>
    <w:rsid w:val="0029089E"/>
    <w:rsid w:val="00290F58"/>
    <w:rsid w:val="00291002"/>
    <w:rsid w:val="002910C7"/>
    <w:rsid w:val="00291328"/>
    <w:rsid w:val="002914A1"/>
    <w:rsid w:val="00291505"/>
    <w:rsid w:val="002915F7"/>
    <w:rsid w:val="0029180B"/>
    <w:rsid w:val="002918BB"/>
    <w:rsid w:val="00291AB3"/>
    <w:rsid w:val="00291B0B"/>
    <w:rsid w:val="00291B2B"/>
    <w:rsid w:val="00291CB5"/>
    <w:rsid w:val="00291D43"/>
    <w:rsid w:val="00291FB8"/>
    <w:rsid w:val="0029204B"/>
    <w:rsid w:val="002922DA"/>
    <w:rsid w:val="0029236F"/>
    <w:rsid w:val="00292517"/>
    <w:rsid w:val="002925AF"/>
    <w:rsid w:val="002927FE"/>
    <w:rsid w:val="0029295E"/>
    <w:rsid w:val="00292967"/>
    <w:rsid w:val="00292A52"/>
    <w:rsid w:val="00292AF7"/>
    <w:rsid w:val="00292DEA"/>
    <w:rsid w:val="002931BF"/>
    <w:rsid w:val="002932BF"/>
    <w:rsid w:val="002932ED"/>
    <w:rsid w:val="002933B0"/>
    <w:rsid w:val="00293434"/>
    <w:rsid w:val="00293520"/>
    <w:rsid w:val="002938BE"/>
    <w:rsid w:val="002938C4"/>
    <w:rsid w:val="0029390D"/>
    <w:rsid w:val="00293974"/>
    <w:rsid w:val="00293984"/>
    <w:rsid w:val="00293AA9"/>
    <w:rsid w:val="00293BE5"/>
    <w:rsid w:val="00293E3E"/>
    <w:rsid w:val="00293E9B"/>
    <w:rsid w:val="00293F4E"/>
    <w:rsid w:val="00294087"/>
    <w:rsid w:val="0029425F"/>
    <w:rsid w:val="0029431E"/>
    <w:rsid w:val="002943CD"/>
    <w:rsid w:val="00294793"/>
    <w:rsid w:val="00294A5A"/>
    <w:rsid w:val="00294CB0"/>
    <w:rsid w:val="00294D7B"/>
    <w:rsid w:val="00294F01"/>
    <w:rsid w:val="00294F34"/>
    <w:rsid w:val="00294F53"/>
    <w:rsid w:val="00294F6A"/>
    <w:rsid w:val="00295224"/>
    <w:rsid w:val="0029533B"/>
    <w:rsid w:val="0029536A"/>
    <w:rsid w:val="002954E8"/>
    <w:rsid w:val="0029562B"/>
    <w:rsid w:val="002959B0"/>
    <w:rsid w:val="002959B5"/>
    <w:rsid w:val="00295C01"/>
    <w:rsid w:val="00295C9A"/>
    <w:rsid w:val="00295D50"/>
    <w:rsid w:val="00295D96"/>
    <w:rsid w:val="00295E9B"/>
    <w:rsid w:val="00295EBC"/>
    <w:rsid w:val="0029649B"/>
    <w:rsid w:val="002965F9"/>
    <w:rsid w:val="002968C8"/>
    <w:rsid w:val="002968EC"/>
    <w:rsid w:val="00296BF2"/>
    <w:rsid w:val="00296DC8"/>
    <w:rsid w:val="00296E83"/>
    <w:rsid w:val="002971A8"/>
    <w:rsid w:val="002971AE"/>
    <w:rsid w:val="0029727A"/>
    <w:rsid w:val="00297363"/>
    <w:rsid w:val="00297917"/>
    <w:rsid w:val="002979C0"/>
    <w:rsid w:val="00297ABD"/>
    <w:rsid w:val="00297CF7"/>
    <w:rsid w:val="00297D31"/>
    <w:rsid w:val="002A0297"/>
    <w:rsid w:val="002A04EE"/>
    <w:rsid w:val="002A0531"/>
    <w:rsid w:val="002A060D"/>
    <w:rsid w:val="002A073B"/>
    <w:rsid w:val="002A0A3D"/>
    <w:rsid w:val="002A0AAE"/>
    <w:rsid w:val="002A0BF4"/>
    <w:rsid w:val="002A0D40"/>
    <w:rsid w:val="002A0D4F"/>
    <w:rsid w:val="002A0DCD"/>
    <w:rsid w:val="002A11F2"/>
    <w:rsid w:val="002A128E"/>
    <w:rsid w:val="002A1362"/>
    <w:rsid w:val="002A13BC"/>
    <w:rsid w:val="002A13CE"/>
    <w:rsid w:val="002A1AE2"/>
    <w:rsid w:val="002A1BFB"/>
    <w:rsid w:val="002A1EE4"/>
    <w:rsid w:val="002A1F5F"/>
    <w:rsid w:val="002A2617"/>
    <w:rsid w:val="002A26D6"/>
    <w:rsid w:val="002A2895"/>
    <w:rsid w:val="002A2A18"/>
    <w:rsid w:val="002A2A86"/>
    <w:rsid w:val="002A2FCC"/>
    <w:rsid w:val="002A31AB"/>
    <w:rsid w:val="002A3415"/>
    <w:rsid w:val="002A3514"/>
    <w:rsid w:val="002A3539"/>
    <w:rsid w:val="002A36E8"/>
    <w:rsid w:val="002A3845"/>
    <w:rsid w:val="002A3990"/>
    <w:rsid w:val="002A3C83"/>
    <w:rsid w:val="002A3CB7"/>
    <w:rsid w:val="002A3ED8"/>
    <w:rsid w:val="002A43C9"/>
    <w:rsid w:val="002A444D"/>
    <w:rsid w:val="002A44DE"/>
    <w:rsid w:val="002A44F3"/>
    <w:rsid w:val="002A469E"/>
    <w:rsid w:val="002A4729"/>
    <w:rsid w:val="002A47EB"/>
    <w:rsid w:val="002A48A7"/>
    <w:rsid w:val="002A48EB"/>
    <w:rsid w:val="002A4AA1"/>
    <w:rsid w:val="002A4BFA"/>
    <w:rsid w:val="002A4CEA"/>
    <w:rsid w:val="002A4E2C"/>
    <w:rsid w:val="002A51A3"/>
    <w:rsid w:val="002A521D"/>
    <w:rsid w:val="002A53A0"/>
    <w:rsid w:val="002A54BB"/>
    <w:rsid w:val="002A560A"/>
    <w:rsid w:val="002A597D"/>
    <w:rsid w:val="002A5AB1"/>
    <w:rsid w:val="002A5C05"/>
    <w:rsid w:val="002A5C41"/>
    <w:rsid w:val="002A5E32"/>
    <w:rsid w:val="002A639C"/>
    <w:rsid w:val="002A68B5"/>
    <w:rsid w:val="002A68D9"/>
    <w:rsid w:val="002A6943"/>
    <w:rsid w:val="002A6970"/>
    <w:rsid w:val="002A6976"/>
    <w:rsid w:val="002A69C4"/>
    <w:rsid w:val="002A6A16"/>
    <w:rsid w:val="002A6A1C"/>
    <w:rsid w:val="002A6C8E"/>
    <w:rsid w:val="002A6CF8"/>
    <w:rsid w:val="002A6EB6"/>
    <w:rsid w:val="002A70CE"/>
    <w:rsid w:val="002A7159"/>
    <w:rsid w:val="002A7207"/>
    <w:rsid w:val="002A727F"/>
    <w:rsid w:val="002A7455"/>
    <w:rsid w:val="002A7A5D"/>
    <w:rsid w:val="002A7AFE"/>
    <w:rsid w:val="002A7C53"/>
    <w:rsid w:val="002A7EA8"/>
    <w:rsid w:val="002A7ED5"/>
    <w:rsid w:val="002A7F98"/>
    <w:rsid w:val="002A7FBB"/>
    <w:rsid w:val="002B0036"/>
    <w:rsid w:val="002B01DB"/>
    <w:rsid w:val="002B027D"/>
    <w:rsid w:val="002B0474"/>
    <w:rsid w:val="002B047C"/>
    <w:rsid w:val="002B0525"/>
    <w:rsid w:val="002B06BF"/>
    <w:rsid w:val="002B0736"/>
    <w:rsid w:val="002B076F"/>
    <w:rsid w:val="002B0771"/>
    <w:rsid w:val="002B08AA"/>
    <w:rsid w:val="002B0B33"/>
    <w:rsid w:val="002B0B5C"/>
    <w:rsid w:val="002B0C4C"/>
    <w:rsid w:val="002B0FEB"/>
    <w:rsid w:val="002B1418"/>
    <w:rsid w:val="002B14C3"/>
    <w:rsid w:val="002B1610"/>
    <w:rsid w:val="002B1682"/>
    <w:rsid w:val="002B16C1"/>
    <w:rsid w:val="002B171B"/>
    <w:rsid w:val="002B1922"/>
    <w:rsid w:val="002B19B8"/>
    <w:rsid w:val="002B1C65"/>
    <w:rsid w:val="002B1C89"/>
    <w:rsid w:val="002B1DD6"/>
    <w:rsid w:val="002B1F8A"/>
    <w:rsid w:val="002B2223"/>
    <w:rsid w:val="002B23C2"/>
    <w:rsid w:val="002B2468"/>
    <w:rsid w:val="002B2530"/>
    <w:rsid w:val="002B2690"/>
    <w:rsid w:val="002B2730"/>
    <w:rsid w:val="002B28E3"/>
    <w:rsid w:val="002B29A6"/>
    <w:rsid w:val="002B2A72"/>
    <w:rsid w:val="002B2B8F"/>
    <w:rsid w:val="002B2E6F"/>
    <w:rsid w:val="002B3005"/>
    <w:rsid w:val="002B3311"/>
    <w:rsid w:val="002B3458"/>
    <w:rsid w:val="002B374B"/>
    <w:rsid w:val="002B3927"/>
    <w:rsid w:val="002B3A9D"/>
    <w:rsid w:val="002B3CCA"/>
    <w:rsid w:val="002B3F97"/>
    <w:rsid w:val="002B41D3"/>
    <w:rsid w:val="002B4836"/>
    <w:rsid w:val="002B490E"/>
    <w:rsid w:val="002B4981"/>
    <w:rsid w:val="002B4C9C"/>
    <w:rsid w:val="002B4D05"/>
    <w:rsid w:val="002B4E74"/>
    <w:rsid w:val="002B4E80"/>
    <w:rsid w:val="002B4EED"/>
    <w:rsid w:val="002B4F20"/>
    <w:rsid w:val="002B5651"/>
    <w:rsid w:val="002B56F1"/>
    <w:rsid w:val="002B5787"/>
    <w:rsid w:val="002B5801"/>
    <w:rsid w:val="002B5811"/>
    <w:rsid w:val="002B58FA"/>
    <w:rsid w:val="002B5B4F"/>
    <w:rsid w:val="002B5CA6"/>
    <w:rsid w:val="002B5F00"/>
    <w:rsid w:val="002B5F34"/>
    <w:rsid w:val="002B609E"/>
    <w:rsid w:val="002B6106"/>
    <w:rsid w:val="002B6227"/>
    <w:rsid w:val="002B64EA"/>
    <w:rsid w:val="002B65D6"/>
    <w:rsid w:val="002B684D"/>
    <w:rsid w:val="002B691A"/>
    <w:rsid w:val="002B6B7C"/>
    <w:rsid w:val="002B6D70"/>
    <w:rsid w:val="002B6D86"/>
    <w:rsid w:val="002B6F8B"/>
    <w:rsid w:val="002B7085"/>
    <w:rsid w:val="002B7088"/>
    <w:rsid w:val="002B7116"/>
    <w:rsid w:val="002B7261"/>
    <w:rsid w:val="002B72C3"/>
    <w:rsid w:val="002B75C9"/>
    <w:rsid w:val="002B77F8"/>
    <w:rsid w:val="002B78C4"/>
    <w:rsid w:val="002B7A2F"/>
    <w:rsid w:val="002B7D50"/>
    <w:rsid w:val="002C013D"/>
    <w:rsid w:val="002C033A"/>
    <w:rsid w:val="002C04F1"/>
    <w:rsid w:val="002C052E"/>
    <w:rsid w:val="002C09A3"/>
    <w:rsid w:val="002C0FCD"/>
    <w:rsid w:val="002C1056"/>
    <w:rsid w:val="002C10CD"/>
    <w:rsid w:val="002C1391"/>
    <w:rsid w:val="002C13D9"/>
    <w:rsid w:val="002C196F"/>
    <w:rsid w:val="002C19D8"/>
    <w:rsid w:val="002C1A54"/>
    <w:rsid w:val="002C1A5C"/>
    <w:rsid w:val="002C1A6B"/>
    <w:rsid w:val="002C1B23"/>
    <w:rsid w:val="002C1CCB"/>
    <w:rsid w:val="002C1D7F"/>
    <w:rsid w:val="002C1EE8"/>
    <w:rsid w:val="002C2097"/>
    <w:rsid w:val="002C2129"/>
    <w:rsid w:val="002C2221"/>
    <w:rsid w:val="002C223F"/>
    <w:rsid w:val="002C2588"/>
    <w:rsid w:val="002C26D9"/>
    <w:rsid w:val="002C27A3"/>
    <w:rsid w:val="002C280E"/>
    <w:rsid w:val="002C2AA6"/>
    <w:rsid w:val="002C2B76"/>
    <w:rsid w:val="002C2EFF"/>
    <w:rsid w:val="002C2FA6"/>
    <w:rsid w:val="002C30D6"/>
    <w:rsid w:val="002C3167"/>
    <w:rsid w:val="002C33EE"/>
    <w:rsid w:val="002C38A1"/>
    <w:rsid w:val="002C3BE7"/>
    <w:rsid w:val="002C3DEB"/>
    <w:rsid w:val="002C3E9C"/>
    <w:rsid w:val="002C3EC1"/>
    <w:rsid w:val="002C4376"/>
    <w:rsid w:val="002C4541"/>
    <w:rsid w:val="002C4687"/>
    <w:rsid w:val="002C4693"/>
    <w:rsid w:val="002C4756"/>
    <w:rsid w:val="002C48FB"/>
    <w:rsid w:val="002C4A12"/>
    <w:rsid w:val="002C4A2D"/>
    <w:rsid w:val="002C4AFB"/>
    <w:rsid w:val="002C4C2B"/>
    <w:rsid w:val="002C53C6"/>
    <w:rsid w:val="002C558D"/>
    <w:rsid w:val="002C567B"/>
    <w:rsid w:val="002C5699"/>
    <w:rsid w:val="002C56BA"/>
    <w:rsid w:val="002C58BC"/>
    <w:rsid w:val="002C5944"/>
    <w:rsid w:val="002C596C"/>
    <w:rsid w:val="002C59C2"/>
    <w:rsid w:val="002C5AD7"/>
    <w:rsid w:val="002C5CBF"/>
    <w:rsid w:val="002C62DF"/>
    <w:rsid w:val="002C63B9"/>
    <w:rsid w:val="002C68CD"/>
    <w:rsid w:val="002C6A2D"/>
    <w:rsid w:val="002C6AE8"/>
    <w:rsid w:val="002C6C36"/>
    <w:rsid w:val="002C6E58"/>
    <w:rsid w:val="002C6E7B"/>
    <w:rsid w:val="002C74B2"/>
    <w:rsid w:val="002C76C9"/>
    <w:rsid w:val="002C7826"/>
    <w:rsid w:val="002C784A"/>
    <w:rsid w:val="002C7873"/>
    <w:rsid w:val="002C7B6C"/>
    <w:rsid w:val="002C7BCA"/>
    <w:rsid w:val="002C7D62"/>
    <w:rsid w:val="002C7E34"/>
    <w:rsid w:val="002C7F01"/>
    <w:rsid w:val="002D0118"/>
    <w:rsid w:val="002D042A"/>
    <w:rsid w:val="002D04E7"/>
    <w:rsid w:val="002D05D2"/>
    <w:rsid w:val="002D0658"/>
    <w:rsid w:val="002D091B"/>
    <w:rsid w:val="002D0978"/>
    <w:rsid w:val="002D0A3A"/>
    <w:rsid w:val="002D0A5C"/>
    <w:rsid w:val="002D0BF4"/>
    <w:rsid w:val="002D0D9F"/>
    <w:rsid w:val="002D0E1B"/>
    <w:rsid w:val="002D0E52"/>
    <w:rsid w:val="002D0E95"/>
    <w:rsid w:val="002D10EA"/>
    <w:rsid w:val="002D1360"/>
    <w:rsid w:val="002D13CF"/>
    <w:rsid w:val="002D1566"/>
    <w:rsid w:val="002D159F"/>
    <w:rsid w:val="002D1651"/>
    <w:rsid w:val="002D16C4"/>
    <w:rsid w:val="002D18A6"/>
    <w:rsid w:val="002D198C"/>
    <w:rsid w:val="002D1A35"/>
    <w:rsid w:val="002D1CE6"/>
    <w:rsid w:val="002D1FD3"/>
    <w:rsid w:val="002D2073"/>
    <w:rsid w:val="002D234C"/>
    <w:rsid w:val="002D26F8"/>
    <w:rsid w:val="002D2B41"/>
    <w:rsid w:val="002D2FA1"/>
    <w:rsid w:val="002D318D"/>
    <w:rsid w:val="002D3223"/>
    <w:rsid w:val="002D3240"/>
    <w:rsid w:val="002D336C"/>
    <w:rsid w:val="002D354E"/>
    <w:rsid w:val="002D3859"/>
    <w:rsid w:val="002D3948"/>
    <w:rsid w:val="002D3B5C"/>
    <w:rsid w:val="002D3D8C"/>
    <w:rsid w:val="002D3F0D"/>
    <w:rsid w:val="002D406A"/>
    <w:rsid w:val="002D41DB"/>
    <w:rsid w:val="002D4319"/>
    <w:rsid w:val="002D4577"/>
    <w:rsid w:val="002D45AB"/>
    <w:rsid w:val="002D4653"/>
    <w:rsid w:val="002D46C0"/>
    <w:rsid w:val="002D46ED"/>
    <w:rsid w:val="002D47E7"/>
    <w:rsid w:val="002D4B89"/>
    <w:rsid w:val="002D4BBB"/>
    <w:rsid w:val="002D4C4B"/>
    <w:rsid w:val="002D4D0C"/>
    <w:rsid w:val="002D4D29"/>
    <w:rsid w:val="002D4D43"/>
    <w:rsid w:val="002D4DFE"/>
    <w:rsid w:val="002D4E66"/>
    <w:rsid w:val="002D5136"/>
    <w:rsid w:val="002D555F"/>
    <w:rsid w:val="002D560B"/>
    <w:rsid w:val="002D57E0"/>
    <w:rsid w:val="002D5BB2"/>
    <w:rsid w:val="002D5CA7"/>
    <w:rsid w:val="002D5F02"/>
    <w:rsid w:val="002D5F0D"/>
    <w:rsid w:val="002D6266"/>
    <w:rsid w:val="002D6343"/>
    <w:rsid w:val="002D64AC"/>
    <w:rsid w:val="002D664F"/>
    <w:rsid w:val="002D6909"/>
    <w:rsid w:val="002D69F7"/>
    <w:rsid w:val="002D6D79"/>
    <w:rsid w:val="002D6DFA"/>
    <w:rsid w:val="002D6F23"/>
    <w:rsid w:val="002D6F8A"/>
    <w:rsid w:val="002D725A"/>
    <w:rsid w:val="002D742C"/>
    <w:rsid w:val="002D745F"/>
    <w:rsid w:val="002D75E5"/>
    <w:rsid w:val="002D75F7"/>
    <w:rsid w:val="002D789E"/>
    <w:rsid w:val="002D7ABE"/>
    <w:rsid w:val="002D7ACF"/>
    <w:rsid w:val="002D7C21"/>
    <w:rsid w:val="002D7D37"/>
    <w:rsid w:val="002D7D69"/>
    <w:rsid w:val="002D7DBE"/>
    <w:rsid w:val="002D7F47"/>
    <w:rsid w:val="002E0507"/>
    <w:rsid w:val="002E0705"/>
    <w:rsid w:val="002E0D3F"/>
    <w:rsid w:val="002E0FFB"/>
    <w:rsid w:val="002E10D6"/>
    <w:rsid w:val="002E1118"/>
    <w:rsid w:val="002E1263"/>
    <w:rsid w:val="002E1430"/>
    <w:rsid w:val="002E14C8"/>
    <w:rsid w:val="002E152B"/>
    <w:rsid w:val="002E163B"/>
    <w:rsid w:val="002E1691"/>
    <w:rsid w:val="002E175D"/>
    <w:rsid w:val="002E17A7"/>
    <w:rsid w:val="002E17D5"/>
    <w:rsid w:val="002E1936"/>
    <w:rsid w:val="002E1A1D"/>
    <w:rsid w:val="002E1FD7"/>
    <w:rsid w:val="002E2020"/>
    <w:rsid w:val="002E2130"/>
    <w:rsid w:val="002E228E"/>
    <w:rsid w:val="002E23DC"/>
    <w:rsid w:val="002E256C"/>
    <w:rsid w:val="002E2572"/>
    <w:rsid w:val="002E2640"/>
    <w:rsid w:val="002E2798"/>
    <w:rsid w:val="002E2812"/>
    <w:rsid w:val="002E29FC"/>
    <w:rsid w:val="002E2C67"/>
    <w:rsid w:val="002E2ED6"/>
    <w:rsid w:val="002E2EDB"/>
    <w:rsid w:val="002E2F12"/>
    <w:rsid w:val="002E3683"/>
    <w:rsid w:val="002E37E5"/>
    <w:rsid w:val="002E384D"/>
    <w:rsid w:val="002E3C58"/>
    <w:rsid w:val="002E3E27"/>
    <w:rsid w:val="002E43F4"/>
    <w:rsid w:val="002E4748"/>
    <w:rsid w:val="002E4874"/>
    <w:rsid w:val="002E48A0"/>
    <w:rsid w:val="002E496C"/>
    <w:rsid w:val="002E4B27"/>
    <w:rsid w:val="002E4F10"/>
    <w:rsid w:val="002E4F7D"/>
    <w:rsid w:val="002E4F8D"/>
    <w:rsid w:val="002E50A5"/>
    <w:rsid w:val="002E5117"/>
    <w:rsid w:val="002E5134"/>
    <w:rsid w:val="002E52C4"/>
    <w:rsid w:val="002E5461"/>
    <w:rsid w:val="002E587A"/>
    <w:rsid w:val="002E5973"/>
    <w:rsid w:val="002E5A96"/>
    <w:rsid w:val="002E5CE4"/>
    <w:rsid w:val="002E5D65"/>
    <w:rsid w:val="002E5E84"/>
    <w:rsid w:val="002E61F1"/>
    <w:rsid w:val="002E638A"/>
    <w:rsid w:val="002E664E"/>
    <w:rsid w:val="002E6741"/>
    <w:rsid w:val="002E69D4"/>
    <w:rsid w:val="002E69EA"/>
    <w:rsid w:val="002E6B99"/>
    <w:rsid w:val="002E7169"/>
    <w:rsid w:val="002E7372"/>
    <w:rsid w:val="002E7428"/>
    <w:rsid w:val="002E779B"/>
    <w:rsid w:val="002E78F5"/>
    <w:rsid w:val="002E7B27"/>
    <w:rsid w:val="002E7B71"/>
    <w:rsid w:val="002E7BD7"/>
    <w:rsid w:val="002E7CE6"/>
    <w:rsid w:val="002E7D19"/>
    <w:rsid w:val="002E7D92"/>
    <w:rsid w:val="002F0140"/>
    <w:rsid w:val="002F027D"/>
    <w:rsid w:val="002F0451"/>
    <w:rsid w:val="002F0472"/>
    <w:rsid w:val="002F05E0"/>
    <w:rsid w:val="002F076D"/>
    <w:rsid w:val="002F0802"/>
    <w:rsid w:val="002F0A68"/>
    <w:rsid w:val="002F0CA3"/>
    <w:rsid w:val="002F0EBD"/>
    <w:rsid w:val="002F0EF5"/>
    <w:rsid w:val="002F110C"/>
    <w:rsid w:val="002F126C"/>
    <w:rsid w:val="002F12E5"/>
    <w:rsid w:val="002F1317"/>
    <w:rsid w:val="002F1348"/>
    <w:rsid w:val="002F13B0"/>
    <w:rsid w:val="002F161D"/>
    <w:rsid w:val="002F1665"/>
    <w:rsid w:val="002F1780"/>
    <w:rsid w:val="002F1BB0"/>
    <w:rsid w:val="002F1D2C"/>
    <w:rsid w:val="002F1DEB"/>
    <w:rsid w:val="002F20A0"/>
    <w:rsid w:val="002F21A3"/>
    <w:rsid w:val="002F21F4"/>
    <w:rsid w:val="002F223C"/>
    <w:rsid w:val="002F24E1"/>
    <w:rsid w:val="002F2516"/>
    <w:rsid w:val="002F2791"/>
    <w:rsid w:val="002F2A35"/>
    <w:rsid w:val="002F2E8A"/>
    <w:rsid w:val="002F2F36"/>
    <w:rsid w:val="002F2FB9"/>
    <w:rsid w:val="002F30B0"/>
    <w:rsid w:val="002F3114"/>
    <w:rsid w:val="002F3144"/>
    <w:rsid w:val="002F331A"/>
    <w:rsid w:val="002F341D"/>
    <w:rsid w:val="002F356B"/>
    <w:rsid w:val="002F3734"/>
    <w:rsid w:val="002F3739"/>
    <w:rsid w:val="002F37B4"/>
    <w:rsid w:val="002F3A2C"/>
    <w:rsid w:val="002F3ADD"/>
    <w:rsid w:val="002F3F48"/>
    <w:rsid w:val="002F40F3"/>
    <w:rsid w:val="002F433D"/>
    <w:rsid w:val="002F438E"/>
    <w:rsid w:val="002F440D"/>
    <w:rsid w:val="002F4445"/>
    <w:rsid w:val="002F4469"/>
    <w:rsid w:val="002F4787"/>
    <w:rsid w:val="002F479C"/>
    <w:rsid w:val="002F47E0"/>
    <w:rsid w:val="002F4BEB"/>
    <w:rsid w:val="002F4C24"/>
    <w:rsid w:val="002F4CF8"/>
    <w:rsid w:val="002F4D57"/>
    <w:rsid w:val="002F4F52"/>
    <w:rsid w:val="002F4F88"/>
    <w:rsid w:val="002F51DF"/>
    <w:rsid w:val="002F520A"/>
    <w:rsid w:val="002F5329"/>
    <w:rsid w:val="002F53D2"/>
    <w:rsid w:val="002F54DF"/>
    <w:rsid w:val="002F554A"/>
    <w:rsid w:val="002F5615"/>
    <w:rsid w:val="002F57FD"/>
    <w:rsid w:val="002F5883"/>
    <w:rsid w:val="002F58DE"/>
    <w:rsid w:val="002F5992"/>
    <w:rsid w:val="002F5CFE"/>
    <w:rsid w:val="002F5EED"/>
    <w:rsid w:val="002F64F1"/>
    <w:rsid w:val="002F664E"/>
    <w:rsid w:val="002F6667"/>
    <w:rsid w:val="002F66BB"/>
    <w:rsid w:val="002F69BE"/>
    <w:rsid w:val="002F6D47"/>
    <w:rsid w:val="002F70BB"/>
    <w:rsid w:val="002F7374"/>
    <w:rsid w:val="002F73DF"/>
    <w:rsid w:val="002F742B"/>
    <w:rsid w:val="002F746C"/>
    <w:rsid w:val="002F7478"/>
    <w:rsid w:val="002F7671"/>
    <w:rsid w:val="002F79B8"/>
    <w:rsid w:val="002F7A81"/>
    <w:rsid w:val="002F7B79"/>
    <w:rsid w:val="002F7BBF"/>
    <w:rsid w:val="002F7E44"/>
    <w:rsid w:val="002F7E7E"/>
    <w:rsid w:val="002F7F52"/>
    <w:rsid w:val="00300277"/>
    <w:rsid w:val="00300425"/>
    <w:rsid w:val="0030043A"/>
    <w:rsid w:val="0030050B"/>
    <w:rsid w:val="00300A6A"/>
    <w:rsid w:val="00300A8E"/>
    <w:rsid w:val="00300B4A"/>
    <w:rsid w:val="00300FE3"/>
    <w:rsid w:val="00301490"/>
    <w:rsid w:val="0030166F"/>
    <w:rsid w:val="00301873"/>
    <w:rsid w:val="003018E2"/>
    <w:rsid w:val="003019C6"/>
    <w:rsid w:val="00301AD4"/>
    <w:rsid w:val="00301BD5"/>
    <w:rsid w:val="00301C1D"/>
    <w:rsid w:val="00301C33"/>
    <w:rsid w:val="00301DCF"/>
    <w:rsid w:val="00301DF0"/>
    <w:rsid w:val="00301E6F"/>
    <w:rsid w:val="00302025"/>
    <w:rsid w:val="003021BD"/>
    <w:rsid w:val="003023D9"/>
    <w:rsid w:val="003025F6"/>
    <w:rsid w:val="00302617"/>
    <w:rsid w:val="0030276E"/>
    <w:rsid w:val="00302796"/>
    <w:rsid w:val="00302957"/>
    <w:rsid w:val="0030297A"/>
    <w:rsid w:val="00302A4C"/>
    <w:rsid w:val="00302A67"/>
    <w:rsid w:val="00302C16"/>
    <w:rsid w:val="00302EBE"/>
    <w:rsid w:val="00302F07"/>
    <w:rsid w:val="00302F16"/>
    <w:rsid w:val="0030312D"/>
    <w:rsid w:val="0030341C"/>
    <w:rsid w:val="0030349A"/>
    <w:rsid w:val="00303573"/>
    <w:rsid w:val="00303692"/>
    <w:rsid w:val="003037FF"/>
    <w:rsid w:val="00303D82"/>
    <w:rsid w:val="00303EE9"/>
    <w:rsid w:val="0030408F"/>
    <w:rsid w:val="0030427E"/>
    <w:rsid w:val="00304300"/>
    <w:rsid w:val="0030431C"/>
    <w:rsid w:val="003043E4"/>
    <w:rsid w:val="00304565"/>
    <w:rsid w:val="003045F9"/>
    <w:rsid w:val="00304682"/>
    <w:rsid w:val="00304757"/>
    <w:rsid w:val="0030497E"/>
    <w:rsid w:val="00304AE6"/>
    <w:rsid w:val="00304BE7"/>
    <w:rsid w:val="00304C1A"/>
    <w:rsid w:val="00305101"/>
    <w:rsid w:val="00305105"/>
    <w:rsid w:val="003055EE"/>
    <w:rsid w:val="00305744"/>
    <w:rsid w:val="00305942"/>
    <w:rsid w:val="00305C15"/>
    <w:rsid w:val="00305C3B"/>
    <w:rsid w:val="00306122"/>
    <w:rsid w:val="00306140"/>
    <w:rsid w:val="00306181"/>
    <w:rsid w:val="003061C9"/>
    <w:rsid w:val="00306787"/>
    <w:rsid w:val="003067B8"/>
    <w:rsid w:val="003069AD"/>
    <w:rsid w:val="00306B71"/>
    <w:rsid w:val="00306C2A"/>
    <w:rsid w:val="00306CB1"/>
    <w:rsid w:val="00306DDF"/>
    <w:rsid w:val="00306E78"/>
    <w:rsid w:val="00306E92"/>
    <w:rsid w:val="003072FF"/>
    <w:rsid w:val="00307453"/>
    <w:rsid w:val="00307467"/>
    <w:rsid w:val="0030759F"/>
    <w:rsid w:val="00307743"/>
    <w:rsid w:val="003077F5"/>
    <w:rsid w:val="00307D88"/>
    <w:rsid w:val="00307FB2"/>
    <w:rsid w:val="003100E2"/>
    <w:rsid w:val="00310116"/>
    <w:rsid w:val="00310164"/>
    <w:rsid w:val="003101E8"/>
    <w:rsid w:val="0031020F"/>
    <w:rsid w:val="00310345"/>
    <w:rsid w:val="0031040E"/>
    <w:rsid w:val="003104C7"/>
    <w:rsid w:val="003106FE"/>
    <w:rsid w:val="00310AAE"/>
    <w:rsid w:val="00310C2F"/>
    <w:rsid w:val="00310C82"/>
    <w:rsid w:val="00310D40"/>
    <w:rsid w:val="00310DAF"/>
    <w:rsid w:val="00310E4B"/>
    <w:rsid w:val="00310FDF"/>
    <w:rsid w:val="00311128"/>
    <w:rsid w:val="003113EB"/>
    <w:rsid w:val="003114A8"/>
    <w:rsid w:val="0031161E"/>
    <w:rsid w:val="00311738"/>
    <w:rsid w:val="0031198A"/>
    <w:rsid w:val="00311BA5"/>
    <w:rsid w:val="00311C33"/>
    <w:rsid w:val="00311CC1"/>
    <w:rsid w:val="00311EC7"/>
    <w:rsid w:val="00312167"/>
    <w:rsid w:val="003121AD"/>
    <w:rsid w:val="00312230"/>
    <w:rsid w:val="0031226D"/>
    <w:rsid w:val="00312297"/>
    <w:rsid w:val="003124C9"/>
    <w:rsid w:val="0031274B"/>
    <w:rsid w:val="00312809"/>
    <w:rsid w:val="00312B9B"/>
    <w:rsid w:val="00312BE8"/>
    <w:rsid w:val="00312CA2"/>
    <w:rsid w:val="00312D67"/>
    <w:rsid w:val="00312E25"/>
    <w:rsid w:val="00312E38"/>
    <w:rsid w:val="00312FCB"/>
    <w:rsid w:val="003130F0"/>
    <w:rsid w:val="00313311"/>
    <w:rsid w:val="0031331B"/>
    <w:rsid w:val="003133DF"/>
    <w:rsid w:val="00313917"/>
    <w:rsid w:val="00313C5D"/>
    <w:rsid w:val="00313C66"/>
    <w:rsid w:val="00313CA5"/>
    <w:rsid w:val="00313DCE"/>
    <w:rsid w:val="00313E2C"/>
    <w:rsid w:val="00313E50"/>
    <w:rsid w:val="00313EDE"/>
    <w:rsid w:val="00313F33"/>
    <w:rsid w:val="00313F81"/>
    <w:rsid w:val="003140BF"/>
    <w:rsid w:val="0031433B"/>
    <w:rsid w:val="003144BA"/>
    <w:rsid w:val="0031450A"/>
    <w:rsid w:val="003146CD"/>
    <w:rsid w:val="003146FE"/>
    <w:rsid w:val="00314810"/>
    <w:rsid w:val="003148FD"/>
    <w:rsid w:val="00314963"/>
    <w:rsid w:val="00314A82"/>
    <w:rsid w:val="00314AFE"/>
    <w:rsid w:val="00314BF6"/>
    <w:rsid w:val="00314FA8"/>
    <w:rsid w:val="00315012"/>
    <w:rsid w:val="0031503D"/>
    <w:rsid w:val="00315057"/>
    <w:rsid w:val="003150A4"/>
    <w:rsid w:val="0031516C"/>
    <w:rsid w:val="003152C3"/>
    <w:rsid w:val="0031536A"/>
    <w:rsid w:val="003155DB"/>
    <w:rsid w:val="0031561A"/>
    <w:rsid w:val="00315639"/>
    <w:rsid w:val="00315662"/>
    <w:rsid w:val="003159E3"/>
    <w:rsid w:val="00315D07"/>
    <w:rsid w:val="00315E06"/>
    <w:rsid w:val="003161BC"/>
    <w:rsid w:val="003161F7"/>
    <w:rsid w:val="00316227"/>
    <w:rsid w:val="00316319"/>
    <w:rsid w:val="0031635C"/>
    <w:rsid w:val="003163EA"/>
    <w:rsid w:val="0031695A"/>
    <w:rsid w:val="00316A13"/>
    <w:rsid w:val="00316B43"/>
    <w:rsid w:val="00316C1B"/>
    <w:rsid w:val="00316C46"/>
    <w:rsid w:val="00316C4E"/>
    <w:rsid w:val="00316E07"/>
    <w:rsid w:val="00316E4C"/>
    <w:rsid w:val="00316EB1"/>
    <w:rsid w:val="0031733C"/>
    <w:rsid w:val="003176B1"/>
    <w:rsid w:val="003176CB"/>
    <w:rsid w:val="003176FE"/>
    <w:rsid w:val="0031780B"/>
    <w:rsid w:val="00317826"/>
    <w:rsid w:val="003178AC"/>
    <w:rsid w:val="00317A0D"/>
    <w:rsid w:val="00317A89"/>
    <w:rsid w:val="00317AEC"/>
    <w:rsid w:val="00317BB7"/>
    <w:rsid w:val="00317BC6"/>
    <w:rsid w:val="00317C04"/>
    <w:rsid w:val="003200E3"/>
    <w:rsid w:val="00320301"/>
    <w:rsid w:val="0032060F"/>
    <w:rsid w:val="00320641"/>
    <w:rsid w:val="003207B3"/>
    <w:rsid w:val="003209BB"/>
    <w:rsid w:val="00320A1D"/>
    <w:rsid w:val="00320DC1"/>
    <w:rsid w:val="00320E3E"/>
    <w:rsid w:val="00321421"/>
    <w:rsid w:val="00321661"/>
    <w:rsid w:val="00321764"/>
    <w:rsid w:val="00321A5F"/>
    <w:rsid w:val="00321B48"/>
    <w:rsid w:val="00321B60"/>
    <w:rsid w:val="00321E3C"/>
    <w:rsid w:val="003221CE"/>
    <w:rsid w:val="003222D4"/>
    <w:rsid w:val="00322438"/>
    <w:rsid w:val="003227D5"/>
    <w:rsid w:val="003227EA"/>
    <w:rsid w:val="00322B4F"/>
    <w:rsid w:val="00322B5F"/>
    <w:rsid w:val="00322C59"/>
    <w:rsid w:val="00322CD3"/>
    <w:rsid w:val="00322E73"/>
    <w:rsid w:val="0032304B"/>
    <w:rsid w:val="0032307C"/>
    <w:rsid w:val="003231C9"/>
    <w:rsid w:val="00323754"/>
    <w:rsid w:val="003238E7"/>
    <w:rsid w:val="00323AA5"/>
    <w:rsid w:val="00323BDF"/>
    <w:rsid w:val="00323D85"/>
    <w:rsid w:val="00323DD7"/>
    <w:rsid w:val="00324208"/>
    <w:rsid w:val="0032434E"/>
    <w:rsid w:val="00324556"/>
    <w:rsid w:val="00324596"/>
    <w:rsid w:val="0032465A"/>
    <w:rsid w:val="003248CC"/>
    <w:rsid w:val="00324A03"/>
    <w:rsid w:val="00324BEE"/>
    <w:rsid w:val="0032505B"/>
    <w:rsid w:val="00325084"/>
    <w:rsid w:val="00325395"/>
    <w:rsid w:val="00325700"/>
    <w:rsid w:val="00325A7B"/>
    <w:rsid w:val="00325B00"/>
    <w:rsid w:val="00325B2E"/>
    <w:rsid w:val="00325D23"/>
    <w:rsid w:val="00325E05"/>
    <w:rsid w:val="00326034"/>
    <w:rsid w:val="0032634C"/>
    <w:rsid w:val="0032635E"/>
    <w:rsid w:val="00326584"/>
    <w:rsid w:val="0032659B"/>
    <w:rsid w:val="00326734"/>
    <w:rsid w:val="00326807"/>
    <w:rsid w:val="00326885"/>
    <w:rsid w:val="003269E7"/>
    <w:rsid w:val="00326DA3"/>
    <w:rsid w:val="00326E17"/>
    <w:rsid w:val="00327087"/>
    <w:rsid w:val="003271F0"/>
    <w:rsid w:val="0032795C"/>
    <w:rsid w:val="00327F7D"/>
    <w:rsid w:val="003300E9"/>
    <w:rsid w:val="00330125"/>
    <w:rsid w:val="0033018A"/>
    <w:rsid w:val="0033020D"/>
    <w:rsid w:val="00330264"/>
    <w:rsid w:val="0033031B"/>
    <w:rsid w:val="003303B0"/>
    <w:rsid w:val="00330552"/>
    <w:rsid w:val="00330570"/>
    <w:rsid w:val="003305E6"/>
    <w:rsid w:val="00330B7A"/>
    <w:rsid w:val="00330C41"/>
    <w:rsid w:val="00330CD4"/>
    <w:rsid w:val="00330D48"/>
    <w:rsid w:val="00330F51"/>
    <w:rsid w:val="003310B5"/>
    <w:rsid w:val="00331380"/>
    <w:rsid w:val="003314C0"/>
    <w:rsid w:val="00331637"/>
    <w:rsid w:val="003316FB"/>
    <w:rsid w:val="00331AFD"/>
    <w:rsid w:val="00331D44"/>
    <w:rsid w:val="00331EF5"/>
    <w:rsid w:val="00331F56"/>
    <w:rsid w:val="00331F61"/>
    <w:rsid w:val="0033205E"/>
    <w:rsid w:val="003322C4"/>
    <w:rsid w:val="003324E6"/>
    <w:rsid w:val="003325D6"/>
    <w:rsid w:val="00332868"/>
    <w:rsid w:val="00332A1E"/>
    <w:rsid w:val="00332CED"/>
    <w:rsid w:val="00332CF8"/>
    <w:rsid w:val="00332FDE"/>
    <w:rsid w:val="00333031"/>
    <w:rsid w:val="00333139"/>
    <w:rsid w:val="00333221"/>
    <w:rsid w:val="003332AD"/>
    <w:rsid w:val="0033330F"/>
    <w:rsid w:val="003334AD"/>
    <w:rsid w:val="00333547"/>
    <w:rsid w:val="003335D0"/>
    <w:rsid w:val="00333867"/>
    <w:rsid w:val="00333C1B"/>
    <w:rsid w:val="00333DE5"/>
    <w:rsid w:val="00333F33"/>
    <w:rsid w:val="00334297"/>
    <w:rsid w:val="003343D3"/>
    <w:rsid w:val="0033444D"/>
    <w:rsid w:val="0033497D"/>
    <w:rsid w:val="00334E7A"/>
    <w:rsid w:val="00334EF1"/>
    <w:rsid w:val="00334FA8"/>
    <w:rsid w:val="00334FD4"/>
    <w:rsid w:val="0033518B"/>
    <w:rsid w:val="0033525A"/>
    <w:rsid w:val="00335362"/>
    <w:rsid w:val="003353A0"/>
    <w:rsid w:val="003353DC"/>
    <w:rsid w:val="003356F8"/>
    <w:rsid w:val="003361DE"/>
    <w:rsid w:val="003363D2"/>
    <w:rsid w:val="00336630"/>
    <w:rsid w:val="00336748"/>
    <w:rsid w:val="00336A89"/>
    <w:rsid w:val="00336B44"/>
    <w:rsid w:val="003370E6"/>
    <w:rsid w:val="0033718E"/>
    <w:rsid w:val="003373E4"/>
    <w:rsid w:val="00337513"/>
    <w:rsid w:val="0033761E"/>
    <w:rsid w:val="00337745"/>
    <w:rsid w:val="003378C3"/>
    <w:rsid w:val="003378F6"/>
    <w:rsid w:val="00337911"/>
    <w:rsid w:val="00337948"/>
    <w:rsid w:val="00337A88"/>
    <w:rsid w:val="00337AAA"/>
    <w:rsid w:val="0034010D"/>
    <w:rsid w:val="00340265"/>
    <w:rsid w:val="00340362"/>
    <w:rsid w:val="003406A3"/>
    <w:rsid w:val="003409DD"/>
    <w:rsid w:val="00340A38"/>
    <w:rsid w:val="00340A78"/>
    <w:rsid w:val="00340B93"/>
    <w:rsid w:val="00340BBB"/>
    <w:rsid w:val="00340E97"/>
    <w:rsid w:val="00340EB3"/>
    <w:rsid w:val="00341016"/>
    <w:rsid w:val="0034104A"/>
    <w:rsid w:val="00341172"/>
    <w:rsid w:val="0034126E"/>
    <w:rsid w:val="0034168F"/>
    <w:rsid w:val="00341838"/>
    <w:rsid w:val="003418E5"/>
    <w:rsid w:val="00341BFA"/>
    <w:rsid w:val="00341D9D"/>
    <w:rsid w:val="00341DF5"/>
    <w:rsid w:val="00341E0D"/>
    <w:rsid w:val="00341F55"/>
    <w:rsid w:val="00341F8E"/>
    <w:rsid w:val="0034202F"/>
    <w:rsid w:val="003421CD"/>
    <w:rsid w:val="00342445"/>
    <w:rsid w:val="0034251A"/>
    <w:rsid w:val="00342553"/>
    <w:rsid w:val="003425E8"/>
    <w:rsid w:val="00342AC3"/>
    <w:rsid w:val="00342CEC"/>
    <w:rsid w:val="00342EDA"/>
    <w:rsid w:val="00342F31"/>
    <w:rsid w:val="00342F72"/>
    <w:rsid w:val="00343080"/>
    <w:rsid w:val="003431D0"/>
    <w:rsid w:val="0034333E"/>
    <w:rsid w:val="00343340"/>
    <w:rsid w:val="00343920"/>
    <w:rsid w:val="00343976"/>
    <w:rsid w:val="003439F6"/>
    <w:rsid w:val="00343C43"/>
    <w:rsid w:val="003441EE"/>
    <w:rsid w:val="0034429C"/>
    <w:rsid w:val="0034449C"/>
    <w:rsid w:val="00344510"/>
    <w:rsid w:val="003448D2"/>
    <w:rsid w:val="0034499D"/>
    <w:rsid w:val="00344C4E"/>
    <w:rsid w:val="00345079"/>
    <w:rsid w:val="003451A4"/>
    <w:rsid w:val="003451F5"/>
    <w:rsid w:val="0034549A"/>
    <w:rsid w:val="0034566E"/>
    <w:rsid w:val="00345932"/>
    <w:rsid w:val="00345A6D"/>
    <w:rsid w:val="00345AA7"/>
    <w:rsid w:val="00345C11"/>
    <w:rsid w:val="00345E58"/>
    <w:rsid w:val="0034669F"/>
    <w:rsid w:val="00346700"/>
    <w:rsid w:val="00346788"/>
    <w:rsid w:val="00346801"/>
    <w:rsid w:val="00346A14"/>
    <w:rsid w:val="00346AA1"/>
    <w:rsid w:val="00346F76"/>
    <w:rsid w:val="0034706D"/>
    <w:rsid w:val="00347311"/>
    <w:rsid w:val="003473A0"/>
    <w:rsid w:val="00347494"/>
    <w:rsid w:val="003478ED"/>
    <w:rsid w:val="003478F2"/>
    <w:rsid w:val="00347B96"/>
    <w:rsid w:val="00347D0A"/>
    <w:rsid w:val="00347E3E"/>
    <w:rsid w:val="00350058"/>
    <w:rsid w:val="003500CE"/>
    <w:rsid w:val="00350172"/>
    <w:rsid w:val="0035046A"/>
    <w:rsid w:val="00350482"/>
    <w:rsid w:val="003504F5"/>
    <w:rsid w:val="003506C0"/>
    <w:rsid w:val="003506FE"/>
    <w:rsid w:val="003507C1"/>
    <w:rsid w:val="003507F1"/>
    <w:rsid w:val="00350804"/>
    <w:rsid w:val="003508EA"/>
    <w:rsid w:val="00350AA1"/>
    <w:rsid w:val="00350B6D"/>
    <w:rsid w:val="00350B7F"/>
    <w:rsid w:val="00350BEC"/>
    <w:rsid w:val="00350CFF"/>
    <w:rsid w:val="00350D2F"/>
    <w:rsid w:val="00350EDB"/>
    <w:rsid w:val="0035106D"/>
    <w:rsid w:val="00351111"/>
    <w:rsid w:val="00351210"/>
    <w:rsid w:val="00351289"/>
    <w:rsid w:val="00351294"/>
    <w:rsid w:val="003512D3"/>
    <w:rsid w:val="00351583"/>
    <w:rsid w:val="003517A3"/>
    <w:rsid w:val="0035185D"/>
    <w:rsid w:val="003518CC"/>
    <w:rsid w:val="00351939"/>
    <w:rsid w:val="00351A94"/>
    <w:rsid w:val="00351AA4"/>
    <w:rsid w:val="00351B85"/>
    <w:rsid w:val="00351BB5"/>
    <w:rsid w:val="00351BE7"/>
    <w:rsid w:val="00351C1E"/>
    <w:rsid w:val="00351C81"/>
    <w:rsid w:val="00351FB2"/>
    <w:rsid w:val="003522E6"/>
    <w:rsid w:val="00352405"/>
    <w:rsid w:val="00352720"/>
    <w:rsid w:val="0035280D"/>
    <w:rsid w:val="00352D3A"/>
    <w:rsid w:val="00352DAD"/>
    <w:rsid w:val="00352DD5"/>
    <w:rsid w:val="00352E8A"/>
    <w:rsid w:val="00353009"/>
    <w:rsid w:val="00353052"/>
    <w:rsid w:val="003530F6"/>
    <w:rsid w:val="00353172"/>
    <w:rsid w:val="003532A6"/>
    <w:rsid w:val="003539E7"/>
    <w:rsid w:val="00353B5E"/>
    <w:rsid w:val="00353B9F"/>
    <w:rsid w:val="00353D23"/>
    <w:rsid w:val="003541BF"/>
    <w:rsid w:val="0035433C"/>
    <w:rsid w:val="003543C6"/>
    <w:rsid w:val="003546EF"/>
    <w:rsid w:val="00354810"/>
    <w:rsid w:val="0035484D"/>
    <w:rsid w:val="003548FC"/>
    <w:rsid w:val="00354A97"/>
    <w:rsid w:val="00354B20"/>
    <w:rsid w:val="00354B8E"/>
    <w:rsid w:val="00354C0B"/>
    <w:rsid w:val="00354C16"/>
    <w:rsid w:val="00354C21"/>
    <w:rsid w:val="003554BF"/>
    <w:rsid w:val="003556C0"/>
    <w:rsid w:val="00355763"/>
    <w:rsid w:val="0035576E"/>
    <w:rsid w:val="00355A88"/>
    <w:rsid w:val="00355D59"/>
    <w:rsid w:val="00355D9A"/>
    <w:rsid w:val="00356339"/>
    <w:rsid w:val="0035641D"/>
    <w:rsid w:val="003564BB"/>
    <w:rsid w:val="0035668F"/>
    <w:rsid w:val="0035686E"/>
    <w:rsid w:val="00356959"/>
    <w:rsid w:val="003569C4"/>
    <w:rsid w:val="00356B3C"/>
    <w:rsid w:val="00356C54"/>
    <w:rsid w:val="00356C80"/>
    <w:rsid w:val="00356F79"/>
    <w:rsid w:val="003571A3"/>
    <w:rsid w:val="0035728D"/>
    <w:rsid w:val="00357312"/>
    <w:rsid w:val="0035731D"/>
    <w:rsid w:val="003574F9"/>
    <w:rsid w:val="003575DA"/>
    <w:rsid w:val="00357668"/>
    <w:rsid w:val="00357E18"/>
    <w:rsid w:val="00357EFC"/>
    <w:rsid w:val="0036000C"/>
    <w:rsid w:val="003602ED"/>
    <w:rsid w:val="0036056E"/>
    <w:rsid w:val="003606DA"/>
    <w:rsid w:val="00360947"/>
    <w:rsid w:val="003610AA"/>
    <w:rsid w:val="00361524"/>
    <w:rsid w:val="00361587"/>
    <w:rsid w:val="003615B9"/>
    <w:rsid w:val="00361648"/>
    <w:rsid w:val="00361750"/>
    <w:rsid w:val="00361829"/>
    <w:rsid w:val="003619AD"/>
    <w:rsid w:val="00361E7C"/>
    <w:rsid w:val="0036208E"/>
    <w:rsid w:val="003621BC"/>
    <w:rsid w:val="00362223"/>
    <w:rsid w:val="00362328"/>
    <w:rsid w:val="0036256F"/>
    <w:rsid w:val="00362652"/>
    <w:rsid w:val="0036265E"/>
    <w:rsid w:val="003626D5"/>
    <w:rsid w:val="0036274F"/>
    <w:rsid w:val="003627C3"/>
    <w:rsid w:val="00362842"/>
    <w:rsid w:val="003628A2"/>
    <w:rsid w:val="00362B7B"/>
    <w:rsid w:val="00362BA7"/>
    <w:rsid w:val="00362D66"/>
    <w:rsid w:val="00362FDB"/>
    <w:rsid w:val="00362FFB"/>
    <w:rsid w:val="003631CB"/>
    <w:rsid w:val="003632A4"/>
    <w:rsid w:val="0036339E"/>
    <w:rsid w:val="003633A6"/>
    <w:rsid w:val="003634F4"/>
    <w:rsid w:val="0036357D"/>
    <w:rsid w:val="003635C7"/>
    <w:rsid w:val="0036373E"/>
    <w:rsid w:val="003637B6"/>
    <w:rsid w:val="00363836"/>
    <w:rsid w:val="00363908"/>
    <w:rsid w:val="00363CA8"/>
    <w:rsid w:val="00363CE0"/>
    <w:rsid w:val="00363D94"/>
    <w:rsid w:val="00363F7C"/>
    <w:rsid w:val="00364226"/>
    <w:rsid w:val="00364323"/>
    <w:rsid w:val="003643F6"/>
    <w:rsid w:val="003649F2"/>
    <w:rsid w:val="00364B4E"/>
    <w:rsid w:val="00364CB5"/>
    <w:rsid w:val="00364D56"/>
    <w:rsid w:val="00364E2F"/>
    <w:rsid w:val="00364ECD"/>
    <w:rsid w:val="00364EEF"/>
    <w:rsid w:val="0036505D"/>
    <w:rsid w:val="00365060"/>
    <w:rsid w:val="003650B9"/>
    <w:rsid w:val="0036511D"/>
    <w:rsid w:val="00365121"/>
    <w:rsid w:val="00365252"/>
    <w:rsid w:val="00365286"/>
    <w:rsid w:val="00365476"/>
    <w:rsid w:val="00365518"/>
    <w:rsid w:val="00365555"/>
    <w:rsid w:val="00365824"/>
    <w:rsid w:val="00365976"/>
    <w:rsid w:val="003659E3"/>
    <w:rsid w:val="00365B6A"/>
    <w:rsid w:val="00365CEF"/>
    <w:rsid w:val="00365DB0"/>
    <w:rsid w:val="003660EA"/>
    <w:rsid w:val="0036611D"/>
    <w:rsid w:val="00366137"/>
    <w:rsid w:val="0036614F"/>
    <w:rsid w:val="0036616F"/>
    <w:rsid w:val="003661AC"/>
    <w:rsid w:val="003661E9"/>
    <w:rsid w:val="00366251"/>
    <w:rsid w:val="00366952"/>
    <w:rsid w:val="00366A21"/>
    <w:rsid w:val="00366B78"/>
    <w:rsid w:val="00366F53"/>
    <w:rsid w:val="00366F9F"/>
    <w:rsid w:val="00367046"/>
    <w:rsid w:val="003676BB"/>
    <w:rsid w:val="00367760"/>
    <w:rsid w:val="00367900"/>
    <w:rsid w:val="003679B1"/>
    <w:rsid w:val="00367A2F"/>
    <w:rsid w:val="00367A90"/>
    <w:rsid w:val="00367E78"/>
    <w:rsid w:val="003700F4"/>
    <w:rsid w:val="0037010F"/>
    <w:rsid w:val="0037014C"/>
    <w:rsid w:val="00370154"/>
    <w:rsid w:val="003702C8"/>
    <w:rsid w:val="0037046A"/>
    <w:rsid w:val="00370C79"/>
    <w:rsid w:val="00370CD1"/>
    <w:rsid w:val="00370D98"/>
    <w:rsid w:val="00370FEE"/>
    <w:rsid w:val="0037105F"/>
    <w:rsid w:val="003710AD"/>
    <w:rsid w:val="00371478"/>
    <w:rsid w:val="003714DC"/>
    <w:rsid w:val="00371B1C"/>
    <w:rsid w:val="00371EA7"/>
    <w:rsid w:val="00371F0A"/>
    <w:rsid w:val="00372223"/>
    <w:rsid w:val="003724DD"/>
    <w:rsid w:val="0037258A"/>
    <w:rsid w:val="0037268C"/>
    <w:rsid w:val="00372A2E"/>
    <w:rsid w:val="00372A99"/>
    <w:rsid w:val="00372CD7"/>
    <w:rsid w:val="00372D37"/>
    <w:rsid w:val="00372E62"/>
    <w:rsid w:val="00372FBC"/>
    <w:rsid w:val="003730B1"/>
    <w:rsid w:val="003730B6"/>
    <w:rsid w:val="00373342"/>
    <w:rsid w:val="0037353B"/>
    <w:rsid w:val="003735DF"/>
    <w:rsid w:val="00373660"/>
    <w:rsid w:val="0037369F"/>
    <w:rsid w:val="0037374F"/>
    <w:rsid w:val="0037377F"/>
    <w:rsid w:val="0037395B"/>
    <w:rsid w:val="00373BFF"/>
    <w:rsid w:val="00373D13"/>
    <w:rsid w:val="00373D9B"/>
    <w:rsid w:val="00374096"/>
    <w:rsid w:val="00374432"/>
    <w:rsid w:val="00374650"/>
    <w:rsid w:val="00374659"/>
    <w:rsid w:val="00374726"/>
    <w:rsid w:val="00374741"/>
    <w:rsid w:val="0037477F"/>
    <w:rsid w:val="00374807"/>
    <w:rsid w:val="00374B39"/>
    <w:rsid w:val="00374BE0"/>
    <w:rsid w:val="00374D4D"/>
    <w:rsid w:val="00374F11"/>
    <w:rsid w:val="0037503A"/>
    <w:rsid w:val="00375053"/>
    <w:rsid w:val="00375158"/>
    <w:rsid w:val="00375282"/>
    <w:rsid w:val="003752CE"/>
    <w:rsid w:val="003752DF"/>
    <w:rsid w:val="00375431"/>
    <w:rsid w:val="003756AE"/>
    <w:rsid w:val="0037574A"/>
    <w:rsid w:val="00375902"/>
    <w:rsid w:val="00375AFC"/>
    <w:rsid w:val="00375D4C"/>
    <w:rsid w:val="00375E53"/>
    <w:rsid w:val="00375F2E"/>
    <w:rsid w:val="00376330"/>
    <w:rsid w:val="0037643A"/>
    <w:rsid w:val="003765BC"/>
    <w:rsid w:val="003765DE"/>
    <w:rsid w:val="00376750"/>
    <w:rsid w:val="00376959"/>
    <w:rsid w:val="003769B9"/>
    <w:rsid w:val="00376A7C"/>
    <w:rsid w:val="00376B8D"/>
    <w:rsid w:val="00376D25"/>
    <w:rsid w:val="00376DBD"/>
    <w:rsid w:val="00376EDF"/>
    <w:rsid w:val="00376F2E"/>
    <w:rsid w:val="00377111"/>
    <w:rsid w:val="003771BB"/>
    <w:rsid w:val="00377321"/>
    <w:rsid w:val="003774AC"/>
    <w:rsid w:val="0037759A"/>
    <w:rsid w:val="003777E0"/>
    <w:rsid w:val="00377927"/>
    <w:rsid w:val="00377F95"/>
    <w:rsid w:val="003803B9"/>
    <w:rsid w:val="003803D0"/>
    <w:rsid w:val="003805AC"/>
    <w:rsid w:val="003808E4"/>
    <w:rsid w:val="003809B7"/>
    <w:rsid w:val="00380B3C"/>
    <w:rsid w:val="00380C40"/>
    <w:rsid w:val="00380DF1"/>
    <w:rsid w:val="00380E02"/>
    <w:rsid w:val="00380ECE"/>
    <w:rsid w:val="0038113D"/>
    <w:rsid w:val="0038117F"/>
    <w:rsid w:val="003812D5"/>
    <w:rsid w:val="003812F8"/>
    <w:rsid w:val="0038132E"/>
    <w:rsid w:val="003813DE"/>
    <w:rsid w:val="00381421"/>
    <w:rsid w:val="00381498"/>
    <w:rsid w:val="00381506"/>
    <w:rsid w:val="003815EB"/>
    <w:rsid w:val="003816EF"/>
    <w:rsid w:val="00381700"/>
    <w:rsid w:val="00381720"/>
    <w:rsid w:val="003817A8"/>
    <w:rsid w:val="0038192A"/>
    <w:rsid w:val="00381943"/>
    <w:rsid w:val="003819B8"/>
    <w:rsid w:val="00381B1E"/>
    <w:rsid w:val="00381D29"/>
    <w:rsid w:val="00381ECD"/>
    <w:rsid w:val="003820E1"/>
    <w:rsid w:val="00382234"/>
    <w:rsid w:val="003823F5"/>
    <w:rsid w:val="0038265C"/>
    <w:rsid w:val="003828C0"/>
    <w:rsid w:val="00382A72"/>
    <w:rsid w:val="00382BB2"/>
    <w:rsid w:val="00382CE0"/>
    <w:rsid w:val="00382D33"/>
    <w:rsid w:val="00382DD7"/>
    <w:rsid w:val="00382E3D"/>
    <w:rsid w:val="00382EDF"/>
    <w:rsid w:val="00382F5D"/>
    <w:rsid w:val="00382F7F"/>
    <w:rsid w:val="003832CD"/>
    <w:rsid w:val="003832F2"/>
    <w:rsid w:val="0038361F"/>
    <w:rsid w:val="00383856"/>
    <w:rsid w:val="00383A85"/>
    <w:rsid w:val="00383DA7"/>
    <w:rsid w:val="00383DF1"/>
    <w:rsid w:val="00383E18"/>
    <w:rsid w:val="00383EEA"/>
    <w:rsid w:val="00383FA8"/>
    <w:rsid w:val="003840B1"/>
    <w:rsid w:val="0038417E"/>
    <w:rsid w:val="003843F1"/>
    <w:rsid w:val="0038443C"/>
    <w:rsid w:val="00384457"/>
    <w:rsid w:val="0038464B"/>
    <w:rsid w:val="00384B75"/>
    <w:rsid w:val="00384CFA"/>
    <w:rsid w:val="00384DA8"/>
    <w:rsid w:val="00384DA9"/>
    <w:rsid w:val="00384F00"/>
    <w:rsid w:val="003851A2"/>
    <w:rsid w:val="003852FD"/>
    <w:rsid w:val="00385673"/>
    <w:rsid w:val="003857EB"/>
    <w:rsid w:val="00385838"/>
    <w:rsid w:val="003858FE"/>
    <w:rsid w:val="00385913"/>
    <w:rsid w:val="003859BD"/>
    <w:rsid w:val="00385A61"/>
    <w:rsid w:val="00385D4E"/>
    <w:rsid w:val="00385E33"/>
    <w:rsid w:val="00385E7B"/>
    <w:rsid w:val="00386052"/>
    <w:rsid w:val="003865F8"/>
    <w:rsid w:val="00386737"/>
    <w:rsid w:val="0038677B"/>
    <w:rsid w:val="003867D3"/>
    <w:rsid w:val="00386932"/>
    <w:rsid w:val="00386BA8"/>
    <w:rsid w:val="00386BCA"/>
    <w:rsid w:val="00386E32"/>
    <w:rsid w:val="00386F08"/>
    <w:rsid w:val="00386FA1"/>
    <w:rsid w:val="00386FC5"/>
    <w:rsid w:val="0038717B"/>
    <w:rsid w:val="00387262"/>
    <w:rsid w:val="003873B7"/>
    <w:rsid w:val="003873C9"/>
    <w:rsid w:val="003874D2"/>
    <w:rsid w:val="0038767D"/>
    <w:rsid w:val="00387AC1"/>
    <w:rsid w:val="00387B85"/>
    <w:rsid w:val="00387C5D"/>
    <w:rsid w:val="00390085"/>
    <w:rsid w:val="003901CC"/>
    <w:rsid w:val="003902F7"/>
    <w:rsid w:val="00390369"/>
    <w:rsid w:val="003903AA"/>
    <w:rsid w:val="003909D4"/>
    <w:rsid w:val="003909F3"/>
    <w:rsid w:val="00390A21"/>
    <w:rsid w:val="00390B76"/>
    <w:rsid w:val="00390B77"/>
    <w:rsid w:val="00390D9B"/>
    <w:rsid w:val="00390F72"/>
    <w:rsid w:val="00391067"/>
    <w:rsid w:val="003911C0"/>
    <w:rsid w:val="003911ED"/>
    <w:rsid w:val="00391201"/>
    <w:rsid w:val="0039123A"/>
    <w:rsid w:val="00391300"/>
    <w:rsid w:val="00391509"/>
    <w:rsid w:val="003916D8"/>
    <w:rsid w:val="0039174D"/>
    <w:rsid w:val="0039176C"/>
    <w:rsid w:val="003918C6"/>
    <w:rsid w:val="00391A32"/>
    <w:rsid w:val="00391BFD"/>
    <w:rsid w:val="00391F11"/>
    <w:rsid w:val="003920F2"/>
    <w:rsid w:val="0039232A"/>
    <w:rsid w:val="003923F9"/>
    <w:rsid w:val="00392639"/>
    <w:rsid w:val="00392BF0"/>
    <w:rsid w:val="00393002"/>
    <w:rsid w:val="0039305D"/>
    <w:rsid w:val="003933B1"/>
    <w:rsid w:val="003934DD"/>
    <w:rsid w:val="00393543"/>
    <w:rsid w:val="003936BF"/>
    <w:rsid w:val="003938CF"/>
    <w:rsid w:val="00393A05"/>
    <w:rsid w:val="00393DF6"/>
    <w:rsid w:val="00393ED0"/>
    <w:rsid w:val="003942AB"/>
    <w:rsid w:val="003943F9"/>
    <w:rsid w:val="003944FC"/>
    <w:rsid w:val="003945B9"/>
    <w:rsid w:val="0039462F"/>
    <w:rsid w:val="0039487E"/>
    <w:rsid w:val="0039490B"/>
    <w:rsid w:val="003949DF"/>
    <w:rsid w:val="00394B03"/>
    <w:rsid w:val="00394B13"/>
    <w:rsid w:val="00394D05"/>
    <w:rsid w:val="00394DC9"/>
    <w:rsid w:val="00394E33"/>
    <w:rsid w:val="003950E4"/>
    <w:rsid w:val="003957D5"/>
    <w:rsid w:val="00395906"/>
    <w:rsid w:val="003959AD"/>
    <w:rsid w:val="00395AB0"/>
    <w:rsid w:val="00395F4D"/>
    <w:rsid w:val="003961C6"/>
    <w:rsid w:val="003962FD"/>
    <w:rsid w:val="003965DA"/>
    <w:rsid w:val="0039695F"/>
    <w:rsid w:val="00396C23"/>
    <w:rsid w:val="00396CC2"/>
    <w:rsid w:val="00396EDE"/>
    <w:rsid w:val="00396EE5"/>
    <w:rsid w:val="0039721E"/>
    <w:rsid w:val="00397468"/>
    <w:rsid w:val="00397638"/>
    <w:rsid w:val="00397655"/>
    <w:rsid w:val="003977D9"/>
    <w:rsid w:val="00397BB8"/>
    <w:rsid w:val="003A0041"/>
    <w:rsid w:val="003A01AE"/>
    <w:rsid w:val="003A021D"/>
    <w:rsid w:val="003A03B2"/>
    <w:rsid w:val="003A0491"/>
    <w:rsid w:val="003A0715"/>
    <w:rsid w:val="003A08E0"/>
    <w:rsid w:val="003A0B5C"/>
    <w:rsid w:val="003A0BB9"/>
    <w:rsid w:val="003A0E3F"/>
    <w:rsid w:val="003A109E"/>
    <w:rsid w:val="003A10B8"/>
    <w:rsid w:val="003A11C8"/>
    <w:rsid w:val="003A137D"/>
    <w:rsid w:val="003A16B0"/>
    <w:rsid w:val="003A17FE"/>
    <w:rsid w:val="003A1AE3"/>
    <w:rsid w:val="003A1C66"/>
    <w:rsid w:val="003A1CB1"/>
    <w:rsid w:val="003A1CCA"/>
    <w:rsid w:val="003A1CD7"/>
    <w:rsid w:val="003A21B6"/>
    <w:rsid w:val="003A24B6"/>
    <w:rsid w:val="003A2547"/>
    <w:rsid w:val="003A283F"/>
    <w:rsid w:val="003A284A"/>
    <w:rsid w:val="003A29D7"/>
    <w:rsid w:val="003A2EF2"/>
    <w:rsid w:val="003A2F39"/>
    <w:rsid w:val="003A3048"/>
    <w:rsid w:val="003A3200"/>
    <w:rsid w:val="003A32E2"/>
    <w:rsid w:val="003A338B"/>
    <w:rsid w:val="003A3543"/>
    <w:rsid w:val="003A3AC2"/>
    <w:rsid w:val="003A3C9A"/>
    <w:rsid w:val="003A3CF5"/>
    <w:rsid w:val="003A3D07"/>
    <w:rsid w:val="003A3DD6"/>
    <w:rsid w:val="003A469D"/>
    <w:rsid w:val="003A49B3"/>
    <w:rsid w:val="003A4A41"/>
    <w:rsid w:val="003A4AA2"/>
    <w:rsid w:val="003A4B51"/>
    <w:rsid w:val="003A4C2D"/>
    <w:rsid w:val="003A4DEE"/>
    <w:rsid w:val="003A5017"/>
    <w:rsid w:val="003A51B9"/>
    <w:rsid w:val="003A5215"/>
    <w:rsid w:val="003A524A"/>
    <w:rsid w:val="003A534B"/>
    <w:rsid w:val="003A5746"/>
    <w:rsid w:val="003A579E"/>
    <w:rsid w:val="003A57C9"/>
    <w:rsid w:val="003A57CD"/>
    <w:rsid w:val="003A59DC"/>
    <w:rsid w:val="003A6006"/>
    <w:rsid w:val="003A604E"/>
    <w:rsid w:val="003A60A4"/>
    <w:rsid w:val="003A60AF"/>
    <w:rsid w:val="003A62CC"/>
    <w:rsid w:val="003A6303"/>
    <w:rsid w:val="003A63D0"/>
    <w:rsid w:val="003A64D5"/>
    <w:rsid w:val="003A6651"/>
    <w:rsid w:val="003A6711"/>
    <w:rsid w:val="003A678C"/>
    <w:rsid w:val="003A690B"/>
    <w:rsid w:val="003A6911"/>
    <w:rsid w:val="003A6999"/>
    <w:rsid w:val="003A6AAB"/>
    <w:rsid w:val="003A6AD8"/>
    <w:rsid w:val="003A6B8E"/>
    <w:rsid w:val="003A6BC0"/>
    <w:rsid w:val="003A6C54"/>
    <w:rsid w:val="003A6CE7"/>
    <w:rsid w:val="003A6D08"/>
    <w:rsid w:val="003A6FB4"/>
    <w:rsid w:val="003A7131"/>
    <w:rsid w:val="003A72AE"/>
    <w:rsid w:val="003A737C"/>
    <w:rsid w:val="003A73CE"/>
    <w:rsid w:val="003A7539"/>
    <w:rsid w:val="003A7707"/>
    <w:rsid w:val="003A783D"/>
    <w:rsid w:val="003A785B"/>
    <w:rsid w:val="003A79C1"/>
    <w:rsid w:val="003A7AA9"/>
    <w:rsid w:val="003A7B13"/>
    <w:rsid w:val="003A7B54"/>
    <w:rsid w:val="003A7E07"/>
    <w:rsid w:val="003B017F"/>
    <w:rsid w:val="003B1069"/>
    <w:rsid w:val="003B1181"/>
    <w:rsid w:val="003B127F"/>
    <w:rsid w:val="003B144C"/>
    <w:rsid w:val="003B14EB"/>
    <w:rsid w:val="003B152B"/>
    <w:rsid w:val="003B157A"/>
    <w:rsid w:val="003B18D9"/>
    <w:rsid w:val="003B18E7"/>
    <w:rsid w:val="003B1A18"/>
    <w:rsid w:val="003B1C0E"/>
    <w:rsid w:val="003B1F2A"/>
    <w:rsid w:val="003B1FBA"/>
    <w:rsid w:val="003B2118"/>
    <w:rsid w:val="003B22B5"/>
    <w:rsid w:val="003B279D"/>
    <w:rsid w:val="003B29D0"/>
    <w:rsid w:val="003B2AEC"/>
    <w:rsid w:val="003B2B8A"/>
    <w:rsid w:val="003B2C62"/>
    <w:rsid w:val="003B3197"/>
    <w:rsid w:val="003B3304"/>
    <w:rsid w:val="003B3413"/>
    <w:rsid w:val="003B3670"/>
    <w:rsid w:val="003B381B"/>
    <w:rsid w:val="003B3B16"/>
    <w:rsid w:val="003B3B71"/>
    <w:rsid w:val="003B3BAB"/>
    <w:rsid w:val="003B3C64"/>
    <w:rsid w:val="003B3F01"/>
    <w:rsid w:val="003B3F68"/>
    <w:rsid w:val="003B41A8"/>
    <w:rsid w:val="003B4362"/>
    <w:rsid w:val="003B43A0"/>
    <w:rsid w:val="003B44A0"/>
    <w:rsid w:val="003B45B5"/>
    <w:rsid w:val="003B473E"/>
    <w:rsid w:val="003B4C82"/>
    <w:rsid w:val="003B4F81"/>
    <w:rsid w:val="003B50D5"/>
    <w:rsid w:val="003B50F2"/>
    <w:rsid w:val="003B514E"/>
    <w:rsid w:val="003B5213"/>
    <w:rsid w:val="003B5215"/>
    <w:rsid w:val="003B53BB"/>
    <w:rsid w:val="003B53DA"/>
    <w:rsid w:val="003B53E3"/>
    <w:rsid w:val="003B5599"/>
    <w:rsid w:val="003B5813"/>
    <w:rsid w:val="003B59F4"/>
    <w:rsid w:val="003B5FBF"/>
    <w:rsid w:val="003B614E"/>
    <w:rsid w:val="003B61E6"/>
    <w:rsid w:val="003B6264"/>
    <w:rsid w:val="003B6285"/>
    <w:rsid w:val="003B62F5"/>
    <w:rsid w:val="003B66ED"/>
    <w:rsid w:val="003B6804"/>
    <w:rsid w:val="003B69EC"/>
    <w:rsid w:val="003B69F5"/>
    <w:rsid w:val="003B6B9A"/>
    <w:rsid w:val="003B6D9C"/>
    <w:rsid w:val="003B6E44"/>
    <w:rsid w:val="003B70D9"/>
    <w:rsid w:val="003B7568"/>
    <w:rsid w:val="003B7731"/>
    <w:rsid w:val="003B783D"/>
    <w:rsid w:val="003B7C2D"/>
    <w:rsid w:val="003B7C9D"/>
    <w:rsid w:val="003B7E72"/>
    <w:rsid w:val="003B7F87"/>
    <w:rsid w:val="003B7FD5"/>
    <w:rsid w:val="003C0197"/>
    <w:rsid w:val="003C0298"/>
    <w:rsid w:val="003C0323"/>
    <w:rsid w:val="003C03FE"/>
    <w:rsid w:val="003C0540"/>
    <w:rsid w:val="003C0587"/>
    <w:rsid w:val="003C061B"/>
    <w:rsid w:val="003C0A82"/>
    <w:rsid w:val="003C0CC3"/>
    <w:rsid w:val="003C0E66"/>
    <w:rsid w:val="003C0EDC"/>
    <w:rsid w:val="003C0FA3"/>
    <w:rsid w:val="003C0FFC"/>
    <w:rsid w:val="003C11B5"/>
    <w:rsid w:val="003C1580"/>
    <w:rsid w:val="003C18FD"/>
    <w:rsid w:val="003C1A49"/>
    <w:rsid w:val="003C1A82"/>
    <w:rsid w:val="003C1B98"/>
    <w:rsid w:val="003C1C18"/>
    <w:rsid w:val="003C1CA4"/>
    <w:rsid w:val="003C1CD2"/>
    <w:rsid w:val="003C1DC8"/>
    <w:rsid w:val="003C203D"/>
    <w:rsid w:val="003C250B"/>
    <w:rsid w:val="003C25FF"/>
    <w:rsid w:val="003C271B"/>
    <w:rsid w:val="003C278C"/>
    <w:rsid w:val="003C27AE"/>
    <w:rsid w:val="003C27B7"/>
    <w:rsid w:val="003C287C"/>
    <w:rsid w:val="003C28A6"/>
    <w:rsid w:val="003C2912"/>
    <w:rsid w:val="003C2A9D"/>
    <w:rsid w:val="003C2B6E"/>
    <w:rsid w:val="003C2D4C"/>
    <w:rsid w:val="003C2DB9"/>
    <w:rsid w:val="003C2DEE"/>
    <w:rsid w:val="003C3180"/>
    <w:rsid w:val="003C3201"/>
    <w:rsid w:val="003C333F"/>
    <w:rsid w:val="003C3364"/>
    <w:rsid w:val="003C33E1"/>
    <w:rsid w:val="003C355F"/>
    <w:rsid w:val="003C35DB"/>
    <w:rsid w:val="003C36FC"/>
    <w:rsid w:val="003C37FD"/>
    <w:rsid w:val="003C3916"/>
    <w:rsid w:val="003C3940"/>
    <w:rsid w:val="003C3A16"/>
    <w:rsid w:val="003C3A9C"/>
    <w:rsid w:val="003C3AE6"/>
    <w:rsid w:val="003C3B16"/>
    <w:rsid w:val="003C3B9E"/>
    <w:rsid w:val="003C408D"/>
    <w:rsid w:val="003C41E5"/>
    <w:rsid w:val="003C4399"/>
    <w:rsid w:val="003C43B0"/>
    <w:rsid w:val="003C4406"/>
    <w:rsid w:val="003C45A1"/>
    <w:rsid w:val="003C461A"/>
    <w:rsid w:val="003C4828"/>
    <w:rsid w:val="003C4AA3"/>
    <w:rsid w:val="003C5465"/>
    <w:rsid w:val="003C5627"/>
    <w:rsid w:val="003C576E"/>
    <w:rsid w:val="003C59A8"/>
    <w:rsid w:val="003C5A22"/>
    <w:rsid w:val="003C5C02"/>
    <w:rsid w:val="003C5CE7"/>
    <w:rsid w:val="003C5D4F"/>
    <w:rsid w:val="003C5DFB"/>
    <w:rsid w:val="003C5EB2"/>
    <w:rsid w:val="003C5F18"/>
    <w:rsid w:val="003C61D3"/>
    <w:rsid w:val="003C627D"/>
    <w:rsid w:val="003C63FA"/>
    <w:rsid w:val="003C65A2"/>
    <w:rsid w:val="003C68B3"/>
    <w:rsid w:val="003C697A"/>
    <w:rsid w:val="003C6CA3"/>
    <w:rsid w:val="003C6EF6"/>
    <w:rsid w:val="003C6EFC"/>
    <w:rsid w:val="003C7089"/>
    <w:rsid w:val="003C735E"/>
    <w:rsid w:val="003C7387"/>
    <w:rsid w:val="003C73A6"/>
    <w:rsid w:val="003C7650"/>
    <w:rsid w:val="003C7BBC"/>
    <w:rsid w:val="003C7C84"/>
    <w:rsid w:val="003C7CC0"/>
    <w:rsid w:val="003C7EEC"/>
    <w:rsid w:val="003C7F2B"/>
    <w:rsid w:val="003C7F4D"/>
    <w:rsid w:val="003C7FB0"/>
    <w:rsid w:val="003D022D"/>
    <w:rsid w:val="003D0392"/>
    <w:rsid w:val="003D0422"/>
    <w:rsid w:val="003D0459"/>
    <w:rsid w:val="003D04D3"/>
    <w:rsid w:val="003D05AB"/>
    <w:rsid w:val="003D0694"/>
    <w:rsid w:val="003D0A3E"/>
    <w:rsid w:val="003D0ABD"/>
    <w:rsid w:val="003D0B63"/>
    <w:rsid w:val="003D0C86"/>
    <w:rsid w:val="003D0DB1"/>
    <w:rsid w:val="003D0E1A"/>
    <w:rsid w:val="003D0ED4"/>
    <w:rsid w:val="003D1114"/>
    <w:rsid w:val="003D126E"/>
    <w:rsid w:val="003D1273"/>
    <w:rsid w:val="003D13CB"/>
    <w:rsid w:val="003D142D"/>
    <w:rsid w:val="003D152E"/>
    <w:rsid w:val="003D1979"/>
    <w:rsid w:val="003D19F3"/>
    <w:rsid w:val="003D21B8"/>
    <w:rsid w:val="003D2276"/>
    <w:rsid w:val="003D22AD"/>
    <w:rsid w:val="003D24DC"/>
    <w:rsid w:val="003D2594"/>
    <w:rsid w:val="003D25F5"/>
    <w:rsid w:val="003D26C7"/>
    <w:rsid w:val="003D2856"/>
    <w:rsid w:val="003D286F"/>
    <w:rsid w:val="003D2A19"/>
    <w:rsid w:val="003D2A70"/>
    <w:rsid w:val="003D2B07"/>
    <w:rsid w:val="003D2E1A"/>
    <w:rsid w:val="003D2E2A"/>
    <w:rsid w:val="003D2E6B"/>
    <w:rsid w:val="003D3145"/>
    <w:rsid w:val="003D32B6"/>
    <w:rsid w:val="003D33F1"/>
    <w:rsid w:val="003D34E1"/>
    <w:rsid w:val="003D378F"/>
    <w:rsid w:val="003D38B3"/>
    <w:rsid w:val="003D399C"/>
    <w:rsid w:val="003D3AA1"/>
    <w:rsid w:val="003D3B4B"/>
    <w:rsid w:val="003D3C23"/>
    <w:rsid w:val="003D3E22"/>
    <w:rsid w:val="003D3EE6"/>
    <w:rsid w:val="003D413D"/>
    <w:rsid w:val="003D437F"/>
    <w:rsid w:val="003D438E"/>
    <w:rsid w:val="003D4549"/>
    <w:rsid w:val="003D480D"/>
    <w:rsid w:val="003D49AC"/>
    <w:rsid w:val="003D49B1"/>
    <w:rsid w:val="003D4BA2"/>
    <w:rsid w:val="003D4CDF"/>
    <w:rsid w:val="003D5035"/>
    <w:rsid w:val="003D509B"/>
    <w:rsid w:val="003D5197"/>
    <w:rsid w:val="003D5239"/>
    <w:rsid w:val="003D5248"/>
    <w:rsid w:val="003D54AB"/>
    <w:rsid w:val="003D56B5"/>
    <w:rsid w:val="003D5736"/>
    <w:rsid w:val="003D5765"/>
    <w:rsid w:val="003D58FF"/>
    <w:rsid w:val="003D59E3"/>
    <w:rsid w:val="003D5C40"/>
    <w:rsid w:val="003D5D4C"/>
    <w:rsid w:val="003D5E79"/>
    <w:rsid w:val="003D5EBA"/>
    <w:rsid w:val="003D5F5E"/>
    <w:rsid w:val="003D5F83"/>
    <w:rsid w:val="003D5FB7"/>
    <w:rsid w:val="003D617F"/>
    <w:rsid w:val="003D6310"/>
    <w:rsid w:val="003D6405"/>
    <w:rsid w:val="003D67FF"/>
    <w:rsid w:val="003D6A24"/>
    <w:rsid w:val="003D6AEC"/>
    <w:rsid w:val="003D6D30"/>
    <w:rsid w:val="003D6E15"/>
    <w:rsid w:val="003D6F30"/>
    <w:rsid w:val="003D6FFA"/>
    <w:rsid w:val="003D75D9"/>
    <w:rsid w:val="003D762C"/>
    <w:rsid w:val="003D7673"/>
    <w:rsid w:val="003D7712"/>
    <w:rsid w:val="003D7944"/>
    <w:rsid w:val="003D7CFA"/>
    <w:rsid w:val="003D7D48"/>
    <w:rsid w:val="003E0180"/>
    <w:rsid w:val="003E03EE"/>
    <w:rsid w:val="003E04DB"/>
    <w:rsid w:val="003E052E"/>
    <w:rsid w:val="003E05C5"/>
    <w:rsid w:val="003E0E7C"/>
    <w:rsid w:val="003E1017"/>
    <w:rsid w:val="003E12FB"/>
    <w:rsid w:val="003E1600"/>
    <w:rsid w:val="003E1741"/>
    <w:rsid w:val="003E17A3"/>
    <w:rsid w:val="003E1C4D"/>
    <w:rsid w:val="003E1D2B"/>
    <w:rsid w:val="003E2148"/>
    <w:rsid w:val="003E25D8"/>
    <w:rsid w:val="003E263C"/>
    <w:rsid w:val="003E297C"/>
    <w:rsid w:val="003E2997"/>
    <w:rsid w:val="003E2AA2"/>
    <w:rsid w:val="003E2B80"/>
    <w:rsid w:val="003E2CC4"/>
    <w:rsid w:val="003E3064"/>
    <w:rsid w:val="003E309C"/>
    <w:rsid w:val="003E317F"/>
    <w:rsid w:val="003E3456"/>
    <w:rsid w:val="003E377C"/>
    <w:rsid w:val="003E3897"/>
    <w:rsid w:val="003E38D2"/>
    <w:rsid w:val="003E3A94"/>
    <w:rsid w:val="003E3D73"/>
    <w:rsid w:val="003E3E04"/>
    <w:rsid w:val="003E418B"/>
    <w:rsid w:val="003E4273"/>
    <w:rsid w:val="003E433F"/>
    <w:rsid w:val="003E479B"/>
    <w:rsid w:val="003E4806"/>
    <w:rsid w:val="003E4955"/>
    <w:rsid w:val="003E4E7C"/>
    <w:rsid w:val="003E4FB3"/>
    <w:rsid w:val="003E5076"/>
    <w:rsid w:val="003E5218"/>
    <w:rsid w:val="003E52C3"/>
    <w:rsid w:val="003E5455"/>
    <w:rsid w:val="003E5D99"/>
    <w:rsid w:val="003E5F7E"/>
    <w:rsid w:val="003E6010"/>
    <w:rsid w:val="003E632B"/>
    <w:rsid w:val="003E643F"/>
    <w:rsid w:val="003E644E"/>
    <w:rsid w:val="003E6514"/>
    <w:rsid w:val="003E6666"/>
    <w:rsid w:val="003E66E9"/>
    <w:rsid w:val="003E6741"/>
    <w:rsid w:val="003E6C06"/>
    <w:rsid w:val="003E6CD7"/>
    <w:rsid w:val="003E6FAB"/>
    <w:rsid w:val="003E6FD4"/>
    <w:rsid w:val="003E7105"/>
    <w:rsid w:val="003E717D"/>
    <w:rsid w:val="003E7391"/>
    <w:rsid w:val="003E742D"/>
    <w:rsid w:val="003E748C"/>
    <w:rsid w:val="003E74D5"/>
    <w:rsid w:val="003E77C8"/>
    <w:rsid w:val="003E79AF"/>
    <w:rsid w:val="003E7A91"/>
    <w:rsid w:val="003E7A93"/>
    <w:rsid w:val="003E7CCF"/>
    <w:rsid w:val="003E7E27"/>
    <w:rsid w:val="003E7F16"/>
    <w:rsid w:val="003F04D2"/>
    <w:rsid w:val="003F0563"/>
    <w:rsid w:val="003F0848"/>
    <w:rsid w:val="003F08B2"/>
    <w:rsid w:val="003F0B90"/>
    <w:rsid w:val="003F0BD9"/>
    <w:rsid w:val="003F0CEB"/>
    <w:rsid w:val="003F0DF8"/>
    <w:rsid w:val="003F0E1E"/>
    <w:rsid w:val="003F0E4B"/>
    <w:rsid w:val="003F0E76"/>
    <w:rsid w:val="003F0FC2"/>
    <w:rsid w:val="003F117E"/>
    <w:rsid w:val="003F1181"/>
    <w:rsid w:val="003F11F9"/>
    <w:rsid w:val="003F12DA"/>
    <w:rsid w:val="003F141D"/>
    <w:rsid w:val="003F14A5"/>
    <w:rsid w:val="003F15CD"/>
    <w:rsid w:val="003F1BC9"/>
    <w:rsid w:val="003F1C21"/>
    <w:rsid w:val="003F1CE2"/>
    <w:rsid w:val="003F1CF1"/>
    <w:rsid w:val="003F1D6A"/>
    <w:rsid w:val="003F1D84"/>
    <w:rsid w:val="003F27D8"/>
    <w:rsid w:val="003F27EF"/>
    <w:rsid w:val="003F282E"/>
    <w:rsid w:val="003F28B5"/>
    <w:rsid w:val="003F29C6"/>
    <w:rsid w:val="003F2D05"/>
    <w:rsid w:val="003F2D31"/>
    <w:rsid w:val="003F314C"/>
    <w:rsid w:val="003F366F"/>
    <w:rsid w:val="003F3677"/>
    <w:rsid w:val="003F3824"/>
    <w:rsid w:val="003F3875"/>
    <w:rsid w:val="003F3A0A"/>
    <w:rsid w:val="003F3A83"/>
    <w:rsid w:val="003F3B5E"/>
    <w:rsid w:val="003F3E32"/>
    <w:rsid w:val="003F3F9E"/>
    <w:rsid w:val="003F403E"/>
    <w:rsid w:val="003F41E8"/>
    <w:rsid w:val="003F42F4"/>
    <w:rsid w:val="003F4307"/>
    <w:rsid w:val="003F4363"/>
    <w:rsid w:val="003F45BC"/>
    <w:rsid w:val="003F46E8"/>
    <w:rsid w:val="003F48E2"/>
    <w:rsid w:val="003F4A1A"/>
    <w:rsid w:val="003F4B2B"/>
    <w:rsid w:val="003F4C2C"/>
    <w:rsid w:val="003F4DDE"/>
    <w:rsid w:val="003F4EF2"/>
    <w:rsid w:val="003F4F59"/>
    <w:rsid w:val="003F504D"/>
    <w:rsid w:val="003F50F1"/>
    <w:rsid w:val="003F52F0"/>
    <w:rsid w:val="003F531E"/>
    <w:rsid w:val="003F538B"/>
    <w:rsid w:val="003F542A"/>
    <w:rsid w:val="003F5474"/>
    <w:rsid w:val="003F54E2"/>
    <w:rsid w:val="003F5757"/>
    <w:rsid w:val="003F5D03"/>
    <w:rsid w:val="003F6103"/>
    <w:rsid w:val="003F6318"/>
    <w:rsid w:val="003F6436"/>
    <w:rsid w:val="003F645C"/>
    <w:rsid w:val="003F6484"/>
    <w:rsid w:val="003F6A7B"/>
    <w:rsid w:val="003F7123"/>
    <w:rsid w:val="003F72C0"/>
    <w:rsid w:val="003F7574"/>
    <w:rsid w:val="003F7766"/>
    <w:rsid w:val="003F7CA0"/>
    <w:rsid w:val="003F7DE0"/>
    <w:rsid w:val="0040040B"/>
    <w:rsid w:val="0040050D"/>
    <w:rsid w:val="0040062B"/>
    <w:rsid w:val="00400A12"/>
    <w:rsid w:val="00400AC0"/>
    <w:rsid w:val="00400B05"/>
    <w:rsid w:val="00400BDC"/>
    <w:rsid w:val="00400BF6"/>
    <w:rsid w:val="00400DC6"/>
    <w:rsid w:val="00400DD6"/>
    <w:rsid w:val="0040120A"/>
    <w:rsid w:val="0040157A"/>
    <w:rsid w:val="004015F1"/>
    <w:rsid w:val="00401693"/>
    <w:rsid w:val="004017AB"/>
    <w:rsid w:val="00401821"/>
    <w:rsid w:val="00401CD2"/>
    <w:rsid w:val="00401E12"/>
    <w:rsid w:val="00401F88"/>
    <w:rsid w:val="00401F92"/>
    <w:rsid w:val="00402250"/>
    <w:rsid w:val="00402699"/>
    <w:rsid w:val="004027C8"/>
    <w:rsid w:val="004027EC"/>
    <w:rsid w:val="00402876"/>
    <w:rsid w:val="00402909"/>
    <w:rsid w:val="00402AC7"/>
    <w:rsid w:val="00402CA6"/>
    <w:rsid w:val="00402DCC"/>
    <w:rsid w:val="00402EC6"/>
    <w:rsid w:val="00403038"/>
    <w:rsid w:val="00403094"/>
    <w:rsid w:val="00403134"/>
    <w:rsid w:val="004031DC"/>
    <w:rsid w:val="004032FC"/>
    <w:rsid w:val="004033A3"/>
    <w:rsid w:val="004033AA"/>
    <w:rsid w:val="004033B2"/>
    <w:rsid w:val="004033C4"/>
    <w:rsid w:val="004036B7"/>
    <w:rsid w:val="004036BB"/>
    <w:rsid w:val="0040384A"/>
    <w:rsid w:val="00403954"/>
    <w:rsid w:val="00403960"/>
    <w:rsid w:val="00403A1D"/>
    <w:rsid w:val="00403C0A"/>
    <w:rsid w:val="0040404C"/>
    <w:rsid w:val="0040436F"/>
    <w:rsid w:val="00404416"/>
    <w:rsid w:val="00404580"/>
    <w:rsid w:val="00404600"/>
    <w:rsid w:val="00404718"/>
    <w:rsid w:val="00404BB6"/>
    <w:rsid w:val="00404D8C"/>
    <w:rsid w:val="00404E69"/>
    <w:rsid w:val="00404F70"/>
    <w:rsid w:val="004050BD"/>
    <w:rsid w:val="004051EF"/>
    <w:rsid w:val="004052AF"/>
    <w:rsid w:val="00405343"/>
    <w:rsid w:val="0040534F"/>
    <w:rsid w:val="00405AC6"/>
    <w:rsid w:val="00405AE6"/>
    <w:rsid w:val="0040612D"/>
    <w:rsid w:val="00406130"/>
    <w:rsid w:val="00406226"/>
    <w:rsid w:val="00406267"/>
    <w:rsid w:val="004062A0"/>
    <w:rsid w:val="00406307"/>
    <w:rsid w:val="00406313"/>
    <w:rsid w:val="004065CD"/>
    <w:rsid w:val="004065F6"/>
    <w:rsid w:val="004067BB"/>
    <w:rsid w:val="00406B59"/>
    <w:rsid w:val="00406BE5"/>
    <w:rsid w:val="00406C47"/>
    <w:rsid w:val="00406DC0"/>
    <w:rsid w:val="0040702E"/>
    <w:rsid w:val="0040713F"/>
    <w:rsid w:val="004071D6"/>
    <w:rsid w:val="00407205"/>
    <w:rsid w:val="00407265"/>
    <w:rsid w:val="004074D9"/>
    <w:rsid w:val="00407A50"/>
    <w:rsid w:val="00407B73"/>
    <w:rsid w:val="00410027"/>
    <w:rsid w:val="00410104"/>
    <w:rsid w:val="00410248"/>
    <w:rsid w:val="004103A5"/>
    <w:rsid w:val="0041047E"/>
    <w:rsid w:val="004104B3"/>
    <w:rsid w:val="004104BB"/>
    <w:rsid w:val="004104F2"/>
    <w:rsid w:val="00410762"/>
    <w:rsid w:val="004107E6"/>
    <w:rsid w:val="0041086F"/>
    <w:rsid w:val="00410884"/>
    <w:rsid w:val="0041089B"/>
    <w:rsid w:val="00410AC2"/>
    <w:rsid w:val="00410C81"/>
    <w:rsid w:val="00410DCF"/>
    <w:rsid w:val="00410EB8"/>
    <w:rsid w:val="00410EE0"/>
    <w:rsid w:val="00410F3B"/>
    <w:rsid w:val="00411112"/>
    <w:rsid w:val="0041127E"/>
    <w:rsid w:val="004112A1"/>
    <w:rsid w:val="004112D5"/>
    <w:rsid w:val="0041130C"/>
    <w:rsid w:val="00411341"/>
    <w:rsid w:val="004115B8"/>
    <w:rsid w:val="004118FA"/>
    <w:rsid w:val="00411CCA"/>
    <w:rsid w:val="00411D73"/>
    <w:rsid w:val="004121DC"/>
    <w:rsid w:val="00412524"/>
    <w:rsid w:val="00412556"/>
    <w:rsid w:val="00412C36"/>
    <w:rsid w:val="00412DC1"/>
    <w:rsid w:val="00412F54"/>
    <w:rsid w:val="004130A4"/>
    <w:rsid w:val="004132E0"/>
    <w:rsid w:val="00413791"/>
    <w:rsid w:val="00413B3E"/>
    <w:rsid w:val="00413BAC"/>
    <w:rsid w:val="00413C90"/>
    <w:rsid w:val="00413D51"/>
    <w:rsid w:val="00413E48"/>
    <w:rsid w:val="0041423D"/>
    <w:rsid w:val="00414447"/>
    <w:rsid w:val="004146F6"/>
    <w:rsid w:val="00414732"/>
    <w:rsid w:val="0041476C"/>
    <w:rsid w:val="004148B9"/>
    <w:rsid w:val="00414B05"/>
    <w:rsid w:val="00414CA8"/>
    <w:rsid w:val="00414D61"/>
    <w:rsid w:val="00414DA2"/>
    <w:rsid w:val="00414F44"/>
    <w:rsid w:val="00414F99"/>
    <w:rsid w:val="00415152"/>
    <w:rsid w:val="004155ED"/>
    <w:rsid w:val="00415634"/>
    <w:rsid w:val="00415672"/>
    <w:rsid w:val="0041580E"/>
    <w:rsid w:val="004159CF"/>
    <w:rsid w:val="00415C7E"/>
    <w:rsid w:val="00415DA8"/>
    <w:rsid w:val="00415E29"/>
    <w:rsid w:val="004161AC"/>
    <w:rsid w:val="00416468"/>
    <w:rsid w:val="0041694A"/>
    <w:rsid w:val="0041694F"/>
    <w:rsid w:val="004169D5"/>
    <w:rsid w:val="00416B0F"/>
    <w:rsid w:val="00416C76"/>
    <w:rsid w:val="00416E9C"/>
    <w:rsid w:val="00416F34"/>
    <w:rsid w:val="00416FB0"/>
    <w:rsid w:val="00417078"/>
    <w:rsid w:val="0041729D"/>
    <w:rsid w:val="00417588"/>
    <w:rsid w:val="004175F6"/>
    <w:rsid w:val="004176A0"/>
    <w:rsid w:val="00417831"/>
    <w:rsid w:val="00417891"/>
    <w:rsid w:val="004178A7"/>
    <w:rsid w:val="004178D9"/>
    <w:rsid w:val="00417B9E"/>
    <w:rsid w:val="00417C15"/>
    <w:rsid w:val="00417ECA"/>
    <w:rsid w:val="00417F8C"/>
    <w:rsid w:val="00417F94"/>
    <w:rsid w:val="0042009E"/>
    <w:rsid w:val="004200EF"/>
    <w:rsid w:val="00420244"/>
    <w:rsid w:val="0042028D"/>
    <w:rsid w:val="004202DB"/>
    <w:rsid w:val="0042068A"/>
    <w:rsid w:val="004208EF"/>
    <w:rsid w:val="00420B14"/>
    <w:rsid w:val="00420DCA"/>
    <w:rsid w:val="00420F3A"/>
    <w:rsid w:val="00420FAF"/>
    <w:rsid w:val="0042101F"/>
    <w:rsid w:val="004210BF"/>
    <w:rsid w:val="00421175"/>
    <w:rsid w:val="0042151E"/>
    <w:rsid w:val="0042167A"/>
    <w:rsid w:val="00421DCE"/>
    <w:rsid w:val="00421E53"/>
    <w:rsid w:val="0042216D"/>
    <w:rsid w:val="0042217F"/>
    <w:rsid w:val="004221D4"/>
    <w:rsid w:val="004224D4"/>
    <w:rsid w:val="00422528"/>
    <w:rsid w:val="0042280A"/>
    <w:rsid w:val="00422822"/>
    <w:rsid w:val="004229EB"/>
    <w:rsid w:val="00422B9D"/>
    <w:rsid w:val="00422C0D"/>
    <w:rsid w:val="00422C5F"/>
    <w:rsid w:val="00422D3B"/>
    <w:rsid w:val="00422F42"/>
    <w:rsid w:val="00423263"/>
    <w:rsid w:val="00423326"/>
    <w:rsid w:val="004233DE"/>
    <w:rsid w:val="0042358F"/>
    <w:rsid w:val="004235F5"/>
    <w:rsid w:val="0042364F"/>
    <w:rsid w:val="0042375A"/>
    <w:rsid w:val="00423780"/>
    <w:rsid w:val="004237F4"/>
    <w:rsid w:val="00423869"/>
    <w:rsid w:val="00423898"/>
    <w:rsid w:val="004238DB"/>
    <w:rsid w:val="00423C88"/>
    <w:rsid w:val="00423E36"/>
    <w:rsid w:val="0042407E"/>
    <w:rsid w:val="00424188"/>
    <w:rsid w:val="0042435C"/>
    <w:rsid w:val="0042438C"/>
    <w:rsid w:val="00424550"/>
    <w:rsid w:val="00424745"/>
    <w:rsid w:val="00424D44"/>
    <w:rsid w:val="00425205"/>
    <w:rsid w:val="004254C7"/>
    <w:rsid w:val="0042551F"/>
    <w:rsid w:val="00425601"/>
    <w:rsid w:val="00425611"/>
    <w:rsid w:val="0042566C"/>
    <w:rsid w:val="00425852"/>
    <w:rsid w:val="00425886"/>
    <w:rsid w:val="00425A32"/>
    <w:rsid w:val="00425BB2"/>
    <w:rsid w:val="00425ECF"/>
    <w:rsid w:val="004260C4"/>
    <w:rsid w:val="004260F8"/>
    <w:rsid w:val="004261A9"/>
    <w:rsid w:val="004261CA"/>
    <w:rsid w:val="0042635C"/>
    <w:rsid w:val="004263FA"/>
    <w:rsid w:val="00426426"/>
    <w:rsid w:val="00426443"/>
    <w:rsid w:val="004266AD"/>
    <w:rsid w:val="00426AA7"/>
    <w:rsid w:val="00426E73"/>
    <w:rsid w:val="00426EBA"/>
    <w:rsid w:val="00426FFF"/>
    <w:rsid w:val="00427092"/>
    <w:rsid w:val="004270EF"/>
    <w:rsid w:val="00427380"/>
    <w:rsid w:val="0042776E"/>
    <w:rsid w:val="00427A1F"/>
    <w:rsid w:val="00427AE5"/>
    <w:rsid w:val="00427C24"/>
    <w:rsid w:val="00427D5F"/>
    <w:rsid w:val="00430422"/>
    <w:rsid w:val="004304AF"/>
    <w:rsid w:val="00430525"/>
    <w:rsid w:val="00430788"/>
    <w:rsid w:val="004307A3"/>
    <w:rsid w:val="00430852"/>
    <w:rsid w:val="00430ACA"/>
    <w:rsid w:val="00430C0F"/>
    <w:rsid w:val="00430D04"/>
    <w:rsid w:val="00430D1D"/>
    <w:rsid w:val="00430D39"/>
    <w:rsid w:val="00430D6E"/>
    <w:rsid w:val="00430E1A"/>
    <w:rsid w:val="00430FCC"/>
    <w:rsid w:val="00430FE0"/>
    <w:rsid w:val="00430FE3"/>
    <w:rsid w:val="00431184"/>
    <w:rsid w:val="004311FE"/>
    <w:rsid w:val="004314DF"/>
    <w:rsid w:val="004315D5"/>
    <w:rsid w:val="00431705"/>
    <w:rsid w:val="004319E4"/>
    <w:rsid w:val="00431AD6"/>
    <w:rsid w:val="00431BC5"/>
    <w:rsid w:val="00431C0E"/>
    <w:rsid w:val="00431C7E"/>
    <w:rsid w:val="00431D0F"/>
    <w:rsid w:val="00431DFF"/>
    <w:rsid w:val="00431E20"/>
    <w:rsid w:val="00431F4A"/>
    <w:rsid w:val="0043200F"/>
    <w:rsid w:val="0043232D"/>
    <w:rsid w:val="004323CD"/>
    <w:rsid w:val="004323D9"/>
    <w:rsid w:val="004327F7"/>
    <w:rsid w:val="004328D2"/>
    <w:rsid w:val="00432905"/>
    <w:rsid w:val="00432A44"/>
    <w:rsid w:val="00432A64"/>
    <w:rsid w:val="00432A9A"/>
    <w:rsid w:val="00432D6A"/>
    <w:rsid w:val="00432DF5"/>
    <w:rsid w:val="00432F03"/>
    <w:rsid w:val="00432FBB"/>
    <w:rsid w:val="00433162"/>
    <w:rsid w:val="004335DF"/>
    <w:rsid w:val="00433683"/>
    <w:rsid w:val="00433847"/>
    <w:rsid w:val="00433DF8"/>
    <w:rsid w:val="00433F61"/>
    <w:rsid w:val="00434228"/>
    <w:rsid w:val="00434272"/>
    <w:rsid w:val="00434319"/>
    <w:rsid w:val="00434550"/>
    <w:rsid w:val="00434578"/>
    <w:rsid w:val="004345E4"/>
    <w:rsid w:val="004346E1"/>
    <w:rsid w:val="00434751"/>
    <w:rsid w:val="00434771"/>
    <w:rsid w:val="004348AA"/>
    <w:rsid w:val="0043497A"/>
    <w:rsid w:val="00434E5D"/>
    <w:rsid w:val="00435160"/>
    <w:rsid w:val="004351B5"/>
    <w:rsid w:val="004354D6"/>
    <w:rsid w:val="00435803"/>
    <w:rsid w:val="00435882"/>
    <w:rsid w:val="00435BF3"/>
    <w:rsid w:val="00435F2D"/>
    <w:rsid w:val="00435FB7"/>
    <w:rsid w:val="0043634E"/>
    <w:rsid w:val="00436CC6"/>
    <w:rsid w:val="00436E74"/>
    <w:rsid w:val="00436FD1"/>
    <w:rsid w:val="00437215"/>
    <w:rsid w:val="00437233"/>
    <w:rsid w:val="00437290"/>
    <w:rsid w:val="00437510"/>
    <w:rsid w:val="00437681"/>
    <w:rsid w:val="00437754"/>
    <w:rsid w:val="00437A65"/>
    <w:rsid w:val="00437ED1"/>
    <w:rsid w:val="00440128"/>
    <w:rsid w:val="004402F9"/>
    <w:rsid w:val="00440355"/>
    <w:rsid w:val="004403A1"/>
    <w:rsid w:val="00440471"/>
    <w:rsid w:val="00440602"/>
    <w:rsid w:val="00440685"/>
    <w:rsid w:val="004409FE"/>
    <w:rsid w:val="00440A2B"/>
    <w:rsid w:val="00440A4B"/>
    <w:rsid w:val="00440AA8"/>
    <w:rsid w:val="00440C41"/>
    <w:rsid w:val="00441081"/>
    <w:rsid w:val="00441312"/>
    <w:rsid w:val="004413BC"/>
    <w:rsid w:val="0044142E"/>
    <w:rsid w:val="004417B3"/>
    <w:rsid w:val="00441887"/>
    <w:rsid w:val="00441A67"/>
    <w:rsid w:val="00441B59"/>
    <w:rsid w:val="00441B9A"/>
    <w:rsid w:val="00441BCE"/>
    <w:rsid w:val="00441CAC"/>
    <w:rsid w:val="00441ED6"/>
    <w:rsid w:val="00441FAF"/>
    <w:rsid w:val="00442068"/>
    <w:rsid w:val="00442351"/>
    <w:rsid w:val="00442621"/>
    <w:rsid w:val="004428ED"/>
    <w:rsid w:val="00442D2D"/>
    <w:rsid w:val="00442E99"/>
    <w:rsid w:val="00443689"/>
    <w:rsid w:val="00443BB7"/>
    <w:rsid w:val="00443FFC"/>
    <w:rsid w:val="004442AF"/>
    <w:rsid w:val="004444FD"/>
    <w:rsid w:val="00444683"/>
    <w:rsid w:val="0044479A"/>
    <w:rsid w:val="004447D0"/>
    <w:rsid w:val="00444828"/>
    <w:rsid w:val="00444885"/>
    <w:rsid w:val="004449DC"/>
    <w:rsid w:val="00444F31"/>
    <w:rsid w:val="00444F8C"/>
    <w:rsid w:val="00444FA4"/>
    <w:rsid w:val="00445034"/>
    <w:rsid w:val="00445486"/>
    <w:rsid w:val="004454D5"/>
    <w:rsid w:val="0044550A"/>
    <w:rsid w:val="004458E8"/>
    <w:rsid w:val="00445B0B"/>
    <w:rsid w:val="00445D4B"/>
    <w:rsid w:val="00445E27"/>
    <w:rsid w:val="00446011"/>
    <w:rsid w:val="00446322"/>
    <w:rsid w:val="0044639C"/>
    <w:rsid w:val="00446402"/>
    <w:rsid w:val="004464E8"/>
    <w:rsid w:val="0044675A"/>
    <w:rsid w:val="0044682E"/>
    <w:rsid w:val="00446AC5"/>
    <w:rsid w:val="00446ED9"/>
    <w:rsid w:val="00447057"/>
    <w:rsid w:val="0044708E"/>
    <w:rsid w:val="00447211"/>
    <w:rsid w:val="00447344"/>
    <w:rsid w:val="004474CE"/>
    <w:rsid w:val="004477F0"/>
    <w:rsid w:val="004479B6"/>
    <w:rsid w:val="00447A4C"/>
    <w:rsid w:val="00447B88"/>
    <w:rsid w:val="00447BE0"/>
    <w:rsid w:val="00447CD4"/>
    <w:rsid w:val="00447DA9"/>
    <w:rsid w:val="00447E2C"/>
    <w:rsid w:val="0045008B"/>
    <w:rsid w:val="004501A4"/>
    <w:rsid w:val="00450266"/>
    <w:rsid w:val="00450271"/>
    <w:rsid w:val="00450534"/>
    <w:rsid w:val="0045055A"/>
    <w:rsid w:val="004505F0"/>
    <w:rsid w:val="0045077F"/>
    <w:rsid w:val="004507A4"/>
    <w:rsid w:val="00450933"/>
    <w:rsid w:val="0045096B"/>
    <w:rsid w:val="00450D81"/>
    <w:rsid w:val="00450FFE"/>
    <w:rsid w:val="00451128"/>
    <w:rsid w:val="0045119F"/>
    <w:rsid w:val="004511C3"/>
    <w:rsid w:val="004514B5"/>
    <w:rsid w:val="004514D5"/>
    <w:rsid w:val="00451602"/>
    <w:rsid w:val="004517E0"/>
    <w:rsid w:val="00451980"/>
    <w:rsid w:val="004519B7"/>
    <w:rsid w:val="00451AF3"/>
    <w:rsid w:val="00452098"/>
    <w:rsid w:val="004521D1"/>
    <w:rsid w:val="004521D4"/>
    <w:rsid w:val="0045242F"/>
    <w:rsid w:val="004524E5"/>
    <w:rsid w:val="00452532"/>
    <w:rsid w:val="004526CE"/>
    <w:rsid w:val="004526E5"/>
    <w:rsid w:val="0045296E"/>
    <w:rsid w:val="00452ED0"/>
    <w:rsid w:val="00452F00"/>
    <w:rsid w:val="004532EE"/>
    <w:rsid w:val="0045334A"/>
    <w:rsid w:val="00453609"/>
    <w:rsid w:val="00453619"/>
    <w:rsid w:val="00453648"/>
    <w:rsid w:val="004537E4"/>
    <w:rsid w:val="004538FB"/>
    <w:rsid w:val="00453B49"/>
    <w:rsid w:val="00453B5D"/>
    <w:rsid w:val="004546D7"/>
    <w:rsid w:val="00454892"/>
    <w:rsid w:val="0045497F"/>
    <w:rsid w:val="00454CDE"/>
    <w:rsid w:val="00454EF5"/>
    <w:rsid w:val="00454F5A"/>
    <w:rsid w:val="00455123"/>
    <w:rsid w:val="00455143"/>
    <w:rsid w:val="00455190"/>
    <w:rsid w:val="00455296"/>
    <w:rsid w:val="00455A84"/>
    <w:rsid w:val="00455C2E"/>
    <w:rsid w:val="00455C45"/>
    <w:rsid w:val="00455CD9"/>
    <w:rsid w:val="00455CF0"/>
    <w:rsid w:val="00455DFA"/>
    <w:rsid w:val="00455EFA"/>
    <w:rsid w:val="004565AD"/>
    <w:rsid w:val="00456828"/>
    <w:rsid w:val="0045683E"/>
    <w:rsid w:val="004568C6"/>
    <w:rsid w:val="00456A63"/>
    <w:rsid w:val="00456A86"/>
    <w:rsid w:val="00456B96"/>
    <w:rsid w:val="00456C99"/>
    <w:rsid w:val="00456FCE"/>
    <w:rsid w:val="00457255"/>
    <w:rsid w:val="0045736A"/>
    <w:rsid w:val="004575F1"/>
    <w:rsid w:val="004576DC"/>
    <w:rsid w:val="00457A37"/>
    <w:rsid w:val="00457B77"/>
    <w:rsid w:val="00457CD4"/>
    <w:rsid w:val="00460030"/>
    <w:rsid w:val="00460032"/>
    <w:rsid w:val="004600E5"/>
    <w:rsid w:val="004602D6"/>
    <w:rsid w:val="004603A4"/>
    <w:rsid w:val="004603BE"/>
    <w:rsid w:val="00460467"/>
    <w:rsid w:val="004605AE"/>
    <w:rsid w:val="004608CF"/>
    <w:rsid w:val="00460AAE"/>
    <w:rsid w:val="00460C4F"/>
    <w:rsid w:val="00460E7B"/>
    <w:rsid w:val="00460EF3"/>
    <w:rsid w:val="00461026"/>
    <w:rsid w:val="0046103C"/>
    <w:rsid w:val="004614FD"/>
    <w:rsid w:val="004616D0"/>
    <w:rsid w:val="004617D4"/>
    <w:rsid w:val="00461811"/>
    <w:rsid w:val="00461B83"/>
    <w:rsid w:val="00461BA5"/>
    <w:rsid w:val="00461C72"/>
    <w:rsid w:val="00461E16"/>
    <w:rsid w:val="00461E4A"/>
    <w:rsid w:val="00461F60"/>
    <w:rsid w:val="00461F72"/>
    <w:rsid w:val="004621C5"/>
    <w:rsid w:val="00462275"/>
    <w:rsid w:val="0046236B"/>
    <w:rsid w:val="00462408"/>
    <w:rsid w:val="00462672"/>
    <w:rsid w:val="0046279E"/>
    <w:rsid w:val="0046283B"/>
    <w:rsid w:val="00462BD9"/>
    <w:rsid w:val="00462C8C"/>
    <w:rsid w:val="00462D52"/>
    <w:rsid w:val="00462E17"/>
    <w:rsid w:val="00463043"/>
    <w:rsid w:val="0046346D"/>
    <w:rsid w:val="00463541"/>
    <w:rsid w:val="0046365B"/>
    <w:rsid w:val="00463825"/>
    <w:rsid w:val="00463890"/>
    <w:rsid w:val="004638B8"/>
    <w:rsid w:val="0046391C"/>
    <w:rsid w:val="004639E6"/>
    <w:rsid w:val="00463AD6"/>
    <w:rsid w:val="00463BFE"/>
    <w:rsid w:val="00463CBC"/>
    <w:rsid w:val="00463CC0"/>
    <w:rsid w:val="00463CEF"/>
    <w:rsid w:val="00463D69"/>
    <w:rsid w:val="00464086"/>
    <w:rsid w:val="00464173"/>
    <w:rsid w:val="004645D2"/>
    <w:rsid w:val="004647F1"/>
    <w:rsid w:val="00464B81"/>
    <w:rsid w:val="00464ED2"/>
    <w:rsid w:val="00465297"/>
    <w:rsid w:val="0046560F"/>
    <w:rsid w:val="0046561B"/>
    <w:rsid w:val="00465647"/>
    <w:rsid w:val="00465677"/>
    <w:rsid w:val="00465684"/>
    <w:rsid w:val="004657A7"/>
    <w:rsid w:val="00465833"/>
    <w:rsid w:val="00465883"/>
    <w:rsid w:val="00465884"/>
    <w:rsid w:val="0046588F"/>
    <w:rsid w:val="004659C0"/>
    <w:rsid w:val="00465CBE"/>
    <w:rsid w:val="00465CEE"/>
    <w:rsid w:val="00465D3A"/>
    <w:rsid w:val="00465EBE"/>
    <w:rsid w:val="00466192"/>
    <w:rsid w:val="004662F0"/>
    <w:rsid w:val="0046644E"/>
    <w:rsid w:val="00466C2D"/>
    <w:rsid w:val="00466C62"/>
    <w:rsid w:val="00466CE7"/>
    <w:rsid w:val="0046701B"/>
    <w:rsid w:val="0046705A"/>
    <w:rsid w:val="004671A7"/>
    <w:rsid w:val="004671D7"/>
    <w:rsid w:val="0046723E"/>
    <w:rsid w:val="00467271"/>
    <w:rsid w:val="0046728E"/>
    <w:rsid w:val="004674F4"/>
    <w:rsid w:val="00467654"/>
    <w:rsid w:val="00467703"/>
    <w:rsid w:val="00467888"/>
    <w:rsid w:val="004678FE"/>
    <w:rsid w:val="00467A8B"/>
    <w:rsid w:val="00467B91"/>
    <w:rsid w:val="00467CC1"/>
    <w:rsid w:val="0047019A"/>
    <w:rsid w:val="00470680"/>
    <w:rsid w:val="00470AEE"/>
    <w:rsid w:val="00470EE9"/>
    <w:rsid w:val="00470F3C"/>
    <w:rsid w:val="004713C9"/>
    <w:rsid w:val="004713CC"/>
    <w:rsid w:val="004714E9"/>
    <w:rsid w:val="0047153B"/>
    <w:rsid w:val="004717EA"/>
    <w:rsid w:val="0047195C"/>
    <w:rsid w:val="00471A5D"/>
    <w:rsid w:val="00471A78"/>
    <w:rsid w:val="00471B65"/>
    <w:rsid w:val="00471BD4"/>
    <w:rsid w:val="00471D68"/>
    <w:rsid w:val="00471D86"/>
    <w:rsid w:val="00471E2A"/>
    <w:rsid w:val="00471F55"/>
    <w:rsid w:val="00471F5C"/>
    <w:rsid w:val="00472036"/>
    <w:rsid w:val="00472251"/>
    <w:rsid w:val="00472430"/>
    <w:rsid w:val="0047265B"/>
    <w:rsid w:val="00472A63"/>
    <w:rsid w:val="00472B35"/>
    <w:rsid w:val="00472B83"/>
    <w:rsid w:val="00472BB5"/>
    <w:rsid w:val="00472C65"/>
    <w:rsid w:val="00472D37"/>
    <w:rsid w:val="00472E8B"/>
    <w:rsid w:val="00472ED9"/>
    <w:rsid w:val="00473170"/>
    <w:rsid w:val="004731B3"/>
    <w:rsid w:val="004731C6"/>
    <w:rsid w:val="00473220"/>
    <w:rsid w:val="00473230"/>
    <w:rsid w:val="00473327"/>
    <w:rsid w:val="00473415"/>
    <w:rsid w:val="004734A5"/>
    <w:rsid w:val="00473548"/>
    <w:rsid w:val="0047368F"/>
    <w:rsid w:val="00473696"/>
    <w:rsid w:val="00473951"/>
    <w:rsid w:val="004739B7"/>
    <w:rsid w:val="004739E0"/>
    <w:rsid w:val="00473A1A"/>
    <w:rsid w:val="00473AE6"/>
    <w:rsid w:val="00473CC5"/>
    <w:rsid w:val="00473D51"/>
    <w:rsid w:val="00473E6A"/>
    <w:rsid w:val="0047408F"/>
    <w:rsid w:val="00474473"/>
    <w:rsid w:val="00474513"/>
    <w:rsid w:val="004746F0"/>
    <w:rsid w:val="00474890"/>
    <w:rsid w:val="004749E7"/>
    <w:rsid w:val="00474A14"/>
    <w:rsid w:val="00474A39"/>
    <w:rsid w:val="00474BAA"/>
    <w:rsid w:val="00474CA9"/>
    <w:rsid w:val="00474CEB"/>
    <w:rsid w:val="00474EF7"/>
    <w:rsid w:val="00474FDF"/>
    <w:rsid w:val="004752A8"/>
    <w:rsid w:val="00475438"/>
    <w:rsid w:val="00475494"/>
    <w:rsid w:val="00475529"/>
    <w:rsid w:val="004758BF"/>
    <w:rsid w:val="00475959"/>
    <w:rsid w:val="00475AD4"/>
    <w:rsid w:val="00475E92"/>
    <w:rsid w:val="00475EBC"/>
    <w:rsid w:val="00476029"/>
    <w:rsid w:val="00476105"/>
    <w:rsid w:val="0047647C"/>
    <w:rsid w:val="00476592"/>
    <w:rsid w:val="00476783"/>
    <w:rsid w:val="004767F7"/>
    <w:rsid w:val="00476C94"/>
    <w:rsid w:val="00476E5C"/>
    <w:rsid w:val="00476F70"/>
    <w:rsid w:val="00476F71"/>
    <w:rsid w:val="004770B7"/>
    <w:rsid w:val="004772FB"/>
    <w:rsid w:val="00477304"/>
    <w:rsid w:val="004777D0"/>
    <w:rsid w:val="004777D5"/>
    <w:rsid w:val="004778CE"/>
    <w:rsid w:val="00477D02"/>
    <w:rsid w:val="00477D80"/>
    <w:rsid w:val="00477E65"/>
    <w:rsid w:val="00477F03"/>
    <w:rsid w:val="0048028D"/>
    <w:rsid w:val="00480353"/>
    <w:rsid w:val="00480377"/>
    <w:rsid w:val="00480427"/>
    <w:rsid w:val="00480667"/>
    <w:rsid w:val="00480682"/>
    <w:rsid w:val="0048092B"/>
    <w:rsid w:val="00480970"/>
    <w:rsid w:val="00480A6D"/>
    <w:rsid w:val="00480AD1"/>
    <w:rsid w:val="00480AD4"/>
    <w:rsid w:val="00480B99"/>
    <w:rsid w:val="00480C0E"/>
    <w:rsid w:val="00480DE4"/>
    <w:rsid w:val="00480F64"/>
    <w:rsid w:val="00481010"/>
    <w:rsid w:val="00481267"/>
    <w:rsid w:val="00481301"/>
    <w:rsid w:val="004817A3"/>
    <w:rsid w:val="0048198D"/>
    <w:rsid w:val="00481DF6"/>
    <w:rsid w:val="00481DFE"/>
    <w:rsid w:val="00481E22"/>
    <w:rsid w:val="00481ED8"/>
    <w:rsid w:val="00481F68"/>
    <w:rsid w:val="00481FDA"/>
    <w:rsid w:val="004820DE"/>
    <w:rsid w:val="00482522"/>
    <w:rsid w:val="004826F9"/>
    <w:rsid w:val="00482B4E"/>
    <w:rsid w:val="00482B65"/>
    <w:rsid w:val="00482B9A"/>
    <w:rsid w:val="00482D92"/>
    <w:rsid w:val="00482F42"/>
    <w:rsid w:val="00482FAA"/>
    <w:rsid w:val="004830FF"/>
    <w:rsid w:val="004831D7"/>
    <w:rsid w:val="004832A2"/>
    <w:rsid w:val="004835A2"/>
    <w:rsid w:val="004835B1"/>
    <w:rsid w:val="0048364C"/>
    <w:rsid w:val="00483A29"/>
    <w:rsid w:val="00483B56"/>
    <w:rsid w:val="00483DDE"/>
    <w:rsid w:val="00484019"/>
    <w:rsid w:val="00484092"/>
    <w:rsid w:val="004842F9"/>
    <w:rsid w:val="004847BE"/>
    <w:rsid w:val="004848E9"/>
    <w:rsid w:val="0048490A"/>
    <w:rsid w:val="004849F1"/>
    <w:rsid w:val="00484B19"/>
    <w:rsid w:val="00484B4E"/>
    <w:rsid w:val="00484D0B"/>
    <w:rsid w:val="00484D67"/>
    <w:rsid w:val="00484E60"/>
    <w:rsid w:val="00484E97"/>
    <w:rsid w:val="00484EEF"/>
    <w:rsid w:val="00485044"/>
    <w:rsid w:val="004850A2"/>
    <w:rsid w:val="0048563A"/>
    <w:rsid w:val="004856C7"/>
    <w:rsid w:val="0048570D"/>
    <w:rsid w:val="00485863"/>
    <w:rsid w:val="0048597F"/>
    <w:rsid w:val="00485D11"/>
    <w:rsid w:val="00485D1D"/>
    <w:rsid w:val="00485DB8"/>
    <w:rsid w:val="00485FD6"/>
    <w:rsid w:val="004861BB"/>
    <w:rsid w:val="00486593"/>
    <w:rsid w:val="004865E9"/>
    <w:rsid w:val="0048667D"/>
    <w:rsid w:val="004866AF"/>
    <w:rsid w:val="0048670F"/>
    <w:rsid w:val="0048694D"/>
    <w:rsid w:val="0048715A"/>
    <w:rsid w:val="0048717D"/>
    <w:rsid w:val="004875CF"/>
    <w:rsid w:val="004875D8"/>
    <w:rsid w:val="004877EF"/>
    <w:rsid w:val="00487AF9"/>
    <w:rsid w:val="00487B1B"/>
    <w:rsid w:val="00487B50"/>
    <w:rsid w:val="00487BF9"/>
    <w:rsid w:val="00487C55"/>
    <w:rsid w:val="00487D9E"/>
    <w:rsid w:val="00487DAD"/>
    <w:rsid w:val="00487E6D"/>
    <w:rsid w:val="00487F11"/>
    <w:rsid w:val="0049008F"/>
    <w:rsid w:val="0049011E"/>
    <w:rsid w:val="00490211"/>
    <w:rsid w:val="004903CF"/>
    <w:rsid w:val="00490467"/>
    <w:rsid w:val="004907A2"/>
    <w:rsid w:val="00490A43"/>
    <w:rsid w:val="00490C64"/>
    <w:rsid w:val="00490EFC"/>
    <w:rsid w:val="00491167"/>
    <w:rsid w:val="00491220"/>
    <w:rsid w:val="0049139F"/>
    <w:rsid w:val="004913DD"/>
    <w:rsid w:val="0049159E"/>
    <w:rsid w:val="00491899"/>
    <w:rsid w:val="0049194A"/>
    <w:rsid w:val="004923DC"/>
    <w:rsid w:val="004925C1"/>
    <w:rsid w:val="0049287B"/>
    <w:rsid w:val="004929FD"/>
    <w:rsid w:val="00492B38"/>
    <w:rsid w:val="00492C40"/>
    <w:rsid w:val="00492F2B"/>
    <w:rsid w:val="0049315F"/>
    <w:rsid w:val="0049328F"/>
    <w:rsid w:val="00493444"/>
    <w:rsid w:val="0049346F"/>
    <w:rsid w:val="0049380C"/>
    <w:rsid w:val="00493869"/>
    <w:rsid w:val="00493A47"/>
    <w:rsid w:val="00493CA1"/>
    <w:rsid w:val="00493ED8"/>
    <w:rsid w:val="00494002"/>
    <w:rsid w:val="00494050"/>
    <w:rsid w:val="004940F6"/>
    <w:rsid w:val="004941C8"/>
    <w:rsid w:val="0049448A"/>
    <w:rsid w:val="004945B0"/>
    <w:rsid w:val="004946F6"/>
    <w:rsid w:val="004947CD"/>
    <w:rsid w:val="0049489B"/>
    <w:rsid w:val="00494921"/>
    <w:rsid w:val="0049493E"/>
    <w:rsid w:val="00494A27"/>
    <w:rsid w:val="00494A55"/>
    <w:rsid w:val="00494A57"/>
    <w:rsid w:val="00494FF9"/>
    <w:rsid w:val="004952BD"/>
    <w:rsid w:val="004958EF"/>
    <w:rsid w:val="00495AD2"/>
    <w:rsid w:val="00495B39"/>
    <w:rsid w:val="00495E13"/>
    <w:rsid w:val="00495F64"/>
    <w:rsid w:val="004961BC"/>
    <w:rsid w:val="00496260"/>
    <w:rsid w:val="004962E1"/>
    <w:rsid w:val="00496594"/>
    <w:rsid w:val="00496A7B"/>
    <w:rsid w:val="00496AA4"/>
    <w:rsid w:val="00496C35"/>
    <w:rsid w:val="00496E95"/>
    <w:rsid w:val="00496E9D"/>
    <w:rsid w:val="00497088"/>
    <w:rsid w:val="00497285"/>
    <w:rsid w:val="0049735F"/>
    <w:rsid w:val="00497703"/>
    <w:rsid w:val="00497862"/>
    <w:rsid w:val="00497A27"/>
    <w:rsid w:val="00497CF9"/>
    <w:rsid w:val="004A013A"/>
    <w:rsid w:val="004A031F"/>
    <w:rsid w:val="004A0375"/>
    <w:rsid w:val="004A08AC"/>
    <w:rsid w:val="004A09DE"/>
    <w:rsid w:val="004A0AF5"/>
    <w:rsid w:val="004A0B58"/>
    <w:rsid w:val="004A0D7E"/>
    <w:rsid w:val="004A0F3D"/>
    <w:rsid w:val="004A1326"/>
    <w:rsid w:val="004A14C5"/>
    <w:rsid w:val="004A18A0"/>
    <w:rsid w:val="004A195B"/>
    <w:rsid w:val="004A1CBC"/>
    <w:rsid w:val="004A1D08"/>
    <w:rsid w:val="004A1E43"/>
    <w:rsid w:val="004A1E80"/>
    <w:rsid w:val="004A1E8D"/>
    <w:rsid w:val="004A1EA8"/>
    <w:rsid w:val="004A1F50"/>
    <w:rsid w:val="004A1F52"/>
    <w:rsid w:val="004A1FCE"/>
    <w:rsid w:val="004A208F"/>
    <w:rsid w:val="004A2551"/>
    <w:rsid w:val="004A2596"/>
    <w:rsid w:val="004A27AC"/>
    <w:rsid w:val="004A2805"/>
    <w:rsid w:val="004A29BE"/>
    <w:rsid w:val="004A2A1C"/>
    <w:rsid w:val="004A2AB7"/>
    <w:rsid w:val="004A2BC9"/>
    <w:rsid w:val="004A2C70"/>
    <w:rsid w:val="004A2DB2"/>
    <w:rsid w:val="004A2EED"/>
    <w:rsid w:val="004A2F1F"/>
    <w:rsid w:val="004A31F6"/>
    <w:rsid w:val="004A3359"/>
    <w:rsid w:val="004A34BF"/>
    <w:rsid w:val="004A34FD"/>
    <w:rsid w:val="004A3679"/>
    <w:rsid w:val="004A391C"/>
    <w:rsid w:val="004A3DA2"/>
    <w:rsid w:val="004A3E97"/>
    <w:rsid w:val="004A4123"/>
    <w:rsid w:val="004A422A"/>
    <w:rsid w:val="004A424A"/>
    <w:rsid w:val="004A4267"/>
    <w:rsid w:val="004A42B7"/>
    <w:rsid w:val="004A42D1"/>
    <w:rsid w:val="004A44AF"/>
    <w:rsid w:val="004A452D"/>
    <w:rsid w:val="004A4586"/>
    <w:rsid w:val="004A4838"/>
    <w:rsid w:val="004A4A0C"/>
    <w:rsid w:val="004A4D02"/>
    <w:rsid w:val="004A4D18"/>
    <w:rsid w:val="004A4D74"/>
    <w:rsid w:val="004A4E1F"/>
    <w:rsid w:val="004A4E3E"/>
    <w:rsid w:val="004A4EAA"/>
    <w:rsid w:val="004A5283"/>
    <w:rsid w:val="004A52DD"/>
    <w:rsid w:val="004A532F"/>
    <w:rsid w:val="004A5444"/>
    <w:rsid w:val="004A54E0"/>
    <w:rsid w:val="004A5527"/>
    <w:rsid w:val="004A55E8"/>
    <w:rsid w:val="004A5838"/>
    <w:rsid w:val="004A5E5A"/>
    <w:rsid w:val="004A5F9E"/>
    <w:rsid w:val="004A5FDD"/>
    <w:rsid w:val="004A5FE7"/>
    <w:rsid w:val="004A6061"/>
    <w:rsid w:val="004A6254"/>
    <w:rsid w:val="004A62E8"/>
    <w:rsid w:val="004A6441"/>
    <w:rsid w:val="004A657E"/>
    <w:rsid w:val="004A6750"/>
    <w:rsid w:val="004A68A7"/>
    <w:rsid w:val="004A6958"/>
    <w:rsid w:val="004A6ADD"/>
    <w:rsid w:val="004A6B79"/>
    <w:rsid w:val="004A6D10"/>
    <w:rsid w:val="004A6D8C"/>
    <w:rsid w:val="004A6E5C"/>
    <w:rsid w:val="004A706F"/>
    <w:rsid w:val="004A70D4"/>
    <w:rsid w:val="004A70DF"/>
    <w:rsid w:val="004A716F"/>
    <w:rsid w:val="004A74F0"/>
    <w:rsid w:val="004A7588"/>
    <w:rsid w:val="004A7787"/>
    <w:rsid w:val="004A7A56"/>
    <w:rsid w:val="004A7A8E"/>
    <w:rsid w:val="004A7AB0"/>
    <w:rsid w:val="004A7C1A"/>
    <w:rsid w:val="004A7C68"/>
    <w:rsid w:val="004A7C72"/>
    <w:rsid w:val="004A7CAA"/>
    <w:rsid w:val="004A7D30"/>
    <w:rsid w:val="004A7EBB"/>
    <w:rsid w:val="004A7F79"/>
    <w:rsid w:val="004A7FF6"/>
    <w:rsid w:val="004B0116"/>
    <w:rsid w:val="004B04CC"/>
    <w:rsid w:val="004B05A4"/>
    <w:rsid w:val="004B05D7"/>
    <w:rsid w:val="004B073B"/>
    <w:rsid w:val="004B096E"/>
    <w:rsid w:val="004B0B6D"/>
    <w:rsid w:val="004B0BFA"/>
    <w:rsid w:val="004B0C0B"/>
    <w:rsid w:val="004B0DAB"/>
    <w:rsid w:val="004B1026"/>
    <w:rsid w:val="004B135B"/>
    <w:rsid w:val="004B149D"/>
    <w:rsid w:val="004B16DE"/>
    <w:rsid w:val="004B173C"/>
    <w:rsid w:val="004B1752"/>
    <w:rsid w:val="004B1A3D"/>
    <w:rsid w:val="004B1A72"/>
    <w:rsid w:val="004B2038"/>
    <w:rsid w:val="004B218E"/>
    <w:rsid w:val="004B227A"/>
    <w:rsid w:val="004B22EC"/>
    <w:rsid w:val="004B243D"/>
    <w:rsid w:val="004B25B1"/>
    <w:rsid w:val="004B2E42"/>
    <w:rsid w:val="004B2FFF"/>
    <w:rsid w:val="004B3042"/>
    <w:rsid w:val="004B35F5"/>
    <w:rsid w:val="004B368A"/>
    <w:rsid w:val="004B3B0E"/>
    <w:rsid w:val="004B3BA6"/>
    <w:rsid w:val="004B3CE0"/>
    <w:rsid w:val="004B3D6B"/>
    <w:rsid w:val="004B3D9B"/>
    <w:rsid w:val="004B3E21"/>
    <w:rsid w:val="004B4022"/>
    <w:rsid w:val="004B423C"/>
    <w:rsid w:val="004B4290"/>
    <w:rsid w:val="004B43B1"/>
    <w:rsid w:val="004B442C"/>
    <w:rsid w:val="004B443E"/>
    <w:rsid w:val="004B477E"/>
    <w:rsid w:val="004B496A"/>
    <w:rsid w:val="004B49B4"/>
    <w:rsid w:val="004B4A3E"/>
    <w:rsid w:val="004B4A8D"/>
    <w:rsid w:val="004B4EAC"/>
    <w:rsid w:val="004B4F46"/>
    <w:rsid w:val="004B4FEB"/>
    <w:rsid w:val="004B5031"/>
    <w:rsid w:val="004B5170"/>
    <w:rsid w:val="004B5549"/>
    <w:rsid w:val="004B564C"/>
    <w:rsid w:val="004B56D3"/>
    <w:rsid w:val="004B580D"/>
    <w:rsid w:val="004B5AF2"/>
    <w:rsid w:val="004B5FDF"/>
    <w:rsid w:val="004B6153"/>
    <w:rsid w:val="004B64CA"/>
    <w:rsid w:val="004B65ED"/>
    <w:rsid w:val="004B6681"/>
    <w:rsid w:val="004B6C3A"/>
    <w:rsid w:val="004B6CD0"/>
    <w:rsid w:val="004B6E1E"/>
    <w:rsid w:val="004B6E33"/>
    <w:rsid w:val="004B6EE1"/>
    <w:rsid w:val="004B7495"/>
    <w:rsid w:val="004B7650"/>
    <w:rsid w:val="004B768A"/>
    <w:rsid w:val="004B773C"/>
    <w:rsid w:val="004B7748"/>
    <w:rsid w:val="004B77E1"/>
    <w:rsid w:val="004B7A97"/>
    <w:rsid w:val="004B7B92"/>
    <w:rsid w:val="004B7CCA"/>
    <w:rsid w:val="004B7EBD"/>
    <w:rsid w:val="004B7F7B"/>
    <w:rsid w:val="004C010D"/>
    <w:rsid w:val="004C0311"/>
    <w:rsid w:val="004C049A"/>
    <w:rsid w:val="004C04D2"/>
    <w:rsid w:val="004C04D8"/>
    <w:rsid w:val="004C052E"/>
    <w:rsid w:val="004C0573"/>
    <w:rsid w:val="004C067B"/>
    <w:rsid w:val="004C0920"/>
    <w:rsid w:val="004C09E5"/>
    <w:rsid w:val="004C0A5D"/>
    <w:rsid w:val="004C0A9C"/>
    <w:rsid w:val="004C0AEF"/>
    <w:rsid w:val="004C0BC0"/>
    <w:rsid w:val="004C0EA6"/>
    <w:rsid w:val="004C0F0A"/>
    <w:rsid w:val="004C10C8"/>
    <w:rsid w:val="004C11E7"/>
    <w:rsid w:val="004C11EC"/>
    <w:rsid w:val="004C1240"/>
    <w:rsid w:val="004C1399"/>
    <w:rsid w:val="004C13F3"/>
    <w:rsid w:val="004C1834"/>
    <w:rsid w:val="004C1898"/>
    <w:rsid w:val="004C1BF2"/>
    <w:rsid w:val="004C1C57"/>
    <w:rsid w:val="004C1CCE"/>
    <w:rsid w:val="004C214A"/>
    <w:rsid w:val="004C21CD"/>
    <w:rsid w:val="004C268F"/>
    <w:rsid w:val="004C26FA"/>
    <w:rsid w:val="004C2701"/>
    <w:rsid w:val="004C2BDB"/>
    <w:rsid w:val="004C2E29"/>
    <w:rsid w:val="004C2E97"/>
    <w:rsid w:val="004C316E"/>
    <w:rsid w:val="004C32A3"/>
    <w:rsid w:val="004C32EF"/>
    <w:rsid w:val="004C34BB"/>
    <w:rsid w:val="004C34D1"/>
    <w:rsid w:val="004C354F"/>
    <w:rsid w:val="004C3732"/>
    <w:rsid w:val="004C3E7E"/>
    <w:rsid w:val="004C3F27"/>
    <w:rsid w:val="004C3F85"/>
    <w:rsid w:val="004C40C8"/>
    <w:rsid w:val="004C410A"/>
    <w:rsid w:val="004C4591"/>
    <w:rsid w:val="004C45AA"/>
    <w:rsid w:val="004C4987"/>
    <w:rsid w:val="004C4A91"/>
    <w:rsid w:val="004C4C20"/>
    <w:rsid w:val="004C53E9"/>
    <w:rsid w:val="004C551C"/>
    <w:rsid w:val="004C5654"/>
    <w:rsid w:val="004C579D"/>
    <w:rsid w:val="004C57FE"/>
    <w:rsid w:val="004C5C58"/>
    <w:rsid w:val="004C5D6B"/>
    <w:rsid w:val="004C6303"/>
    <w:rsid w:val="004C6606"/>
    <w:rsid w:val="004C6706"/>
    <w:rsid w:val="004C6A05"/>
    <w:rsid w:val="004C6A43"/>
    <w:rsid w:val="004C6C9D"/>
    <w:rsid w:val="004C6D7B"/>
    <w:rsid w:val="004C70B4"/>
    <w:rsid w:val="004C70D1"/>
    <w:rsid w:val="004C7455"/>
    <w:rsid w:val="004C75DD"/>
    <w:rsid w:val="004C76A5"/>
    <w:rsid w:val="004C77EE"/>
    <w:rsid w:val="004C7932"/>
    <w:rsid w:val="004C7A53"/>
    <w:rsid w:val="004C7B5C"/>
    <w:rsid w:val="004C7C1C"/>
    <w:rsid w:val="004C7C1D"/>
    <w:rsid w:val="004C7C84"/>
    <w:rsid w:val="004C7DBA"/>
    <w:rsid w:val="004C7EDC"/>
    <w:rsid w:val="004D039F"/>
    <w:rsid w:val="004D0435"/>
    <w:rsid w:val="004D0484"/>
    <w:rsid w:val="004D05A1"/>
    <w:rsid w:val="004D0675"/>
    <w:rsid w:val="004D096F"/>
    <w:rsid w:val="004D0AB6"/>
    <w:rsid w:val="004D0AE1"/>
    <w:rsid w:val="004D0BFD"/>
    <w:rsid w:val="004D0C01"/>
    <w:rsid w:val="004D0C0D"/>
    <w:rsid w:val="004D0C86"/>
    <w:rsid w:val="004D0E13"/>
    <w:rsid w:val="004D151E"/>
    <w:rsid w:val="004D1756"/>
    <w:rsid w:val="004D175A"/>
    <w:rsid w:val="004D17BA"/>
    <w:rsid w:val="004D1B80"/>
    <w:rsid w:val="004D1BC8"/>
    <w:rsid w:val="004D1C70"/>
    <w:rsid w:val="004D1EDC"/>
    <w:rsid w:val="004D2105"/>
    <w:rsid w:val="004D21C5"/>
    <w:rsid w:val="004D2262"/>
    <w:rsid w:val="004D2548"/>
    <w:rsid w:val="004D2575"/>
    <w:rsid w:val="004D296C"/>
    <w:rsid w:val="004D2CD1"/>
    <w:rsid w:val="004D2D30"/>
    <w:rsid w:val="004D2E41"/>
    <w:rsid w:val="004D2ED6"/>
    <w:rsid w:val="004D2F2D"/>
    <w:rsid w:val="004D32EA"/>
    <w:rsid w:val="004D340E"/>
    <w:rsid w:val="004D3487"/>
    <w:rsid w:val="004D3778"/>
    <w:rsid w:val="004D3835"/>
    <w:rsid w:val="004D38C4"/>
    <w:rsid w:val="004D3933"/>
    <w:rsid w:val="004D3B6E"/>
    <w:rsid w:val="004D3C0F"/>
    <w:rsid w:val="004D3ECA"/>
    <w:rsid w:val="004D4079"/>
    <w:rsid w:val="004D4463"/>
    <w:rsid w:val="004D44DA"/>
    <w:rsid w:val="004D45F3"/>
    <w:rsid w:val="004D48C4"/>
    <w:rsid w:val="004D4930"/>
    <w:rsid w:val="004D4BA0"/>
    <w:rsid w:val="004D4EAD"/>
    <w:rsid w:val="004D4F16"/>
    <w:rsid w:val="004D4FE9"/>
    <w:rsid w:val="004D50B0"/>
    <w:rsid w:val="004D51A8"/>
    <w:rsid w:val="004D527B"/>
    <w:rsid w:val="004D569C"/>
    <w:rsid w:val="004D57C9"/>
    <w:rsid w:val="004D59F4"/>
    <w:rsid w:val="004D5C6D"/>
    <w:rsid w:val="004D5DFF"/>
    <w:rsid w:val="004D5EAE"/>
    <w:rsid w:val="004D5EC9"/>
    <w:rsid w:val="004D6047"/>
    <w:rsid w:val="004D6108"/>
    <w:rsid w:val="004D67B7"/>
    <w:rsid w:val="004D6827"/>
    <w:rsid w:val="004D6983"/>
    <w:rsid w:val="004D69CF"/>
    <w:rsid w:val="004D6C04"/>
    <w:rsid w:val="004D6EA0"/>
    <w:rsid w:val="004D6F5E"/>
    <w:rsid w:val="004D7048"/>
    <w:rsid w:val="004D7156"/>
    <w:rsid w:val="004D72E4"/>
    <w:rsid w:val="004D738C"/>
    <w:rsid w:val="004D73B0"/>
    <w:rsid w:val="004D79C6"/>
    <w:rsid w:val="004D7C0D"/>
    <w:rsid w:val="004D7D0E"/>
    <w:rsid w:val="004D7D59"/>
    <w:rsid w:val="004D7D93"/>
    <w:rsid w:val="004D7EA3"/>
    <w:rsid w:val="004D7EAE"/>
    <w:rsid w:val="004D7F97"/>
    <w:rsid w:val="004D7FB6"/>
    <w:rsid w:val="004E0060"/>
    <w:rsid w:val="004E0121"/>
    <w:rsid w:val="004E01F6"/>
    <w:rsid w:val="004E03F4"/>
    <w:rsid w:val="004E0AEA"/>
    <w:rsid w:val="004E0BB1"/>
    <w:rsid w:val="004E0CD4"/>
    <w:rsid w:val="004E0F95"/>
    <w:rsid w:val="004E112B"/>
    <w:rsid w:val="004E118E"/>
    <w:rsid w:val="004E1306"/>
    <w:rsid w:val="004E135B"/>
    <w:rsid w:val="004E1398"/>
    <w:rsid w:val="004E147E"/>
    <w:rsid w:val="004E154B"/>
    <w:rsid w:val="004E16D9"/>
    <w:rsid w:val="004E17A7"/>
    <w:rsid w:val="004E187F"/>
    <w:rsid w:val="004E1CE4"/>
    <w:rsid w:val="004E1FA3"/>
    <w:rsid w:val="004E1FDE"/>
    <w:rsid w:val="004E2142"/>
    <w:rsid w:val="004E21A3"/>
    <w:rsid w:val="004E21D3"/>
    <w:rsid w:val="004E2333"/>
    <w:rsid w:val="004E2362"/>
    <w:rsid w:val="004E2423"/>
    <w:rsid w:val="004E2719"/>
    <w:rsid w:val="004E279C"/>
    <w:rsid w:val="004E27D7"/>
    <w:rsid w:val="004E285B"/>
    <w:rsid w:val="004E2926"/>
    <w:rsid w:val="004E2A2E"/>
    <w:rsid w:val="004E2A3D"/>
    <w:rsid w:val="004E2BE2"/>
    <w:rsid w:val="004E3437"/>
    <w:rsid w:val="004E3494"/>
    <w:rsid w:val="004E35EE"/>
    <w:rsid w:val="004E3666"/>
    <w:rsid w:val="004E387A"/>
    <w:rsid w:val="004E3C2E"/>
    <w:rsid w:val="004E3D08"/>
    <w:rsid w:val="004E3D80"/>
    <w:rsid w:val="004E3E27"/>
    <w:rsid w:val="004E3EC1"/>
    <w:rsid w:val="004E3FFB"/>
    <w:rsid w:val="004E40A5"/>
    <w:rsid w:val="004E4191"/>
    <w:rsid w:val="004E4212"/>
    <w:rsid w:val="004E4225"/>
    <w:rsid w:val="004E43BB"/>
    <w:rsid w:val="004E468E"/>
    <w:rsid w:val="004E48C9"/>
    <w:rsid w:val="004E4AFA"/>
    <w:rsid w:val="004E4C46"/>
    <w:rsid w:val="004E4E44"/>
    <w:rsid w:val="004E4EFE"/>
    <w:rsid w:val="004E4F1E"/>
    <w:rsid w:val="004E4F85"/>
    <w:rsid w:val="004E5022"/>
    <w:rsid w:val="004E5154"/>
    <w:rsid w:val="004E5204"/>
    <w:rsid w:val="004E532E"/>
    <w:rsid w:val="004E54B8"/>
    <w:rsid w:val="004E5515"/>
    <w:rsid w:val="004E562E"/>
    <w:rsid w:val="004E56B2"/>
    <w:rsid w:val="004E5756"/>
    <w:rsid w:val="004E5810"/>
    <w:rsid w:val="004E5846"/>
    <w:rsid w:val="004E588F"/>
    <w:rsid w:val="004E5974"/>
    <w:rsid w:val="004E5B52"/>
    <w:rsid w:val="004E5B76"/>
    <w:rsid w:val="004E5C3C"/>
    <w:rsid w:val="004E5C5F"/>
    <w:rsid w:val="004E5C6C"/>
    <w:rsid w:val="004E6250"/>
    <w:rsid w:val="004E6268"/>
    <w:rsid w:val="004E651A"/>
    <w:rsid w:val="004E6595"/>
    <w:rsid w:val="004E65BE"/>
    <w:rsid w:val="004E6A88"/>
    <w:rsid w:val="004E6C60"/>
    <w:rsid w:val="004E6C72"/>
    <w:rsid w:val="004E7095"/>
    <w:rsid w:val="004E70E6"/>
    <w:rsid w:val="004E72B8"/>
    <w:rsid w:val="004E72BF"/>
    <w:rsid w:val="004E752C"/>
    <w:rsid w:val="004E76FD"/>
    <w:rsid w:val="004E7740"/>
    <w:rsid w:val="004E784C"/>
    <w:rsid w:val="004E787D"/>
    <w:rsid w:val="004E7AC6"/>
    <w:rsid w:val="004E7D29"/>
    <w:rsid w:val="004E7F03"/>
    <w:rsid w:val="004F000D"/>
    <w:rsid w:val="004F004F"/>
    <w:rsid w:val="004F0162"/>
    <w:rsid w:val="004F04BD"/>
    <w:rsid w:val="004F068F"/>
    <w:rsid w:val="004F081D"/>
    <w:rsid w:val="004F083F"/>
    <w:rsid w:val="004F0949"/>
    <w:rsid w:val="004F0982"/>
    <w:rsid w:val="004F09C4"/>
    <w:rsid w:val="004F0C93"/>
    <w:rsid w:val="004F0E0C"/>
    <w:rsid w:val="004F0E43"/>
    <w:rsid w:val="004F0F97"/>
    <w:rsid w:val="004F10BD"/>
    <w:rsid w:val="004F123A"/>
    <w:rsid w:val="004F1493"/>
    <w:rsid w:val="004F14A5"/>
    <w:rsid w:val="004F1658"/>
    <w:rsid w:val="004F16A2"/>
    <w:rsid w:val="004F19F0"/>
    <w:rsid w:val="004F1B33"/>
    <w:rsid w:val="004F1CD6"/>
    <w:rsid w:val="004F1DA1"/>
    <w:rsid w:val="004F1E32"/>
    <w:rsid w:val="004F1E46"/>
    <w:rsid w:val="004F1F3F"/>
    <w:rsid w:val="004F1F9C"/>
    <w:rsid w:val="004F2071"/>
    <w:rsid w:val="004F210B"/>
    <w:rsid w:val="004F2119"/>
    <w:rsid w:val="004F218C"/>
    <w:rsid w:val="004F219D"/>
    <w:rsid w:val="004F21D8"/>
    <w:rsid w:val="004F23BA"/>
    <w:rsid w:val="004F26CA"/>
    <w:rsid w:val="004F27EC"/>
    <w:rsid w:val="004F2810"/>
    <w:rsid w:val="004F28ED"/>
    <w:rsid w:val="004F29E4"/>
    <w:rsid w:val="004F29F9"/>
    <w:rsid w:val="004F2BB4"/>
    <w:rsid w:val="004F2C88"/>
    <w:rsid w:val="004F2D0F"/>
    <w:rsid w:val="004F2FF7"/>
    <w:rsid w:val="004F3111"/>
    <w:rsid w:val="004F32B2"/>
    <w:rsid w:val="004F3302"/>
    <w:rsid w:val="004F35C9"/>
    <w:rsid w:val="004F35DB"/>
    <w:rsid w:val="004F38AE"/>
    <w:rsid w:val="004F38DE"/>
    <w:rsid w:val="004F391E"/>
    <w:rsid w:val="004F3936"/>
    <w:rsid w:val="004F3A4A"/>
    <w:rsid w:val="004F3A88"/>
    <w:rsid w:val="004F3CE8"/>
    <w:rsid w:val="004F3FD9"/>
    <w:rsid w:val="004F4071"/>
    <w:rsid w:val="004F40CB"/>
    <w:rsid w:val="004F42CF"/>
    <w:rsid w:val="004F44DA"/>
    <w:rsid w:val="004F4578"/>
    <w:rsid w:val="004F45B6"/>
    <w:rsid w:val="004F47B9"/>
    <w:rsid w:val="004F49BA"/>
    <w:rsid w:val="004F49C0"/>
    <w:rsid w:val="004F4B52"/>
    <w:rsid w:val="004F4B5C"/>
    <w:rsid w:val="004F4B9E"/>
    <w:rsid w:val="004F4CB0"/>
    <w:rsid w:val="004F4CF0"/>
    <w:rsid w:val="004F4DDA"/>
    <w:rsid w:val="004F4E21"/>
    <w:rsid w:val="004F4EEF"/>
    <w:rsid w:val="004F4EF1"/>
    <w:rsid w:val="004F500A"/>
    <w:rsid w:val="004F50E3"/>
    <w:rsid w:val="004F5261"/>
    <w:rsid w:val="004F5687"/>
    <w:rsid w:val="004F573F"/>
    <w:rsid w:val="004F58CB"/>
    <w:rsid w:val="004F59C1"/>
    <w:rsid w:val="004F59E4"/>
    <w:rsid w:val="004F5B40"/>
    <w:rsid w:val="004F5B74"/>
    <w:rsid w:val="004F5BD2"/>
    <w:rsid w:val="004F5FCC"/>
    <w:rsid w:val="004F60DD"/>
    <w:rsid w:val="004F62EC"/>
    <w:rsid w:val="004F633A"/>
    <w:rsid w:val="004F6788"/>
    <w:rsid w:val="004F67F9"/>
    <w:rsid w:val="004F696E"/>
    <w:rsid w:val="004F6A25"/>
    <w:rsid w:val="004F6B23"/>
    <w:rsid w:val="004F6B39"/>
    <w:rsid w:val="004F6C14"/>
    <w:rsid w:val="004F6C93"/>
    <w:rsid w:val="004F6DD8"/>
    <w:rsid w:val="004F6FBF"/>
    <w:rsid w:val="004F707A"/>
    <w:rsid w:val="004F719A"/>
    <w:rsid w:val="004F71A8"/>
    <w:rsid w:val="004F72DE"/>
    <w:rsid w:val="004F73CC"/>
    <w:rsid w:val="004F75E2"/>
    <w:rsid w:val="004F796E"/>
    <w:rsid w:val="004F7B93"/>
    <w:rsid w:val="004F7E96"/>
    <w:rsid w:val="00500135"/>
    <w:rsid w:val="0050024D"/>
    <w:rsid w:val="005002C4"/>
    <w:rsid w:val="005002CE"/>
    <w:rsid w:val="005003B6"/>
    <w:rsid w:val="005005D1"/>
    <w:rsid w:val="005005E2"/>
    <w:rsid w:val="0050065E"/>
    <w:rsid w:val="00500806"/>
    <w:rsid w:val="00500866"/>
    <w:rsid w:val="0050094F"/>
    <w:rsid w:val="00500A0F"/>
    <w:rsid w:val="00500AE1"/>
    <w:rsid w:val="005014D4"/>
    <w:rsid w:val="005014FF"/>
    <w:rsid w:val="00501783"/>
    <w:rsid w:val="0050180A"/>
    <w:rsid w:val="00501ABF"/>
    <w:rsid w:val="00501CB0"/>
    <w:rsid w:val="00501CE7"/>
    <w:rsid w:val="00501CEE"/>
    <w:rsid w:val="00501E62"/>
    <w:rsid w:val="00501F54"/>
    <w:rsid w:val="00501F65"/>
    <w:rsid w:val="005020B6"/>
    <w:rsid w:val="005020FA"/>
    <w:rsid w:val="00502304"/>
    <w:rsid w:val="00502340"/>
    <w:rsid w:val="005023FA"/>
    <w:rsid w:val="0050240F"/>
    <w:rsid w:val="00502446"/>
    <w:rsid w:val="00502581"/>
    <w:rsid w:val="005026D6"/>
    <w:rsid w:val="00502D57"/>
    <w:rsid w:val="00502F28"/>
    <w:rsid w:val="0050300C"/>
    <w:rsid w:val="005030DD"/>
    <w:rsid w:val="0050324D"/>
    <w:rsid w:val="00503360"/>
    <w:rsid w:val="005033B6"/>
    <w:rsid w:val="00503404"/>
    <w:rsid w:val="00503794"/>
    <w:rsid w:val="005037C0"/>
    <w:rsid w:val="0050389E"/>
    <w:rsid w:val="00503B6F"/>
    <w:rsid w:val="00503E53"/>
    <w:rsid w:val="00503F1E"/>
    <w:rsid w:val="00503F50"/>
    <w:rsid w:val="00504086"/>
    <w:rsid w:val="00504265"/>
    <w:rsid w:val="00504344"/>
    <w:rsid w:val="0050440E"/>
    <w:rsid w:val="00504485"/>
    <w:rsid w:val="005047BA"/>
    <w:rsid w:val="00504AC1"/>
    <w:rsid w:val="00504D82"/>
    <w:rsid w:val="00504DB8"/>
    <w:rsid w:val="00504EC6"/>
    <w:rsid w:val="005053F4"/>
    <w:rsid w:val="005054FD"/>
    <w:rsid w:val="00505680"/>
    <w:rsid w:val="00505941"/>
    <w:rsid w:val="005059B1"/>
    <w:rsid w:val="00505A59"/>
    <w:rsid w:val="00505A86"/>
    <w:rsid w:val="00505B74"/>
    <w:rsid w:val="00505BA9"/>
    <w:rsid w:val="00505BFF"/>
    <w:rsid w:val="00505D6C"/>
    <w:rsid w:val="00505E0C"/>
    <w:rsid w:val="00505EF7"/>
    <w:rsid w:val="00505F59"/>
    <w:rsid w:val="00506183"/>
    <w:rsid w:val="00506336"/>
    <w:rsid w:val="00506384"/>
    <w:rsid w:val="005065A9"/>
    <w:rsid w:val="0050663A"/>
    <w:rsid w:val="00506711"/>
    <w:rsid w:val="0050687A"/>
    <w:rsid w:val="0050692D"/>
    <w:rsid w:val="00506A04"/>
    <w:rsid w:val="00506A83"/>
    <w:rsid w:val="00506B6E"/>
    <w:rsid w:val="00506BA1"/>
    <w:rsid w:val="00506BDC"/>
    <w:rsid w:val="00506F7C"/>
    <w:rsid w:val="00506F99"/>
    <w:rsid w:val="005070C8"/>
    <w:rsid w:val="0050739C"/>
    <w:rsid w:val="00507567"/>
    <w:rsid w:val="00507608"/>
    <w:rsid w:val="005079D6"/>
    <w:rsid w:val="00507B9F"/>
    <w:rsid w:val="00507D87"/>
    <w:rsid w:val="00507D89"/>
    <w:rsid w:val="00507D94"/>
    <w:rsid w:val="00507E76"/>
    <w:rsid w:val="00507F4F"/>
    <w:rsid w:val="00510061"/>
    <w:rsid w:val="005101CD"/>
    <w:rsid w:val="005102C0"/>
    <w:rsid w:val="00510358"/>
    <w:rsid w:val="0051049F"/>
    <w:rsid w:val="00510634"/>
    <w:rsid w:val="00510A0B"/>
    <w:rsid w:val="00510E53"/>
    <w:rsid w:val="00510F48"/>
    <w:rsid w:val="00510FB4"/>
    <w:rsid w:val="005110A0"/>
    <w:rsid w:val="00511126"/>
    <w:rsid w:val="0051120D"/>
    <w:rsid w:val="005116E7"/>
    <w:rsid w:val="00511826"/>
    <w:rsid w:val="00511D05"/>
    <w:rsid w:val="00511FD3"/>
    <w:rsid w:val="00512037"/>
    <w:rsid w:val="00512315"/>
    <w:rsid w:val="00512356"/>
    <w:rsid w:val="005123E7"/>
    <w:rsid w:val="005123F2"/>
    <w:rsid w:val="00512497"/>
    <w:rsid w:val="00512629"/>
    <w:rsid w:val="0051268F"/>
    <w:rsid w:val="0051271B"/>
    <w:rsid w:val="00512837"/>
    <w:rsid w:val="00512851"/>
    <w:rsid w:val="005128C1"/>
    <w:rsid w:val="0051290D"/>
    <w:rsid w:val="00512937"/>
    <w:rsid w:val="00512A3C"/>
    <w:rsid w:val="00512BD2"/>
    <w:rsid w:val="00512BDE"/>
    <w:rsid w:val="00512EC7"/>
    <w:rsid w:val="00512FC2"/>
    <w:rsid w:val="00513184"/>
    <w:rsid w:val="005131E3"/>
    <w:rsid w:val="0051321A"/>
    <w:rsid w:val="00513305"/>
    <w:rsid w:val="00513519"/>
    <w:rsid w:val="005138AB"/>
    <w:rsid w:val="00513A5E"/>
    <w:rsid w:val="00513F87"/>
    <w:rsid w:val="00513FCE"/>
    <w:rsid w:val="00514013"/>
    <w:rsid w:val="0051412C"/>
    <w:rsid w:val="00514A0F"/>
    <w:rsid w:val="00514A80"/>
    <w:rsid w:val="00514B1A"/>
    <w:rsid w:val="00514B22"/>
    <w:rsid w:val="00514B36"/>
    <w:rsid w:val="00514BCD"/>
    <w:rsid w:val="00514CFE"/>
    <w:rsid w:val="00514EE4"/>
    <w:rsid w:val="005151D9"/>
    <w:rsid w:val="00515201"/>
    <w:rsid w:val="0051521A"/>
    <w:rsid w:val="0051521D"/>
    <w:rsid w:val="005152AA"/>
    <w:rsid w:val="005154DE"/>
    <w:rsid w:val="00515528"/>
    <w:rsid w:val="00515614"/>
    <w:rsid w:val="0051596B"/>
    <w:rsid w:val="005159E2"/>
    <w:rsid w:val="00515A12"/>
    <w:rsid w:val="00515A82"/>
    <w:rsid w:val="00515D40"/>
    <w:rsid w:val="00516180"/>
    <w:rsid w:val="005161A7"/>
    <w:rsid w:val="005165FC"/>
    <w:rsid w:val="00516A27"/>
    <w:rsid w:val="00516B1E"/>
    <w:rsid w:val="00516BE6"/>
    <w:rsid w:val="00516EEA"/>
    <w:rsid w:val="0051718C"/>
    <w:rsid w:val="005173CE"/>
    <w:rsid w:val="0051744B"/>
    <w:rsid w:val="005179B5"/>
    <w:rsid w:val="00517E62"/>
    <w:rsid w:val="00517FC5"/>
    <w:rsid w:val="0052023B"/>
    <w:rsid w:val="00520442"/>
    <w:rsid w:val="00520557"/>
    <w:rsid w:val="005205D7"/>
    <w:rsid w:val="005209B2"/>
    <w:rsid w:val="00520A12"/>
    <w:rsid w:val="00520B0D"/>
    <w:rsid w:val="00520B10"/>
    <w:rsid w:val="00520F8E"/>
    <w:rsid w:val="00521069"/>
    <w:rsid w:val="005211BD"/>
    <w:rsid w:val="005211C4"/>
    <w:rsid w:val="005212AB"/>
    <w:rsid w:val="005215DB"/>
    <w:rsid w:val="00521659"/>
    <w:rsid w:val="00521679"/>
    <w:rsid w:val="00521775"/>
    <w:rsid w:val="00521B14"/>
    <w:rsid w:val="00521C09"/>
    <w:rsid w:val="00521CFB"/>
    <w:rsid w:val="00521E48"/>
    <w:rsid w:val="00521E91"/>
    <w:rsid w:val="00521FB2"/>
    <w:rsid w:val="00522049"/>
    <w:rsid w:val="0052221B"/>
    <w:rsid w:val="00522277"/>
    <w:rsid w:val="0052235E"/>
    <w:rsid w:val="00522481"/>
    <w:rsid w:val="0052258F"/>
    <w:rsid w:val="0052276F"/>
    <w:rsid w:val="005228BE"/>
    <w:rsid w:val="005229B8"/>
    <w:rsid w:val="00522A09"/>
    <w:rsid w:val="00522E34"/>
    <w:rsid w:val="00523099"/>
    <w:rsid w:val="005233A3"/>
    <w:rsid w:val="00523525"/>
    <w:rsid w:val="0052369A"/>
    <w:rsid w:val="00523764"/>
    <w:rsid w:val="0052391F"/>
    <w:rsid w:val="0052399F"/>
    <w:rsid w:val="00523B66"/>
    <w:rsid w:val="00523C31"/>
    <w:rsid w:val="00523E25"/>
    <w:rsid w:val="00524065"/>
    <w:rsid w:val="0052422E"/>
    <w:rsid w:val="005242B7"/>
    <w:rsid w:val="005242DD"/>
    <w:rsid w:val="005246A5"/>
    <w:rsid w:val="005246B1"/>
    <w:rsid w:val="00524713"/>
    <w:rsid w:val="0052485F"/>
    <w:rsid w:val="00524BA9"/>
    <w:rsid w:val="00524C04"/>
    <w:rsid w:val="00525275"/>
    <w:rsid w:val="005254EB"/>
    <w:rsid w:val="00525572"/>
    <w:rsid w:val="00525642"/>
    <w:rsid w:val="0052591A"/>
    <w:rsid w:val="00525A64"/>
    <w:rsid w:val="00525E6C"/>
    <w:rsid w:val="00525ED5"/>
    <w:rsid w:val="005260FF"/>
    <w:rsid w:val="005263A3"/>
    <w:rsid w:val="0052673C"/>
    <w:rsid w:val="00526957"/>
    <w:rsid w:val="005269B4"/>
    <w:rsid w:val="00526A67"/>
    <w:rsid w:val="00526CC3"/>
    <w:rsid w:val="00526CCE"/>
    <w:rsid w:val="00526D14"/>
    <w:rsid w:val="00526EB5"/>
    <w:rsid w:val="00527053"/>
    <w:rsid w:val="00527106"/>
    <w:rsid w:val="005271A5"/>
    <w:rsid w:val="005271E7"/>
    <w:rsid w:val="0052725C"/>
    <w:rsid w:val="005272E8"/>
    <w:rsid w:val="00527399"/>
    <w:rsid w:val="00527444"/>
    <w:rsid w:val="00527469"/>
    <w:rsid w:val="00527518"/>
    <w:rsid w:val="0052763A"/>
    <w:rsid w:val="005276A3"/>
    <w:rsid w:val="00527C01"/>
    <w:rsid w:val="00527C70"/>
    <w:rsid w:val="00527E29"/>
    <w:rsid w:val="00530152"/>
    <w:rsid w:val="00530219"/>
    <w:rsid w:val="0053037B"/>
    <w:rsid w:val="005304A1"/>
    <w:rsid w:val="005304A6"/>
    <w:rsid w:val="00530632"/>
    <w:rsid w:val="0053070E"/>
    <w:rsid w:val="0053072C"/>
    <w:rsid w:val="00530735"/>
    <w:rsid w:val="00530BDA"/>
    <w:rsid w:val="00530E07"/>
    <w:rsid w:val="00531058"/>
    <w:rsid w:val="005310A9"/>
    <w:rsid w:val="00531470"/>
    <w:rsid w:val="005314BF"/>
    <w:rsid w:val="0053154B"/>
    <w:rsid w:val="0053166F"/>
    <w:rsid w:val="005317EB"/>
    <w:rsid w:val="00531872"/>
    <w:rsid w:val="00531CAD"/>
    <w:rsid w:val="00531E9B"/>
    <w:rsid w:val="00531EC1"/>
    <w:rsid w:val="00531EEE"/>
    <w:rsid w:val="005320C0"/>
    <w:rsid w:val="00532226"/>
    <w:rsid w:val="00532259"/>
    <w:rsid w:val="00532323"/>
    <w:rsid w:val="00532327"/>
    <w:rsid w:val="00532335"/>
    <w:rsid w:val="0053241D"/>
    <w:rsid w:val="00532829"/>
    <w:rsid w:val="005329A0"/>
    <w:rsid w:val="00532DA8"/>
    <w:rsid w:val="005330D9"/>
    <w:rsid w:val="00533126"/>
    <w:rsid w:val="00533159"/>
    <w:rsid w:val="005332B2"/>
    <w:rsid w:val="005332CA"/>
    <w:rsid w:val="00533532"/>
    <w:rsid w:val="005336B9"/>
    <w:rsid w:val="005337B3"/>
    <w:rsid w:val="00533A35"/>
    <w:rsid w:val="00533A94"/>
    <w:rsid w:val="00533AD6"/>
    <w:rsid w:val="00533D16"/>
    <w:rsid w:val="00533D90"/>
    <w:rsid w:val="00533E2E"/>
    <w:rsid w:val="00533FBF"/>
    <w:rsid w:val="00534009"/>
    <w:rsid w:val="0053416D"/>
    <w:rsid w:val="00534386"/>
    <w:rsid w:val="005345D7"/>
    <w:rsid w:val="00534631"/>
    <w:rsid w:val="0053465E"/>
    <w:rsid w:val="0053466E"/>
    <w:rsid w:val="00534737"/>
    <w:rsid w:val="0053476C"/>
    <w:rsid w:val="00534934"/>
    <w:rsid w:val="005349E4"/>
    <w:rsid w:val="00534A7E"/>
    <w:rsid w:val="00534D2F"/>
    <w:rsid w:val="00534D85"/>
    <w:rsid w:val="00534E61"/>
    <w:rsid w:val="00534ED1"/>
    <w:rsid w:val="005351F0"/>
    <w:rsid w:val="005352B6"/>
    <w:rsid w:val="005352FD"/>
    <w:rsid w:val="005357A7"/>
    <w:rsid w:val="005357FB"/>
    <w:rsid w:val="00535A3C"/>
    <w:rsid w:val="00535C06"/>
    <w:rsid w:val="0053620A"/>
    <w:rsid w:val="0053666A"/>
    <w:rsid w:val="00536728"/>
    <w:rsid w:val="0053677C"/>
    <w:rsid w:val="005367FF"/>
    <w:rsid w:val="00536A0D"/>
    <w:rsid w:val="00536A79"/>
    <w:rsid w:val="00536BF7"/>
    <w:rsid w:val="00536CFF"/>
    <w:rsid w:val="00536D49"/>
    <w:rsid w:val="00536DB5"/>
    <w:rsid w:val="00536F2D"/>
    <w:rsid w:val="00537037"/>
    <w:rsid w:val="0053715B"/>
    <w:rsid w:val="0053732C"/>
    <w:rsid w:val="00537383"/>
    <w:rsid w:val="005373AF"/>
    <w:rsid w:val="0053749F"/>
    <w:rsid w:val="005374C1"/>
    <w:rsid w:val="005375C6"/>
    <w:rsid w:val="0053766F"/>
    <w:rsid w:val="005377C7"/>
    <w:rsid w:val="00537825"/>
    <w:rsid w:val="00537C14"/>
    <w:rsid w:val="00537F19"/>
    <w:rsid w:val="00540029"/>
    <w:rsid w:val="005400CD"/>
    <w:rsid w:val="005401F8"/>
    <w:rsid w:val="00540393"/>
    <w:rsid w:val="0054067C"/>
    <w:rsid w:val="00540712"/>
    <w:rsid w:val="00540728"/>
    <w:rsid w:val="0054075D"/>
    <w:rsid w:val="00540824"/>
    <w:rsid w:val="00540AE3"/>
    <w:rsid w:val="00540CF8"/>
    <w:rsid w:val="00540DFD"/>
    <w:rsid w:val="00540E53"/>
    <w:rsid w:val="00540FE0"/>
    <w:rsid w:val="005411FB"/>
    <w:rsid w:val="005412A6"/>
    <w:rsid w:val="0054133E"/>
    <w:rsid w:val="00541405"/>
    <w:rsid w:val="00541657"/>
    <w:rsid w:val="00541735"/>
    <w:rsid w:val="005417F4"/>
    <w:rsid w:val="005418E5"/>
    <w:rsid w:val="005419E8"/>
    <w:rsid w:val="00541B44"/>
    <w:rsid w:val="00541C19"/>
    <w:rsid w:val="00541C9B"/>
    <w:rsid w:val="00541EB4"/>
    <w:rsid w:val="0054201F"/>
    <w:rsid w:val="00542049"/>
    <w:rsid w:val="005420F5"/>
    <w:rsid w:val="00542242"/>
    <w:rsid w:val="005423AA"/>
    <w:rsid w:val="00542415"/>
    <w:rsid w:val="0054257D"/>
    <w:rsid w:val="00542B84"/>
    <w:rsid w:val="00542BAD"/>
    <w:rsid w:val="00542D02"/>
    <w:rsid w:val="00542EAC"/>
    <w:rsid w:val="00542EE6"/>
    <w:rsid w:val="00543181"/>
    <w:rsid w:val="005431BE"/>
    <w:rsid w:val="00543309"/>
    <w:rsid w:val="00543523"/>
    <w:rsid w:val="005435F3"/>
    <w:rsid w:val="005436A1"/>
    <w:rsid w:val="005436A7"/>
    <w:rsid w:val="0054382F"/>
    <w:rsid w:val="005439F2"/>
    <w:rsid w:val="00543BEC"/>
    <w:rsid w:val="00543C10"/>
    <w:rsid w:val="00543C69"/>
    <w:rsid w:val="00543FAB"/>
    <w:rsid w:val="005440B4"/>
    <w:rsid w:val="0054410B"/>
    <w:rsid w:val="005442BC"/>
    <w:rsid w:val="00544434"/>
    <w:rsid w:val="00544445"/>
    <w:rsid w:val="0054479F"/>
    <w:rsid w:val="005448F0"/>
    <w:rsid w:val="00544CB4"/>
    <w:rsid w:val="00544EB7"/>
    <w:rsid w:val="00544F36"/>
    <w:rsid w:val="00544F5B"/>
    <w:rsid w:val="0054501E"/>
    <w:rsid w:val="005450D3"/>
    <w:rsid w:val="005452B4"/>
    <w:rsid w:val="00545333"/>
    <w:rsid w:val="00545513"/>
    <w:rsid w:val="00545592"/>
    <w:rsid w:val="005456E2"/>
    <w:rsid w:val="005459FC"/>
    <w:rsid w:val="00545A12"/>
    <w:rsid w:val="00545BF3"/>
    <w:rsid w:val="00545D66"/>
    <w:rsid w:val="00545D92"/>
    <w:rsid w:val="00545ECA"/>
    <w:rsid w:val="0054628E"/>
    <w:rsid w:val="00546380"/>
    <w:rsid w:val="00546475"/>
    <w:rsid w:val="0054650B"/>
    <w:rsid w:val="005466E2"/>
    <w:rsid w:val="0054683C"/>
    <w:rsid w:val="0054685A"/>
    <w:rsid w:val="00546A30"/>
    <w:rsid w:val="00546B0E"/>
    <w:rsid w:val="00546ED8"/>
    <w:rsid w:val="00546F11"/>
    <w:rsid w:val="00546F53"/>
    <w:rsid w:val="0054729D"/>
    <w:rsid w:val="005473B7"/>
    <w:rsid w:val="005473BD"/>
    <w:rsid w:val="0054744A"/>
    <w:rsid w:val="00547502"/>
    <w:rsid w:val="00547657"/>
    <w:rsid w:val="005476BD"/>
    <w:rsid w:val="005478F3"/>
    <w:rsid w:val="00547B03"/>
    <w:rsid w:val="00547BBD"/>
    <w:rsid w:val="00547C4C"/>
    <w:rsid w:val="00547C9C"/>
    <w:rsid w:val="00547D0F"/>
    <w:rsid w:val="00547EE9"/>
    <w:rsid w:val="00547F93"/>
    <w:rsid w:val="00547FA2"/>
    <w:rsid w:val="00550103"/>
    <w:rsid w:val="005501FE"/>
    <w:rsid w:val="00550463"/>
    <w:rsid w:val="00550467"/>
    <w:rsid w:val="00550757"/>
    <w:rsid w:val="0055082E"/>
    <w:rsid w:val="00550896"/>
    <w:rsid w:val="0055089B"/>
    <w:rsid w:val="0055090B"/>
    <w:rsid w:val="00550A59"/>
    <w:rsid w:val="00550B4F"/>
    <w:rsid w:val="00550BFA"/>
    <w:rsid w:val="00550D4F"/>
    <w:rsid w:val="00550D87"/>
    <w:rsid w:val="00550EB7"/>
    <w:rsid w:val="00550ECD"/>
    <w:rsid w:val="0055113A"/>
    <w:rsid w:val="005511C5"/>
    <w:rsid w:val="00551544"/>
    <w:rsid w:val="00551640"/>
    <w:rsid w:val="00551850"/>
    <w:rsid w:val="005518E7"/>
    <w:rsid w:val="00551A3C"/>
    <w:rsid w:val="00551C65"/>
    <w:rsid w:val="00551E91"/>
    <w:rsid w:val="00551EF8"/>
    <w:rsid w:val="00551F5D"/>
    <w:rsid w:val="00551FAA"/>
    <w:rsid w:val="00552189"/>
    <w:rsid w:val="00552345"/>
    <w:rsid w:val="0055234F"/>
    <w:rsid w:val="005524B6"/>
    <w:rsid w:val="00552558"/>
    <w:rsid w:val="00552634"/>
    <w:rsid w:val="005526CC"/>
    <w:rsid w:val="00552C79"/>
    <w:rsid w:val="00552DEE"/>
    <w:rsid w:val="0055331A"/>
    <w:rsid w:val="00553350"/>
    <w:rsid w:val="00553568"/>
    <w:rsid w:val="005536AB"/>
    <w:rsid w:val="00553789"/>
    <w:rsid w:val="005537C3"/>
    <w:rsid w:val="0055390F"/>
    <w:rsid w:val="005539F4"/>
    <w:rsid w:val="00553A9B"/>
    <w:rsid w:val="00553BCE"/>
    <w:rsid w:val="00553CC4"/>
    <w:rsid w:val="00553CF8"/>
    <w:rsid w:val="00553F58"/>
    <w:rsid w:val="00553F7F"/>
    <w:rsid w:val="005540A5"/>
    <w:rsid w:val="005547CB"/>
    <w:rsid w:val="005548B6"/>
    <w:rsid w:val="005548E1"/>
    <w:rsid w:val="0055498F"/>
    <w:rsid w:val="00554A8B"/>
    <w:rsid w:val="00554AC2"/>
    <w:rsid w:val="00554D13"/>
    <w:rsid w:val="0055509A"/>
    <w:rsid w:val="005551F8"/>
    <w:rsid w:val="0055529F"/>
    <w:rsid w:val="005556D9"/>
    <w:rsid w:val="0055583A"/>
    <w:rsid w:val="00555855"/>
    <w:rsid w:val="00555904"/>
    <w:rsid w:val="00555973"/>
    <w:rsid w:val="005559C5"/>
    <w:rsid w:val="00555A05"/>
    <w:rsid w:val="00555A56"/>
    <w:rsid w:val="00555BED"/>
    <w:rsid w:val="00555D2B"/>
    <w:rsid w:val="00555E2D"/>
    <w:rsid w:val="00555F3B"/>
    <w:rsid w:val="0055600A"/>
    <w:rsid w:val="005561B2"/>
    <w:rsid w:val="005561D7"/>
    <w:rsid w:val="005561DB"/>
    <w:rsid w:val="00556204"/>
    <w:rsid w:val="0055622B"/>
    <w:rsid w:val="00556439"/>
    <w:rsid w:val="00556441"/>
    <w:rsid w:val="0055699C"/>
    <w:rsid w:val="00556A84"/>
    <w:rsid w:val="00556B8B"/>
    <w:rsid w:val="00556DC1"/>
    <w:rsid w:val="00556DCF"/>
    <w:rsid w:val="00556E5B"/>
    <w:rsid w:val="00557101"/>
    <w:rsid w:val="0055723B"/>
    <w:rsid w:val="00557264"/>
    <w:rsid w:val="00557431"/>
    <w:rsid w:val="00557496"/>
    <w:rsid w:val="00557639"/>
    <w:rsid w:val="005576AA"/>
    <w:rsid w:val="005577FC"/>
    <w:rsid w:val="00557806"/>
    <w:rsid w:val="00557A50"/>
    <w:rsid w:val="00557BB2"/>
    <w:rsid w:val="00557BB3"/>
    <w:rsid w:val="00557CA9"/>
    <w:rsid w:val="00557CE7"/>
    <w:rsid w:val="00557E69"/>
    <w:rsid w:val="005601B4"/>
    <w:rsid w:val="005601BF"/>
    <w:rsid w:val="0056072D"/>
    <w:rsid w:val="005608F7"/>
    <w:rsid w:val="00560C9E"/>
    <w:rsid w:val="00560E2E"/>
    <w:rsid w:val="00560E8A"/>
    <w:rsid w:val="00560F6C"/>
    <w:rsid w:val="00561057"/>
    <w:rsid w:val="00561561"/>
    <w:rsid w:val="00561748"/>
    <w:rsid w:val="00561A88"/>
    <w:rsid w:val="00561C4D"/>
    <w:rsid w:val="00561CDA"/>
    <w:rsid w:val="00561D0B"/>
    <w:rsid w:val="00561F04"/>
    <w:rsid w:val="005623CC"/>
    <w:rsid w:val="00562495"/>
    <w:rsid w:val="005624D6"/>
    <w:rsid w:val="00562579"/>
    <w:rsid w:val="00562699"/>
    <w:rsid w:val="00562720"/>
    <w:rsid w:val="00562BE6"/>
    <w:rsid w:val="00562EDC"/>
    <w:rsid w:val="00562FE0"/>
    <w:rsid w:val="00563071"/>
    <w:rsid w:val="0056315F"/>
    <w:rsid w:val="00563195"/>
    <w:rsid w:val="005635CD"/>
    <w:rsid w:val="0056383C"/>
    <w:rsid w:val="0056383E"/>
    <w:rsid w:val="0056394F"/>
    <w:rsid w:val="00563A16"/>
    <w:rsid w:val="00563E85"/>
    <w:rsid w:val="00563EE9"/>
    <w:rsid w:val="00563F0A"/>
    <w:rsid w:val="00563FB0"/>
    <w:rsid w:val="00563FCB"/>
    <w:rsid w:val="00564063"/>
    <w:rsid w:val="005641FE"/>
    <w:rsid w:val="005642C7"/>
    <w:rsid w:val="00564432"/>
    <w:rsid w:val="00564791"/>
    <w:rsid w:val="005648E4"/>
    <w:rsid w:val="005649A9"/>
    <w:rsid w:val="00564CCF"/>
    <w:rsid w:val="005652FD"/>
    <w:rsid w:val="00565303"/>
    <w:rsid w:val="0056537B"/>
    <w:rsid w:val="0056539B"/>
    <w:rsid w:val="005654A9"/>
    <w:rsid w:val="005656FD"/>
    <w:rsid w:val="00565A0E"/>
    <w:rsid w:val="00565A34"/>
    <w:rsid w:val="00565AD2"/>
    <w:rsid w:val="00565E25"/>
    <w:rsid w:val="0056629B"/>
    <w:rsid w:val="005665BC"/>
    <w:rsid w:val="00566A71"/>
    <w:rsid w:val="00566BC6"/>
    <w:rsid w:val="00566CB5"/>
    <w:rsid w:val="00566DFA"/>
    <w:rsid w:val="0056704F"/>
    <w:rsid w:val="005673E3"/>
    <w:rsid w:val="005674CB"/>
    <w:rsid w:val="005674DE"/>
    <w:rsid w:val="00567518"/>
    <w:rsid w:val="00567A52"/>
    <w:rsid w:val="00567A9C"/>
    <w:rsid w:val="00567BC2"/>
    <w:rsid w:val="00567E0F"/>
    <w:rsid w:val="00570194"/>
    <w:rsid w:val="005701C1"/>
    <w:rsid w:val="00570271"/>
    <w:rsid w:val="00570318"/>
    <w:rsid w:val="00570319"/>
    <w:rsid w:val="00570703"/>
    <w:rsid w:val="00570965"/>
    <w:rsid w:val="00570A74"/>
    <w:rsid w:val="00570C13"/>
    <w:rsid w:val="00570E45"/>
    <w:rsid w:val="00570EEA"/>
    <w:rsid w:val="0057109A"/>
    <w:rsid w:val="00571333"/>
    <w:rsid w:val="0057138E"/>
    <w:rsid w:val="0057193E"/>
    <w:rsid w:val="005719DB"/>
    <w:rsid w:val="00571BC0"/>
    <w:rsid w:val="00571BCB"/>
    <w:rsid w:val="00571C60"/>
    <w:rsid w:val="00571F00"/>
    <w:rsid w:val="00571F09"/>
    <w:rsid w:val="0057207C"/>
    <w:rsid w:val="0057223F"/>
    <w:rsid w:val="00572310"/>
    <w:rsid w:val="00572509"/>
    <w:rsid w:val="0057255A"/>
    <w:rsid w:val="00572885"/>
    <w:rsid w:val="005729A4"/>
    <w:rsid w:val="005729CF"/>
    <w:rsid w:val="00572B3F"/>
    <w:rsid w:val="00572C9D"/>
    <w:rsid w:val="00572D49"/>
    <w:rsid w:val="00572E7E"/>
    <w:rsid w:val="00572F1F"/>
    <w:rsid w:val="00573003"/>
    <w:rsid w:val="005730D3"/>
    <w:rsid w:val="0057313C"/>
    <w:rsid w:val="0057349C"/>
    <w:rsid w:val="005735D9"/>
    <w:rsid w:val="00573995"/>
    <w:rsid w:val="00573A62"/>
    <w:rsid w:val="00573C30"/>
    <w:rsid w:val="00573D23"/>
    <w:rsid w:val="00573E1B"/>
    <w:rsid w:val="00573E2D"/>
    <w:rsid w:val="005741B7"/>
    <w:rsid w:val="00574223"/>
    <w:rsid w:val="0057424E"/>
    <w:rsid w:val="005743B1"/>
    <w:rsid w:val="0057485E"/>
    <w:rsid w:val="00574B4E"/>
    <w:rsid w:val="00574D43"/>
    <w:rsid w:val="00574FEE"/>
    <w:rsid w:val="005751A6"/>
    <w:rsid w:val="005752C3"/>
    <w:rsid w:val="0057532E"/>
    <w:rsid w:val="005757A4"/>
    <w:rsid w:val="00575991"/>
    <w:rsid w:val="005759D7"/>
    <w:rsid w:val="00575B06"/>
    <w:rsid w:val="00575DDA"/>
    <w:rsid w:val="00576117"/>
    <w:rsid w:val="005761EF"/>
    <w:rsid w:val="00576348"/>
    <w:rsid w:val="0057668C"/>
    <w:rsid w:val="005768DF"/>
    <w:rsid w:val="00576905"/>
    <w:rsid w:val="00576930"/>
    <w:rsid w:val="00576C41"/>
    <w:rsid w:val="00576CA6"/>
    <w:rsid w:val="00576FD6"/>
    <w:rsid w:val="00577274"/>
    <w:rsid w:val="005773E0"/>
    <w:rsid w:val="00577452"/>
    <w:rsid w:val="005775B8"/>
    <w:rsid w:val="005777E2"/>
    <w:rsid w:val="00577A82"/>
    <w:rsid w:val="00577BF0"/>
    <w:rsid w:val="00580067"/>
    <w:rsid w:val="0058014E"/>
    <w:rsid w:val="00580155"/>
    <w:rsid w:val="00580222"/>
    <w:rsid w:val="005802E4"/>
    <w:rsid w:val="0058049F"/>
    <w:rsid w:val="005805E3"/>
    <w:rsid w:val="00580638"/>
    <w:rsid w:val="00580675"/>
    <w:rsid w:val="00580955"/>
    <w:rsid w:val="00580CB4"/>
    <w:rsid w:val="00580D09"/>
    <w:rsid w:val="0058112A"/>
    <w:rsid w:val="005811CF"/>
    <w:rsid w:val="00581308"/>
    <w:rsid w:val="00581376"/>
    <w:rsid w:val="0058138C"/>
    <w:rsid w:val="005814E7"/>
    <w:rsid w:val="00581615"/>
    <w:rsid w:val="00581E0A"/>
    <w:rsid w:val="00581F38"/>
    <w:rsid w:val="00581FC0"/>
    <w:rsid w:val="00582035"/>
    <w:rsid w:val="005820C5"/>
    <w:rsid w:val="00582235"/>
    <w:rsid w:val="00582260"/>
    <w:rsid w:val="00582875"/>
    <w:rsid w:val="0058313B"/>
    <w:rsid w:val="005832AE"/>
    <w:rsid w:val="005834B8"/>
    <w:rsid w:val="00583509"/>
    <w:rsid w:val="00583851"/>
    <w:rsid w:val="00583A17"/>
    <w:rsid w:val="00583A76"/>
    <w:rsid w:val="00583CC4"/>
    <w:rsid w:val="00583DA7"/>
    <w:rsid w:val="00583E13"/>
    <w:rsid w:val="00583F18"/>
    <w:rsid w:val="00583FE8"/>
    <w:rsid w:val="005843D2"/>
    <w:rsid w:val="0058443D"/>
    <w:rsid w:val="005844BE"/>
    <w:rsid w:val="00584762"/>
    <w:rsid w:val="00584775"/>
    <w:rsid w:val="00584E70"/>
    <w:rsid w:val="00584FF5"/>
    <w:rsid w:val="00585026"/>
    <w:rsid w:val="0058503E"/>
    <w:rsid w:val="00585064"/>
    <w:rsid w:val="00585123"/>
    <w:rsid w:val="00585408"/>
    <w:rsid w:val="005854F2"/>
    <w:rsid w:val="0058550A"/>
    <w:rsid w:val="005856A4"/>
    <w:rsid w:val="005857FA"/>
    <w:rsid w:val="00585888"/>
    <w:rsid w:val="00585B32"/>
    <w:rsid w:val="00585C8B"/>
    <w:rsid w:val="00585D51"/>
    <w:rsid w:val="00585D82"/>
    <w:rsid w:val="00585E60"/>
    <w:rsid w:val="00585F4A"/>
    <w:rsid w:val="00585FDF"/>
    <w:rsid w:val="005866F5"/>
    <w:rsid w:val="005867A6"/>
    <w:rsid w:val="005869B2"/>
    <w:rsid w:val="00586A2C"/>
    <w:rsid w:val="00586BDD"/>
    <w:rsid w:val="00586C0B"/>
    <w:rsid w:val="00586CCC"/>
    <w:rsid w:val="00586D6E"/>
    <w:rsid w:val="00587085"/>
    <w:rsid w:val="00587194"/>
    <w:rsid w:val="005872C1"/>
    <w:rsid w:val="00587609"/>
    <w:rsid w:val="0058767D"/>
    <w:rsid w:val="005878D8"/>
    <w:rsid w:val="00587958"/>
    <w:rsid w:val="0058799D"/>
    <w:rsid w:val="00587CF6"/>
    <w:rsid w:val="00587F6D"/>
    <w:rsid w:val="00590096"/>
    <w:rsid w:val="005905E8"/>
    <w:rsid w:val="00590728"/>
    <w:rsid w:val="005907B9"/>
    <w:rsid w:val="005908E0"/>
    <w:rsid w:val="00590A4C"/>
    <w:rsid w:val="00591001"/>
    <w:rsid w:val="005913A2"/>
    <w:rsid w:val="005914B7"/>
    <w:rsid w:val="00591513"/>
    <w:rsid w:val="00591539"/>
    <w:rsid w:val="0059179A"/>
    <w:rsid w:val="00591B39"/>
    <w:rsid w:val="00591B91"/>
    <w:rsid w:val="00591C73"/>
    <w:rsid w:val="00591F19"/>
    <w:rsid w:val="0059200C"/>
    <w:rsid w:val="005921B0"/>
    <w:rsid w:val="005921C9"/>
    <w:rsid w:val="00592268"/>
    <w:rsid w:val="00592476"/>
    <w:rsid w:val="005924C1"/>
    <w:rsid w:val="0059262C"/>
    <w:rsid w:val="005926E6"/>
    <w:rsid w:val="005929F1"/>
    <w:rsid w:val="00592A59"/>
    <w:rsid w:val="00592F01"/>
    <w:rsid w:val="005931C7"/>
    <w:rsid w:val="0059346E"/>
    <w:rsid w:val="005935AC"/>
    <w:rsid w:val="005935EF"/>
    <w:rsid w:val="005936D0"/>
    <w:rsid w:val="0059380C"/>
    <w:rsid w:val="00593A4E"/>
    <w:rsid w:val="00593C55"/>
    <w:rsid w:val="00593EC4"/>
    <w:rsid w:val="00593F6E"/>
    <w:rsid w:val="005940D2"/>
    <w:rsid w:val="00594456"/>
    <w:rsid w:val="005945D3"/>
    <w:rsid w:val="0059470F"/>
    <w:rsid w:val="00594796"/>
    <w:rsid w:val="005947A7"/>
    <w:rsid w:val="005947E5"/>
    <w:rsid w:val="00594A5A"/>
    <w:rsid w:val="005955A8"/>
    <w:rsid w:val="005955DE"/>
    <w:rsid w:val="005955FB"/>
    <w:rsid w:val="0059573E"/>
    <w:rsid w:val="00595741"/>
    <w:rsid w:val="00595742"/>
    <w:rsid w:val="005957E1"/>
    <w:rsid w:val="0059582F"/>
    <w:rsid w:val="0059587B"/>
    <w:rsid w:val="00595F38"/>
    <w:rsid w:val="0059621E"/>
    <w:rsid w:val="005963D7"/>
    <w:rsid w:val="0059650F"/>
    <w:rsid w:val="0059662F"/>
    <w:rsid w:val="0059670C"/>
    <w:rsid w:val="00596A33"/>
    <w:rsid w:val="00596B98"/>
    <w:rsid w:val="00596DE7"/>
    <w:rsid w:val="00597132"/>
    <w:rsid w:val="00597142"/>
    <w:rsid w:val="005971D4"/>
    <w:rsid w:val="00597217"/>
    <w:rsid w:val="00597225"/>
    <w:rsid w:val="0059766E"/>
    <w:rsid w:val="005976A6"/>
    <w:rsid w:val="005977FF"/>
    <w:rsid w:val="005978E3"/>
    <w:rsid w:val="0059791C"/>
    <w:rsid w:val="00597EA9"/>
    <w:rsid w:val="00597F44"/>
    <w:rsid w:val="005A001C"/>
    <w:rsid w:val="005A011C"/>
    <w:rsid w:val="005A0180"/>
    <w:rsid w:val="005A01B1"/>
    <w:rsid w:val="005A02D9"/>
    <w:rsid w:val="005A031E"/>
    <w:rsid w:val="005A039C"/>
    <w:rsid w:val="005A096E"/>
    <w:rsid w:val="005A0A39"/>
    <w:rsid w:val="005A0A42"/>
    <w:rsid w:val="005A0AEF"/>
    <w:rsid w:val="005A0B67"/>
    <w:rsid w:val="005A0CA7"/>
    <w:rsid w:val="005A0CC2"/>
    <w:rsid w:val="005A0D8A"/>
    <w:rsid w:val="005A0E99"/>
    <w:rsid w:val="005A0FD4"/>
    <w:rsid w:val="005A12AA"/>
    <w:rsid w:val="005A15CA"/>
    <w:rsid w:val="005A1748"/>
    <w:rsid w:val="005A1B7A"/>
    <w:rsid w:val="005A1B96"/>
    <w:rsid w:val="005A1BD0"/>
    <w:rsid w:val="005A2097"/>
    <w:rsid w:val="005A2184"/>
    <w:rsid w:val="005A2311"/>
    <w:rsid w:val="005A27F9"/>
    <w:rsid w:val="005A2836"/>
    <w:rsid w:val="005A2B08"/>
    <w:rsid w:val="005A2C98"/>
    <w:rsid w:val="005A2D56"/>
    <w:rsid w:val="005A3059"/>
    <w:rsid w:val="005A33B4"/>
    <w:rsid w:val="005A33F3"/>
    <w:rsid w:val="005A351B"/>
    <w:rsid w:val="005A38FE"/>
    <w:rsid w:val="005A3918"/>
    <w:rsid w:val="005A39D7"/>
    <w:rsid w:val="005A3A95"/>
    <w:rsid w:val="005A3BDE"/>
    <w:rsid w:val="005A3E92"/>
    <w:rsid w:val="005A3EA9"/>
    <w:rsid w:val="005A3F0A"/>
    <w:rsid w:val="005A3F68"/>
    <w:rsid w:val="005A4043"/>
    <w:rsid w:val="005A407D"/>
    <w:rsid w:val="005A4086"/>
    <w:rsid w:val="005A41AC"/>
    <w:rsid w:val="005A43A1"/>
    <w:rsid w:val="005A43A4"/>
    <w:rsid w:val="005A43EE"/>
    <w:rsid w:val="005A4472"/>
    <w:rsid w:val="005A46F6"/>
    <w:rsid w:val="005A47D1"/>
    <w:rsid w:val="005A4849"/>
    <w:rsid w:val="005A4936"/>
    <w:rsid w:val="005A4A10"/>
    <w:rsid w:val="005A4B30"/>
    <w:rsid w:val="005A4BBD"/>
    <w:rsid w:val="005A4C07"/>
    <w:rsid w:val="005A4E3B"/>
    <w:rsid w:val="005A4F08"/>
    <w:rsid w:val="005A50DA"/>
    <w:rsid w:val="005A5107"/>
    <w:rsid w:val="005A519C"/>
    <w:rsid w:val="005A5398"/>
    <w:rsid w:val="005A5401"/>
    <w:rsid w:val="005A570C"/>
    <w:rsid w:val="005A5A69"/>
    <w:rsid w:val="005A5A80"/>
    <w:rsid w:val="005A5D38"/>
    <w:rsid w:val="005A5DB4"/>
    <w:rsid w:val="005A5E02"/>
    <w:rsid w:val="005A6160"/>
    <w:rsid w:val="005A63B1"/>
    <w:rsid w:val="005A67A9"/>
    <w:rsid w:val="005A6859"/>
    <w:rsid w:val="005A68EA"/>
    <w:rsid w:val="005A6B59"/>
    <w:rsid w:val="005A6C21"/>
    <w:rsid w:val="005A6F5F"/>
    <w:rsid w:val="005A6F85"/>
    <w:rsid w:val="005A703E"/>
    <w:rsid w:val="005A7195"/>
    <w:rsid w:val="005A755B"/>
    <w:rsid w:val="005A760A"/>
    <w:rsid w:val="005A763C"/>
    <w:rsid w:val="005A76B9"/>
    <w:rsid w:val="005A777F"/>
    <w:rsid w:val="005A77BA"/>
    <w:rsid w:val="005A7873"/>
    <w:rsid w:val="005A7983"/>
    <w:rsid w:val="005A7A9D"/>
    <w:rsid w:val="005A7D51"/>
    <w:rsid w:val="005A7E8A"/>
    <w:rsid w:val="005B029D"/>
    <w:rsid w:val="005B0360"/>
    <w:rsid w:val="005B067F"/>
    <w:rsid w:val="005B06B6"/>
    <w:rsid w:val="005B07B3"/>
    <w:rsid w:val="005B082A"/>
    <w:rsid w:val="005B098A"/>
    <w:rsid w:val="005B0AB7"/>
    <w:rsid w:val="005B0D6C"/>
    <w:rsid w:val="005B0E8B"/>
    <w:rsid w:val="005B0F5B"/>
    <w:rsid w:val="005B0F90"/>
    <w:rsid w:val="005B0FA4"/>
    <w:rsid w:val="005B135A"/>
    <w:rsid w:val="005B1413"/>
    <w:rsid w:val="005B159A"/>
    <w:rsid w:val="005B1D41"/>
    <w:rsid w:val="005B1F1B"/>
    <w:rsid w:val="005B22A7"/>
    <w:rsid w:val="005B273F"/>
    <w:rsid w:val="005B277B"/>
    <w:rsid w:val="005B2856"/>
    <w:rsid w:val="005B2877"/>
    <w:rsid w:val="005B28B2"/>
    <w:rsid w:val="005B297C"/>
    <w:rsid w:val="005B29DE"/>
    <w:rsid w:val="005B2DF2"/>
    <w:rsid w:val="005B2F30"/>
    <w:rsid w:val="005B3010"/>
    <w:rsid w:val="005B318C"/>
    <w:rsid w:val="005B3249"/>
    <w:rsid w:val="005B34C9"/>
    <w:rsid w:val="005B34D5"/>
    <w:rsid w:val="005B371A"/>
    <w:rsid w:val="005B372C"/>
    <w:rsid w:val="005B381B"/>
    <w:rsid w:val="005B3857"/>
    <w:rsid w:val="005B3950"/>
    <w:rsid w:val="005B3EAF"/>
    <w:rsid w:val="005B3FE9"/>
    <w:rsid w:val="005B4030"/>
    <w:rsid w:val="005B406E"/>
    <w:rsid w:val="005B452F"/>
    <w:rsid w:val="005B4824"/>
    <w:rsid w:val="005B4994"/>
    <w:rsid w:val="005B4A24"/>
    <w:rsid w:val="005B4D28"/>
    <w:rsid w:val="005B4DAA"/>
    <w:rsid w:val="005B517D"/>
    <w:rsid w:val="005B5371"/>
    <w:rsid w:val="005B54E4"/>
    <w:rsid w:val="005B5651"/>
    <w:rsid w:val="005B58FD"/>
    <w:rsid w:val="005B5B87"/>
    <w:rsid w:val="005B5DB4"/>
    <w:rsid w:val="005B6218"/>
    <w:rsid w:val="005B6295"/>
    <w:rsid w:val="005B64BB"/>
    <w:rsid w:val="005B669B"/>
    <w:rsid w:val="005B66C4"/>
    <w:rsid w:val="005B6C18"/>
    <w:rsid w:val="005B6CB3"/>
    <w:rsid w:val="005B6D65"/>
    <w:rsid w:val="005B6E22"/>
    <w:rsid w:val="005B6F03"/>
    <w:rsid w:val="005B6F85"/>
    <w:rsid w:val="005B70C1"/>
    <w:rsid w:val="005B713F"/>
    <w:rsid w:val="005B729F"/>
    <w:rsid w:val="005B76A5"/>
    <w:rsid w:val="005B782A"/>
    <w:rsid w:val="005B78D1"/>
    <w:rsid w:val="005B7935"/>
    <w:rsid w:val="005B7A69"/>
    <w:rsid w:val="005B7DFA"/>
    <w:rsid w:val="005B7EBF"/>
    <w:rsid w:val="005B7F7B"/>
    <w:rsid w:val="005C027F"/>
    <w:rsid w:val="005C039C"/>
    <w:rsid w:val="005C0635"/>
    <w:rsid w:val="005C0671"/>
    <w:rsid w:val="005C06B3"/>
    <w:rsid w:val="005C07A3"/>
    <w:rsid w:val="005C0C46"/>
    <w:rsid w:val="005C0CAC"/>
    <w:rsid w:val="005C0F59"/>
    <w:rsid w:val="005C1052"/>
    <w:rsid w:val="005C10A7"/>
    <w:rsid w:val="005C119C"/>
    <w:rsid w:val="005C11DF"/>
    <w:rsid w:val="005C138D"/>
    <w:rsid w:val="005C1391"/>
    <w:rsid w:val="005C172D"/>
    <w:rsid w:val="005C186B"/>
    <w:rsid w:val="005C18CB"/>
    <w:rsid w:val="005C19B1"/>
    <w:rsid w:val="005C1BC9"/>
    <w:rsid w:val="005C1CFB"/>
    <w:rsid w:val="005C2000"/>
    <w:rsid w:val="005C219E"/>
    <w:rsid w:val="005C22D5"/>
    <w:rsid w:val="005C23E4"/>
    <w:rsid w:val="005C2749"/>
    <w:rsid w:val="005C283C"/>
    <w:rsid w:val="005C28BA"/>
    <w:rsid w:val="005C2B25"/>
    <w:rsid w:val="005C2B63"/>
    <w:rsid w:val="005C2D01"/>
    <w:rsid w:val="005C2D34"/>
    <w:rsid w:val="005C2D51"/>
    <w:rsid w:val="005C31E3"/>
    <w:rsid w:val="005C3295"/>
    <w:rsid w:val="005C32DD"/>
    <w:rsid w:val="005C33C9"/>
    <w:rsid w:val="005C33E4"/>
    <w:rsid w:val="005C34D2"/>
    <w:rsid w:val="005C3549"/>
    <w:rsid w:val="005C3823"/>
    <w:rsid w:val="005C3C8F"/>
    <w:rsid w:val="005C3DA2"/>
    <w:rsid w:val="005C4462"/>
    <w:rsid w:val="005C44C1"/>
    <w:rsid w:val="005C4629"/>
    <w:rsid w:val="005C46EB"/>
    <w:rsid w:val="005C4817"/>
    <w:rsid w:val="005C491C"/>
    <w:rsid w:val="005C495F"/>
    <w:rsid w:val="005C4B6F"/>
    <w:rsid w:val="005C4F56"/>
    <w:rsid w:val="005C501A"/>
    <w:rsid w:val="005C53A7"/>
    <w:rsid w:val="005C53BF"/>
    <w:rsid w:val="005C56A9"/>
    <w:rsid w:val="005C5A43"/>
    <w:rsid w:val="005C5ABF"/>
    <w:rsid w:val="005C5C90"/>
    <w:rsid w:val="005C5D2A"/>
    <w:rsid w:val="005C5D99"/>
    <w:rsid w:val="005C5E10"/>
    <w:rsid w:val="005C6324"/>
    <w:rsid w:val="005C6380"/>
    <w:rsid w:val="005C6543"/>
    <w:rsid w:val="005C6576"/>
    <w:rsid w:val="005C662B"/>
    <w:rsid w:val="005C683E"/>
    <w:rsid w:val="005C6999"/>
    <w:rsid w:val="005C6BEA"/>
    <w:rsid w:val="005C6E65"/>
    <w:rsid w:val="005C6E97"/>
    <w:rsid w:val="005C717C"/>
    <w:rsid w:val="005C718E"/>
    <w:rsid w:val="005C74AE"/>
    <w:rsid w:val="005C74F7"/>
    <w:rsid w:val="005C76AD"/>
    <w:rsid w:val="005C77CC"/>
    <w:rsid w:val="005C7AC8"/>
    <w:rsid w:val="005C7BA5"/>
    <w:rsid w:val="005C7C70"/>
    <w:rsid w:val="005C7DA0"/>
    <w:rsid w:val="005C7DAA"/>
    <w:rsid w:val="005C7E1E"/>
    <w:rsid w:val="005D010D"/>
    <w:rsid w:val="005D010E"/>
    <w:rsid w:val="005D055E"/>
    <w:rsid w:val="005D05E4"/>
    <w:rsid w:val="005D065F"/>
    <w:rsid w:val="005D096D"/>
    <w:rsid w:val="005D0980"/>
    <w:rsid w:val="005D0A27"/>
    <w:rsid w:val="005D0B66"/>
    <w:rsid w:val="005D0E1A"/>
    <w:rsid w:val="005D1025"/>
    <w:rsid w:val="005D1383"/>
    <w:rsid w:val="005D16C8"/>
    <w:rsid w:val="005D1964"/>
    <w:rsid w:val="005D1DD1"/>
    <w:rsid w:val="005D1FD0"/>
    <w:rsid w:val="005D214C"/>
    <w:rsid w:val="005D219E"/>
    <w:rsid w:val="005D2254"/>
    <w:rsid w:val="005D2374"/>
    <w:rsid w:val="005D23C4"/>
    <w:rsid w:val="005D23CB"/>
    <w:rsid w:val="005D277E"/>
    <w:rsid w:val="005D287F"/>
    <w:rsid w:val="005D2941"/>
    <w:rsid w:val="005D2B22"/>
    <w:rsid w:val="005D2C83"/>
    <w:rsid w:val="005D2CCB"/>
    <w:rsid w:val="005D2D3F"/>
    <w:rsid w:val="005D2D83"/>
    <w:rsid w:val="005D2E84"/>
    <w:rsid w:val="005D2F43"/>
    <w:rsid w:val="005D3027"/>
    <w:rsid w:val="005D30F8"/>
    <w:rsid w:val="005D3354"/>
    <w:rsid w:val="005D34F6"/>
    <w:rsid w:val="005D35AC"/>
    <w:rsid w:val="005D3641"/>
    <w:rsid w:val="005D370A"/>
    <w:rsid w:val="005D3745"/>
    <w:rsid w:val="005D37F4"/>
    <w:rsid w:val="005D3843"/>
    <w:rsid w:val="005D39A1"/>
    <w:rsid w:val="005D3A2D"/>
    <w:rsid w:val="005D3B7D"/>
    <w:rsid w:val="005D3C9B"/>
    <w:rsid w:val="005D3CA0"/>
    <w:rsid w:val="005D3EFA"/>
    <w:rsid w:val="005D3F13"/>
    <w:rsid w:val="005D3FAE"/>
    <w:rsid w:val="005D40AC"/>
    <w:rsid w:val="005D411D"/>
    <w:rsid w:val="005D4527"/>
    <w:rsid w:val="005D479B"/>
    <w:rsid w:val="005D4C85"/>
    <w:rsid w:val="005D4E7E"/>
    <w:rsid w:val="005D5462"/>
    <w:rsid w:val="005D54C9"/>
    <w:rsid w:val="005D55EF"/>
    <w:rsid w:val="005D5704"/>
    <w:rsid w:val="005D577E"/>
    <w:rsid w:val="005D5B70"/>
    <w:rsid w:val="005D5CC7"/>
    <w:rsid w:val="005D5D4B"/>
    <w:rsid w:val="005D608D"/>
    <w:rsid w:val="005D630E"/>
    <w:rsid w:val="005D64E8"/>
    <w:rsid w:val="005D6694"/>
    <w:rsid w:val="005D6700"/>
    <w:rsid w:val="005D6785"/>
    <w:rsid w:val="005D67A0"/>
    <w:rsid w:val="005D6ADA"/>
    <w:rsid w:val="005D6BCF"/>
    <w:rsid w:val="005D6C07"/>
    <w:rsid w:val="005D6CE8"/>
    <w:rsid w:val="005D6D42"/>
    <w:rsid w:val="005D6E25"/>
    <w:rsid w:val="005D6E6B"/>
    <w:rsid w:val="005D70B8"/>
    <w:rsid w:val="005D7380"/>
    <w:rsid w:val="005D76AD"/>
    <w:rsid w:val="005D780B"/>
    <w:rsid w:val="005D7A6B"/>
    <w:rsid w:val="005D7A6C"/>
    <w:rsid w:val="005D7A90"/>
    <w:rsid w:val="005D7B0F"/>
    <w:rsid w:val="005D7BB7"/>
    <w:rsid w:val="005D7DE4"/>
    <w:rsid w:val="005D7E4F"/>
    <w:rsid w:val="005D7F4F"/>
    <w:rsid w:val="005E0128"/>
    <w:rsid w:val="005E039B"/>
    <w:rsid w:val="005E051C"/>
    <w:rsid w:val="005E0648"/>
    <w:rsid w:val="005E07DA"/>
    <w:rsid w:val="005E084C"/>
    <w:rsid w:val="005E08D0"/>
    <w:rsid w:val="005E08F3"/>
    <w:rsid w:val="005E0A06"/>
    <w:rsid w:val="005E0CB8"/>
    <w:rsid w:val="005E0D57"/>
    <w:rsid w:val="005E1023"/>
    <w:rsid w:val="005E1166"/>
    <w:rsid w:val="005E1256"/>
    <w:rsid w:val="005E1368"/>
    <w:rsid w:val="005E14A0"/>
    <w:rsid w:val="005E1558"/>
    <w:rsid w:val="005E1612"/>
    <w:rsid w:val="005E1623"/>
    <w:rsid w:val="005E17FF"/>
    <w:rsid w:val="005E1953"/>
    <w:rsid w:val="005E1995"/>
    <w:rsid w:val="005E19A0"/>
    <w:rsid w:val="005E1A3F"/>
    <w:rsid w:val="005E1AD5"/>
    <w:rsid w:val="005E1B0A"/>
    <w:rsid w:val="005E1B9F"/>
    <w:rsid w:val="005E1C57"/>
    <w:rsid w:val="005E1D98"/>
    <w:rsid w:val="005E1EEE"/>
    <w:rsid w:val="005E1F86"/>
    <w:rsid w:val="005E205E"/>
    <w:rsid w:val="005E232D"/>
    <w:rsid w:val="005E25D7"/>
    <w:rsid w:val="005E2717"/>
    <w:rsid w:val="005E2849"/>
    <w:rsid w:val="005E291E"/>
    <w:rsid w:val="005E2A0A"/>
    <w:rsid w:val="005E2CF8"/>
    <w:rsid w:val="005E3020"/>
    <w:rsid w:val="005E3029"/>
    <w:rsid w:val="005E3263"/>
    <w:rsid w:val="005E34CE"/>
    <w:rsid w:val="005E367E"/>
    <w:rsid w:val="005E37DC"/>
    <w:rsid w:val="005E3976"/>
    <w:rsid w:val="005E39CF"/>
    <w:rsid w:val="005E3A0A"/>
    <w:rsid w:val="005E3AAE"/>
    <w:rsid w:val="005E3CAA"/>
    <w:rsid w:val="005E3EC9"/>
    <w:rsid w:val="005E432D"/>
    <w:rsid w:val="005E452C"/>
    <w:rsid w:val="005E46A5"/>
    <w:rsid w:val="005E48B5"/>
    <w:rsid w:val="005E48F5"/>
    <w:rsid w:val="005E4F85"/>
    <w:rsid w:val="005E4FAA"/>
    <w:rsid w:val="005E5115"/>
    <w:rsid w:val="005E51EC"/>
    <w:rsid w:val="005E5289"/>
    <w:rsid w:val="005E57ED"/>
    <w:rsid w:val="005E59B0"/>
    <w:rsid w:val="005E5A15"/>
    <w:rsid w:val="005E5A79"/>
    <w:rsid w:val="005E5F26"/>
    <w:rsid w:val="005E616B"/>
    <w:rsid w:val="005E6272"/>
    <w:rsid w:val="005E62A9"/>
    <w:rsid w:val="005E643B"/>
    <w:rsid w:val="005E6458"/>
    <w:rsid w:val="005E6495"/>
    <w:rsid w:val="005E6645"/>
    <w:rsid w:val="005E66DB"/>
    <w:rsid w:val="005E675E"/>
    <w:rsid w:val="005E67B0"/>
    <w:rsid w:val="005E6AE2"/>
    <w:rsid w:val="005E6C6F"/>
    <w:rsid w:val="005E6CD9"/>
    <w:rsid w:val="005E704F"/>
    <w:rsid w:val="005E7100"/>
    <w:rsid w:val="005E71B5"/>
    <w:rsid w:val="005E764B"/>
    <w:rsid w:val="005E765D"/>
    <w:rsid w:val="005E785C"/>
    <w:rsid w:val="005E792C"/>
    <w:rsid w:val="005E7990"/>
    <w:rsid w:val="005E7B61"/>
    <w:rsid w:val="005E7CC1"/>
    <w:rsid w:val="005F03FF"/>
    <w:rsid w:val="005F041F"/>
    <w:rsid w:val="005F069F"/>
    <w:rsid w:val="005F06AC"/>
    <w:rsid w:val="005F0777"/>
    <w:rsid w:val="005F0AC6"/>
    <w:rsid w:val="005F0DBE"/>
    <w:rsid w:val="005F0E27"/>
    <w:rsid w:val="005F1386"/>
    <w:rsid w:val="005F1421"/>
    <w:rsid w:val="005F153B"/>
    <w:rsid w:val="005F1696"/>
    <w:rsid w:val="005F1B80"/>
    <w:rsid w:val="005F1D32"/>
    <w:rsid w:val="005F1D71"/>
    <w:rsid w:val="005F208F"/>
    <w:rsid w:val="005F2243"/>
    <w:rsid w:val="005F22E0"/>
    <w:rsid w:val="005F239C"/>
    <w:rsid w:val="005F23F2"/>
    <w:rsid w:val="005F2463"/>
    <w:rsid w:val="005F24E0"/>
    <w:rsid w:val="005F24F6"/>
    <w:rsid w:val="005F271E"/>
    <w:rsid w:val="005F275F"/>
    <w:rsid w:val="005F27F2"/>
    <w:rsid w:val="005F2A8B"/>
    <w:rsid w:val="005F2B41"/>
    <w:rsid w:val="005F2C71"/>
    <w:rsid w:val="005F2CA3"/>
    <w:rsid w:val="005F2DA1"/>
    <w:rsid w:val="005F2EBB"/>
    <w:rsid w:val="005F2F76"/>
    <w:rsid w:val="005F31CB"/>
    <w:rsid w:val="005F3474"/>
    <w:rsid w:val="005F365D"/>
    <w:rsid w:val="005F3662"/>
    <w:rsid w:val="005F36FB"/>
    <w:rsid w:val="005F36FE"/>
    <w:rsid w:val="005F37E5"/>
    <w:rsid w:val="005F3F5A"/>
    <w:rsid w:val="005F3FA2"/>
    <w:rsid w:val="005F401A"/>
    <w:rsid w:val="005F41B8"/>
    <w:rsid w:val="005F43E8"/>
    <w:rsid w:val="005F4460"/>
    <w:rsid w:val="005F4737"/>
    <w:rsid w:val="005F49B8"/>
    <w:rsid w:val="005F49BC"/>
    <w:rsid w:val="005F4B8F"/>
    <w:rsid w:val="005F4D47"/>
    <w:rsid w:val="005F4D87"/>
    <w:rsid w:val="005F50AE"/>
    <w:rsid w:val="005F597F"/>
    <w:rsid w:val="005F5CBE"/>
    <w:rsid w:val="005F5CFD"/>
    <w:rsid w:val="005F5E60"/>
    <w:rsid w:val="005F5E68"/>
    <w:rsid w:val="005F6090"/>
    <w:rsid w:val="005F60AD"/>
    <w:rsid w:val="005F6205"/>
    <w:rsid w:val="005F6401"/>
    <w:rsid w:val="005F6542"/>
    <w:rsid w:val="005F690C"/>
    <w:rsid w:val="005F6AC8"/>
    <w:rsid w:val="005F6EA1"/>
    <w:rsid w:val="005F6EAA"/>
    <w:rsid w:val="005F74CC"/>
    <w:rsid w:val="005F77A6"/>
    <w:rsid w:val="005F78C0"/>
    <w:rsid w:val="005F7967"/>
    <w:rsid w:val="005F7E8F"/>
    <w:rsid w:val="005F7F9E"/>
    <w:rsid w:val="006001E6"/>
    <w:rsid w:val="00600227"/>
    <w:rsid w:val="00600366"/>
    <w:rsid w:val="00600894"/>
    <w:rsid w:val="00600A5B"/>
    <w:rsid w:val="00600B4C"/>
    <w:rsid w:val="00600BF7"/>
    <w:rsid w:val="00600E54"/>
    <w:rsid w:val="00600EB0"/>
    <w:rsid w:val="00601468"/>
    <w:rsid w:val="0060159A"/>
    <w:rsid w:val="0060159B"/>
    <w:rsid w:val="00601742"/>
    <w:rsid w:val="006018E5"/>
    <w:rsid w:val="00601A18"/>
    <w:rsid w:val="00601A99"/>
    <w:rsid w:val="00601B3A"/>
    <w:rsid w:val="00601BF7"/>
    <w:rsid w:val="00601BFF"/>
    <w:rsid w:val="00601D1D"/>
    <w:rsid w:val="00601DBA"/>
    <w:rsid w:val="0060219B"/>
    <w:rsid w:val="0060267B"/>
    <w:rsid w:val="0060267D"/>
    <w:rsid w:val="0060296C"/>
    <w:rsid w:val="00602B35"/>
    <w:rsid w:val="00602DBE"/>
    <w:rsid w:val="0060305C"/>
    <w:rsid w:val="0060314B"/>
    <w:rsid w:val="0060318D"/>
    <w:rsid w:val="0060339D"/>
    <w:rsid w:val="00603772"/>
    <w:rsid w:val="00603A32"/>
    <w:rsid w:val="00603A38"/>
    <w:rsid w:val="00603A3D"/>
    <w:rsid w:val="00603B0D"/>
    <w:rsid w:val="00603BCF"/>
    <w:rsid w:val="00603EF3"/>
    <w:rsid w:val="00603F10"/>
    <w:rsid w:val="00604037"/>
    <w:rsid w:val="00604080"/>
    <w:rsid w:val="006042E0"/>
    <w:rsid w:val="006044CB"/>
    <w:rsid w:val="006044EC"/>
    <w:rsid w:val="0060453C"/>
    <w:rsid w:val="00604694"/>
    <w:rsid w:val="0060471C"/>
    <w:rsid w:val="00604851"/>
    <w:rsid w:val="00604880"/>
    <w:rsid w:val="00604A15"/>
    <w:rsid w:val="00604CB2"/>
    <w:rsid w:val="00604F2A"/>
    <w:rsid w:val="006050E1"/>
    <w:rsid w:val="0060530E"/>
    <w:rsid w:val="00605322"/>
    <w:rsid w:val="00605580"/>
    <w:rsid w:val="0060577D"/>
    <w:rsid w:val="0060592F"/>
    <w:rsid w:val="00605EC4"/>
    <w:rsid w:val="00605EF7"/>
    <w:rsid w:val="0060614F"/>
    <w:rsid w:val="00606574"/>
    <w:rsid w:val="00606754"/>
    <w:rsid w:val="00606858"/>
    <w:rsid w:val="00606872"/>
    <w:rsid w:val="00606920"/>
    <w:rsid w:val="0060714F"/>
    <w:rsid w:val="0060730C"/>
    <w:rsid w:val="00607424"/>
    <w:rsid w:val="00607478"/>
    <w:rsid w:val="006074FC"/>
    <w:rsid w:val="006075D1"/>
    <w:rsid w:val="00607BB3"/>
    <w:rsid w:val="00607CD5"/>
    <w:rsid w:val="0061052E"/>
    <w:rsid w:val="00610A5B"/>
    <w:rsid w:val="00610DD5"/>
    <w:rsid w:val="00611343"/>
    <w:rsid w:val="006116F4"/>
    <w:rsid w:val="0061177A"/>
    <w:rsid w:val="006117EA"/>
    <w:rsid w:val="006118A1"/>
    <w:rsid w:val="00611C99"/>
    <w:rsid w:val="00611DF3"/>
    <w:rsid w:val="00612256"/>
    <w:rsid w:val="006123AE"/>
    <w:rsid w:val="006124A5"/>
    <w:rsid w:val="00612C83"/>
    <w:rsid w:val="00612C8E"/>
    <w:rsid w:val="00612CF8"/>
    <w:rsid w:val="00612DD8"/>
    <w:rsid w:val="0061306E"/>
    <w:rsid w:val="00613104"/>
    <w:rsid w:val="00613430"/>
    <w:rsid w:val="006135C3"/>
    <w:rsid w:val="00613690"/>
    <w:rsid w:val="006136A7"/>
    <w:rsid w:val="006139C1"/>
    <w:rsid w:val="00613A52"/>
    <w:rsid w:val="00613ABA"/>
    <w:rsid w:val="00613D16"/>
    <w:rsid w:val="00613D90"/>
    <w:rsid w:val="00613DC2"/>
    <w:rsid w:val="006140A2"/>
    <w:rsid w:val="006141F5"/>
    <w:rsid w:val="00614554"/>
    <w:rsid w:val="006145A8"/>
    <w:rsid w:val="00614917"/>
    <w:rsid w:val="00614938"/>
    <w:rsid w:val="006149BB"/>
    <w:rsid w:val="00614EF2"/>
    <w:rsid w:val="00614FC4"/>
    <w:rsid w:val="006150E2"/>
    <w:rsid w:val="00615160"/>
    <w:rsid w:val="006151CC"/>
    <w:rsid w:val="00615357"/>
    <w:rsid w:val="0061555B"/>
    <w:rsid w:val="00615587"/>
    <w:rsid w:val="006155B2"/>
    <w:rsid w:val="006155D0"/>
    <w:rsid w:val="0061574B"/>
    <w:rsid w:val="0061577A"/>
    <w:rsid w:val="006157E3"/>
    <w:rsid w:val="00615D6E"/>
    <w:rsid w:val="00615E45"/>
    <w:rsid w:val="00615EC5"/>
    <w:rsid w:val="00615FF4"/>
    <w:rsid w:val="0061619E"/>
    <w:rsid w:val="00616286"/>
    <w:rsid w:val="006162F3"/>
    <w:rsid w:val="006163D4"/>
    <w:rsid w:val="006163DD"/>
    <w:rsid w:val="006163EB"/>
    <w:rsid w:val="006164ED"/>
    <w:rsid w:val="0061666E"/>
    <w:rsid w:val="00616984"/>
    <w:rsid w:val="00616A3E"/>
    <w:rsid w:val="00616A4C"/>
    <w:rsid w:val="00616BB9"/>
    <w:rsid w:val="00616D21"/>
    <w:rsid w:val="00616E39"/>
    <w:rsid w:val="00616E6B"/>
    <w:rsid w:val="006172F4"/>
    <w:rsid w:val="006173D9"/>
    <w:rsid w:val="00617553"/>
    <w:rsid w:val="006176C8"/>
    <w:rsid w:val="006178F2"/>
    <w:rsid w:val="00617E14"/>
    <w:rsid w:val="006200D7"/>
    <w:rsid w:val="006202C6"/>
    <w:rsid w:val="00620399"/>
    <w:rsid w:val="00620411"/>
    <w:rsid w:val="006204BD"/>
    <w:rsid w:val="006205B9"/>
    <w:rsid w:val="00620AC4"/>
    <w:rsid w:val="00620CD7"/>
    <w:rsid w:val="00620E57"/>
    <w:rsid w:val="00621032"/>
    <w:rsid w:val="00621151"/>
    <w:rsid w:val="00621494"/>
    <w:rsid w:val="00621514"/>
    <w:rsid w:val="006216DA"/>
    <w:rsid w:val="00621758"/>
    <w:rsid w:val="00621A54"/>
    <w:rsid w:val="00621AAF"/>
    <w:rsid w:val="00621DD7"/>
    <w:rsid w:val="00621E40"/>
    <w:rsid w:val="00621FCF"/>
    <w:rsid w:val="00622080"/>
    <w:rsid w:val="006221BC"/>
    <w:rsid w:val="00622298"/>
    <w:rsid w:val="00622314"/>
    <w:rsid w:val="006224D5"/>
    <w:rsid w:val="00622513"/>
    <w:rsid w:val="0062275D"/>
    <w:rsid w:val="006229AA"/>
    <w:rsid w:val="00622CDB"/>
    <w:rsid w:val="00622D5F"/>
    <w:rsid w:val="00622DF8"/>
    <w:rsid w:val="0062319B"/>
    <w:rsid w:val="0062341B"/>
    <w:rsid w:val="006235A4"/>
    <w:rsid w:val="00623618"/>
    <w:rsid w:val="00623790"/>
    <w:rsid w:val="00623B2A"/>
    <w:rsid w:val="00623E84"/>
    <w:rsid w:val="00623F5D"/>
    <w:rsid w:val="00623FA5"/>
    <w:rsid w:val="00623FEE"/>
    <w:rsid w:val="0062414A"/>
    <w:rsid w:val="00624183"/>
    <w:rsid w:val="00624344"/>
    <w:rsid w:val="00624421"/>
    <w:rsid w:val="0062444F"/>
    <w:rsid w:val="006244A3"/>
    <w:rsid w:val="006244EE"/>
    <w:rsid w:val="00624505"/>
    <w:rsid w:val="00624518"/>
    <w:rsid w:val="006245A9"/>
    <w:rsid w:val="00624950"/>
    <w:rsid w:val="00624986"/>
    <w:rsid w:val="00624ADE"/>
    <w:rsid w:val="00624B07"/>
    <w:rsid w:val="00624BB2"/>
    <w:rsid w:val="00624C23"/>
    <w:rsid w:val="00624DA4"/>
    <w:rsid w:val="00624DD5"/>
    <w:rsid w:val="00624DFA"/>
    <w:rsid w:val="00624E81"/>
    <w:rsid w:val="0062507B"/>
    <w:rsid w:val="0062509A"/>
    <w:rsid w:val="00625431"/>
    <w:rsid w:val="00625571"/>
    <w:rsid w:val="0062587D"/>
    <w:rsid w:val="00625880"/>
    <w:rsid w:val="006259F7"/>
    <w:rsid w:val="00625AD3"/>
    <w:rsid w:val="00625E3F"/>
    <w:rsid w:val="006260F6"/>
    <w:rsid w:val="006263C6"/>
    <w:rsid w:val="00626411"/>
    <w:rsid w:val="00626472"/>
    <w:rsid w:val="00626554"/>
    <w:rsid w:val="0062666B"/>
    <w:rsid w:val="006266E7"/>
    <w:rsid w:val="00626819"/>
    <w:rsid w:val="00626850"/>
    <w:rsid w:val="00626862"/>
    <w:rsid w:val="006268DC"/>
    <w:rsid w:val="006268F7"/>
    <w:rsid w:val="00626962"/>
    <w:rsid w:val="0062698C"/>
    <w:rsid w:val="00626A9B"/>
    <w:rsid w:val="00626B3E"/>
    <w:rsid w:val="00626B6E"/>
    <w:rsid w:val="00626C1E"/>
    <w:rsid w:val="00626D56"/>
    <w:rsid w:val="00627013"/>
    <w:rsid w:val="0062704B"/>
    <w:rsid w:val="0062708C"/>
    <w:rsid w:val="00627202"/>
    <w:rsid w:val="006273C1"/>
    <w:rsid w:val="00627494"/>
    <w:rsid w:val="0062778B"/>
    <w:rsid w:val="0062788A"/>
    <w:rsid w:val="00627920"/>
    <w:rsid w:val="00627A20"/>
    <w:rsid w:val="00627CB2"/>
    <w:rsid w:val="0063006B"/>
    <w:rsid w:val="0063010D"/>
    <w:rsid w:val="006303C0"/>
    <w:rsid w:val="006304E1"/>
    <w:rsid w:val="006306A4"/>
    <w:rsid w:val="0063084C"/>
    <w:rsid w:val="00630B34"/>
    <w:rsid w:val="00630BBF"/>
    <w:rsid w:val="00630E36"/>
    <w:rsid w:val="00630F0D"/>
    <w:rsid w:val="00630FD7"/>
    <w:rsid w:val="00630FDF"/>
    <w:rsid w:val="00630FF0"/>
    <w:rsid w:val="00631875"/>
    <w:rsid w:val="00631896"/>
    <w:rsid w:val="00631D5D"/>
    <w:rsid w:val="00631F69"/>
    <w:rsid w:val="0063245B"/>
    <w:rsid w:val="00632564"/>
    <w:rsid w:val="00632591"/>
    <w:rsid w:val="006325C8"/>
    <w:rsid w:val="0063268E"/>
    <w:rsid w:val="00632A22"/>
    <w:rsid w:val="00632AE9"/>
    <w:rsid w:val="00632C47"/>
    <w:rsid w:val="00632C6F"/>
    <w:rsid w:val="00632D8E"/>
    <w:rsid w:val="00632DC4"/>
    <w:rsid w:val="006330D7"/>
    <w:rsid w:val="0063340A"/>
    <w:rsid w:val="0063344F"/>
    <w:rsid w:val="0063361E"/>
    <w:rsid w:val="00633732"/>
    <w:rsid w:val="00633817"/>
    <w:rsid w:val="00634267"/>
    <w:rsid w:val="006343C5"/>
    <w:rsid w:val="006346D2"/>
    <w:rsid w:val="00634756"/>
    <w:rsid w:val="006347FB"/>
    <w:rsid w:val="00634826"/>
    <w:rsid w:val="006349B9"/>
    <w:rsid w:val="00634BBD"/>
    <w:rsid w:val="00634C4D"/>
    <w:rsid w:val="00634C4F"/>
    <w:rsid w:val="00634D83"/>
    <w:rsid w:val="00634FB1"/>
    <w:rsid w:val="00635087"/>
    <w:rsid w:val="0063530F"/>
    <w:rsid w:val="006353A7"/>
    <w:rsid w:val="00635649"/>
    <w:rsid w:val="006358DC"/>
    <w:rsid w:val="006359C9"/>
    <w:rsid w:val="00635AB3"/>
    <w:rsid w:val="00635C0F"/>
    <w:rsid w:val="00635C9B"/>
    <w:rsid w:val="00635CD9"/>
    <w:rsid w:val="00635E39"/>
    <w:rsid w:val="00636053"/>
    <w:rsid w:val="006360B5"/>
    <w:rsid w:val="00636210"/>
    <w:rsid w:val="00636244"/>
    <w:rsid w:val="006362D8"/>
    <w:rsid w:val="006362E1"/>
    <w:rsid w:val="0063642E"/>
    <w:rsid w:val="00636518"/>
    <w:rsid w:val="00636814"/>
    <w:rsid w:val="00636915"/>
    <w:rsid w:val="00636A30"/>
    <w:rsid w:val="00636C0F"/>
    <w:rsid w:val="00636C43"/>
    <w:rsid w:val="00636C46"/>
    <w:rsid w:val="00636D65"/>
    <w:rsid w:val="00636D8A"/>
    <w:rsid w:val="00636FDE"/>
    <w:rsid w:val="0063740D"/>
    <w:rsid w:val="006374D1"/>
    <w:rsid w:val="006375EA"/>
    <w:rsid w:val="00637846"/>
    <w:rsid w:val="006378B8"/>
    <w:rsid w:val="00637AB0"/>
    <w:rsid w:val="00637B38"/>
    <w:rsid w:val="00637C4F"/>
    <w:rsid w:val="00637F1E"/>
    <w:rsid w:val="00637F88"/>
    <w:rsid w:val="00640093"/>
    <w:rsid w:val="00640112"/>
    <w:rsid w:val="00640311"/>
    <w:rsid w:val="006403EA"/>
    <w:rsid w:val="00640479"/>
    <w:rsid w:val="0064052D"/>
    <w:rsid w:val="006406A5"/>
    <w:rsid w:val="00640874"/>
    <w:rsid w:val="0064094F"/>
    <w:rsid w:val="006409E6"/>
    <w:rsid w:val="006409E7"/>
    <w:rsid w:val="00640AD9"/>
    <w:rsid w:val="00640B3B"/>
    <w:rsid w:val="00641258"/>
    <w:rsid w:val="006413A7"/>
    <w:rsid w:val="006413A8"/>
    <w:rsid w:val="0064140F"/>
    <w:rsid w:val="00641479"/>
    <w:rsid w:val="006414FF"/>
    <w:rsid w:val="0064156B"/>
    <w:rsid w:val="0064158A"/>
    <w:rsid w:val="006415F2"/>
    <w:rsid w:val="00641634"/>
    <w:rsid w:val="006416F7"/>
    <w:rsid w:val="00641725"/>
    <w:rsid w:val="006418A0"/>
    <w:rsid w:val="0064193E"/>
    <w:rsid w:val="006419F6"/>
    <w:rsid w:val="00641C20"/>
    <w:rsid w:val="00641C86"/>
    <w:rsid w:val="00641CEE"/>
    <w:rsid w:val="00641F91"/>
    <w:rsid w:val="0064216F"/>
    <w:rsid w:val="00642281"/>
    <w:rsid w:val="00642410"/>
    <w:rsid w:val="006427DE"/>
    <w:rsid w:val="00642A17"/>
    <w:rsid w:val="00642AC3"/>
    <w:rsid w:val="00643211"/>
    <w:rsid w:val="0064327C"/>
    <w:rsid w:val="006433A6"/>
    <w:rsid w:val="00643416"/>
    <w:rsid w:val="00643477"/>
    <w:rsid w:val="006435F7"/>
    <w:rsid w:val="0064397C"/>
    <w:rsid w:val="00643A54"/>
    <w:rsid w:val="00643ABD"/>
    <w:rsid w:val="00643B95"/>
    <w:rsid w:val="00644080"/>
    <w:rsid w:val="006442F0"/>
    <w:rsid w:val="006444A9"/>
    <w:rsid w:val="0064473A"/>
    <w:rsid w:val="0064476F"/>
    <w:rsid w:val="00644828"/>
    <w:rsid w:val="006448DA"/>
    <w:rsid w:val="00644C6D"/>
    <w:rsid w:val="00644C82"/>
    <w:rsid w:val="0064504F"/>
    <w:rsid w:val="00645106"/>
    <w:rsid w:val="0064510C"/>
    <w:rsid w:val="006451BC"/>
    <w:rsid w:val="0064521E"/>
    <w:rsid w:val="006453FA"/>
    <w:rsid w:val="006455CE"/>
    <w:rsid w:val="00645761"/>
    <w:rsid w:val="00645923"/>
    <w:rsid w:val="00645B71"/>
    <w:rsid w:val="00645D2D"/>
    <w:rsid w:val="00645D55"/>
    <w:rsid w:val="00645E4B"/>
    <w:rsid w:val="00645F65"/>
    <w:rsid w:val="006460DA"/>
    <w:rsid w:val="00646368"/>
    <w:rsid w:val="0064639D"/>
    <w:rsid w:val="006465B4"/>
    <w:rsid w:val="006466B5"/>
    <w:rsid w:val="006469E0"/>
    <w:rsid w:val="006469E5"/>
    <w:rsid w:val="00646A27"/>
    <w:rsid w:val="00646B8A"/>
    <w:rsid w:val="00646DDE"/>
    <w:rsid w:val="00646F01"/>
    <w:rsid w:val="00646F7B"/>
    <w:rsid w:val="0064727C"/>
    <w:rsid w:val="00647284"/>
    <w:rsid w:val="00647429"/>
    <w:rsid w:val="00647659"/>
    <w:rsid w:val="006478CB"/>
    <w:rsid w:val="00647A54"/>
    <w:rsid w:val="00647C54"/>
    <w:rsid w:val="006501E1"/>
    <w:rsid w:val="00650319"/>
    <w:rsid w:val="0065038E"/>
    <w:rsid w:val="00650532"/>
    <w:rsid w:val="0065066D"/>
    <w:rsid w:val="00650769"/>
    <w:rsid w:val="00650790"/>
    <w:rsid w:val="006508A8"/>
    <w:rsid w:val="00650A05"/>
    <w:rsid w:val="00650D0D"/>
    <w:rsid w:val="00650D2D"/>
    <w:rsid w:val="00650D72"/>
    <w:rsid w:val="00650EBB"/>
    <w:rsid w:val="0065107D"/>
    <w:rsid w:val="00651126"/>
    <w:rsid w:val="006513C3"/>
    <w:rsid w:val="006513D6"/>
    <w:rsid w:val="00651673"/>
    <w:rsid w:val="006516A9"/>
    <w:rsid w:val="006516C9"/>
    <w:rsid w:val="006517A2"/>
    <w:rsid w:val="006518CA"/>
    <w:rsid w:val="006519DB"/>
    <w:rsid w:val="0065209A"/>
    <w:rsid w:val="0065234C"/>
    <w:rsid w:val="006523B5"/>
    <w:rsid w:val="00652563"/>
    <w:rsid w:val="006525BD"/>
    <w:rsid w:val="00652693"/>
    <w:rsid w:val="006527EA"/>
    <w:rsid w:val="00652B83"/>
    <w:rsid w:val="00652C01"/>
    <w:rsid w:val="00652D6F"/>
    <w:rsid w:val="00652ED6"/>
    <w:rsid w:val="00653344"/>
    <w:rsid w:val="0065378F"/>
    <w:rsid w:val="006538E3"/>
    <w:rsid w:val="00653933"/>
    <w:rsid w:val="00653A19"/>
    <w:rsid w:val="00653A7E"/>
    <w:rsid w:val="00653A9A"/>
    <w:rsid w:val="00653C38"/>
    <w:rsid w:val="00653D2B"/>
    <w:rsid w:val="00653F34"/>
    <w:rsid w:val="0065421D"/>
    <w:rsid w:val="00654388"/>
    <w:rsid w:val="006545A1"/>
    <w:rsid w:val="006545A7"/>
    <w:rsid w:val="006545DF"/>
    <w:rsid w:val="006546FC"/>
    <w:rsid w:val="00654981"/>
    <w:rsid w:val="00654B2E"/>
    <w:rsid w:val="00654CDB"/>
    <w:rsid w:val="00655099"/>
    <w:rsid w:val="006553DD"/>
    <w:rsid w:val="00655639"/>
    <w:rsid w:val="00655693"/>
    <w:rsid w:val="00655842"/>
    <w:rsid w:val="00655904"/>
    <w:rsid w:val="00655BBC"/>
    <w:rsid w:val="00655D55"/>
    <w:rsid w:val="00655D65"/>
    <w:rsid w:val="00655D96"/>
    <w:rsid w:val="00655E36"/>
    <w:rsid w:val="00655F86"/>
    <w:rsid w:val="006560BE"/>
    <w:rsid w:val="0065625C"/>
    <w:rsid w:val="006568AA"/>
    <w:rsid w:val="00656C25"/>
    <w:rsid w:val="00656C73"/>
    <w:rsid w:val="00656C87"/>
    <w:rsid w:val="00656D3D"/>
    <w:rsid w:val="00656FCB"/>
    <w:rsid w:val="0065709B"/>
    <w:rsid w:val="0065742F"/>
    <w:rsid w:val="0065744C"/>
    <w:rsid w:val="00657457"/>
    <w:rsid w:val="006574E4"/>
    <w:rsid w:val="00657580"/>
    <w:rsid w:val="0065763D"/>
    <w:rsid w:val="00657682"/>
    <w:rsid w:val="0065778F"/>
    <w:rsid w:val="00657806"/>
    <w:rsid w:val="0065790C"/>
    <w:rsid w:val="006579F8"/>
    <w:rsid w:val="00657A48"/>
    <w:rsid w:val="00657AF6"/>
    <w:rsid w:val="00657C9B"/>
    <w:rsid w:val="0066006E"/>
    <w:rsid w:val="0066013B"/>
    <w:rsid w:val="0066015F"/>
    <w:rsid w:val="006601CB"/>
    <w:rsid w:val="006603F3"/>
    <w:rsid w:val="006604FD"/>
    <w:rsid w:val="0066052F"/>
    <w:rsid w:val="00660559"/>
    <w:rsid w:val="00660B54"/>
    <w:rsid w:val="00660C1C"/>
    <w:rsid w:val="00660C94"/>
    <w:rsid w:val="00660D47"/>
    <w:rsid w:val="00660F02"/>
    <w:rsid w:val="00660F7D"/>
    <w:rsid w:val="006612B8"/>
    <w:rsid w:val="00661333"/>
    <w:rsid w:val="00661598"/>
    <w:rsid w:val="006616EC"/>
    <w:rsid w:val="006618B7"/>
    <w:rsid w:val="0066192E"/>
    <w:rsid w:val="006619CF"/>
    <w:rsid w:val="00661E29"/>
    <w:rsid w:val="00661ED4"/>
    <w:rsid w:val="006624B6"/>
    <w:rsid w:val="006624E8"/>
    <w:rsid w:val="006624EB"/>
    <w:rsid w:val="006629EA"/>
    <w:rsid w:val="00662A1F"/>
    <w:rsid w:val="00662AFF"/>
    <w:rsid w:val="00662C59"/>
    <w:rsid w:val="00662D4C"/>
    <w:rsid w:val="00662D85"/>
    <w:rsid w:val="00663066"/>
    <w:rsid w:val="006631A8"/>
    <w:rsid w:val="0066332D"/>
    <w:rsid w:val="0066334E"/>
    <w:rsid w:val="006635E5"/>
    <w:rsid w:val="006635E9"/>
    <w:rsid w:val="00663773"/>
    <w:rsid w:val="00663834"/>
    <w:rsid w:val="006638E6"/>
    <w:rsid w:val="00663A56"/>
    <w:rsid w:val="00663B19"/>
    <w:rsid w:val="00663D7A"/>
    <w:rsid w:val="00663DBF"/>
    <w:rsid w:val="00663F8E"/>
    <w:rsid w:val="006641C0"/>
    <w:rsid w:val="00664254"/>
    <w:rsid w:val="00664260"/>
    <w:rsid w:val="006643FB"/>
    <w:rsid w:val="00664405"/>
    <w:rsid w:val="006645B3"/>
    <w:rsid w:val="0066466A"/>
    <w:rsid w:val="0066481C"/>
    <w:rsid w:val="00664857"/>
    <w:rsid w:val="00664927"/>
    <w:rsid w:val="00664C28"/>
    <w:rsid w:val="00664D18"/>
    <w:rsid w:val="00664F1B"/>
    <w:rsid w:val="006652D3"/>
    <w:rsid w:val="00665BC2"/>
    <w:rsid w:val="00665D62"/>
    <w:rsid w:val="00665E25"/>
    <w:rsid w:val="00665ED2"/>
    <w:rsid w:val="00665F87"/>
    <w:rsid w:val="00665FBD"/>
    <w:rsid w:val="00666285"/>
    <w:rsid w:val="00666335"/>
    <w:rsid w:val="00666439"/>
    <w:rsid w:val="0066687C"/>
    <w:rsid w:val="006668FE"/>
    <w:rsid w:val="00666945"/>
    <w:rsid w:val="00666D0F"/>
    <w:rsid w:val="00666DE1"/>
    <w:rsid w:val="00666E75"/>
    <w:rsid w:val="00666F49"/>
    <w:rsid w:val="0066709C"/>
    <w:rsid w:val="00667747"/>
    <w:rsid w:val="0066778F"/>
    <w:rsid w:val="0066792B"/>
    <w:rsid w:val="006679D8"/>
    <w:rsid w:val="00667D9F"/>
    <w:rsid w:val="00667DDE"/>
    <w:rsid w:val="00667FD5"/>
    <w:rsid w:val="0067007B"/>
    <w:rsid w:val="00670099"/>
    <w:rsid w:val="006700E5"/>
    <w:rsid w:val="0067040C"/>
    <w:rsid w:val="00670443"/>
    <w:rsid w:val="006704DC"/>
    <w:rsid w:val="00670559"/>
    <w:rsid w:val="006705A5"/>
    <w:rsid w:val="00670661"/>
    <w:rsid w:val="006706B9"/>
    <w:rsid w:val="006706C5"/>
    <w:rsid w:val="006706F2"/>
    <w:rsid w:val="00670744"/>
    <w:rsid w:val="006709A9"/>
    <w:rsid w:val="00670A1A"/>
    <w:rsid w:val="00670B67"/>
    <w:rsid w:val="00670DC3"/>
    <w:rsid w:val="00670DDA"/>
    <w:rsid w:val="00670EEE"/>
    <w:rsid w:val="0067118F"/>
    <w:rsid w:val="00671292"/>
    <w:rsid w:val="006712C4"/>
    <w:rsid w:val="006716DE"/>
    <w:rsid w:val="006716F9"/>
    <w:rsid w:val="00671744"/>
    <w:rsid w:val="0067194D"/>
    <w:rsid w:val="00671AB3"/>
    <w:rsid w:val="00671B85"/>
    <w:rsid w:val="00671BFA"/>
    <w:rsid w:val="00671D20"/>
    <w:rsid w:val="00671DEA"/>
    <w:rsid w:val="00671F0C"/>
    <w:rsid w:val="00672010"/>
    <w:rsid w:val="0067204E"/>
    <w:rsid w:val="006720A3"/>
    <w:rsid w:val="006722B5"/>
    <w:rsid w:val="0067260F"/>
    <w:rsid w:val="00672977"/>
    <w:rsid w:val="006729A3"/>
    <w:rsid w:val="00672A34"/>
    <w:rsid w:val="00672A80"/>
    <w:rsid w:val="00672C84"/>
    <w:rsid w:val="00672DCD"/>
    <w:rsid w:val="00672DEC"/>
    <w:rsid w:val="00672F6C"/>
    <w:rsid w:val="0067308C"/>
    <w:rsid w:val="0067311F"/>
    <w:rsid w:val="0067317B"/>
    <w:rsid w:val="0067327F"/>
    <w:rsid w:val="00673542"/>
    <w:rsid w:val="00673615"/>
    <w:rsid w:val="00673659"/>
    <w:rsid w:val="00673844"/>
    <w:rsid w:val="006739A6"/>
    <w:rsid w:val="00673A1A"/>
    <w:rsid w:val="00673B0D"/>
    <w:rsid w:val="00673BB9"/>
    <w:rsid w:val="00673CB3"/>
    <w:rsid w:val="00673D38"/>
    <w:rsid w:val="00673DB9"/>
    <w:rsid w:val="006742FB"/>
    <w:rsid w:val="00674300"/>
    <w:rsid w:val="00674363"/>
    <w:rsid w:val="00674389"/>
    <w:rsid w:val="006744C0"/>
    <w:rsid w:val="0067464D"/>
    <w:rsid w:val="00674663"/>
    <w:rsid w:val="00674753"/>
    <w:rsid w:val="006747CD"/>
    <w:rsid w:val="006748D5"/>
    <w:rsid w:val="006749BC"/>
    <w:rsid w:val="00674C23"/>
    <w:rsid w:val="006751C5"/>
    <w:rsid w:val="00675435"/>
    <w:rsid w:val="00675591"/>
    <w:rsid w:val="00675722"/>
    <w:rsid w:val="006759F9"/>
    <w:rsid w:val="00675A23"/>
    <w:rsid w:val="00675A50"/>
    <w:rsid w:val="00675A5F"/>
    <w:rsid w:val="00675A6D"/>
    <w:rsid w:val="00675C54"/>
    <w:rsid w:val="00675C85"/>
    <w:rsid w:val="00675D4B"/>
    <w:rsid w:val="00675E35"/>
    <w:rsid w:val="00675EC7"/>
    <w:rsid w:val="00676145"/>
    <w:rsid w:val="00676187"/>
    <w:rsid w:val="0067620F"/>
    <w:rsid w:val="006762A5"/>
    <w:rsid w:val="006763AA"/>
    <w:rsid w:val="0067649C"/>
    <w:rsid w:val="006764A5"/>
    <w:rsid w:val="006765FE"/>
    <w:rsid w:val="006768DA"/>
    <w:rsid w:val="00676AAA"/>
    <w:rsid w:val="00676B92"/>
    <w:rsid w:val="00676CCF"/>
    <w:rsid w:val="00676FFF"/>
    <w:rsid w:val="00677035"/>
    <w:rsid w:val="006771A2"/>
    <w:rsid w:val="006772B7"/>
    <w:rsid w:val="006772C2"/>
    <w:rsid w:val="006772E5"/>
    <w:rsid w:val="006773A1"/>
    <w:rsid w:val="006773B1"/>
    <w:rsid w:val="00677674"/>
    <w:rsid w:val="0067789F"/>
    <w:rsid w:val="00677942"/>
    <w:rsid w:val="00677964"/>
    <w:rsid w:val="00677E5C"/>
    <w:rsid w:val="00677EAE"/>
    <w:rsid w:val="00677EBB"/>
    <w:rsid w:val="00677FA1"/>
    <w:rsid w:val="0068005B"/>
    <w:rsid w:val="0068027C"/>
    <w:rsid w:val="0068055E"/>
    <w:rsid w:val="00680768"/>
    <w:rsid w:val="00680803"/>
    <w:rsid w:val="00680C17"/>
    <w:rsid w:val="00680D37"/>
    <w:rsid w:val="00680F45"/>
    <w:rsid w:val="0068103C"/>
    <w:rsid w:val="006811E0"/>
    <w:rsid w:val="00681335"/>
    <w:rsid w:val="0068136F"/>
    <w:rsid w:val="0068141F"/>
    <w:rsid w:val="006814DC"/>
    <w:rsid w:val="00681763"/>
    <w:rsid w:val="0068188F"/>
    <w:rsid w:val="006819BA"/>
    <w:rsid w:val="00681A02"/>
    <w:rsid w:val="00681F15"/>
    <w:rsid w:val="00682033"/>
    <w:rsid w:val="006827BC"/>
    <w:rsid w:val="006829F8"/>
    <w:rsid w:val="00682B8F"/>
    <w:rsid w:val="00682C09"/>
    <w:rsid w:val="00682D05"/>
    <w:rsid w:val="00682FE2"/>
    <w:rsid w:val="006833F9"/>
    <w:rsid w:val="006834EE"/>
    <w:rsid w:val="0068376B"/>
    <w:rsid w:val="006838C6"/>
    <w:rsid w:val="00683917"/>
    <w:rsid w:val="006841AD"/>
    <w:rsid w:val="006841C5"/>
    <w:rsid w:val="0068434F"/>
    <w:rsid w:val="00684532"/>
    <w:rsid w:val="006846B0"/>
    <w:rsid w:val="006846F5"/>
    <w:rsid w:val="006847D7"/>
    <w:rsid w:val="006848C9"/>
    <w:rsid w:val="00684C5A"/>
    <w:rsid w:val="00685262"/>
    <w:rsid w:val="006852DF"/>
    <w:rsid w:val="0068541A"/>
    <w:rsid w:val="0068586B"/>
    <w:rsid w:val="006859C7"/>
    <w:rsid w:val="00685B17"/>
    <w:rsid w:val="00685B48"/>
    <w:rsid w:val="00685B8E"/>
    <w:rsid w:val="00685BC8"/>
    <w:rsid w:val="00685CF6"/>
    <w:rsid w:val="00685E84"/>
    <w:rsid w:val="00685F60"/>
    <w:rsid w:val="00686387"/>
    <w:rsid w:val="00686429"/>
    <w:rsid w:val="00686C4A"/>
    <w:rsid w:val="00686CA7"/>
    <w:rsid w:val="00686CB6"/>
    <w:rsid w:val="00686D68"/>
    <w:rsid w:val="00686DAF"/>
    <w:rsid w:val="00686EE0"/>
    <w:rsid w:val="00687277"/>
    <w:rsid w:val="0068758E"/>
    <w:rsid w:val="006879AC"/>
    <w:rsid w:val="00687C1A"/>
    <w:rsid w:val="00687EA4"/>
    <w:rsid w:val="00687FE8"/>
    <w:rsid w:val="00690047"/>
    <w:rsid w:val="00690126"/>
    <w:rsid w:val="00690221"/>
    <w:rsid w:val="006902CF"/>
    <w:rsid w:val="00690338"/>
    <w:rsid w:val="006903EC"/>
    <w:rsid w:val="0069069D"/>
    <w:rsid w:val="00690784"/>
    <w:rsid w:val="006909CF"/>
    <w:rsid w:val="00690CE0"/>
    <w:rsid w:val="00690D97"/>
    <w:rsid w:val="00690E5C"/>
    <w:rsid w:val="00691101"/>
    <w:rsid w:val="00691396"/>
    <w:rsid w:val="00691880"/>
    <w:rsid w:val="006918BB"/>
    <w:rsid w:val="00691E00"/>
    <w:rsid w:val="00691E46"/>
    <w:rsid w:val="00691E47"/>
    <w:rsid w:val="00691FE7"/>
    <w:rsid w:val="00692105"/>
    <w:rsid w:val="00692112"/>
    <w:rsid w:val="00692119"/>
    <w:rsid w:val="0069226D"/>
    <w:rsid w:val="006925AB"/>
    <w:rsid w:val="006925DD"/>
    <w:rsid w:val="00692736"/>
    <w:rsid w:val="0069292E"/>
    <w:rsid w:val="00692BA9"/>
    <w:rsid w:val="00692BED"/>
    <w:rsid w:val="00692CFC"/>
    <w:rsid w:val="00692EDF"/>
    <w:rsid w:val="006932ED"/>
    <w:rsid w:val="00693737"/>
    <w:rsid w:val="006938E5"/>
    <w:rsid w:val="00693C79"/>
    <w:rsid w:val="00693D0D"/>
    <w:rsid w:val="00693D35"/>
    <w:rsid w:val="00693E91"/>
    <w:rsid w:val="00693EC7"/>
    <w:rsid w:val="00693EEA"/>
    <w:rsid w:val="0069400C"/>
    <w:rsid w:val="00694042"/>
    <w:rsid w:val="006941F0"/>
    <w:rsid w:val="0069435C"/>
    <w:rsid w:val="00694407"/>
    <w:rsid w:val="00694544"/>
    <w:rsid w:val="006946BA"/>
    <w:rsid w:val="006946C1"/>
    <w:rsid w:val="00694779"/>
    <w:rsid w:val="00694A98"/>
    <w:rsid w:val="00694BF0"/>
    <w:rsid w:val="00694D76"/>
    <w:rsid w:val="00694F91"/>
    <w:rsid w:val="00694FAC"/>
    <w:rsid w:val="00695127"/>
    <w:rsid w:val="00695774"/>
    <w:rsid w:val="0069581F"/>
    <w:rsid w:val="0069595F"/>
    <w:rsid w:val="00695981"/>
    <w:rsid w:val="00695BFD"/>
    <w:rsid w:val="00695CEE"/>
    <w:rsid w:val="00695D0C"/>
    <w:rsid w:val="00695D21"/>
    <w:rsid w:val="00695F27"/>
    <w:rsid w:val="0069605B"/>
    <w:rsid w:val="0069648D"/>
    <w:rsid w:val="006964FD"/>
    <w:rsid w:val="00696517"/>
    <w:rsid w:val="0069667B"/>
    <w:rsid w:val="00696741"/>
    <w:rsid w:val="006967FC"/>
    <w:rsid w:val="0069691F"/>
    <w:rsid w:val="00696B68"/>
    <w:rsid w:val="00696C24"/>
    <w:rsid w:val="00696C8E"/>
    <w:rsid w:val="00696D44"/>
    <w:rsid w:val="00696E1D"/>
    <w:rsid w:val="00697153"/>
    <w:rsid w:val="0069742D"/>
    <w:rsid w:val="006978BB"/>
    <w:rsid w:val="00697971"/>
    <w:rsid w:val="00697B19"/>
    <w:rsid w:val="00697C26"/>
    <w:rsid w:val="00697C97"/>
    <w:rsid w:val="00697CA2"/>
    <w:rsid w:val="00697FD9"/>
    <w:rsid w:val="006A000D"/>
    <w:rsid w:val="006A0150"/>
    <w:rsid w:val="006A01E7"/>
    <w:rsid w:val="006A01F0"/>
    <w:rsid w:val="006A025C"/>
    <w:rsid w:val="006A06F7"/>
    <w:rsid w:val="006A07A3"/>
    <w:rsid w:val="006A0BCB"/>
    <w:rsid w:val="006A0CA7"/>
    <w:rsid w:val="006A0CF9"/>
    <w:rsid w:val="006A0DC8"/>
    <w:rsid w:val="006A10B2"/>
    <w:rsid w:val="006A12CD"/>
    <w:rsid w:val="006A1B3A"/>
    <w:rsid w:val="006A1BBA"/>
    <w:rsid w:val="006A1CDF"/>
    <w:rsid w:val="006A1D43"/>
    <w:rsid w:val="006A1DBA"/>
    <w:rsid w:val="006A1DE7"/>
    <w:rsid w:val="006A21E3"/>
    <w:rsid w:val="006A2251"/>
    <w:rsid w:val="006A22F9"/>
    <w:rsid w:val="006A230B"/>
    <w:rsid w:val="006A2694"/>
    <w:rsid w:val="006A287A"/>
    <w:rsid w:val="006A288C"/>
    <w:rsid w:val="006A296D"/>
    <w:rsid w:val="006A2B5F"/>
    <w:rsid w:val="006A30B6"/>
    <w:rsid w:val="006A34E0"/>
    <w:rsid w:val="006A392A"/>
    <w:rsid w:val="006A3934"/>
    <w:rsid w:val="006A3E9E"/>
    <w:rsid w:val="006A3F93"/>
    <w:rsid w:val="006A4020"/>
    <w:rsid w:val="006A403F"/>
    <w:rsid w:val="006A40E6"/>
    <w:rsid w:val="006A42C1"/>
    <w:rsid w:val="006A42C3"/>
    <w:rsid w:val="006A42D7"/>
    <w:rsid w:val="006A4535"/>
    <w:rsid w:val="006A464F"/>
    <w:rsid w:val="006A4681"/>
    <w:rsid w:val="006A46C5"/>
    <w:rsid w:val="006A4931"/>
    <w:rsid w:val="006A4D17"/>
    <w:rsid w:val="006A4F47"/>
    <w:rsid w:val="006A4FB5"/>
    <w:rsid w:val="006A5159"/>
    <w:rsid w:val="006A519A"/>
    <w:rsid w:val="006A52BC"/>
    <w:rsid w:val="006A5377"/>
    <w:rsid w:val="006A5416"/>
    <w:rsid w:val="006A556B"/>
    <w:rsid w:val="006A55F1"/>
    <w:rsid w:val="006A56F0"/>
    <w:rsid w:val="006A59C2"/>
    <w:rsid w:val="006A5AD3"/>
    <w:rsid w:val="006A5AD9"/>
    <w:rsid w:val="006A5EC1"/>
    <w:rsid w:val="006A600C"/>
    <w:rsid w:val="006A61A8"/>
    <w:rsid w:val="006A61BE"/>
    <w:rsid w:val="006A624E"/>
    <w:rsid w:val="006A63E4"/>
    <w:rsid w:val="006A6478"/>
    <w:rsid w:val="006A64E2"/>
    <w:rsid w:val="006A652D"/>
    <w:rsid w:val="006A6685"/>
    <w:rsid w:val="006A669D"/>
    <w:rsid w:val="006A6754"/>
    <w:rsid w:val="006A68EA"/>
    <w:rsid w:val="006A69CE"/>
    <w:rsid w:val="006A69E4"/>
    <w:rsid w:val="006A6C20"/>
    <w:rsid w:val="006A6CAD"/>
    <w:rsid w:val="006A6E0C"/>
    <w:rsid w:val="006A6F94"/>
    <w:rsid w:val="006A6FD4"/>
    <w:rsid w:val="006A71DE"/>
    <w:rsid w:val="006A721F"/>
    <w:rsid w:val="006A757C"/>
    <w:rsid w:val="006A77DC"/>
    <w:rsid w:val="006A7AD9"/>
    <w:rsid w:val="006A7AF2"/>
    <w:rsid w:val="006A7C78"/>
    <w:rsid w:val="006A7CC9"/>
    <w:rsid w:val="006A7D43"/>
    <w:rsid w:val="006A7F1F"/>
    <w:rsid w:val="006B0275"/>
    <w:rsid w:val="006B02C6"/>
    <w:rsid w:val="006B0971"/>
    <w:rsid w:val="006B09CE"/>
    <w:rsid w:val="006B0AB7"/>
    <w:rsid w:val="006B0AF4"/>
    <w:rsid w:val="006B0C97"/>
    <w:rsid w:val="006B0DC9"/>
    <w:rsid w:val="006B0E49"/>
    <w:rsid w:val="006B1082"/>
    <w:rsid w:val="006B1111"/>
    <w:rsid w:val="006B115D"/>
    <w:rsid w:val="006B126A"/>
    <w:rsid w:val="006B1272"/>
    <w:rsid w:val="006B16CB"/>
    <w:rsid w:val="006B18D7"/>
    <w:rsid w:val="006B1A02"/>
    <w:rsid w:val="006B1A5C"/>
    <w:rsid w:val="006B1D5A"/>
    <w:rsid w:val="006B1F4B"/>
    <w:rsid w:val="006B1F80"/>
    <w:rsid w:val="006B219D"/>
    <w:rsid w:val="006B233B"/>
    <w:rsid w:val="006B2385"/>
    <w:rsid w:val="006B24E5"/>
    <w:rsid w:val="006B253E"/>
    <w:rsid w:val="006B26C0"/>
    <w:rsid w:val="006B2729"/>
    <w:rsid w:val="006B2A29"/>
    <w:rsid w:val="006B2C13"/>
    <w:rsid w:val="006B2CCE"/>
    <w:rsid w:val="006B2CDA"/>
    <w:rsid w:val="006B2D52"/>
    <w:rsid w:val="006B2ECB"/>
    <w:rsid w:val="006B314C"/>
    <w:rsid w:val="006B3237"/>
    <w:rsid w:val="006B3251"/>
    <w:rsid w:val="006B3721"/>
    <w:rsid w:val="006B3852"/>
    <w:rsid w:val="006B40D8"/>
    <w:rsid w:val="006B4110"/>
    <w:rsid w:val="006B41EA"/>
    <w:rsid w:val="006B44B1"/>
    <w:rsid w:val="006B49BF"/>
    <w:rsid w:val="006B49CE"/>
    <w:rsid w:val="006B49D8"/>
    <w:rsid w:val="006B4A1E"/>
    <w:rsid w:val="006B4DC4"/>
    <w:rsid w:val="006B4E37"/>
    <w:rsid w:val="006B4F55"/>
    <w:rsid w:val="006B4F80"/>
    <w:rsid w:val="006B4FC7"/>
    <w:rsid w:val="006B5057"/>
    <w:rsid w:val="006B5429"/>
    <w:rsid w:val="006B5558"/>
    <w:rsid w:val="006B5582"/>
    <w:rsid w:val="006B55A6"/>
    <w:rsid w:val="006B55E7"/>
    <w:rsid w:val="006B5686"/>
    <w:rsid w:val="006B58AE"/>
    <w:rsid w:val="006B5A8F"/>
    <w:rsid w:val="006B5CAF"/>
    <w:rsid w:val="006B5DF9"/>
    <w:rsid w:val="006B5F24"/>
    <w:rsid w:val="006B5FD7"/>
    <w:rsid w:val="006B6146"/>
    <w:rsid w:val="006B61C3"/>
    <w:rsid w:val="006B61D5"/>
    <w:rsid w:val="006B65CB"/>
    <w:rsid w:val="006B668D"/>
    <w:rsid w:val="006B669E"/>
    <w:rsid w:val="006B6AC9"/>
    <w:rsid w:val="006B6AE4"/>
    <w:rsid w:val="006B6D3A"/>
    <w:rsid w:val="006B6E36"/>
    <w:rsid w:val="006B70CA"/>
    <w:rsid w:val="006B729A"/>
    <w:rsid w:val="006B729E"/>
    <w:rsid w:val="006B73A3"/>
    <w:rsid w:val="006B7445"/>
    <w:rsid w:val="006B75CC"/>
    <w:rsid w:val="006B7669"/>
    <w:rsid w:val="006B7C94"/>
    <w:rsid w:val="006B7DBF"/>
    <w:rsid w:val="006C03BC"/>
    <w:rsid w:val="006C05BF"/>
    <w:rsid w:val="006C05FC"/>
    <w:rsid w:val="006C0696"/>
    <w:rsid w:val="006C085F"/>
    <w:rsid w:val="006C0888"/>
    <w:rsid w:val="006C0B46"/>
    <w:rsid w:val="006C0EC6"/>
    <w:rsid w:val="006C10E4"/>
    <w:rsid w:val="006C11B4"/>
    <w:rsid w:val="006C130D"/>
    <w:rsid w:val="006C1494"/>
    <w:rsid w:val="006C1522"/>
    <w:rsid w:val="006C18C1"/>
    <w:rsid w:val="006C1B6B"/>
    <w:rsid w:val="006C1E6C"/>
    <w:rsid w:val="006C23AB"/>
    <w:rsid w:val="006C23C0"/>
    <w:rsid w:val="006C2429"/>
    <w:rsid w:val="006C26A7"/>
    <w:rsid w:val="006C28D5"/>
    <w:rsid w:val="006C29EE"/>
    <w:rsid w:val="006C2A0F"/>
    <w:rsid w:val="006C2A8C"/>
    <w:rsid w:val="006C2B17"/>
    <w:rsid w:val="006C2B8D"/>
    <w:rsid w:val="006C2C36"/>
    <w:rsid w:val="006C2C6C"/>
    <w:rsid w:val="006C3154"/>
    <w:rsid w:val="006C325B"/>
    <w:rsid w:val="006C331B"/>
    <w:rsid w:val="006C335E"/>
    <w:rsid w:val="006C33A5"/>
    <w:rsid w:val="006C36DB"/>
    <w:rsid w:val="006C3748"/>
    <w:rsid w:val="006C37FA"/>
    <w:rsid w:val="006C39DE"/>
    <w:rsid w:val="006C3CFD"/>
    <w:rsid w:val="006C3D2A"/>
    <w:rsid w:val="006C3DA7"/>
    <w:rsid w:val="006C3E1F"/>
    <w:rsid w:val="006C3E36"/>
    <w:rsid w:val="006C4115"/>
    <w:rsid w:val="006C45F5"/>
    <w:rsid w:val="006C478F"/>
    <w:rsid w:val="006C4809"/>
    <w:rsid w:val="006C4A90"/>
    <w:rsid w:val="006C4CC3"/>
    <w:rsid w:val="006C4F46"/>
    <w:rsid w:val="006C4F96"/>
    <w:rsid w:val="006C5097"/>
    <w:rsid w:val="006C5130"/>
    <w:rsid w:val="006C5176"/>
    <w:rsid w:val="006C52DF"/>
    <w:rsid w:val="006C5671"/>
    <w:rsid w:val="006C5DA0"/>
    <w:rsid w:val="006C5E20"/>
    <w:rsid w:val="006C5EFD"/>
    <w:rsid w:val="006C61B1"/>
    <w:rsid w:val="006C62D6"/>
    <w:rsid w:val="006C62F8"/>
    <w:rsid w:val="006C65D6"/>
    <w:rsid w:val="006C6712"/>
    <w:rsid w:val="006C6848"/>
    <w:rsid w:val="006C6BCA"/>
    <w:rsid w:val="006C6E4B"/>
    <w:rsid w:val="006C6F68"/>
    <w:rsid w:val="006C6FE5"/>
    <w:rsid w:val="006C71B2"/>
    <w:rsid w:val="006C728C"/>
    <w:rsid w:val="006C7823"/>
    <w:rsid w:val="006C7C97"/>
    <w:rsid w:val="006D0013"/>
    <w:rsid w:val="006D02A9"/>
    <w:rsid w:val="006D0880"/>
    <w:rsid w:val="006D0DD5"/>
    <w:rsid w:val="006D1783"/>
    <w:rsid w:val="006D19A1"/>
    <w:rsid w:val="006D2016"/>
    <w:rsid w:val="006D2158"/>
    <w:rsid w:val="006D2263"/>
    <w:rsid w:val="006D2311"/>
    <w:rsid w:val="006D25AD"/>
    <w:rsid w:val="006D25E9"/>
    <w:rsid w:val="006D2631"/>
    <w:rsid w:val="006D2779"/>
    <w:rsid w:val="006D27B2"/>
    <w:rsid w:val="006D27FE"/>
    <w:rsid w:val="006D2A63"/>
    <w:rsid w:val="006D2ABE"/>
    <w:rsid w:val="006D2C64"/>
    <w:rsid w:val="006D2CB0"/>
    <w:rsid w:val="006D2E85"/>
    <w:rsid w:val="006D2EE9"/>
    <w:rsid w:val="006D2FA4"/>
    <w:rsid w:val="006D307A"/>
    <w:rsid w:val="006D311B"/>
    <w:rsid w:val="006D311C"/>
    <w:rsid w:val="006D31C8"/>
    <w:rsid w:val="006D3559"/>
    <w:rsid w:val="006D36B2"/>
    <w:rsid w:val="006D393C"/>
    <w:rsid w:val="006D3A95"/>
    <w:rsid w:val="006D3CE2"/>
    <w:rsid w:val="006D3CF5"/>
    <w:rsid w:val="006D3E35"/>
    <w:rsid w:val="006D3FFE"/>
    <w:rsid w:val="006D4066"/>
    <w:rsid w:val="006D4180"/>
    <w:rsid w:val="006D42BF"/>
    <w:rsid w:val="006D444B"/>
    <w:rsid w:val="006D44A2"/>
    <w:rsid w:val="006D4508"/>
    <w:rsid w:val="006D4A4A"/>
    <w:rsid w:val="006D4A4D"/>
    <w:rsid w:val="006D4C21"/>
    <w:rsid w:val="006D4FBB"/>
    <w:rsid w:val="006D5100"/>
    <w:rsid w:val="006D5467"/>
    <w:rsid w:val="006D55FA"/>
    <w:rsid w:val="006D5759"/>
    <w:rsid w:val="006D57DD"/>
    <w:rsid w:val="006D5DE5"/>
    <w:rsid w:val="006D6018"/>
    <w:rsid w:val="006D61D6"/>
    <w:rsid w:val="006D62B9"/>
    <w:rsid w:val="006D6302"/>
    <w:rsid w:val="006D6BB0"/>
    <w:rsid w:val="006D6DCC"/>
    <w:rsid w:val="006D6E64"/>
    <w:rsid w:val="006D6EDE"/>
    <w:rsid w:val="006D6EF1"/>
    <w:rsid w:val="006D7025"/>
    <w:rsid w:val="006D702D"/>
    <w:rsid w:val="006D763D"/>
    <w:rsid w:val="006D7682"/>
    <w:rsid w:val="006D787A"/>
    <w:rsid w:val="006D7D4C"/>
    <w:rsid w:val="006D7DE1"/>
    <w:rsid w:val="006D7E56"/>
    <w:rsid w:val="006E00C0"/>
    <w:rsid w:val="006E024B"/>
    <w:rsid w:val="006E033B"/>
    <w:rsid w:val="006E0688"/>
    <w:rsid w:val="006E068F"/>
    <w:rsid w:val="006E06D5"/>
    <w:rsid w:val="006E0AE2"/>
    <w:rsid w:val="006E0C00"/>
    <w:rsid w:val="006E0F58"/>
    <w:rsid w:val="006E13E8"/>
    <w:rsid w:val="006E17C3"/>
    <w:rsid w:val="006E180E"/>
    <w:rsid w:val="006E1987"/>
    <w:rsid w:val="006E1AAE"/>
    <w:rsid w:val="006E1C9E"/>
    <w:rsid w:val="006E1D4E"/>
    <w:rsid w:val="006E1DA8"/>
    <w:rsid w:val="006E1EC0"/>
    <w:rsid w:val="006E1F28"/>
    <w:rsid w:val="006E2209"/>
    <w:rsid w:val="006E2238"/>
    <w:rsid w:val="006E240D"/>
    <w:rsid w:val="006E2446"/>
    <w:rsid w:val="006E25B4"/>
    <w:rsid w:val="006E2619"/>
    <w:rsid w:val="006E27BE"/>
    <w:rsid w:val="006E2A3F"/>
    <w:rsid w:val="006E2B7A"/>
    <w:rsid w:val="006E2EDC"/>
    <w:rsid w:val="006E2FDA"/>
    <w:rsid w:val="006E3153"/>
    <w:rsid w:val="006E318D"/>
    <w:rsid w:val="006E3313"/>
    <w:rsid w:val="006E3562"/>
    <w:rsid w:val="006E3596"/>
    <w:rsid w:val="006E3843"/>
    <w:rsid w:val="006E38FA"/>
    <w:rsid w:val="006E39D6"/>
    <w:rsid w:val="006E3BB4"/>
    <w:rsid w:val="006E3D8D"/>
    <w:rsid w:val="006E3E77"/>
    <w:rsid w:val="006E3FCC"/>
    <w:rsid w:val="006E423D"/>
    <w:rsid w:val="006E428A"/>
    <w:rsid w:val="006E462E"/>
    <w:rsid w:val="006E47C1"/>
    <w:rsid w:val="006E4908"/>
    <w:rsid w:val="006E4A2F"/>
    <w:rsid w:val="006E4A6B"/>
    <w:rsid w:val="006E4A93"/>
    <w:rsid w:val="006E4BE6"/>
    <w:rsid w:val="006E4D35"/>
    <w:rsid w:val="006E4EFF"/>
    <w:rsid w:val="006E50A7"/>
    <w:rsid w:val="006E5351"/>
    <w:rsid w:val="006E5762"/>
    <w:rsid w:val="006E57D3"/>
    <w:rsid w:val="006E5927"/>
    <w:rsid w:val="006E5BDB"/>
    <w:rsid w:val="006E5C30"/>
    <w:rsid w:val="006E5F2B"/>
    <w:rsid w:val="006E65E6"/>
    <w:rsid w:val="006E672D"/>
    <w:rsid w:val="006E67B6"/>
    <w:rsid w:val="006E6843"/>
    <w:rsid w:val="006E685B"/>
    <w:rsid w:val="006E689B"/>
    <w:rsid w:val="006E6932"/>
    <w:rsid w:val="006E6B9A"/>
    <w:rsid w:val="006E6CA9"/>
    <w:rsid w:val="006E6F75"/>
    <w:rsid w:val="006E7062"/>
    <w:rsid w:val="006E7193"/>
    <w:rsid w:val="006E732F"/>
    <w:rsid w:val="006E7623"/>
    <w:rsid w:val="006E7748"/>
    <w:rsid w:val="006E792B"/>
    <w:rsid w:val="006E7997"/>
    <w:rsid w:val="006E79D4"/>
    <w:rsid w:val="006E7F38"/>
    <w:rsid w:val="006E7F46"/>
    <w:rsid w:val="006F01F6"/>
    <w:rsid w:val="006F029E"/>
    <w:rsid w:val="006F038C"/>
    <w:rsid w:val="006F0551"/>
    <w:rsid w:val="006F068B"/>
    <w:rsid w:val="006F07A5"/>
    <w:rsid w:val="006F099D"/>
    <w:rsid w:val="006F09DF"/>
    <w:rsid w:val="006F0BAB"/>
    <w:rsid w:val="006F0F56"/>
    <w:rsid w:val="006F0F7E"/>
    <w:rsid w:val="006F0F85"/>
    <w:rsid w:val="006F11E5"/>
    <w:rsid w:val="006F15BD"/>
    <w:rsid w:val="006F15BE"/>
    <w:rsid w:val="006F180F"/>
    <w:rsid w:val="006F181E"/>
    <w:rsid w:val="006F187B"/>
    <w:rsid w:val="006F18A0"/>
    <w:rsid w:val="006F2107"/>
    <w:rsid w:val="006F2306"/>
    <w:rsid w:val="006F26F9"/>
    <w:rsid w:val="006F271C"/>
    <w:rsid w:val="006F291C"/>
    <w:rsid w:val="006F292D"/>
    <w:rsid w:val="006F2A9D"/>
    <w:rsid w:val="006F2B79"/>
    <w:rsid w:val="006F2BA1"/>
    <w:rsid w:val="006F2C20"/>
    <w:rsid w:val="006F2EAC"/>
    <w:rsid w:val="006F2F11"/>
    <w:rsid w:val="006F3692"/>
    <w:rsid w:val="006F3CB5"/>
    <w:rsid w:val="006F3FCF"/>
    <w:rsid w:val="006F406D"/>
    <w:rsid w:val="006F4220"/>
    <w:rsid w:val="006F4289"/>
    <w:rsid w:val="006F454D"/>
    <w:rsid w:val="006F46B6"/>
    <w:rsid w:val="006F46F5"/>
    <w:rsid w:val="006F486C"/>
    <w:rsid w:val="006F4875"/>
    <w:rsid w:val="006F4974"/>
    <w:rsid w:val="006F4A43"/>
    <w:rsid w:val="006F4A69"/>
    <w:rsid w:val="006F4B77"/>
    <w:rsid w:val="006F4B7B"/>
    <w:rsid w:val="006F4D9C"/>
    <w:rsid w:val="006F5145"/>
    <w:rsid w:val="006F51CE"/>
    <w:rsid w:val="006F55D8"/>
    <w:rsid w:val="006F586E"/>
    <w:rsid w:val="006F5901"/>
    <w:rsid w:val="006F5C61"/>
    <w:rsid w:val="006F5DAF"/>
    <w:rsid w:val="006F5F92"/>
    <w:rsid w:val="006F5FE0"/>
    <w:rsid w:val="006F609C"/>
    <w:rsid w:val="006F698B"/>
    <w:rsid w:val="006F6A30"/>
    <w:rsid w:val="006F6A61"/>
    <w:rsid w:val="006F6C72"/>
    <w:rsid w:val="006F6D1E"/>
    <w:rsid w:val="006F74B6"/>
    <w:rsid w:val="006F7510"/>
    <w:rsid w:val="006F7C84"/>
    <w:rsid w:val="006F7DF0"/>
    <w:rsid w:val="006F7FF4"/>
    <w:rsid w:val="0070000E"/>
    <w:rsid w:val="0070002F"/>
    <w:rsid w:val="00700271"/>
    <w:rsid w:val="007002A2"/>
    <w:rsid w:val="007004D4"/>
    <w:rsid w:val="00700559"/>
    <w:rsid w:val="007005D3"/>
    <w:rsid w:val="007007B2"/>
    <w:rsid w:val="007007B6"/>
    <w:rsid w:val="00700A02"/>
    <w:rsid w:val="00700AFC"/>
    <w:rsid w:val="00700CF9"/>
    <w:rsid w:val="0070107B"/>
    <w:rsid w:val="0070124F"/>
    <w:rsid w:val="00701308"/>
    <w:rsid w:val="00701357"/>
    <w:rsid w:val="007014C9"/>
    <w:rsid w:val="0070160A"/>
    <w:rsid w:val="00701673"/>
    <w:rsid w:val="007016E1"/>
    <w:rsid w:val="00701749"/>
    <w:rsid w:val="00701C5A"/>
    <w:rsid w:val="00701CD9"/>
    <w:rsid w:val="00702062"/>
    <w:rsid w:val="00702304"/>
    <w:rsid w:val="0070231A"/>
    <w:rsid w:val="00702495"/>
    <w:rsid w:val="007024E7"/>
    <w:rsid w:val="00702637"/>
    <w:rsid w:val="0070273A"/>
    <w:rsid w:val="00702868"/>
    <w:rsid w:val="00702963"/>
    <w:rsid w:val="00702A3F"/>
    <w:rsid w:val="00702A7B"/>
    <w:rsid w:val="00702AE2"/>
    <w:rsid w:val="00702E31"/>
    <w:rsid w:val="00702EAA"/>
    <w:rsid w:val="00702EFA"/>
    <w:rsid w:val="00703087"/>
    <w:rsid w:val="007031CD"/>
    <w:rsid w:val="007032D5"/>
    <w:rsid w:val="00703567"/>
    <w:rsid w:val="00703964"/>
    <w:rsid w:val="007039B1"/>
    <w:rsid w:val="00703C49"/>
    <w:rsid w:val="00703C8F"/>
    <w:rsid w:val="00703D54"/>
    <w:rsid w:val="00703FA0"/>
    <w:rsid w:val="00703FCF"/>
    <w:rsid w:val="0070415B"/>
    <w:rsid w:val="00704496"/>
    <w:rsid w:val="00704518"/>
    <w:rsid w:val="00704575"/>
    <w:rsid w:val="00704576"/>
    <w:rsid w:val="00704875"/>
    <w:rsid w:val="00704B7B"/>
    <w:rsid w:val="00704DC7"/>
    <w:rsid w:val="00704DEC"/>
    <w:rsid w:val="00705301"/>
    <w:rsid w:val="007055B0"/>
    <w:rsid w:val="0070563C"/>
    <w:rsid w:val="00705810"/>
    <w:rsid w:val="0070635E"/>
    <w:rsid w:val="00706665"/>
    <w:rsid w:val="00706679"/>
    <w:rsid w:val="00706927"/>
    <w:rsid w:val="00706A6C"/>
    <w:rsid w:val="00706A71"/>
    <w:rsid w:val="0070719C"/>
    <w:rsid w:val="007071B8"/>
    <w:rsid w:val="00707252"/>
    <w:rsid w:val="00707372"/>
    <w:rsid w:val="00707517"/>
    <w:rsid w:val="007078FD"/>
    <w:rsid w:val="00707A28"/>
    <w:rsid w:val="0071013A"/>
    <w:rsid w:val="00710191"/>
    <w:rsid w:val="00710255"/>
    <w:rsid w:val="007102EA"/>
    <w:rsid w:val="007103B8"/>
    <w:rsid w:val="00710597"/>
    <w:rsid w:val="00710959"/>
    <w:rsid w:val="007109B5"/>
    <w:rsid w:val="00710AB1"/>
    <w:rsid w:val="00710DA0"/>
    <w:rsid w:val="00710DDE"/>
    <w:rsid w:val="00710FA5"/>
    <w:rsid w:val="007112B6"/>
    <w:rsid w:val="0071173B"/>
    <w:rsid w:val="007117B9"/>
    <w:rsid w:val="007117BC"/>
    <w:rsid w:val="00711812"/>
    <w:rsid w:val="00711987"/>
    <w:rsid w:val="00711ADD"/>
    <w:rsid w:val="00711C53"/>
    <w:rsid w:val="00711E7B"/>
    <w:rsid w:val="007120DD"/>
    <w:rsid w:val="00712116"/>
    <w:rsid w:val="00712447"/>
    <w:rsid w:val="00712469"/>
    <w:rsid w:val="00712731"/>
    <w:rsid w:val="00712800"/>
    <w:rsid w:val="00712CBC"/>
    <w:rsid w:val="00712D40"/>
    <w:rsid w:val="00712FA8"/>
    <w:rsid w:val="0071301F"/>
    <w:rsid w:val="007133CA"/>
    <w:rsid w:val="0071372A"/>
    <w:rsid w:val="00713D27"/>
    <w:rsid w:val="00713E8F"/>
    <w:rsid w:val="00713F97"/>
    <w:rsid w:val="00714357"/>
    <w:rsid w:val="0071440C"/>
    <w:rsid w:val="0071466C"/>
    <w:rsid w:val="007146FC"/>
    <w:rsid w:val="00714C82"/>
    <w:rsid w:val="0071503A"/>
    <w:rsid w:val="0071513C"/>
    <w:rsid w:val="007151D0"/>
    <w:rsid w:val="0071532A"/>
    <w:rsid w:val="00715336"/>
    <w:rsid w:val="0071599B"/>
    <w:rsid w:val="00715C34"/>
    <w:rsid w:val="00715D1F"/>
    <w:rsid w:val="00715F51"/>
    <w:rsid w:val="007160BD"/>
    <w:rsid w:val="00716400"/>
    <w:rsid w:val="007164BB"/>
    <w:rsid w:val="00716564"/>
    <w:rsid w:val="00716618"/>
    <w:rsid w:val="0071665B"/>
    <w:rsid w:val="00716687"/>
    <w:rsid w:val="0071683E"/>
    <w:rsid w:val="00716934"/>
    <w:rsid w:val="0071697F"/>
    <w:rsid w:val="00716CAA"/>
    <w:rsid w:val="00716D02"/>
    <w:rsid w:val="00716F17"/>
    <w:rsid w:val="00716F3A"/>
    <w:rsid w:val="00716FF7"/>
    <w:rsid w:val="007170C4"/>
    <w:rsid w:val="00717131"/>
    <w:rsid w:val="00717B66"/>
    <w:rsid w:val="007200C0"/>
    <w:rsid w:val="00720418"/>
    <w:rsid w:val="0072073B"/>
    <w:rsid w:val="00720751"/>
    <w:rsid w:val="00720D39"/>
    <w:rsid w:val="00720D79"/>
    <w:rsid w:val="00720E0F"/>
    <w:rsid w:val="0072112E"/>
    <w:rsid w:val="00721162"/>
    <w:rsid w:val="00721284"/>
    <w:rsid w:val="007212A0"/>
    <w:rsid w:val="007212CE"/>
    <w:rsid w:val="007213C1"/>
    <w:rsid w:val="007214AE"/>
    <w:rsid w:val="007215C6"/>
    <w:rsid w:val="00721671"/>
    <w:rsid w:val="00721799"/>
    <w:rsid w:val="00721992"/>
    <w:rsid w:val="00721A81"/>
    <w:rsid w:val="00721A9F"/>
    <w:rsid w:val="00721B4F"/>
    <w:rsid w:val="00722205"/>
    <w:rsid w:val="007223BE"/>
    <w:rsid w:val="00722495"/>
    <w:rsid w:val="007227B3"/>
    <w:rsid w:val="00722861"/>
    <w:rsid w:val="0072296C"/>
    <w:rsid w:val="00722A29"/>
    <w:rsid w:val="00722CF8"/>
    <w:rsid w:val="00722DC5"/>
    <w:rsid w:val="00722EC5"/>
    <w:rsid w:val="00723276"/>
    <w:rsid w:val="0072359D"/>
    <w:rsid w:val="007235BA"/>
    <w:rsid w:val="007237AF"/>
    <w:rsid w:val="007238DA"/>
    <w:rsid w:val="0072399F"/>
    <w:rsid w:val="00723B65"/>
    <w:rsid w:val="00723BC9"/>
    <w:rsid w:val="00723C47"/>
    <w:rsid w:val="00723C8F"/>
    <w:rsid w:val="00723CE4"/>
    <w:rsid w:val="0072449F"/>
    <w:rsid w:val="00724544"/>
    <w:rsid w:val="0072469C"/>
    <w:rsid w:val="007246E1"/>
    <w:rsid w:val="00724708"/>
    <w:rsid w:val="007247BB"/>
    <w:rsid w:val="00724912"/>
    <w:rsid w:val="0072496A"/>
    <w:rsid w:val="00724AB2"/>
    <w:rsid w:val="00724B0D"/>
    <w:rsid w:val="00724CAB"/>
    <w:rsid w:val="00725046"/>
    <w:rsid w:val="0072512B"/>
    <w:rsid w:val="0072512C"/>
    <w:rsid w:val="007251C5"/>
    <w:rsid w:val="00725226"/>
    <w:rsid w:val="00725252"/>
    <w:rsid w:val="0072529B"/>
    <w:rsid w:val="0072542B"/>
    <w:rsid w:val="007256C5"/>
    <w:rsid w:val="007256FE"/>
    <w:rsid w:val="00725BE4"/>
    <w:rsid w:val="00725D39"/>
    <w:rsid w:val="00725E90"/>
    <w:rsid w:val="00725EE1"/>
    <w:rsid w:val="00725EE3"/>
    <w:rsid w:val="0072612B"/>
    <w:rsid w:val="00726157"/>
    <w:rsid w:val="0072615B"/>
    <w:rsid w:val="00726479"/>
    <w:rsid w:val="007267B0"/>
    <w:rsid w:val="00726BB2"/>
    <w:rsid w:val="0072717F"/>
    <w:rsid w:val="007271AC"/>
    <w:rsid w:val="00727288"/>
    <w:rsid w:val="00727801"/>
    <w:rsid w:val="00727B30"/>
    <w:rsid w:val="00727C89"/>
    <w:rsid w:val="00727FF8"/>
    <w:rsid w:val="007301B0"/>
    <w:rsid w:val="00730248"/>
    <w:rsid w:val="0073061A"/>
    <w:rsid w:val="007306A2"/>
    <w:rsid w:val="007306B6"/>
    <w:rsid w:val="00730974"/>
    <w:rsid w:val="00730A74"/>
    <w:rsid w:val="00730D12"/>
    <w:rsid w:val="007310DB"/>
    <w:rsid w:val="00731112"/>
    <w:rsid w:val="00731295"/>
    <w:rsid w:val="0073132E"/>
    <w:rsid w:val="007313C6"/>
    <w:rsid w:val="00731457"/>
    <w:rsid w:val="007317BF"/>
    <w:rsid w:val="007318CE"/>
    <w:rsid w:val="007318D3"/>
    <w:rsid w:val="00731AD5"/>
    <w:rsid w:val="00731BEC"/>
    <w:rsid w:val="00731C50"/>
    <w:rsid w:val="0073223F"/>
    <w:rsid w:val="0073231F"/>
    <w:rsid w:val="00732375"/>
    <w:rsid w:val="0073245B"/>
    <w:rsid w:val="00732512"/>
    <w:rsid w:val="00732A85"/>
    <w:rsid w:val="00732AD6"/>
    <w:rsid w:val="00732E0D"/>
    <w:rsid w:val="00732FF2"/>
    <w:rsid w:val="00733163"/>
    <w:rsid w:val="007332B8"/>
    <w:rsid w:val="00733355"/>
    <w:rsid w:val="00733491"/>
    <w:rsid w:val="007334FB"/>
    <w:rsid w:val="00733598"/>
    <w:rsid w:val="007336A0"/>
    <w:rsid w:val="007336C8"/>
    <w:rsid w:val="007337EF"/>
    <w:rsid w:val="00733831"/>
    <w:rsid w:val="007338B2"/>
    <w:rsid w:val="00733A6F"/>
    <w:rsid w:val="00733A88"/>
    <w:rsid w:val="00733AF0"/>
    <w:rsid w:val="00733BCF"/>
    <w:rsid w:val="00733FEF"/>
    <w:rsid w:val="007342C6"/>
    <w:rsid w:val="007343D4"/>
    <w:rsid w:val="007343E1"/>
    <w:rsid w:val="00734603"/>
    <w:rsid w:val="00734898"/>
    <w:rsid w:val="00734B38"/>
    <w:rsid w:val="00734D10"/>
    <w:rsid w:val="00734DF8"/>
    <w:rsid w:val="00734E0F"/>
    <w:rsid w:val="0073500C"/>
    <w:rsid w:val="0073531E"/>
    <w:rsid w:val="00735386"/>
    <w:rsid w:val="0073539B"/>
    <w:rsid w:val="00735547"/>
    <w:rsid w:val="00735594"/>
    <w:rsid w:val="0073595C"/>
    <w:rsid w:val="00735A53"/>
    <w:rsid w:val="00735C32"/>
    <w:rsid w:val="00736025"/>
    <w:rsid w:val="00736108"/>
    <w:rsid w:val="00736213"/>
    <w:rsid w:val="007365AD"/>
    <w:rsid w:val="00736684"/>
    <w:rsid w:val="007368CC"/>
    <w:rsid w:val="00736915"/>
    <w:rsid w:val="00736B99"/>
    <w:rsid w:val="00736BF8"/>
    <w:rsid w:val="00736D54"/>
    <w:rsid w:val="007371F7"/>
    <w:rsid w:val="007377C5"/>
    <w:rsid w:val="007378D5"/>
    <w:rsid w:val="00737AB8"/>
    <w:rsid w:val="00737AFF"/>
    <w:rsid w:val="00737CAA"/>
    <w:rsid w:val="00737DA7"/>
    <w:rsid w:val="00737F19"/>
    <w:rsid w:val="00740116"/>
    <w:rsid w:val="007402F5"/>
    <w:rsid w:val="007406D7"/>
    <w:rsid w:val="00740740"/>
    <w:rsid w:val="0074078A"/>
    <w:rsid w:val="007407B0"/>
    <w:rsid w:val="007409BA"/>
    <w:rsid w:val="00740B82"/>
    <w:rsid w:val="00740BB9"/>
    <w:rsid w:val="00740BE7"/>
    <w:rsid w:val="00740C58"/>
    <w:rsid w:val="00740EC4"/>
    <w:rsid w:val="0074104B"/>
    <w:rsid w:val="007410FC"/>
    <w:rsid w:val="007415D9"/>
    <w:rsid w:val="0074175F"/>
    <w:rsid w:val="00741D76"/>
    <w:rsid w:val="00741DCE"/>
    <w:rsid w:val="00741DFF"/>
    <w:rsid w:val="00741E8A"/>
    <w:rsid w:val="00741F1A"/>
    <w:rsid w:val="00741F1F"/>
    <w:rsid w:val="00741F5C"/>
    <w:rsid w:val="007424C4"/>
    <w:rsid w:val="00742A62"/>
    <w:rsid w:val="00742C68"/>
    <w:rsid w:val="00742E51"/>
    <w:rsid w:val="00743328"/>
    <w:rsid w:val="007434BF"/>
    <w:rsid w:val="00743735"/>
    <w:rsid w:val="007438BF"/>
    <w:rsid w:val="00743907"/>
    <w:rsid w:val="007439A2"/>
    <w:rsid w:val="00743A02"/>
    <w:rsid w:val="00743AFB"/>
    <w:rsid w:val="00743D48"/>
    <w:rsid w:val="00743DB1"/>
    <w:rsid w:val="00743DC1"/>
    <w:rsid w:val="00744333"/>
    <w:rsid w:val="007443FD"/>
    <w:rsid w:val="0074444E"/>
    <w:rsid w:val="0074454E"/>
    <w:rsid w:val="0074468B"/>
    <w:rsid w:val="0074476F"/>
    <w:rsid w:val="00744A1B"/>
    <w:rsid w:val="00744AA0"/>
    <w:rsid w:val="00744B4B"/>
    <w:rsid w:val="00744D93"/>
    <w:rsid w:val="00744F1B"/>
    <w:rsid w:val="00744F5E"/>
    <w:rsid w:val="00745271"/>
    <w:rsid w:val="0074527D"/>
    <w:rsid w:val="00745596"/>
    <w:rsid w:val="00745647"/>
    <w:rsid w:val="00745730"/>
    <w:rsid w:val="007457A3"/>
    <w:rsid w:val="007457E1"/>
    <w:rsid w:val="00745A0D"/>
    <w:rsid w:val="00745A9E"/>
    <w:rsid w:val="00745DA7"/>
    <w:rsid w:val="00745E39"/>
    <w:rsid w:val="0074600B"/>
    <w:rsid w:val="0074614A"/>
    <w:rsid w:val="00746326"/>
    <w:rsid w:val="00746432"/>
    <w:rsid w:val="00746475"/>
    <w:rsid w:val="0074679E"/>
    <w:rsid w:val="007467CF"/>
    <w:rsid w:val="00746975"/>
    <w:rsid w:val="00747050"/>
    <w:rsid w:val="0074711F"/>
    <w:rsid w:val="00747224"/>
    <w:rsid w:val="00747261"/>
    <w:rsid w:val="00747312"/>
    <w:rsid w:val="0074745F"/>
    <w:rsid w:val="00747573"/>
    <w:rsid w:val="007475C1"/>
    <w:rsid w:val="007476D3"/>
    <w:rsid w:val="007476E8"/>
    <w:rsid w:val="00747713"/>
    <w:rsid w:val="0074791F"/>
    <w:rsid w:val="00747A2B"/>
    <w:rsid w:val="00747A74"/>
    <w:rsid w:val="00747B48"/>
    <w:rsid w:val="00747E55"/>
    <w:rsid w:val="00747FF8"/>
    <w:rsid w:val="0075013D"/>
    <w:rsid w:val="007501A8"/>
    <w:rsid w:val="007502CF"/>
    <w:rsid w:val="00750401"/>
    <w:rsid w:val="00750493"/>
    <w:rsid w:val="00750751"/>
    <w:rsid w:val="00750B0A"/>
    <w:rsid w:val="00750BF6"/>
    <w:rsid w:val="007510A3"/>
    <w:rsid w:val="0075118C"/>
    <w:rsid w:val="00751298"/>
    <w:rsid w:val="007512C8"/>
    <w:rsid w:val="00751389"/>
    <w:rsid w:val="00751661"/>
    <w:rsid w:val="0075188D"/>
    <w:rsid w:val="007519B2"/>
    <w:rsid w:val="00751BE6"/>
    <w:rsid w:val="00751DFF"/>
    <w:rsid w:val="00751E58"/>
    <w:rsid w:val="00751F8F"/>
    <w:rsid w:val="0075219E"/>
    <w:rsid w:val="0075234C"/>
    <w:rsid w:val="007525BF"/>
    <w:rsid w:val="0075276B"/>
    <w:rsid w:val="0075281B"/>
    <w:rsid w:val="00752C40"/>
    <w:rsid w:val="00752E1C"/>
    <w:rsid w:val="00752EBF"/>
    <w:rsid w:val="0075311D"/>
    <w:rsid w:val="00753230"/>
    <w:rsid w:val="007533F9"/>
    <w:rsid w:val="0075347A"/>
    <w:rsid w:val="007536D9"/>
    <w:rsid w:val="00753743"/>
    <w:rsid w:val="00753794"/>
    <w:rsid w:val="007537B6"/>
    <w:rsid w:val="00753C22"/>
    <w:rsid w:val="00753CCF"/>
    <w:rsid w:val="00753CDF"/>
    <w:rsid w:val="00753E72"/>
    <w:rsid w:val="00753F76"/>
    <w:rsid w:val="00754070"/>
    <w:rsid w:val="007540CB"/>
    <w:rsid w:val="0075477A"/>
    <w:rsid w:val="0075483D"/>
    <w:rsid w:val="00754918"/>
    <w:rsid w:val="00754A61"/>
    <w:rsid w:val="00754CF2"/>
    <w:rsid w:val="00754DC6"/>
    <w:rsid w:val="00754E22"/>
    <w:rsid w:val="00754E3A"/>
    <w:rsid w:val="00754F54"/>
    <w:rsid w:val="007551E6"/>
    <w:rsid w:val="00755553"/>
    <w:rsid w:val="007555A0"/>
    <w:rsid w:val="00755605"/>
    <w:rsid w:val="00755826"/>
    <w:rsid w:val="0075583F"/>
    <w:rsid w:val="00755908"/>
    <w:rsid w:val="0075598D"/>
    <w:rsid w:val="00755B60"/>
    <w:rsid w:val="00755BA4"/>
    <w:rsid w:val="00755C5C"/>
    <w:rsid w:val="00755CAA"/>
    <w:rsid w:val="00755CE3"/>
    <w:rsid w:val="00755F34"/>
    <w:rsid w:val="00755F98"/>
    <w:rsid w:val="0075600F"/>
    <w:rsid w:val="007564B4"/>
    <w:rsid w:val="0075658C"/>
    <w:rsid w:val="00756593"/>
    <w:rsid w:val="007565BB"/>
    <w:rsid w:val="00756716"/>
    <w:rsid w:val="007567C5"/>
    <w:rsid w:val="00756AA6"/>
    <w:rsid w:val="00756BAE"/>
    <w:rsid w:val="00756CDA"/>
    <w:rsid w:val="00756FA9"/>
    <w:rsid w:val="007571AB"/>
    <w:rsid w:val="00757330"/>
    <w:rsid w:val="0075739B"/>
    <w:rsid w:val="00757419"/>
    <w:rsid w:val="00757479"/>
    <w:rsid w:val="007574B8"/>
    <w:rsid w:val="007575DC"/>
    <w:rsid w:val="007577B1"/>
    <w:rsid w:val="00757863"/>
    <w:rsid w:val="0075792B"/>
    <w:rsid w:val="00757A1C"/>
    <w:rsid w:val="00757BB3"/>
    <w:rsid w:val="00757CF6"/>
    <w:rsid w:val="00757D47"/>
    <w:rsid w:val="00760059"/>
    <w:rsid w:val="0076009B"/>
    <w:rsid w:val="007601C5"/>
    <w:rsid w:val="00760521"/>
    <w:rsid w:val="00760791"/>
    <w:rsid w:val="007607D3"/>
    <w:rsid w:val="007607DB"/>
    <w:rsid w:val="00760B6F"/>
    <w:rsid w:val="00760C72"/>
    <w:rsid w:val="00760CB5"/>
    <w:rsid w:val="00760E28"/>
    <w:rsid w:val="00761002"/>
    <w:rsid w:val="0076104F"/>
    <w:rsid w:val="0076107A"/>
    <w:rsid w:val="007610A5"/>
    <w:rsid w:val="00761106"/>
    <w:rsid w:val="00761149"/>
    <w:rsid w:val="007611E4"/>
    <w:rsid w:val="00761497"/>
    <w:rsid w:val="007614C3"/>
    <w:rsid w:val="00761563"/>
    <w:rsid w:val="007617CB"/>
    <w:rsid w:val="0076208A"/>
    <w:rsid w:val="007620E2"/>
    <w:rsid w:val="007623BE"/>
    <w:rsid w:val="007624C2"/>
    <w:rsid w:val="00762514"/>
    <w:rsid w:val="00762568"/>
    <w:rsid w:val="007625BF"/>
    <w:rsid w:val="007626A0"/>
    <w:rsid w:val="00762908"/>
    <w:rsid w:val="00762B06"/>
    <w:rsid w:val="00762C98"/>
    <w:rsid w:val="00763288"/>
    <w:rsid w:val="0076349F"/>
    <w:rsid w:val="00763BE3"/>
    <w:rsid w:val="00763C17"/>
    <w:rsid w:val="00763C28"/>
    <w:rsid w:val="00763CD1"/>
    <w:rsid w:val="007641FF"/>
    <w:rsid w:val="00764281"/>
    <w:rsid w:val="007644AC"/>
    <w:rsid w:val="0076469E"/>
    <w:rsid w:val="0076473D"/>
    <w:rsid w:val="00764A07"/>
    <w:rsid w:val="00764A36"/>
    <w:rsid w:val="00764ABA"/>
    <w:rsid w:val="00764B48"/>
    <w:rsid w:val="00764CA5"/>
    <w:rsid w:val="00765485"/>
    <w:rsid w:val="00765901"/>
    <w:rsid w:val="00765946"/>
    <w:rsid w:val="007659CD"/>
    <w:rsid w:val="00765CAA"/>
    <w:rsid w:val="00765DEE"/>
    <w:rsid w:val="00765E71"/>
    <w:rsid w:val="00766327"/>
    <w:rsid w:val="007663C4"/>
    <w:rsid w:val="00766422"/>
    <w:rsid w:val="0076663C"/>
    <w:rsid w:val="00766772"/>
    <w:rsid w:val="00766803"/>
    <w:rsid w:val="0076693D"/>
    <w:rsid w:val="00766BD9"/>
    <w:rsid w:val="00766F2D"/>
    <w:rsid w:val="007673EB"/>
    <w:rsid w:val="007674A3"/>
    <w:rsid w:val="007674C5"/>
    <w:rsid w:val="00767647"/>
    <w:rsid w:val="0076772B"/>
    <w:rsid w:val="00767B46"/>
    <w:rsid w:val="00767C0B"/>
    <w:rsid w:val="00767CC4"/>
    <w:rsid w:val="00767FF0"/>
    <w:rsid w:val="0077015D"/>
    <w:rsid w:val="007703C7"/>
    <w:rsid w:val="00770482"/>
    <w:rsid w:val="007707A9"/>
    <w:rsid w:val="00770ADB"/>
    <w:rsid w:val="00770C86"/>
    <w:rsid w:val="007711D1"/>
    <w:rsid w:val="00771276"/>
    <w:rsid w:val="0077129F"/>
    <w:rsid w:val="00771594"/>
    <w:rsid w:val="007715E8"/>
    <w:rsid w:val="00771713"/>
    <w:rsid w:val="007717E4"/>
    <w:rsid w:val="0077187A"/>
    <w:rsid w:val="007718F9"/>
    <w:rsid w:val="00771B0C"/>
    <w:rsid w:val="00771B6A"/>
    <w:rsid w:val="00771EAF"/>
    <w:rsid w:val="007721DA"/>
    <w:rsid w:val="007729CC"/>
    <w:rsid w:val="00772CEC"/>
    <w:rsid w:val="00772FB2"/>
    <w:rsid w:val="00773047"/>
    <w:rsid w:val="00773202"/>
    <w:rsid w:val="0077372E"/>
    <w:rsid w:val="00773849"/>
    <w:rsid w:val="00773883"/>
    <w:rsid w:val="007739EF"/>
    <w:rsid w:val="00773C47"/>
    <w:rsid w:val="00773C6C"/>
    <w:rsid w:val="00773D6C"/>
    <w:rsid w:val="00774045"/>
    <w:rsid w:val="007740DC"/>
    <w:rsid w:val="007740FE"/>
    <w:rsid w:val="007742B0"/>
    <w:rsid w:val="007744C4"/>
    <w:rsid w:val="007745ED"/>
    <w:rsid w:val="007749A6"/>
    <w:rsid w:val="007749BB"/>
    <w:rsid w:val="00774CA5"/>
    <w:rsid w:val="00774D81"/>
    <w:rsid w:val="007750CC"/>
    <w:rsid w:val="0077521C"/>
    <w:rsid w:val="007752FA"/>
    <w:rsid w:val="00775307"/>
    <w:rsid w:val="00775395"/>
    <w:rsid w:val="00775514"/>
    <w:rsid w:val="007755D1"/>
    <w:rsid w:val="00775731"/>
    <w:rsid w:val="00775915"/>
    <w:rsid w:val="00775B26"/>
    <w:rsid w:val="00775B54"/>
    <w:rsid w:val="00775DA1"/>
    <w:rsid w:val="00775FF7"/>
    <w:rsid w:val="007761A6"/>
    <w:rsid w:val="007763AD"/>
    <w:rsid w:val="00776441"/>
    <w:rsid w:val="00776456"/>
    <w:rsid w:val="00776560"/>
    <w:rsid w:val="00776573"/>
    <w:rsid w:val="0077657B"/>
    <w:rsid w:val="007767F2"/>
    <w:rsid w:val="007769E9"/>
    <w:rsid w:val="00776AE5"/>
    <w:rsid w:val="00776B54"/>
    <w:rsid w:val="00776B6B"/>
    <w:rsid w:val="00776F55"/>
    <w:rsid w:val="00777057"/>
    <w:rsid w:val="007770F1"/>
    <w:rsid w:val="007771C4"/>
    <w:rsid w:val="00777368"/>
    <w:rsid w:val="0077753D"/>
    <w:rsid w:val="0077754C"/>
    <w:rsid w:val="00777686"/>
    <w:rsid w:val="007776EC"/>
    <w:rsid w:val="00777AC4"/>
    <w:rsid w:val="00777C11"/>
    <w:rsid w:val="00777CCD"/>
    <w:rsid w:val="00777E09"/>
    <w:rsid w:val="00777EB4"/>
    <w:rsid w:val="00777EEA"/>
    <w:rsid w:val="00777FBD"/>
    <w:rsid w:val="00780043"/>
    <w:rsid w:val="00780121"/>
    <w:rsid w:val="0078046D"/>
    <w:rsid w:val="00780643"/>
    <w:rsid w:val="007807A8"/>
    <w:rsid w:val="007807C5"/>
    <w:rsid w:val="0078095D"/>
    <w:rsid w:val="00780ADF"/>
    <w:rsid w:val="00780D2D"/>
    <w:rsid w:val="00780D8D"/>
    <w:rsid w:val="007815CA"/>
    <w:rsid w:val="007815F1"/>
    <w:rsid w:val="0078163F"/>
    <w:rsid w:val="0078164C"/>
    <w:rsid w:val="007818F8"/>
    <w:rsid w:val="00781A3D"/>
    <w:rsid w:val="00781AC0"/>
    <w:rsid w:val="00781DD4"/>
    <w:rsid w:val="0078207A"/>
    <w:rsid w:val="0078222C"/>
    <w:rsid w:val="00782288"/>
    <w:rsid w:val="00782489"/>
    <w:rsid w:val="007825A9"/>
    <w:rsid w:val="00782856"/>
    <w:rsid w:val="0078290B"/>
    <w:rsid w:val="007829A1"/>
    <w:rsid w:val="00782A87"/>
    <w:rsid w:val="0078300C"/>
    <w:rsid w:val="007830EB"/>
    <w:rsid w:val="007832DB"/>
    <w:rsid w:val="007832DF"/>
    <w:rsid w:val="00783571"/>
    <w:rsid w:val="007838D4"/>
    <w:rsid w:val="007838D5"/>
    <w:rsid w:val="00783BA3"/>
    <w:rsid w:val="00783CF5"/>
    <w:rsid w:val="00783D4A"/>
    <w:rsid w:val="00783EDF"/>
    <w:rsid w:val="00783F41"/>
    <w:rsid w:val="00784372"/>
    <w:rsid w:val="00784528"/>
    <w:rsid w:val="00784588"/>
    <w:rsid w:val="007845E7"/>
    <w:rsid w:val="0078466B"/>
    <w:rsid w:val="007847E4"/>
    <w:rsid w:val="00784853"/>
    <w:rsid w:val="007849F1"/>
    <w:rsid w:val="00784BEE"/>
    <w:rsid w:val="00784C73"/>
    <w:rsid w:val="00784F00"/>
    <w:rsid w:val="00785018"/>
    <w:rsid w:val="007852D0"/>
    <w:rsid w:val="0078568E"/>
    <w:rsid w:val="007857B9"/>
    <w:rsid w:val="007859D0"/>
    <w:rsid w:val="00785AA7"/>
    <w:rsid w:val="00785F13"/>
    <w:rsid w:val="0078606C"/>
    <w:rsid w:val="0078609F"/>
    <w:rsid w:val="00786287"/>
    <w:rsid w:val="007862E2"/>
    <w:rsid w:val="0078638D"/>
    <w:rsid w:val="00786411"/>
    <w:rsid w:val="007864BF"/>
    <w:rsid w:val="007866C5"/>
    <w:rsid w:val="00786864"/>
    <w:rsid w:val="00786884"/>
    <w:rsid w:val="007868F7"/>
    <w:rsid w:val="00786992"/>
    <w:rsid w:val="00786B13"/>
    <w:rsid w:val="00786B74"/>
    <w:rsid w:val="00786B9D"/>
    <w:rsid w:val="00786EB3"/>
    <w:rsid w:val="00786F00"/>
    <w:rsid w:val="00787054"/>
    <w:rsid w:val="00787491"/>
    <w:rsid w:val="00787613"/>
    <w:rsid w:val="007876BA"/>
    <w:rsid w:val="007877BD"/>
    <w:rsid w:val="007878D7"/>
    <w:rsid w:val="00787AFF"/>
    <w:rsid w:val="00787B53"/>
    <w:rsid w:val="00787DEE"/>
    <w:rsid w:val="00787E06"/>
    <w:rsid w:val="00787FE9"/>
    <w:rsid w:val="00790052"/>
    <w:rsid w:val="00790733"/>
    <w:rsid w:val="00790735"/>
    <w:rsid w:val="007909E0"/>
    <w:rsid w:val="00790A70"/>
    <w:rsid w:val="00790C37"/>
    <w:rsid w:val="00790CCF"/>
    <w:rsid w:val="00790E72"/>
    <w:rsid w:val="00791030"/>
    <w:rsid w:val="00791032"/>
    <w:rsid w:val="0079108A"/>
    <w:rsid w:val="00791275"/>
    <w:rsid w:val="0079129C"/>
    <w:rsid w:val="00791356"/>
    <w:rsid w:val="007913DD"/>
    <w:rsid w:val="00791BB4"/>
    <w:rsid w:val="00791BCE"/>
    <w:rsid w:val="00791D5C"/>
    <w:rsid w:val="00791DFB"/>
    <w:rsid w:val="00791F84"/>
    <w:rsid w:val="0079220B"/>
    <w:rsid w:val="0079225F"/>
    <w:rsid w:val="00792283"/>
    <w:rsid w:val="007922D3"/>
    <w:rsid w:val="0079283A"/>
    <w:rsid w:val="007929BB"/>
    <w:rsid w:val="00792F0C"/>
    <w:rsid w:val="00792F18"/>
    <w:rsid w:val="00792F21"/>
    <w:rsid w:val="007932F9"/>
    <w:rsid w:val="00793317"/>
    <w:rsid w:val="00793339"/>
    <w:rsid w:val="007933A9"/>
    <w:rsid w:val="007934B7"/>
    <w:rsid w:val="00793574"/>
    <w:rsid w:val="007935C7"/>
    <w:rsid w:val="007937A1"/>
    <w:rsid w:val="00793875"/>
    <w:rsid w:val="007939DC"/>
    <w:rsid w:val="00793BDF"/>
    <w:rsid w:val="00793E06"/>
    <w:rsid w:val="00793FCA"/>
    <w:rsid w:val="00794197"/>
    <w:rsid w:val="007941D2"/>
    <w:rsid w:val="007944FC"/>
    <w:rsid w:val="00794517"/>
    <w:rsid w:val="007946C3"/>
    <w:rsid w:val="007949C2"/>
    <w:rsid w:val="00794D53"/>
    <w:rsid w:val="00794D85"/>
    <w:rsid w:val="00794EEA"/>
    <w:rsid w:val="0079500B"/>
    <w:rsid w:val="00795432"/>
    <w:rsid w:val="007954F1"/>
    <w:rsid w:val="0079551D"/>
    <w:rsid w:val="0079554B"/>
    <w:rsid w:val="00795673"/>
    <w:rsid w:val="0079575C"/>
    <w:rsid w:val="00795907"/>
    <w:rsid w:val="00795C13"/>
    <w:rsid w:val="00795DBC"/>
    <w:rsid w:val="00795DEE"/>
    <w:rsid w:val="00795F69"/>
    <w:rsid w:val="00796057"/>
    <w:rsid w:val="0079673B"/>
    <w:rsid w:val="007968C3"/>
    <w:rsid w:val="007968F8"/>
    <w:rsid w:val="0079696E"/>
    <w:rsid w:val="00796AC7"/>
    <w:rsid w:val="00796F1A"/>
    <w:rsid w:val="00797032"/>
    <w:rsid w:val="00797124"/>
    <w:rsid w:val="007971B2"/>
    <w:rsid w:val="0079720E"/>
    <w:rsid w:val="00797606"/>
    <w:rsid w:val="0079766E"/>
    <w:rsid w:val="0079772C"/>
    <w:rsid w:val="00797AF9"/>
    <w:rsid w:val="00797BFF"/>
    <w:rsid w:val="00797E39"/>
    <w:rsid w:val="00797F4B"/>
    <w:rsid w:val="00797FD4"/>
    <w:rsid w:val="007A02DD"/>
    <w:rsid w:val="007A0352"/>
    <w:rsid w:val="007A035A"/>
    <w:rsid w:val="007A0431"/>
    <w:rsid w:val="007A05CE"/>
    <w:rsid w:val="007A0637"/>
    <w:rsid w:val="007A072D"/>
    <w:rsid w:val="007A096B"/>
    <w:rsid w:val="007A0A3E"/>
    <w:rsid w:val="007A0B68"/>
    <w:rsid w:val="007A0CF9"/>
    <w:rsid w:val="007A0D68"/>
    <w:rsid w:val="007A0E2D"/>
    <w:rsid w:val="007A0F81"/>
    <w:rsid w:val="007A115E"/>
    <w:rsid w:val="007A12EC"/>
    <w:rsid w:val="007A1347"/>
    <w:rsid w:val="007A1486"/>
    <w:rsid w:val="007A17FD"/>
    <w:rsid w:val="007A1989"/>
    <w:rsid w:val="007A19C4"/>
    <w:rsid w:val="007A1A19"/>
    <w:rsid w:val="007A1B5A"/>
    <w:rsid w:val="007A20AB"/>
    <w:rsid w:val="007A22DF"/>
    <w:rsid w:val="007A232C"/>
    <w:rsid w:val="007A2357"/>
    <w:rsid w:val="007A2460"/>
    <w:rsid w:val="007A254F"/>
    <w:rsid w:val="007A2774"/>
    <w:rsid w:val="007A28CF"/>
    <w:rsid w:val="007A2B5A"/>
    <w:rsid w:val="007A2BCA"/>
    <w:rsid w:val="007A2CE8"/>
    <w:rsid w:val="007A2CFE"/>
    <w:rsid w:val="007A2F68"/>
    <w:rsid w:val="007A31FB"/>
    <w:rsid w:val="007A32EC"/>
    <w:rsid w:val="007A350B"/>
    <w:rsid w:val="007A355D"/>
    <w:rsid w:val="007A360F"/>
    <w:rsid w:val="007A3717"/>
    <w:rsid w:val="007A3790"/>
    <w:rsid w:val="007A394A"/>
    <w:rsid w:val="007A3CF3"/>
    <w:rsid w:val="007A3F05"/>
    <w:rsid w:val="007A415F"/>
    <w:rsid w:val="007A418A"/>
    <w:rsid w:val="007A419E"/>
    <w:rsid w:val="007A453B"/>
    <w:rsid w:val="007A462E"/>
    <w:rsid w:val="007A47B0"/>
    <w:rsid w:val="007A498B"/>
    <w:rsid w:val="007A4A8B"/>
    <w:rsid w:val="007A4BFF"/>
    <w:rsid w:val="007A4D9E"/>
    <w:rsid w:val="007A4DAF"/>
    <w:rsid w:val="007A4EB7"/>
    <w:rsid w:val="007A4F89"/>
    <w:rsid w:val="007A50AC"/>
    <w:rsid w:val="007A5110"/>
    <w:rsid w:val="007A52E9"/>
    <w:rsid w:val="007A5341"/>
    <w:rsid w:val="007A5480"/>
    <w:rsid w:val="007A5704"/>
    <w:rsid w:val="007A571A"/>
    <w:rsid w:val="007A5840"/>
    <w:rsid w:val="007A59F2"/>
    <w:rsid w:val="007A5AD4"/>
    <w:rsid w:val="007A5B1C"/>
    <w:rsid w:val="007A5E34"/>
    <w:rsid w:val="007A5F73"/>
    <w:rsid w:val="007A5F7E"/>
    <w:rsid w:val="007A5FD1"/>
    <w:rsid w:val="007A60B7"/>
    <w:rsid w:val="007A6290"/>
    <w:rsid w:val="007A62E9"/>
    <w:rsid w:val="007A63D5"/>
    <w:rsid w:val="007A660C"/>
    <w:rsid w:val="007A6CD2"/>
    <w:rsid w:val="007A6E2F"/>
    <w:rsid w:val="007A70A0"/>
    <w:rsid w:val="007A70F0"/>
    <w:rsid w:val="007A74AC"/>
    <w:rsid w:val="007A7545"/>
    <w:rsid w:val="007A759D"/>
    <w:rsid w:val="007A75C2"/>
    <w:rsid w:val="007A76C6"/>
    <w:rsid w:val="007A774F"/>
    <w:rsid w:val="007A77D2"/>
    <w:rsid w:val="007A78BC"/>
    <w:rsid w:val="007A7BD9"/>
    <w:rsid w:val="007A7F22"/>
    <w:rsid w:val="007A7F27"/>
    <w:rsid w:val="007A7FF6"/>
    <w:rsid w:val="007B02E4"/>
    <w:rsid w:val="007B03A0"/>
    <w:rsid w:val="007B03A3"/>
    <w:rsid w:val="007B0407"/>
    <w:rsid w:val="007B04BD"/>
    <w:rsid w:val="007B080E"/>
    <w:rsid w:val="007B0931"/>
    <w:rsid w:val="007B0963"/>
    <w:rsid w:val="007B09F6"/>
    <w:rsid w:val="007B0A48"/>
    <w:rsid w:val="007B0A97"/>
    <w:rsid w:val="007B0BDF"/>
    <w:rsid w:val="007B0CB3"/>
    <w:rsid w:val="007B0CB8"/>
    <w:rsid w:val="007B0FEA"/>
    <w:rsid w:val="007B0FFF"/>
    <w:rsid w:val="007B10D5"/>
    <w:rsid w:val="007B1334"/>
    <w:rsid w:val="007B169A"/>
    <w:rsid w:val="007B1B71"/>
    <w:rsid w:val="007B1C36"/>
    <w:rsid w:val="007B1CD3"/>
    <w:rsid w:val="007B1F45"/>
    <w:rsid w:val="007B1F54"/>
    <w:rsid w:val="007B2035"/>
    <w:rsid w:val="007B20FA"/>
    <w:rsid w:val="007B2193"/>
    <w:rsid w:val="007B23F2"/>
    <w:rsid w:val="007B2451"/>
    <w:rsid w:val="007B26F7"/>
    <w:rsid w:val="007B27BC"/>
    <w:rsid w:val="007B27CE"/>
    <w:rsid w:val="007B28AF"/>
    <w:rsid w:val="007B2B67"/>
    <w:rsid w:val="007B2E51"/>
    <w:rsid w:val="007B319E"/>
    <w:rsid w:val="007B327D"/>
    <w:rsid w:val="007B33C6"/>
    <w:rsid w:val="007B34C5"/>
    <w:rsid w:val="007B3696"/>
    <w:rsid w:val="007B3BCC"/>
    <w:rsid w:val="007B3D08"/>
    <w:rsid w:val="007B3F1D"/>
    <w:rsid w:val="007B4197"/>
    <w:rsid w:val="007B4259"/>
    <w:rsid w:val="007B4459"/>
    <w:rsid w:val="007B44D2"/>
    <w:rsid w:val="007B48FC"/>
    <w:rsid w:val="007B49E1"/>
    <w:rsid w:val="007B4AEF"/>
    <w:rsid w:val="007B4B9A"/>
    <w:rsid w:val="007B4C40"/>
    <w:rsid w:val="007B4E33"/>
    <w:rsid w:val="007B4FB8"/>
    <w:rsid w:val="007B5298"/>
    <w:rsid w:val="007B529E"/>
    <w:rsid w:val="007B55CE"/>
    <w:rsid w:val="007B58C9"/>
    <w:rsid w:val="007B5920"/>
    <w:rsid w:val="007B593F"/>
    <w:rsid w:val="007B5AF3"/>
    <w:rsid w:val="007B5B78"/>
    <w:rsid w:val="007B5E7A"/>
    <w:rsid w:val="007B5E9B"/>
    <w:rsid w:val="007B5EC8"/>
    <w:rsid w:val="007B5F91"/>
    <w:rsid w:val="007B6065"/>
    <w:rsid w:val="007B6086"/>
    <w:rsid w:val="007B61F2"/>
    <w:rsid w:val="007B63CD"/>
    <w:rsid w:val="007B640B"/>
    <w:rsid w:val="007B654F"/>
    <w:rsid w:val="007B69ED"/>
    <w:rsid w:val="007B6D38"/>
    <w:rsid w:val="007B6D3A"/>
    <w:rsid w:val="007B6EED"/>
    <w:rsid w:val="007B6F5D"/>
    <w:rsid w:val="007B7020"/>
    <w:rsid w:val="007B70DF"/>
    <w:rsid w:val="007B7151"/>
    <w:rsid w:val="007B738C"/>
    <w:rsid w:val="007B767E"/>
    <w:rsid w:val="007B7953"/>
    <w:rsid w:val="007B7B18"/>
    <w:rsid w:val="007B7DD7"/>
    <w:rsid w:val="007C0064"/>
    <w:rsid w:val="007C0111"/>
    <w:rsid w:val="007C0815"/>
    <w:rsid w:val="007C0AE1"/>
    <w:rsid w:val="007C0F52"/>
    <w:rsid w:val="007C108F"/>
    <w:rsid w:val="007C10F1"/>
    <w:rsid w:val="007C1273"/>
    <w:rsid w:val="007C13AD"/>
    <w:rsid w:val="007C1589"/>
    <w:rsid w:val="007C16CB"/>
    <w:rsid w:val="007C17B1"/>
    <w:rsid w:val="007C1A3D"/>
    <w:rsid w:val="007C1A4A"/>
    <w:rsid w:val="007C1A80"/>
    <w:rsid w:val="007C1ADA"/>
    <w:rsid w:val="007C1D99"/>
    <w:rsid w:val="007C1EE3"/>
    <w:rsid w:val="007C2100"/>
    <w:rsid w:val="007C2179"/>
    <w:rsid w:val="007C2315"/>
    <w:rsid w:val="007C265A"/>
    <w:rsid w:val="007C2BD9"/>
    <w:rsid w:val="007C32CD"/>
    <w:rsid w:val="007C3370"/>
    <w:rsid w:val="007C34E6"/>
    <w:rsid w:val="007C38F6"/>
    <w:rsid w:val="007C3A2B"/>
    <w:rsid w:val="007C3EF0"/>
    <w:rsid w:val="007C4441"/>
    <w:rsid w:val="007C452E"/>
    <w:rsid w:val="007C4545"/>
    <w:rsid w:val="007C4556"/>
    <w:rsid w:val="007C4798"/>
    <w:rsid w:val="007C4820"/>
    <w:rsid w:val="007C48FE"/>
    <w:rsid w:val="007C4964"/>
    <w:rsid w:val="007C4AE8"/>
    <w:rsid w:val="007C4AEE"/>
    <w:rsid w:val="007C4BB4"/>
    <w:rsid w:val="007C4C4C"/>
    <w:rsid w:val="007C4E72"/>
    <w:rsid w:val="007C51C5"/>
    <w:rsid w:val="007C5216"/>
    <w:rsid w:val="007C5314"/>
    <w:rsid w:val="007C5481"/>
    <w:rsid w:val="007C56EB"/>
    <w:rsid w:val="007C58D0"/>
    <w:rsid w:val="007C598B"/>
    <w:rsid w:val="007C5BA0"/>
    <w:rsid w:val="007C5CD8"/>
    <w:rsid w:val="007C5D97"/>
    <w:rsid w:val="007C5FC5"/>
    <w:rsid w:val="007C609D"/>
    <w:rsid w:val="007C6157"/>
    <w:rsid w:val="007C6239"/>
    <w:rsid w:val="007C64FF"/>
    <w:rsid w:val="007C66E3"/>
    <w:rsid w:val="007C684C"/>
    <w:rsid w:val="007C6C9D"/>
    <w:rsid w:val="007C6F10"/>
    <w:rsid w:val="007C73AC"/>
    <w:rsid w:val="007C77A8"/>
    <w:rsid w:val="007C7851"/>
    <w:rsid w:val="007C78BE"/>
    <w:rsid w:val="007C7ADB"/>
    <w:rsid w:val="007C7C3D"/>
    <w:rsid w:val="007C7CF9"/>
    <w:rsid w:val="007D02AC"/>
    <w:rsid w:val="007D02EB"/>
    <w:rsid w:val="007D0420"/>
    <w:rsid w:val="007D047D"/>
    <w:rsid w:val="007D0566"/>
    <w:rsid w:val="007D0CE8"/>
    <w:rsid w:val="007D0EBE"/>
    <w:rsid w:val="007D0EF4"/>
    <w:rsid w:val="007D0FA2"/>
    <w:rsid w:val="007D0FC3"/>
    <w:rsid w:val="007D114C"/>
    <w:rsid w:val="007D11EB"/>
    <w:rsid w:val="007D1310"/>
    <w:rsid w:val="007D1332"/>
    <w:rsid w:val="007D14FC"/>
    <w:rsid w:val="007D15AC"/>
    <w:rsid w:val="007D1699"/>
    <w:rsid w:val="007D197E"/>
    <w:rsid w:val="007D1B3B"/>
    <w:rsid w:val="007D2004"/>
    <w:rsid w:val="007D246E"/>
    <w:rsid w:val="007D24D4"/>
    <w:rsid w:val="007D28EA"/>
    <w:rsid w:val="007D2B47"/>
    <w:rsid w:val="007D2DFB"/>
    <w:rsid w:val="007D2E87"/>
    <w:rsid w:val="007D347C"/>
    <w:rsid w:val="007D362A"/>
    <w:rsid w:val="007D3B39"/>
    <w:rsid w:val="007D3BEB"/>
    <w:rsid w:val="007D3E20"/>
    <w:rsid w:val="007D3FD5"/>
    <w:rsid w:val="007D41F8"/>
    <w:rsid w:val="007D438A"/>
    <w:rsid w:val="007D43F8"/>
    <w:rsid w:val="007D4418"/>
    <w:rsid w:val="007D4462"/>
    <w:rsid w:val="007D46FF"/>
    <w:rsid w:val="007D473F"/>
    <w:rsid w:val="007D49FA"/>
    <w:rsid w:val="007D4A2F"/>
    <w:rsid w:val="007D4AE2"/>
    <w:rsid w:val="007D4B76"/>
    <w:rsid w:val="007D4F01"/>
    <w:rsid w:val="007D4FEB"/>
    <w:rsid w:val="007D5081"/>
    <w:rsid w:val="007D51A4"/>
    <w:rsid w:val="007D5697"/>
    <w:rsid w:val="007D590E"/>
    <w:rsid w:val="007D59A9"/>
    <w:rsid w:val="007D5AEF"/>
    <w:rsid w:val="007D5BEB"/>
    <w:rsid w:val="007D5F32"/>
    <w:rsid w:val="007D60BB"/>
    <w:rsid w:val="007D616E"/>
    <w:rsid w:val="007D631B"/>
    <w:rsid w:val="007D6430"/>
    <w:rsid w:val="007D67C8"/>
    <w:rsid w:val="007D69E5"/>
    <w:rsid w:val="007D6EE7"/>
    <w:rsid w:val="007D7019"/>
    <w:rsid w:val="007D70FD"/>
    <w:rsid w:val="007D721C"/>
    <w:rsid w:val="007D729F"/>
    <w:rsid w:val="007D7340"/>
    <w:rsid w:val="007D73F7"/>
    <w:rsid w:val="007D778D"/>
    <w:rsid w:val="007D77C2"/>
    <w:rsid w:val="007D7ACC"/>
    <w:rsid w:val="007D7D63"/>
    <w:rsid w:val="007E037B"/>
    <w:rsid w:val="007E05BF"/>
    <w:rsid w:val="007E090A"/>
    <w:rsid w:val="007E0BBF"/>
    <w:rsid w:val="007E0BC8"/>
    <w:rsid w:val="007E0BFE"/>
    <w:rsid w:val="007E0F51"/>
    <w:rsid w:val="007E10A7"/>
    <w:rsid w:val="007E114C"/>
    <w:rsid w:val="007E1391"/>
    <w:rsid w:val="007E16F6"/>
    <w:rsid w:val="007E1808"/>
    <w:rsid w:val="007E18C9"/>
    <w:rsid w:val="007E1973"/>
    <w:rsid w:val="007E1AD9"/>
    <w:rsid w:val="007E1DE5"/>
    <w:rsid w:val="007E1EC0"/>
    <w:rsid w:val="007E1F2C"/>
    <w:rsid w:val="007E209A"/>
    <w:rsid w:val="007E2375"/>
    <w:rsid w:val="007E2623"/>
    <w:rsid w:val="007E27AA"/>
    <w:rsid w:val="007E2CDC"/>
    <w:rsid w:val="007E2D5C"/>
    <w:rsid w:val="007E31C9"/>
    <w:rsid w:val="007E337A"/>
    <w:rsid w:val="007E34AB"/>
    <w:rsid w:val="007E38CE"/>
    <w:rsid w:val="007E38E4"/>
    <w:rsid w:val="007E395C"/>
    <w:rsid w:val="007E3A3C"/>
    <w:rsid w:val="007E3AFE"/>
    <w:rsid w:val="007E3B33"/>
    <w:rsid w:val="007E3C03"/>
    <w:rsid w:val="007E3D8A"/>
    <w:rsid w:val="007E3FAB"/>
    <w:rsid w:val="007E46B9"/>
    <w:rsid w:val="007E47EF"/>
    <w:rsid w:val="007E4825"/>
    <w:rsid w:val="007E4968"/>
    <w:rsid w:val="007E4A26"/>
    <w:rsid w:val="007E4A7E"/>
    <w:rsid w:val="007E4C71"/>
    <w:rsid w:val="007E4E52"/>
    <w:rsid w:val="007E501C"/>
    <w:rsid w:val="007E51D2"/>
    <w:rsid w:val="007E545B"/>
    <w:rsid w:val="007E5485"/>
    <w:rsid w:val="007E5756"/>
    <w:rsid w:val="007E57BB"/>
    <w:rsid w:val="007E5AFD"/>
    <w:rsid w:val="007E5B50"/>
    <w:rsid w:val="007E5C50"/>
    <w:rsid w:val="007E5CB9"/>
    <w:rsid w:val="007E5CD1"/>
    <w:rsid w:val="007E5F39"/>
    <w:rsid w:val="007E5FEC"/>
    <w:rsid w:val="007E60E3"/>
    <w:rsid w:val="007E634D"/>
    <w:rsid w:val="007E6588"/>
    <w:rsid w:val="007E65A4"/>
    <w:rsid w:val="007E65EC"/>
    <w:rsid w:val="007E6773"/>
    <w:rsid w:val="007E682C"/>
    <w:rsid w:val="007E68AD"/>
    <w:rsid w:val="007E6A04"/>
    <w:rsid w:val="007E6A74"/>
    <w:rsid w:val="007E6DF8"/>
    <w:rsid w:val="007E6E76"/>
    <w:rsid w:val="007E711A"/>
    <w:rsid w:val="007E71B7"/>
    <w:rsid w:val="007E78B8"/>
    <w:rsid w:val="007E78C6"/>
    <w:rsid w:val="007E7A85"/>
    <w:rsid w:val="007E7B60"/>
    <w:rsid w:val="007E7C50"/>
    <w:rsid w:val="007E7C9B"/>
    <w:rsid w:val="007E7DFC"/>
    <w:rsid w:val="007E7E96"/>
    <w:rsid w:val="007E7EAD"/>
    <w:rsid w:val="007E7FF4"/>
    <w:rsid w:val="007F0494"/>
    <w:rsid w:val="007F0A43"/>
    <w:rsid w:val="007F0EAE"/>
    <w:rsid w:val="007F0F00"/>
    <w:rsid w:val="007F104F"/>
    <w:rsid w:val="007F12E4"/>
    <w:rsid w:val="007F161D"/>
    <w:rsid w:val="007F1A97"/>
    <w:rsid w:val="007F1AB3"/>
    <w:rsid w:val="007F1B43"/>
    <w:rsid w:val="007F1B68"/>
    <w:rsid w:val="007F1C29"/>
    <w:rsid w:val="007F1EA4"/>
    <w:rsid w:val="007F1FD2"/>
    <w:rsid w:val="007F2466"/>
    <w:rsid w:val="007F2478"/>
    <w:rsid w:val="007F256C"/>
    <w:rsid w:val="007F2A8D"/>
    <w:rsid w:val="007F2AFC"/>
    <w:rsid w:val="007F2EEF"/>
    <w:rsid w:val="007F2EF9"/>
    <w:rsid w:val="007F2FC6"/>
    <w:rsid w:val="007F30A6"/>
    <w:rsid w:val="007F316D"/>
    <w:rsid w:val="007F35B8"/>
    <w:rsid w:val="007F362D"/>
    <w:rsid w:val="007F36B9"/>
    <w:rsid w:val="007F3730"/>
    <w:rsid w:val="007F3790"/>
    <w:rsid w:val="007F379D"/>
    <w:rsid w:val="007F396A"/>
    <w:rsid w:val="007F3990"/>
    <w:rsid w:val="007F3A07"/>
    <w:rsid w:val="007F3ABB"/>
    <w:rsid w:val="007F3C08"/>
    <w:rsid w:val="007F3C32"/>
    <w:rsid w:val="007F3ECB"/>
    <w:rsid w:val="007F3EF1"/>
    <w:rsid w:val="007F3F77"/>
    <w:rsid w:val="007F3F86"/>
    <w:rsid w:val="007F416D"/>
    <w:rsid w:val="007F4418"/>
    <w:rsid w:val="007F47B5"/>
    <w:rsid w:val="007F4865"/>
    <w:rsid w:val="007F4A23"/>
    <w:rsid w:val="007F4A3A"/>
    <w:rsid w:val="007F4AF6"/>
    <w:rsid w:val="007F4B9C"/>
    <w:rsid w:val="007F4BCE"/>
    <w:rsid w:val="007F4D82"/>
    <w:rsid w:val="007F4E6C"/>
    <w:rsid w:val="007F5616"/>
    <w:rsid w:val="007F57B3"/>
    <w:rsid w:val="007F57B7"/>
    <w:rsid w:val="007F5982"/>
    <w:rsid w:val="007F5B26"/>
    <w:rsid w:val="007F5BC9"/>
    <w:rsid w:val="007F5C37"/>
    <w:rsid w:val="007F5C48"/>
    <w:rsid w:val="007F5C90"/>
    <w:rsid w:val="007F5DA3"/>
    <w:rsid w:val="007F6122"/>
    <w:rsid w:val="007F613B"/>
    <w:rsid w:val="007F6211"/>
    <w:rsid w:val="007F6402"/>
    <w:rsid w:val="007F6550"/>
    <w:rsid w:val="007F6619"/>
    <w:rsid w:val="007F666E"/>
    <w:rsid w:val="007F6ADE"/>
    <w:rsid w:val="007F6DC6"/>
    <w:rsid w:val="007F6E07"/>
    <w:rsid w:val="007F73E9"/>
    <w:rsid w:val="007F74B9"/>
    <w:rsid w:val="007F75BA"/>
    <w:rsid w:val="007F781C"/>
    <w:rsid w:val="007F79A6"/>
    <w:rsid w:val="007F7A4E"/>
    <w:rsid w:val="007F7AE7"/>
    <w:rsid w:val="007F7B5D"/>
    <w:rsid w:val="007F7CBE"/>
    <w:rsid w:val="007F7F58"/>
    <w:rsid w:val="00800379"/>
    <w:rsid w:val="008003C1"/>
    <w:rsid w:val="008003C9"/>
    <w:rsid w:val="0080048D"/>
    <w:rsid w:val="008005C5"/>
    <w:rsid w:val="00800759"/>
    <w:rsid w:val="008007A1"/>
    <w:rsid w:val="00800B7A"/>
    <w:rsid w:val="00800E0A"/>
    <w:rsid w:val="00800F21"/>
    <w:rsid w:val="0080104B"/>
    <w:rsid w:val="008012D4"/>
    <w:rsid w:val="008013CE"/>
    <w:rsid w:val="0080169B"/>
    <w:rsid w:val="00801729"/>
    <w:rsid w:val="00801880"/>
    <w:rsid w:val="00801B5C"/>
    <w:rsid w:val="00801ECF"/>
    <w:rsid w:val="00801ED6"/>
    <w:rsid w:val="00801FFE"/>
    <w:rsid w:val="00802023"/>
    <w:rsid w:val="0080259A"/>
    <w:rsid w:val="00802775"/>
    <w:rsid w:val="00802A21"/>
    <w:rsid w:val="00802E89"/>
    <w:rsid w:val="00802E8D"/>
    <w:rsid w:val="00802F53"/>
    <w:rsid w:val="00803084"/>
    <w:rsid w:val="008031C1"/>
    <w:rsid w:val="008031E8"/>
    <w:rsid w:val="00803234"/>
    <w:rsid w:val="00803240"/>
    <w:rsid w:val="0080326C"/>
    <w:rsid w:val="00803298"/>
    <w:rsid w:val="0080331B"/>
    <w:rsid w:val="0080335D"/>
    <w:rsid w:val="00803548"/>
    <w:rsid w:val="008035E1"/>
    <w:rsid w:val="0080362F"/>
    <w:rsid w:val="0080377A"/>
    <w:rsid w:val="0080384A"/>
    <w:rsid w:val="00803A70"/>
    <w:rsid w:val="00803BD7"/>
    <w:rsid w:val="00803C2F"/>
    <w:rsid w:val="00803F96"/>
    <w:rsid w:val="00804275"/>
    <w:rsid w:val="0080453B"/>
    <w:rsid w:val="008047EF"/>
    <w:rsid w:val="0080486A"/>
    <w:rsid w:val="00804AFD"/>
    <w:rsid w:val="00804BDF"/>
    <w:rsid w:val="00804CB2"/>
    <w:rsid w:val="00804E98"/>
    <w:rsid w:val="00804F8E"/>
    <w:rsid w:val="00805069"/>
    <w:rsid w:val="00805137"/>
    <w:rsid w:val="008055F5"/>
    <w:rsid w:val="00805654"/>
    <w:rsid w:val="0080565F"/>
    <w:rsid w:val="008059AD"/>
    <w:rsid w:val="00805A77"/>
    <w:rsid w:val="00805EA8"/>
    <w:rsid w:val="00805EAD"/>
    <w:rsid w:val="0080611A"/>
    <w:rsid w:val="008061AE"/>
    <w:rsid w:val="0080648E"/>
    <w:rsid w:val="008066F8"/>
    <w:rsid w:val="00806C5D"/>
    <w:rsid w:val="00806C62"/>
    <w:rsid w:val="00806F6C"/>
    <w:rsid w:val="008072A5"/>
    <w:rsid w:val="008072C2"/>
    <w:rsid w:val="008075BF"/>
    <w:rsid w:val="008075D7"/>
    <w:rsid w:val="00807613"/>
    <w:rsid w:val="008079C6"/>
    <w:rsid w:val="00807C0B"/>
    <w:rsid w:val="00807E90"/>
    <w:rsid w:val="0081005C"/>
    <w:rsid w:val="008100C9"/>
    <w:rsid w:val="008101ED"/>
    <w:rsid w:val="0081022E"/>
    <w:rsid w:val="008102D2"/>
    <w:rsid w:val="00810368"/>
    <w:rsid w:val="0081043D"/>
    <w:rsid w:val="00810682"/>
    <w:rsid w:val="00810C83"/>
    <w:rsid w:val="0081103D"/>
    <w:rsid w:val="00811294"/>
    <w:rsid w:val="0081145F"/>
    <w:rsid w:val="00811586"/>
    <w:rsid w:val="0081167D"/>
    <w:rsid w:val="008116F0"/>
    <w:rsid w:val="0081179E"/>
    <w:rsid w:val="00811945"/>
    <w:rsid w:val="00811B72"/>
    <w:rsid w:val="00811B8B"/>
    <w:rsid w:val="00811BE4"/>
    <w:rsid w:val="00811BEE"/>
    <w:rsid w:val="00811CB3"/>
    <w:rsid w:val="00811FF5"/>
    <w:rsid w:val="008120FD"/>
    <w:rsid w:val="00812148"/>
    <w:rsid w:val="008121A6"/>
    <w:rsid w:val="008121E2"/>
    <w:rsid w:val="00812800"/>
    <w:rsid w:val="00812E24"/>
    <w:rsid w:val="00812E4C"/>
    <w:rsid w:val="00812ED4"/>
    <w:rsid w:val="00812F26"/>
    <w:rsid w:val="00812F9E"/>
    <w:rsid w:val="0081303D"/>
    <w:rsid w:val="008130A5"/>
    <w:rsid w:val="0081312B"/>
    <w:rsid w:val="00813136"/>
    <w:rsid w:val="008131EB"/>
    <w:rsid w:val="008135A6"/>
    <w:rsid w:val="00813BA8"/>
    <w:rsid w:val="00813BA9"/>
    <w:rsid w:val="00813C24"/>
    <w:rsid w:val="00813C74"/>
    <w:rsid w:val="00813D3B"/>
    <w:rsid w:val="00813F12"/>
    <w:rsid w:val="00814069"/>
    <w:rsid w:val="008145A4"/>
    <w:rsid w:val="0081498E"/>
    <w:rsid w:val="008151FD"/>
    <w:rsid w:val="0081528F"/>
    <w:rsid w:val="00815290"/>
    <w:rsid w:val="008152BD"/>
    <w:rsid w:val="00815392"/>
    <w:rsid w:val="0081541E"/>
    <w:rsid w:val="0081556B"/>
    <w:rsid w:val="008155A7"/>
    <w:rsid w:val="00815711"/>
    <w:rsid w:val="00815A9D"/>
    <w:rsid w:val="00815F33"/>
    <w:rsid w:val="0081683B"/>
    <w:rsid w:val="00816912"/>
    <w:rsid w:val="00816D59"/>
    <w:rsid w:val="00817266"/>
    <w:rsid w:val="0081736B"/>
    <w:rsid w:val="008173D3"/>
    <w:rsid w:val="00817445"/>
    <w:rsid w:val="0081746A"/>
    <w:rsid w:val="008174EA"/>
    <w:rsid w:val="00817624"/>
    <w:rsid w:val="00817664"/>
    <w:rsid w:val="00817750"/>
    <w:rsid w:val="00817899"/>
    <w:rsid w:val="00817986"/>
    <w:rsid w:val="0081799D"/>
    <w:rsid w:val="00817CD3"/>
    <w:rsid w:val="00817D02"/>
    <w:rsid w:val="00820212"/>
    <w:rsid w:val="0082037E"/>
    <w:rsid w:val="00820381"/>
    <w:rsid w:val="008203DE"/>
    <w:rsid w:val="00820407"/>
    <w:rsid w:val="00820742"/>
    <w:rsid w:val="00820761"/>
    <w:rsid w:val="00820A85"/>
    <w:rsid w:val="00821672"/>
    <w:rsid w:val="00821710"/>
    <w:rsid w:val="0082182B"/>
    <w:rsid w:val="00821B6F"/>
    <w:rsid w:val="00821B8F"/>
    <w:rsid w:val="00821D14"/>
    <w:rsid w:val="00821EDB"/>
    <w:rsid w:val="008221AE"/>
    <w:rsid w:val="0082237C"/>
    <w:rsid w:val="0082247B"/>
    <w:rsid w:val="008224BB"/>
    <w:rsid w:val="00822A0B"/>
    <w:rsid w:val="00822B7B"/>
    <w:rsid w:val="00822D96"/>
    <w:rsid w:val="00822EF6"/>
    <w:rsid w:val="00823037"/>
    <w:rsid w:val="0082305D"/>
    <w:rsid w:val="0082311C"/>
    <w:rsid w:val="0082329C"/>
    <w:rsid w:val="008232E8"/>
    <w:rsid w:val="0082364D"/>
    <w:rsid w:val="008237B3"/>
    <w:rsid w:val="0082381B"/>
    <w:rsid w:val="0082397A"/>
    <w:rsid w:val="008239F8"/>
    <w:rsid w:val="00823D77"/>
    <w:rsid w:val="0082408F"/>
    <w:rsid w:val="008240E1"/>
    <w:rsid w:val="008240F1"/>
    <w:rsid w:val="008240F8"/>
    <w:rsid w:val="0082417E"/>
    <w:rsid w:val="00824644"/>
    <w:rsid w:val="008247D9"/>
    <w:rsid w:val="00824900"/>
    <w:rsid w:val="0082496A"/>
    <w:rsid w:val="00824979"/>
    <w:rsid w:val="00824A77"/>
    <w:rsid w:val="00824B05"/>
    <w:rsid w:val="00824D37"/>
    <w:rsid w:val="00824E07"/>
    <w:rsid w:val="00824E9A"/>
    <w:rsid w:val="008250D3"/>
    <w:rsid w:val="00825392"/>
    <w:rsid w:val="008253FB"/>
    <w:rsid w:val="00825679"/>
    <w:rsid w:val="008256BA"/>
    <w:rsid w:val="008257DA"/>
    <w:rsid w:val="00825B6A"/>
    <w:rsid w:val="00825BDE"/>
    <w:rsid w:val="00825E13"/>
    <w:rsid w:val="0082610A"/>
    <w:rsid w:val="008262F9"/>
    <w:rsid w:val="008264B3"/>
    <w:rsid w:val="0082662B"/>
    <w:rsid w:val="00826709"/>
    <w:rsid w:val="0082671E"/>
    <w:rsid w:val="008267F6"/>
    <w:rsid w:val="00826A3F"/>
    <w:rsid w:val="00826B09"/>
    <w:rsid w:val="00826D48"/>
    <w:rsid w:val="00826FBF"/>
    <w:rsid w:val="00826FDB"/>
    <w:rsid w:val="00827075"/>
    <w:rsid w:val="008272C5"/>
    <w:rsid w:val="0082733B"/>
    <w:rsid w:val="0082751A"/>
    <w:rsid w:val="00827693"/>
    <w:rsid w:val="008277B6"/>
    <w:rsid w:val="008279B0"/>
    <w:rsid w:val="008279C0"/>
    <w:rsid w:val="00827D67"/>
    <w:rsid w:val="00827FF8"/>
    <w:rsid w:val="008300AB"/>
    <w:rsid w:val="008300D6"/>
    <w:rsid w:val="008301DC"/>
    <w:rsid w:val="008301F3"/>
    <w:rsid w:val="00830208"/>
    <w:rsid w:val="00830918"/>
    <w:rsid w:val="008309A2"/>
    <w:rsid w:val="00830B3D"/>
    <w:rsid w:val="00830B5B"/>
    <w:rsid w:val="00830C6F"/>
    <w:rsid w:val="00830EC8"/>
    <w:rsid w:val="00830F34"/>
    <w:rsid w:val="00830FCE"/>
    <w:rsid w:val="00830FCF"/>
    <w:rsid w:val="00830FD0"/>
    <w:rsid w:val="00830FEA"/>
    <w:rsid w:val="008310D4"/>
    <w:rsid w:val="0083113F"/>
    <w:rsid w:val="00831145"/>
    <w:rsid w:val="00831317"/>
    <w:rsid w:val="00831559"/>
    <w:rsid w:val="008315E2"/>
    <w:rsid w:val="0083168B"/>
    <w:rsid w:val="0083169C"/>
    <w:rsid w:val="00831767"/>
    <w:rsid w:val="0083183C"/>
    <w:rsid w:val="008319B4"/>
    <w:rsid w:val="00831A17"/>
    <w:rsid w:val="00831A47"/>
    <w:rsid w:val="00831A4C"/>
    <w:rsid w:val="00831B0F"/>
    <w:rsid w:val="00831C20"/>
    <w:rsid w:val="00831C52"/>
    <w:rsid w:val="00831CB9"/>
    <w:rsid w:val="00831DC0"/>
    <w:rsid w:val="00831DF8"/>
    <w:rsid w:val="00831E49"/>
    <w:rsid w:val="008322A2"/>
    <w:rsid w:val="008325F1"/>
    <w:rsid w:val="0083261F"/>
    <w:rsid w:val="008326BD"/>
    <w:rsid w:val="00832775"/>
    <w:rsid w:val="008329C7"/>
    <w:rsid w:val="008329F9"/>
    <w:rsid w:val="00832A46"/>
    <w:rsid w:val="00832AB0"/>
    <w:rsid w:val="00832C83"/>
    <w:rsid w:val="00832F06"/>
    <w:rsid w:val="00833044"/>
    <w:rsid w:val="00833160"/>
    <w:rsid w:val="00833241"/>
    <w:rsid w:val="008332BE"/>
    <w:rsid w:val="008333F0"/>
    <w:rsid w:val="00833560"/>
    <w:rsid w:val="008336E1"/>
    <w:rsid w:val="00833861"/>
    <w:rsid w:val="00833934"/>
    <w:rsid w:val="00833E92"/>
    <w:rsid w:val="00834078"/>
    <w:rsid w:val="008340A5"/>
    <w:rsid w:val="00834729"/>
    <w:rsid w:val="008348DC"/>
    <w:rsid w:val="008349E8"/>
    <w:rsid w:val="00834AE3"/>
    <w:rsid w:val="00834AFA"/>
    <w:rsid w:val="00834B35"/>
    <w:rsid w:val="00834C34"/>
    <w:rsid w:val="00834DF9"/>
    <w:rsid w:val="00834E1B"/>
    <w:rsid w:val="0083509A"/>
    <w:rsid w:val="00835102"/>
    <w:rsid w:val="008351CF"/>
    <w:rsid w:val="008351D9"/>
    <w:rsid w:val="0083528F"/>
    <w:rsid w:val="00835337"/>
    <w:rsid w:val="008353E1"/>
    <w:rsid w:val="008354CE"/>
    <w:rsid w:val="00835542"/>
    <w:rsid w:val="008355D0"/>
    <w:rsid w:val="00835684"/>
    <w:rsid w:val="00835A00"/>
    <w:rsid w:val="00835CD2"/>
    <w:rsid w:val="00835DB4"/>
    <w:rsid w:val="00835E3F"/>
    <w:rsid w:val="008362A7"/>
    <w:rsid w:val="0083653B"/>
    <w:rsid w:val="008366C3"/>
    <w:rsid w:val="008368E5"/>
    <w:rsid w:val="00836A22"/>
    <w:rsid w:val="00836AAE"/>
    <w:rsid w:val="00836BAA"/>
    <w:rsid w:val="00836DDF"/>
    <w:rsid w:val="00836E6B"/>
    <w:rsid w:val="00836F41"/>
    <w:rsid w:val="00836F8B"/>
    <w:rsid w:val="00836FE0"/>
    <w:rsid w:val="008373D7"/>
    <w:rsid w:val="00837456"/>
    <w:rsid w:val="00837565"/>
    <w:rsid w:val="0083774C"/>
    <w:rsid w:val="008379ED"/>
    <w:rsid w:val="00837A55"/>
    <w:rsid w:val="00837D70"/>
    <w:rsid w:val="008400E8"/>
    <w:rsid w:val="008404B4"/>
    <w:rsid w:val="0084096A"/>
    <w:rsid w:val="008409DD"/>
    <w:rsid w:val="00840B63"/>
    <w:rsid w:val="00841190"/>
    <w:rsid w:val="0084141C"/>
    <w:rsid w:val="0084148E"/>
    <w:rsid w:val="008414F1"/>
    <w:rsid w:val="008415BA"/>
    <w:rsid w:val="00841B43"/>
    <w:rsid w:val="00841C33"/>
    <w:rsid w:val="00841D7B"/>
    <w:rsid w:val="0084220D"/>
    <w:rsid w:val="00842272"/>
    <w:rsid w:val="0084227E"/>
    <w:rsid w:val="0084240B"/>
    <w:rsid w:val="00842712"/>
    <w:rsid w:val="0084273B"/>
    <w:rsid w:val="008429A7"/>
    <w:rsid w:val="00842BB7"/>
    <w:rsid w:val="00842E64"/>
    <w:rsid w:val="00843318"/>
    <w:rsid w:val="00843469"/>
    <w:rsid w:val="008435A4"/>
    <w:rsid w:val="0084364A"/>
    <w:rsid w:val="00843689"/>
    <w:rsid w:val="0084389E"/>
    <w:rsid w:val="00843968"/>
    <w:rsid w:val="00843ADB"/>
    <w:rsid w:val="00843B4B"/>
    <w:rsid w:val="00843C59"/>
    <w:rsid w:val="00843CAD"/>
    <w:rsid w:val="00843D63"/>
    <w:rsid w:val="00843F55"/>
    <w:rsid w:val="00843FAE"/>
    <w:rsid w:val="008440B1"/>
    <w:rsid w:val="00844187"/>
    <w:rsid w:val="0084471A"/>
    <w:rsid w:val="00844751"/>
    <w:rsid w:val="008449C6"/>
    <w:rsid w:val="00844C9A"/>
    <w:rsid w:val="00844E1A"/>
    <w:rsid w:val="00844F2D"/>
    <w:rsid w:val="00845100"/>
    <w:rsid w:val="008452E6"/>
    <w:rsid w:val="0084558A"/>
    <w:rsid w:val="00845933"/>
    <w:rsid w:val="00845934"/>
    <w:rsid w:val="008459FE"/>
    <w:rsid w:val="00845E4B"/>
    <w:rsid w:val="0084678A"/>
    <w:rsid w:val="008469B2"/>
    <w:rsid w:val="00846E3C"/>
    <w:rsid w:val="00846FDE"/>
    <w:rsid w:val="00847045"/>
    <w:rsid w:val="00847187"/>
    <w:rsid w:val="0084735F"/>
    <w:rsid w:val="00847518"/>
    <w:rsid w:val="0084752F"/>
    <w:rsid w:val="0084753C"/>
    <w:rsid w:val="008475D8"/>
    <w:rsid w:val="00847685"/>
    <w:rsid w:val="008476DD"/>
    <w:rsid w:val="008476F1"/>
    <w:rsid w:val="008479F7"/>
    <w:rsid w:val="00847F6C"/>
    <w:rsid w:val="0085011F"/>
    <w:rsid w:val="008502FF"/>
    <w:rsid w:val="008506E4"/>
    <w:rsid w:val="00850B9F"/>
    <w:rsid w:val="00850F26"/>
    <w:rsid w:val="00850FDC"/>
    <w:rsid w:val="0085106F"/>
    <w:rsid w:val="008510A9"/>
    <w:rsid w:val="008510BA"/>
    <w:rsid w:val="00851291"/>
    <w:rsid w:val="00851399"/>
    <w:rsid w:val="008513DB"/>
    <w:rsid w:val="008514DE"/>
    <w:rsid w:val="008515B4"/>
    <w:rsid w:val="00851E04"/>
    <w:rsid w:val="00851EC0"/>
    <w:rsid w:val="00852042"/>
    <w:rsid w:val="00852890"/>
    <w:rsid w:val="008528B6"/>
    <w:rsid w:val="00852D0B"/>
    <w:rsid w:val="00852D81"/>
    <w:rsid w:val="00852F22"/>
    <w:rsid w:val="008530CA"/>
    <w:rsid w:val="00853284"/>
    <w:rsid w:val="008533C9"/>
    <w:rsid w:val="00853427"/>
    <w:rsid w:val="00853468"/>
    <w:rsid w:val="008539FC"/>
    <w:rsid w:val="00853D00"/>
    <w:rsid w:val="00853E12"/>
    <w:rsid w:val="00853EF6"/>
    <w:rsid w:val="00853F5A"/>
    <w:rsid w:val="008547A7"/>
    <w:rsid w:val="008549A0"/>
    <w:rsid w:val="00854A24"/>
    <w:rsid w:val="00854AD7"/>
    <w:rsid w:val="00854BAA"/>
    <w:rsid w:val="00854EB3"/>
    <w:rsid w:val="00854EC4"/>
    <w:rsid w:val="00854F17"/>
    <w:rsid w:val="008551EE"/>
    <w:rsid w:val="00855205"/>
    <w:rsid w:val="00855213"/>
    <w:rsid w:val="0085532D"/>
    <w:rsid w:val="008553B6"/>
    <w:rsid w:val="0085554A"/>
    <w:rsid w:val="00855702"/>
    <w:rsid w:val="0085586E"/>
    <w:rsid w:val="008558AB"/>
    <w:rsid w:val="00855C58"/>
    <w:rsid w:val="00855CD0"/>
    <w:rsid w:val="00855CD5"/>
    <w:rsid w:val="00855D5D"/>
    <w:rsid w:val="00855D64"/>
    <w:rsid w:val="00855DA9"/>
    <w:rsid w:val="00855ECB"/>
    <w:rsid w:val="0085602F"/>
    <w:rsid w:val="00856180"/>
    <w:rsid w:val="0085619B"/>
    <w:rsid w:val="008562F6"/>
    <w:rsid w:val="0085654F"/>
    <w:rsid w:val="008567E2"/>
    <w:rsid w:val="00856944"/>
    <w:rsid w:val="00856B7A"/>
    <w:rsid w:val="00856C62"/>
    <w:rsid w:val="00856F3E"/>
    <w:rsid w:val="00857133"/>
    <w:rsid w:val="008571F0"/>
    <w:rsid w:val="00857263"/>
    <w:rsid w:val="008576FB"/>
    <w:rsid w:val="0085774D"/>
    <w:rsid w:val="008577F0"/>
    <w:rsid w:val="00857CE8"/>
    <w:rsid w:val="00857D23"/>
    <w:rsid w:val="00857ECF"/>
    <w:rsid w:val="00857F0A"/>
    <w:rsid w:val="00857F11"/>
    <w:rsid w:val="0086003F"/>
    <w:rsid w:val="008603CD"/>
    <w:rsid w:val="008605BD"/>
    <w:rsid w:val="00860684"/>
    <w:rsid w:val="00860B3B"/>
    <w:rsid w:val="00860D13"/>
    <w:rsid w:val="00860D4D"/>
    <w:rsid w:val="0086108A"/>
    <w:rsid w:val="00861193"/>
    <w:rsid w:val="00861283"/>
    <w:rsid w:val="0086136A"/>
    <w:rsid w:val="008613C1"/>
    <w:rsid w:val="008613D6"/>
    <w:rsid w:val="0086145A"/>
    <w:rsid w:val="008615B5"/>
    <w:rsid w:val="008617CB"/>
    <w:rsid w:val="00861991"/>
    <w:rsid w:val="00861C50"/>
    <w:rsid w:val="00861E57"/>
    <w:rsid w:val="00861E89"/>
    <w:rsid w:val="00861F29"/>
    <w:rsid w:val="0086207C"/>
    <w:rsid w:val="00862335"/>
    <w:rsid w:val="008624D5"/>
    <w:rsid w:val="00862551"/>
    <w:rsid w:val="00862558"/>
    <w:rsid w:val="0086298A"/>
    <w:rsid w:val="00862D3A"/>
    <w:rsid w:val="00862DBF"/>
    <w:rsid w:val="00862E3A"/>
    <w:rsid w:val="008630A9"/>
    <w:rsid w:val="0086312F"/>
    <w:rsid w:val="00863137"/>
    <w:rsid w:val="00863330"/>
    <w:rsid w:val="008633A7"/>
    <w:rsid w:val="00863642"/>
    <w:rsid w:val="008636B1"/>
    <w:rsid w:val="008637E6"/>
    <w:rsid w:val="008637F0"/>
    <w:rsid w:val="00863849"/>
    <w:rsid w:val="00863975"/>
    <w:rsid w:val="00863A9E"/>
    <w:rsid w:val="00863AEE"/>
    <w:rsid w:val="00863B50"/>
    <w:rsid w:val="00863DDD"/>
    <w:rsid w:val="00863DEB"/>
    <w:rsid w:val="0086408F"/>
    <w:rsid w:val="00864267"/>
    <w:rsid w:val="00864350"/>
    <w:rsid w:val="00864352"/>
    <w:rsid w:val="008646C8"/>
    <w:rsid w:val="0086488D"/>
    <w:rsid w:val="00864912"/>
    <w:rsid w:val="00864980"/>
    <w:rsid w:val="00864A0C"/>
    <w:rsid w:val="00864BB4"/>
    <w:rsid w:val="00864D7F"/>
    <w:rsid w:val="00864DED"/>
    <w:rsid w:val="00864EC5"/>
    <w:rsid w:val="0086529D"/>
    <w:rsid w:val="00865345"/>
    <w:rsid w:val="008654A9"/>
    <w:rsid w:val="008654EF"/>
    <w:rsid w:val="00865509"/>
    <w:rsid w:val="008655E9"/>
    <w:rsid w:val="0086566B"/>
    <w:rsid w:val="008656B1"/>
    <w:rsid w:val="0086589E"/>
    <w:rsid w:val="00865980"/>
    <w:rsid w:val="00865B86"/>
    <w:rsid w:val="00866245"/>
    <w:rsid w:val="008662B9"/>
    <w:rsid w:val="00866308"/>
    <w:rsid w:val="00866339"/>
    <w:rsid w:val="0086649E"/>
    <w:rsid w:val="0086653F"/>
    <w:rsid w:val="00866591"/>
    <w:rsid w:val="0086672E"/>
    <w:rsid w:val="008668A7"/>
    <w:rsid w:val="008668E8"/>
    <w:rsid w:val="00866E69"/>
    <w:rsid w:val="0086728A"/>
    <w:rsid w:val="008674BB"/>
    <w:rsid w:val="00867512"/>
    <w:rsid w:val="008678F0"/>
    <w:rsid w:val="00867903"/>
    <w:rsid w:val="00867A5D"/>
    <w:rsid w:val="00867BAA"/>
    <w:rsid w:val="00867EC3"/>
    <w:rsid w:val="00867F18"/>
    <w:rsid w:val="00870664"/>
    <w:rsid w:val="00870848"/>
    <w:rsid w:val="008709AE"/>
    <w:rsid w:val="00870B04"/>
    <w:rsid w:val="00870E6C"/>
    <w:rsid w:val="00870E97"/>
    <w:rsid w:val="00871115"/>
    <w:rsid w:val="00871127"/>
    <w:rsid w:val="008712D1"/>
    <w:rsid w:val="00871366"/>
    <w:rsid w:val="00871434"/>
    <w:rsid w:val="00871529"/>
    <w:rsid w:val="00871614"/>
    <w:rsid w:val="0087188F"/>
    <w:rsid w:val="00871EB2"/>
    <w:rsid w:val="0087207F"/>
    <w:rsid w:val="00872096"/>
    <w:rsid w:val="008721EB"/>
    <w:rsid w:val="0087221E"/>
    <w:rsid w:val="00872236"/>
    <w:rsid w:val="00872262"/>
    <w:rsid w:val="0087230F"/>
    <w:rsid w:val="008724DF"/>
    <w:rsid w:val="00872500"/>
    <w:rsid w:val="008727C6"/>
    <w:rsid w:val="00872A22"/>
    <w:rsid w:val="00872BC1"/>
    <w:rsid w:val="00873012"/>
    <w:rsid w:val="00873038"/>
    <w:rsid w:val="008731B6"/>
    <w:rsid w:val="00873404"/>
    <w:rsid w:val="00873568"/>
    <w:rsid w:val="008736E4"/>
    <w:rsid w:val="008736FB"/>
    <w:rsid w:val="00873872"/>
    <w:rsid w:val="0087391A"/>
    <w:rsid w:val="00873968"/>
    <w:rsid w:val="00873B40"/>
    <w:rsid w:val="00873B92"/>
    <w:rsid w:val="00873BC2"/>
    <w:rsid w:val="00873C1E"/>
    <w:rsid w:val="00873C58"/>
    <w:rsid w:val="00873C79"/>
    <w:rsid w:val="0087412A"/>
    <w:rsid w:val="008741DB"/>
    <w:rsid w:val="008741DD"/>
    <w:rsid w:val="008741EB"/>
    <w:rsid w:val="0087420E"/>
    <w:rsid w:val="00874310"/>
    <w:rsid w:val="0087440F"/>
    <w:rsid w:val="00874A52"/>
    <w:rsid w:val="00874BAA"/>
    <w:rsid w:val="00874C0F"/>
    <w:rsid w:val="00874FDE"/>
    <w:rsid w:val="00875075"/>
    <w:rsid w:val="0087535D"/>
    <w:rsid w:val="00875640"/>
    <w:rsid w:val="0087566A"/>
    <w:rsid w:val="008756F8"/>
    <w:rsid w:val="008757E1"/>
    <w:rsid w:val="00875A71"/>
    <w:rsid w:val="00876016"/>
    <w:rsid w:val="00876089"/>
    <w:rsid w:val="008762F8"/>
    <w:rsid w:val="008764BD"/>
    <w:rsid w:val="008768A0"/>
    <w:rsid w:val="00876C9A"/>
    <w:rsid w:val="00876D3C"/>
    <w:rsid w:val="00876E86"/>
    <w:rsid w:val="00876F1B"/>
    <w:rsid w:val="0087718A"/>
    <w:rsid w:val="00877320"/>
    <w:rsid w:val="008773F7"/>
    <w:rsid w:val="00877670"/>
    <w:rsid w:val="00877BB3"/>
    <w:rsid w:val="00877BC1"/>
    <w:rsid w:val="00877E6B"/>
    <w:rsid w:val="008800A3"/>
    <w:rsid w:val="008800DA"/>
    <w:rsid w:val="008802AD"/>
    <w:rsid w:val="00880337"/>
    <w:rsid w:val="0088045C"/>
    <w:rsid w:val="00880A38"/>
    <w:rsid w:val="00880C2C"/>
    <w:rsid w:val="00880C5F"/>
    <w:rsid w:val="00880C76"/>
    <w:rsid w:val="00880CD9"/>
    <w:rsid w:val="00880F41"/>
    <w:rsid w:val="0088105B"/>
    <w:rsid w:val="00881085"/>
    <w:rsid w:val="00881120"/>
    <w:rsid w:val="00881446"/>
    <w:rsid w:val="008815E7"/>
    <w:rsid w:val="00881606"/>
    <w:rsid w:val="00881615"/>
    <w:rsid w:val="008816BB"/>
    <w:rsid w:val="00881722"/>
    <w:rsid w:val="00881742"/>
    <w:rsid w:val="008817D3"/>
    <w:rsid w:val="008817E6"/>
    <w:rsid w:val="008818BA"/>
    <w:rsid w:val="00881984"/>
    <w:rsid w:val="00881991"/>
    <w:rsid w:val="00881992"/>
    <w:rsid w:val="00881C79"/>
    <w:rsid w:val="00881D59"/>
    <w:rsid w:val="00881DCD"/>
    <w:rsid w:val="00881E3E"/>
    <w:rsid w:val="00881FF4"/>
    <w:rsid w:val="00882004"/>
    <w:rsid w:val="0088202A"/>
    <w:rsid w:val="00882030"/>
    <w:rsid w:val="00882048"/>
    <w:rsid w:val="008821BB"/>
    <w:rsid w:val="008821C4"/>
    <w:rsid w:val="008821F4"/>
    <w:rsid w:val="00882235"/>
    <w:rsid w:val="0088237C"/>
    <w:rsid w:val="00882562"/>
    <w:rsid w:val="00882633"/>
    <w:rsid w:val="0088290C"/>
    <w:rsid w:val="00882AD1"/>
    <w:rsid w:val="00882B16"/>
    <w:rsid w:val="00882CAC"/>
    <w:rsid w:val="00882DD6"/>
    <w:rsid w:val="00882E05"/>
    <w:rsid w:val="00883080"/>
    <w:rsid w:val="008835A4"/>
    <w:rsid w:val="00883652"/>
    <w:rsid w:val="00883769"/>
    <w:rsid w:val="00883837"/>
    <w:rsid w:val="00883C4F"/>
    <w:rsid w:val="00883F5E"/>
    <w:rsid w:val="00883F96"/>
    <w:rsid w:val="00884201"/>
    <w:rsid w:val="00884341"/>
    <w:rsid w:val="00884360"/>
    <w:rsid w:val="008846C7"/>
    <w:rsid w:val="00884986"/>
    <w:rsid w:val="00884AC3"/>
    <w:rsid w:val="00884BE9"/>
    <w:rsid w:val="00884D3D"/>
    <w:rsid w:val="00884F82"/>
    <w:rsid w:val="0088512F"/>
    <w:rsid w:val="008851F9"/>
    <w:rsid w:val="008852B7"/>
    <w:rsid w:val="008852FE"/>
    <w:rsid w:val="008855D8"/>
    <w:rsid w:val="00885620"/>
    <w:rsid w:val="00885658"/>
    <w:rsid w:val="00885683"/>
    <w:rsid w:val="008857E2"/>
    <w:rsid w:val="0088596C"/>
    <w:rsid w:val="0088597E"/>
    <w:rsid w:val="00885D75"/>
    <w:rsid w:val="00885F56"/>
    <w:rsid w:val="00886191"/>
    <w:rsid w:val="00886463"/>
    <w:rsid w:val="008864FA"/>
    <w:rsid w:val="00886AEF"/>
    <w:rsid w:val="00886BEB"/>
    <w:rsid w:val="00887066"/>
    <w:rsid w:val="0088712B"/>
    <w:rsid w:val="008872EB"/>
    <w:rsid w:val="008873F7"/>
    <w:rsid w:val="008873FA"/>
    <w:rsid w:val="0088789B"/>
    <w:rsid w:val="008878FB"/>
    <w:rsid w:val="0088797F"/>
    <w:rsid w:val="008879BF"/>
    <w:rsid w:val="008879DB"/>
    <w:rsid w:val="00887B5C"/>
    <w:rsid w:val="00887C77"/>
    <w:rsid w:val="00887CCC"/>
    <w:rsid w:val="00887E4A"/>
    <w:rsid w:val="00890116"/>
    <w:rsid w:val="0089030F"/>
    <w:rsid w:val="00890435"/>
    <w:rsid w:val="0089050E"/>
    <w:rsid w:val="0089056E"/>
    <w:rsid w:val="008905EE"/>
    <w:rsid w:val="00890623"/>
    <w:rsid w:val="008906E5"/>
    <w:rsid w:val="00890754"/>
    <w:rsid w:val="0089077C"/>
    <w:rsid w:val="008907A2"/>
    <w:rsid w:val="00890983"/>
    <w:rsid w:val="00890CA5"/>
    <w:rsid w:val="00890D96"/>
    <w:rsid w:val="00890DAC"/>
    <w:rsid w:val="00890F33"/>
    <w:rsid w:val="00890F3B"/>
    <w:rsid w:val="008910D0"/>
    <w:rsid w:val="008910E3"/>
    <w:rsid w:val="0089126A"/>
    <w:rsid w:val="0089130A"/>
    <w:rsid w:val="0089131C"/>
    <w:rsid w:val="00891509"/>
    <w:rsid w:val="00891718"/>
    <w:rsid w:val="00891833"/>
    <w:rsid w:val="00891E76"/>
    <w:rsid w:val="00891ECF"/>
    <w:rsid w:val="008920A0"/>
    <w:rsid w:val="0089221A"/>
    <w:rsid w:val="0089237A"/>
    <w:rsid w:val="0089238B"/>
    <w:rsid w:val="008923B7"/>
    <w:rsid w:val="008923EE"/>
    <w:rsid w:val="00892512"/>
    <w:rsid w:val="008928B8"/>
    <w:rsid w:val="00892F3D"/>
    <w:rsid w:val="00892FA1"/>
    <w:rsid w:val="00892FC7"/>
    <w:rsid w:val="0089305B"/>
    <w:rsid w:val="008930B9"/>
    <w:rsid w:val="008932DB"/>
    <w:rsid w:val="008932F4"/>
    <w:rsid w:val="008932F5"/>
    <w:rsid w:val="0089333D"/>
    <w:rsid w:val="0089340D"/>
    <w:rsid w:val="0089350D"/>
    <w:rsid w:val="008937CD"/>
    <w:rsid w:val="008937E5"/>
    <w:rsid w:val="00893E6F"/>
    <w:rsid w:val="008940B0"/>
    <w:rsid w:val="008940CE"/>
    <w:rsid w:val="00894381"/>
    <w:rsid w:val="00894484"/>
    <w:rsid w:val="008944AD"/>
    <w:rsid w:val="008944D9"/>
    <w:rsid w:val="00894722"/>
    <w:rsid w:val="00894A31"/>
    <w:rsid w:val="00895112"/>
    <w:rsid w:val="0089514D"/>
    <w:rsid w:val="0089515A"/>
    <w:rsid w:val="008952B2"/>
    <w:rsid w:val="0089542F"/>
    <w:rsid w:val="00895505"/>
    <w:rsid w:val="0089565F"/>
    <w:rsid w:val="008958CE"/>
    <w:rsid w:val="00895950"/>
    <w:rsid w:val="00895C28"/>
    <w:rsid w:val="00895CBA"/>
    <w:rsid w:val="00895DE4"/>
    <w:rsid w:val="00895F5B"/>
    <w:rsid w:val="0089642F"/>
    <w:rsid w:val="008967B5"/>
    <w:rsid w:val="0089698F"/>
    <w:rsid w:val="008969DA"/>
    <w:rsid w:val="00896BC6"/>
    <w:rsid w:val="00896D85"/>
    <w:rsid w:val="00896DFD"/>
    <w:rsid w:val="00897072"/>
    <w:rsid w:val="00897283"/>
    <w:rsid w:val="008975D5"/>
    <w:rsid w:val="008978A3"/>
    <w:rsid w:val="008979BC"/>
    <w:rsid w:val="00897B09"/>
    <w:rsid w:val="00897B85"/>
    <w:rsid w:val="00897F95"/>
    <w:rsid w:val="008A0017"/>
    <w:rsid w:val="008A003C"/>
    <w:rsid w:val="008A0068"/>
    <w:rsid w:val="008A0324"/>
    <w:rsid w:val="008A034F"/>
    <w:rsid w:val="008A037D"/>
    <w:rsid w:val="008A03F3"/>
    <w:rsid w:val="008A04E2"/>
    <w:rsid w:val="008A0949"/>
    <w:rsid w:val="008A09B1"/>
    <w:rsid w:val="008A0AB0"/>
    <w:rsid w:val="008A0AB6"/>
    <w:rsid w:val="008A0B4B"/>
    <w:rsid w:val="008A0BC7"/>
    <w:rsid w:val="008A0CF7"/>
    <w:rsid w:val="008A0E64"/>
    <w:rsid w:val="008A13C3"/>
    <w:rsid w:val="008A14ED"/>
    <w:rsid w:val="008A1637"/>
    <w:rsid w:val="008A164C"/>
    <w:rsid w:val="008A166D"/>
    <w:rsid w:val="008A17E8"/>
    <w:rsid w:val="008A17ED"/>
    <w:rsid w:val="008A18DA"/>
    <w:rsid w:val="008A1976"/>
    <w:rsid w:val="008A1F49"/>
    <w:rsid w:val="008A1FF5"/>
    <w:rsid w:val="008A2424"/>
    <w:rsid w:val="008A2516"/>
    <w:rsid w:val="008A26D4"/>
    <w:rsid w:val="008A270B"/>
    <w:rsid w:val="008A270F"/>
    <w:rsid w:val="008A279C"/>
    <w:rsid w:val="008A27CF"/>
    <w:rsid w:val="008A28D4"/>
    <w:rsid w:val="008A2ADA"/>
    <w:rsid w:val="008A2D42"/>
    <w:rsid w:val="008A2EFC"/>
    <w:rsid w:val="008A2F8A"/>
    <w:rsid w:val="008A2F9A"/>
    <w:rsid w:val="008A31E3"/>
    <w:rsid w:val="008A327B"/>
    <w:rsid w:val="008A32B5"/>
    <w:rsid w:val="008A3303"/>
    <w:rsid w:val="008A3673"/>
    <w:rsid w:val="008A36CD"/>
    <w:rsid w:val="008A3761"/>
    <w:rsid w:val="008A3806"/>
    <w:rsid w:val="008A3A38"/>
    <w:rsid w:val="008A41C8"/>
    <w:rsid w:val="008A428A"/>
    <w:rsid w:val="008A42F6"/>
    <w:rsid w:val="008A44B1"/>
    <w:rsid w:val="008A4674"/>
    <w:rsid w:val="008A4A95"/>
    <w:rsid w:val="008A4B4F"/>
    <w:rsid w:val="008A4D42"/>
    <w:rsid w:val="008A4F66"/>
    <w:rsid w:val="008A50C5"/>
    <w:rsid w:val="008A527C"/>
    <w:rsid w:val="008A534F"/>
    <w:rsid w:val="008A5444"/>
    <w:rsid w:val="008A5465"/>
    <w:rsid w:val="008A5612"/>
    <w:rsid w:val="008A5617"/>
    <w:rsid w:val="008A56AE"/>
    <w:rsid w:val="008A5A0B"/>
    <w:rsid w:val="008A5D98"/>
    <w:rsid w:val="008A5DC2"/>
    <w:rsid w:val="008A5E37"/>
    <w:rsid w:val="008A5EE5"/>
    <w:rsid w:val="008A5F86"/>
    <w:rsid w:val="008A6132"/>
    <w:rsid w:val="008A6391"/>
    <w:rsid w:val="008A64F3"/>
    <w:rsid w:val="008A6C6F"/>
    <w:rsid w:val="008A70C6"/>
    <w:rsid w:val="008A7133"/>
    <w:rsid w:val="008A71AE"/>
    <w:rsid w:val="008A745B"/>
    <w:rsid w:val="008A7A3E"/>
    <w:rsid w:val="008A7A7D"/>
    <w:rsid w:val="008A7B68"/>
    <w:rsid w:val="008A7BBB"/>
    <w:rsid w:val="008A7D19"/>
    <w:rsid w:val="008A7EC4"/>
    <w:rsid w:val="008A7EDC"/>
    <w:rsid w:val="008A7EEB"/>
    <w:rsid w:val="008B00CF"/>
    <w:rsid w:val="008B038C"/>
    <w:rsid w:val="008B056C"/>
    <w:rsid w:val="008B075D"/>
    <w:rsid w:val="008B08BB"/>
    <w:rsid w:val="008B0945"/>
    <w:rsid w:val="008B0A7A"/>
    <w:rsid w:val="008B0AF2"/>
    <w:rsid w:val="008B0B7B"/>
    <w:rsid w:val="008B0C14"/>
    <w:rsid w:val="008B0CE4"/>
    <w:rsid w:val="008B0FEE"/>
    <w:rsid w:val="008B10EA"/>
    <w:rsid w:val="008B10FC"/>
    <w:rsid w:val="008B11D1"/>
    <w:rsid w:val="008B122E"/>
    <w:rsid w:val="008B15B1"/>
    <w:rsid w:val="008B15ED"/>
    <w:rsid w:val="008B1AF8"/>
    <w:rsid w:val="008B1B26"/>
    <w:rsid w:val="008B1B5C"/>
    <w:rsid w:val="008B1CF2"/>
    <w:rsid w:val="008B1D1A"/>
    <w:rsid w:val="008B2279"/>
    <w:rsid w:val="008B2287"/>
    <w:rsid w:val="008B273F"/>
    <w:rsid w:val="008B277D"/>
    <w:rsid w:val="008B2A70"/>
    <w:rsid w:val="008B2B8C"/>
    <w:rsid w:val="008B2BAB"/>
    <w:rsid w:val="008B2BD1"/>
    <w:rsid w:val="008B2CBB"/>
    <w:rsid w:val="008B30A4"/>
    <w:rsid w:val="008B320D"/>
    <w:rsid w:val="008B349D"/>
    <w:rsid w:val="008B36F7"/>
    <w:rsid w:val="008B376A"/>
    <w:rsid w:val="008B37E3"/>
    <w:rsid w:val="008B3859"/>
    <w:rsid w:val="008B3972"/>
    <w:rsid w:val="008B3D3C"/>
    <w:rsid w:val="008B3DA3"/>
    <w:rsid w:val="008B3E27"/>
    <w:rsid w:val="008B3E52"/>
    <w:rsid w:val="008B3E67"/>
    <w:rsid w:val="008B4134"/>
    <w:rsid w:val="008B4175"/>
    <w:rsid w:val="008B4321"/>
    <w:rsid w:val="008B45BE"/>
    <w:rsid w:val="008B4A0E"/>
    <w:rsid w:val="008B4A40"/>
    <w:rsid w:val="008B4B66"/>
    <w:rsid w:val="008B4B7F"/>
    <w:rsid w:val="008B4DF0"/>
    <w:rsid w:val="008B4E7D"/>
    <w:rsid w:val="008B539F"/>
    <w:rsid w:val="008B58AC"/>
    <w:rsid w:val="008B5A48"/>
    <w:rsid w:val="008B5AC2"/>
    <w:rsid w:val="008B5C04"/>
    <w:rsid w:val="008B5DA6"/>
    <w:rsid w:val="008B6020"/>
    <w:rsid w:val="008B6063"/>
    <w:rsid w:val="008B6468"/>
    <w:rsid w:val="008B6469"/>
    <w:rsid w:val="008B647E"/>
    <w:rsid w:val="008B656F"/>
    <w:rsid w:val="008B6574"/>
    <w:rsid w:val="008B66DE"/>
    <w:rsid w:val="008B6707"/>
    <w:rsid w:val="008B70E4"/>
    <w:rsid w:val="008B7136"/>
    <w:rsid w:val="008B71AB"/>
    <w:rsid w:val="008B7333"/>
    <w:rsid w:val="008B756C"/>
    <w:rsid w:val="008B76AC"/>
    <w:rsid w:val="008B76F6"/>
    <w:rsid w:val="008B7CB2"/>
    <w:rsid w:val="008B7DB3"/>
    <w:rsid w:val="008B7E56"/>
    <w:rsid w:val="008B7E9F"/>
    <w:rsid w:val="008B7F30"/>
    <w:rsid w:val="008C00B3"/>
    <w:rsid w:val="008C022A"/>
    <w:rsid w:val="008C02AF"/>
    <w:rsid w:val="008C0303"/>
    <w:rsid w:val="008C0343"/>
    <w:rsid w:val="008C038A"/>
    <w:rsid w:val="008C0A55"/>
    <w:rsid w:val="008C0A81"/>
    <w:rsid w:val="008C0B16"/>
    <w:rsid w:val="008C0D68"/>
    <w:rsid w:val="008C0D7B"/>
    <w:rsid w:val="008C1095"/>
    <w:rsid w:val="008C1222"/>
    <w:rsid w:val="008C13C6"/>
    <w:rsid w:val="008C14EC"/>
    <w:rsid w:val="008C15D9"/>
    <w:rsid w:val="008C16B1"/>
    <w:rsid w:val="008C1824"/>
    <w:rsid w:val="008C184E"/>
    <w:rsid w:val="008C19A5"/>
    <w:rsid w:val="008C19E8"/>
    <w:rsid w:val="008C1BB8"/>
    <w:rsid w:val="008C1EE9"/>
    <w:rsid w:val="008C201A"/>
    <w:rsid w:val="008C25B1"/>
    <w:rsid w:val="008C2610"/>
    <w:rsid w:val="008C26D2"/>
    <w:rsid w:val="008C2964"/>
    <w:rsid w:val="008C2A2E"/>
    <w:rsid w:val="008C2AAD"/>
    <w:rsid w:val="008C2CA0"/>
    <w:rsid w:val="008C301E"/>
    <w:rsid w:val="008C31E9"/>
    <w:rsid w:val="008C3825"/>
    <w:rsid w:val="008C395D"/>
    <w:rsid w:val="008C3B3F"/>
    <w:rsid w:val="008C3E63"/>
    <w:rsid w:val="008C3FAE"/>
    <w:rsid w:val="008C4013"/>
    <w:rsid w:val="008C4097"/>
    <w:rsid w:val="008C43DD"/>
    <w:rsid w:val="008C4570"/>
    <w:rsid w:val="008C4646"/>
    <w:rsid w:val="008C4742"/>
    <w:rsid w:val="008C4753"/>
    <w:rsid w:val="008C499F"/>
    <w:rsid w:val="008C4C3E"/>
    <w:rsid w:val="008C4CDD"/>
    <w:rsid w:val="008C4D07"/>
    <w:rsid w:val="008C4EAA"/>
    <w:rsid w:val="008C4FDE"/>
    <w:rsid w:val="008C4FFF"/>
    <w:rsid w:val="008C5045"/>
    <w:rsid w:val="008C51D1"/>
    <w:rsid w:val="008C5413"/>
    <w:rsid w:val="008C5496"/>
    <w:rsid w:val="008C5583"/>
    <w:rsid w:val="008C56CE"/>
    <w:rsid w:val="008C56E1"/>
    <w:rsid w:val="008C5728"/>
    <w:rsid w:val="008C5963"/>
    <w:rsid w:val="008C5989"/>
    <w:rsid w:val="008C59D9"/>
    <w:rsid w:val="008C59DA"/>
    <w:rsid w:val="008C5B14"/>
    <w:rsid w:val="008C5BBF"/>
    <w:rsid w:val="008C5D1B"/>
    <w:rsid w:val="008C6743"/>
    <w:rsid w:val="008C6972"/>
    <w:rsid w:val="008C6C81"/>
    <w:rsid w:val="008C6D63"/>
    <w:rsid w:val="008C6F2D"/>
    <w:rsid w:val="008C7034"/>
    <w:rsid w:val="008C7091"/>
    <w:rsid w:val="008C7385"/>
    <w:rsid w:val="008C73C9"/>
    <w:rsid w:val="008C742E"/>
    <w:rsid w:val="008C7513"/>
    <w:rsid w:val="008C7542"/>
    <w:rsid w:val="008C77F5"/>
    <w:rsid w:val="008C7848"/>
    <w:rsid w:val="008C788C"/>
    <w:rsid w:val="008C7A2C"/>
    <w:rsid w:val="008C7A80"/>
    <w:rsid w:val="008C7BB0"/>
    <w:rsid w:val="008D01CD"/>
    <w:rsid w:val="008D0277"/>
    <w:rsid w:val="008D0597"/>
    <w:rsid w:val="008D0642"/>
    <w:rsid w:val="008D07B8"/>
    <w:rsid w:val="008D07D3"/>
    <w:rsid w:val="008D09E1"/>
    <w:rsid w:val="008D0B18"/>
    <w:rsid w:val="008D0B56"/>
    <w:rsid w:val="008D0C2B"/>
    <w:rsid w:val="008D16D8"/>
    <w:rsid w:val="008D1A2C"/>
    <w:rsid w:val="008D1A90"/>
    <w:rsid w:val="008D1BCF"/>
    <w:rsid w:val="008D1CD9"/>
    <w:rsid w:val="008D1CEC"/>
    <w:rsid w:val="008D2467"/>
    <w:rsid w:val="008D2519"/>
    <w:rsid w:val="008D25F6"/>
    <w:rsid w:val="008D285C"/>
    <w:rsid w:val="008D2876"/>
    <w:rsid w:val="008D29DE"/>
    <w:rsid w:val="008D2A76"/>
    <w:rsid w:val="008D2AC7"/>
    <w:rsid w:val="008D2ECF"/>
    <w:rsid w:val="008D3062"/>
    <w:rsid w:val="008D3262"/>
    <w:rsid w:val="008D33F1"/>
    <w:rsid w:val="008D34AC"/>
    <w:rsid w:val="008D352F"/>
    <w:rsid w:val="008D3637"/>
    <w:rsid w:val="008D383C"/>
    <w:rsid w:val="008D3960"/>
    <w:rsid w:val="008D39FC"/>
    <w:rsid w:val="008D3CA1"/>
    <w:rsid w:val="008D3CB3"/>
    <w:rsid w:val="008D3CD9"/>
    <w:rsid w:val="008D3D37"/>
    <w:rsid w:val="008D3D7F"/>
    <w:rsid w:val="008D3EF8"/>
    <w:rsid w:val="008D3F8A"/>
    <w:rsid w:val="008D4469"/>
    <w:rsid w:val="008D453E"/>
    <w:rsid w:val="008D45DE"/>
    <w:rsid w:val="008D4617"/>
    <w:rsid w:val="008D4684"/>
    <w:rsid w:val="008D46FD"/>
    <w:rsid w:val="008D4C21"/>
    <w:rsid w:val="008D4DE0"/>
    <w:rsid w:val="008D4E7E"/>
    <w:rsid w:val="008D5475"/>
    <w:rsid w:val="008D5687"/>
    <w:rsid w:val="008D57C3"/>
    <w:rsid w:val="008D5813"/>
    <w:rsid w:val="008D593E"/>
    <w:rsid w:val="008D59FA"/>
    <w:rsid w:val="008D5A12"/>
    <w:rsid w:val="008D5C10"/>
    <w:rsid w:val="008D5C79"/>
    <w:rsid w:val="008D5D61"/>
    <w:rsid w:val="008D5DDA"/>
    <w:rsid w:val="008D5E3B"/>
    <w:rsid w:val="008D5F66"/>
    <w:rsid w:val="008D5FBE"/>
    <w:rsid w:val="008D6780"/>
    <w:rsid w:val="008D6789"/>
    <w:rsid w:val="008D6AD8"/>
    <w:rsid w:val="008D6BF1"/>
    <w:rsid w:val="008D6C40"/>
    <w:rsid w:val="008D6C7A"/>
    <w:rsid w:val="008D6E45"/>
    <w:rsid w:val="008D717F"/>
    <w:rsid w:val="008D71E5"/>
    <w:rsid w:val="008D72A5"/>
    <w:rsid w:val="008D736F"/>
    <w:rsid w:val="008D73EB"/>
    <w:rsid w:val="008D7606"/>
    <w:rsid w:val="008D772C"/>
    <w:rsid w:val="008D78C9"/>
    <w:rsid w:val="008D797F"/>
    <w:rsid w:val="008D7D28"/>
    <w:rsid w:val="008E0151"/>
    <w:rsid w:val="008E0270"/>
    <w:rsid w:val="008E0274"/>
    <w:rsid w:val="008E0312"/>
    <w:rsid w:val="008E03F5"/>
    <w:rsid w:val="008E0469"/>
    <w:rsid w:val="008E0656"/>
    <w:rsid w:val="008E0658"/>
    <w:rsid w:val="008E0675"/>
    <w:rsid w:val="008E07B3"/>
    <w:rsid w:val="008E0895"/>
    <w:rsid w:val="008E0F55"/>
    <w:rsid w:val="008E12DA"/>
    <w:rsid w:val="008E139E"/>
    <w:rsid w:val="008E155D"/>
    <w:rsid w:val="008E19CE"/>
    <w:rsid w:val="008E1A68"/>
    <w:rsid w:val="008E1AB9"/>
    <w:rsid w:val="008E1AF3"/>
    <w:rsid w:val="008E1B45"/>
    <w:rsid w:val="008E1F26"/>
    <w:rsid w:val="008E236A"/>
    <w:rsid w:val="008E259D"/>
    <w:rsid w:val="008E2652"/>
    <w:rsid w:val="008E27E3"/>
    <w:rsid w:val="008E2ABD"/>
    <w:rsid w:val="008E2EB7"/>
    <w:rsid w:val="008E3113"/>
    <w:rsid w:val="008E3201"/>
    <w:rsid w:val="008E3272"/>
    <w:rsid w:val="008E351E"/>
    <w:rsid w:val="008E3572"/>
    <w:rsid w:val="008E35E4"/>
    <w:rsid w:val="008E387D"/>
    <w:rsid w:val="008E38E3"/>
    <w:rsid w:val="008E3A0F"/>
    <w:rsid w:val="008E3A54"/>
    <w:rsid w:val="008E3B92"/>
    <w:rsid w:val="008E3BC7"/>
    <w:rsid w:val="008E3BE9"/>
    <w:rsid w:val="008E3C96"/>
    <w:rsid w:val="008E3E4B"/>
    <w:rsid w:val="008E3EB8"/>
    <w:rsid w:val="008E3F8B"/>
    <w:rsid w:val="008E409A"/>
    <w:rsid w:val="008E436C"/>
    <w:rsid w:val="008E486A"/>
    <w:rsid w:val="008E493C"/>
    <w:rsid w:val="008E4967"/>
    <w:rsid w:val="008E4A6D"/>
    <w:rsid w:val="008E4C9E"/>
    <w:rsid w:val="008E4CC6"/>
    <w:rsid w:val="008E4DE6"/>
    <w:rsid w:val="008E4E35"/>
    <w:rsid w:val="008E52CD"/>
    <w:rsid w:val="008E55B5"/>
    <w:rsid w:val="008E5655"/>
    <w:rsid w:val="008E57DA"/>
    <w:rsid w:val="008E5AEC"/>
    <w:rsid w:val="008E5B5B"/>
    <w:rsid w:val="008E5E4B"/>
    <w:rsid w:val="008E5F4D"/>
    <w:rsid w:val="008E6142"/>
    <w:rsid w:val="008E6276"/>
    <w:rsid w:val="008E64A2"/>
    <w:rsid w:val="008E64CF"/>
    <w:rsid w:val="008E6571"/>
    <w:rsid w:val="008E66E5"/>
    <w:rsid w:val="008E6754"/>
    <w:rsid w:val="008E68B5"/>
    <w:rsid w:val="008E6A98"/>
    <w:rsid w:val="008E6C8A"/>
    <w:rsid w:val="008E6E0F"/>
    <w:rsid w:val="008E70A0"/>
    <w:rsid w:val="008E7225"/>
    <w:rsid w:val="008E723F"/>
    <w:rsid w:val="008E744F"/>
    <w:rsid w:val="008E75F9"/>
    <w:rsid w:val="008E77F5"/>
    <w:rsid w:val="008E795C"/>
    <w:rsid w:val="008E796F"/>
    <w:rsid w:val="008E7A14"/>
    <w:rsid w:val="008E7D74"/>
    <w:rsid w:val="008E7D9C"/>
    <w:rsid w:val="008E7FB2"/>
    <w:rsid w:val="008F00CA"/>
    <w:rsid w:val="008F0233"/>
    <w:rsid w:val="008F040A"/>
    <w:rsid w:val="008F068F"/>
    <w:rsid w:val="008F075E"/>
    <w:rsid w:val="008F0852"/>
    <w:rsid w:val="008F0897"/>
    <w:rsid w:val="008F0905"/>
    <w:rsid w:val="008F099C"/>
    <w:rsid w:val="008F0A65"/>
    <w:rsid w:val="008F0ACD"/>
    <w:rsid w:val="008F0BE1"/>
    <w:rsid w:val="008F0D48"/>
    <w:rsid w:val="008F0EB3"/>
    <w:rsid w:val="008F0F44"/>
    <w:rsid w:val="008F1040"/>
    <w:rsid w:val="008F104B"/>
    <w:rsid w:val="008F1372"/>
    <w:rsid w:val="008F151A"/>
    <w:rsid w:val="008F15AD"/>
    <w:rsid w:val="008F195D"/>
    <w:rsid w:val="008F1BE4"/>
    <w:rsid w:val="008F1F3B"/>
    <w:rsid w:val="008F21A7"/>
    <w:rsid w:val="008F21BE"/>
    <w:rsid w:val="008F2267"/>
    <w:rsid w:val="008F2754"/>
    <w:rsid w:val="008F2A6D"/>
    <w:rsid w:val="008F2AB7"/>
    <w:rsid w:val="008F2C0F"/>
    <w:rsid w:val="008F2D95"/>
    <w:rsid w:val="008F2EA2"/>
    <w:rsid w:val="008F2EB9"/>
    <w:rsid w:val="008F2F19"/>
    <w:rsid w:val="008F2FAF"/>
    <w:rsid w:val="008F3037"/>
    <w:rsid w:val="008F30AA"/>
    <w:rsid w:val="008F3235"/>
    <w:rsid w:val="008F334A"/>
    <w:rsid w:val="008F34B8"/>
    <w:rsid w:val="008F35BF"/>
    <w:rsid w:val="008F3831"/>
    <w:rsid w:val="008F3846"/>
    <w:rsid w:val="008F393E"/>
    <w:rsid w:val="008F39EC"/>
    <w:rsid w:val="008F3B06"/>
    <w:rsid w:val="008F3CD4"/>
    <w:rsid w:val="008F3E21"/>
    <w:rsid w:val="008F3E92"/>
    <w:rsid w:val="008F3F26"/>
    <w:rsid w:val="008F3F6A"/>
    <w:rsid w:val="008F4045"/>
    <w:rsid w:val="008F431F"/>
    <w:rsid w:val="008F43AE"/>
    <w:rsid w:val="008F448E"/>
    <w:rsid w:val="008F45D8"/>
    <w:rsid w:val="008F4808"/>
    <w:rsid w:val="008F48FF"/>
    <w:rsid w:val="008F4A04"/>
    <w:rsid w:val="008F4D20"/>
    <w:rsid w:val="008F4D8F"/>
    <w:rsid w:val="008F4E8A"/>
    <w:rsid w:val="008F4F98"/>
    <w:rsid w:val="008F4FF8"/>
    <w:rsid w:val="008F52C9"/>
    <w:rsid w:val="008F52D4"/>
    <w:rsid w:val="008F543A"/>
    <w:rsid w:val="008F55DB"/>
    <w:rsid w:val="008F55F8"/>
    <w:rsid w:val="008F57C5"/>
    <w:rsid w:val="008F585D"/>
    <w:rsid w:val="008F58BD"/>
    <w:rsid w:val="008F5981"/>
    <w:rsid w:val="008F5AC0"/>
    <w:rsid w:val="008F5BB6"/>
    <w:rsid w:val="008F5BEF"/>
    <w:rsid w:val="008F5C45"/>
    <w:rsid w:val="008F5EA5"/>
    <w:rsid w:val="008F5EC2"/>
    <w:rsid w:val="008F60A7"/>
    <w:rsid w:val="008F63AA"/>
    <w:rsid w:val="008F63DA"/>
    <w:rsid w:val="008F6570"/>
    <w:rsid w:val="008F67B5"/>
    <w:rsid w:val="008F69B9"/>
    <w:rsid w:val="008F6B99"/>
    <w:rsid w:val="008F6D1E"/>
    <w:rsid w:val="008F6D3C"/>
    <w:rsid w:val="008F6D43"/>
    <w:rsid w:val="008F6D76"/>
    <w:rsid w:val="008F6F2C"/>
    <w:rsid w:val="008F7011"/>
    <w:rsid w:val="008F7122"/>
    <w:rsid w:val="008F717D"/>
    <w:rsid w:val="008F7269"/>
    <w:rsid w:val="008F74FF"/>
    <w:rsid w:val="008F75AE"/>
    <w:rsid w:val="008F75EF"/>
    <w:rsid w:val="008F764D"/>
    <w:rsid w:val="008F7D3A"/>
    <w:rsid w:val="008F7ED6"/>
    <w:rsid w:val="008F7FBE"/>
    <w:rsid w:val="00900012"/>
    <w:rsid w:val="00900036"/>
    <w:rsid w:val="0090017B"/>
    <w:rsid w:val="009002CA"/>
    <w:rsid w:val="0090071E"/>
    <w:rsid w:val="00900794"/>
    <w:rsid w:val="00900A6D"/>
    <w:rsid w:val="00900AB1"/>
    <w:rsid w:val="00900F58"/>
    <w:rsid w:val="00901778"/>
    <w:rsid w:val="009017FE"/>
    <w:rsid w:val="00901A1E"/>
    <w:rsid w:val="00901CE4"/>
    <w:rsid w:val="0090241F"/>
    <w:rsid w:val="0090262D"/>
    <w:rsid w:val="009027ED"/>
    <w:rsid w:val="0090280E"/>
    <w:rsid w:val="009029AD"/>
    <w:rsid w:val="00902C64"/>
    <w:rsid w:val="00902F06"/>
    <w:rsid w:val="00903138"/>
    <w:rsid w:val="0090334A"/>
    <w:rsid w:val="009035ED"/>
    <w:rsid w:val="009038FF"/>
    <w:rsid w:val="00903BA1"/>
    <w:rsid w:val="00903C9F"/>
    <w:rsid w:val="00903E3D"/>
    <w:rsid w:val="0090409A"/>
    <w:rsid w:val="0090433A"/>
    <w:rsid w:val="0090473D"/>
    <w:rsid w:val="00904800"/>
    <w:rsid w:val="00904854"/>
    <w:rsid w:val="00904A37"/>
    <w:rsid w:val="00904A96"/>
    <w:rsid w:val="00904B35"/>
    <w:rsid w:val="00904BCF"/>
    <w:rsid w:val="00904CCD"/>
    <w:rsid w:val="00904D48"/>
    <w:rsid w:val="009051DB"/>
    <w:rsid w:val="00905367"/>
    <w:rsid w:val="0090549C"/>
    <w:rsid w:val="009054B2"/>
    <w:rsid w:val="00905747"/>
    <w:rsid w:val="00905820"/>
    <w:rsid w:val="009058B1"/>
    <w:rsid w:val="00905BD1"/>
    <w:rsid w:val="00905D2E"/>
    <w:rsid w:val="00905E1B"/>
    <w:rsid w:val="00905FA6"/>
    <w:rsid w:val="00906484"/>
    <w:rsid w:val="009064BB"/>
    <w:rsid w:val="00906679"/>
    <w:rsid w:val="009066C1"/>
    <w:rsid w:val="009066EA"/>
    <w:rsid w:val="009067DC"/>
    <w:rsid w:val="00906810"/>
    <w:rsid w:val="00906AA1"/>
    <w:rsid w:val="00906B96"/>
    <w:rsid w:val="00906BCB"/>
    <w:rsid w:val="00906CDC"/>
    <w:rsid w:val="00906D18"/>
    <w:rsid w:val="00906EBD"/>
    <w:rsid w:val="009070A8"/>
    <w:rsid w:val="009072AE"/>
    <w:rsid w:val="00907522"/>
    <w:rsid w:val="0090752D"/>
    <w:rsid w:val="00907B6F"/>
    <w:rsid w:val="00907DD2"/>
    <w:rsid w:val="00907ED9"/>
    <w:rsid w:val="00907FFD"/>
    <w:rsid w:val="009100F5"/>
    <w:rsid w:val="00910262"/>
    <w:rsid w:val="00910595"/>
    <w:rsid w:val="009109B9"/>
    <w:rsid w:val="00910B69"/>
    <w:rsid w:val="00910D6B"/>
    <w:rsid w:val="00910DC6"/>
    <w:rsid w:val="00910E07"/>
    <w:rsid w:val="00910E14"/>
    <w:rsid w:val="00910E67"/>
    <w:rsid w:val="00910F37"/>
    <w:rsid w:val="00911006"/>
    <w:rsid w:val="009110CA"/>
    <w:rsid w:val="00911171"/>
    <w:rsid w:val="00911259"/>
    <w:rsid w:val="009113BF"/>
    <w:rsid w:val="0091155E"/>
    <w:rsid w:val="00911598"/>
    <w:rsid w:val="009115DE"/>
    <w:rsid w:val="00911632"/>
    <w:rsid w:val="00911945"/>
    <w:rsid w:val="009119B5"/>
    <w:rsid w:val="009119CE"/>
    <w:rsid w:val="00911AFB"/>
    <w:rsid w:val="00911B03"/>
    <w:rsid w:val="00911EF6"/>
    <w:rsid w:val="00912193"/>
    <w:rsid w:val="009122F6"/>
    <w:rsid w:val="00912332"/>
    <w:rsid w:val="00912407"/>
    <w:rsid w:val="00912738"/>
    <w:rsid w:val="009128B9"/>
    <w:rsid w:val="00912B84"/>
    <w:rsid w:val="00912B9C"/>
    <w:rsid w:val="00912BBD"/>
    <w:rsid w:val="00912D29"/>
    <w:rsid w:val="0091338A"/>
    <w:rsid w:val="0091369E"/>
    <w:rsid w:val="00913D14"/>
    <w:rsid w:val="00913E4F"/>
    <w:rsid w:val="00913ED9"/>
    <w:rsid w:val="0091467A"/>
    <w:rsid w:val="00914801"/>
    <w:rsid w:val="00914A7A"/>
    <w:rsid w:val="00914A8E"/>
    <w:rsid w:val="00914BCC"/>
    <w:rsid w:val="00914D27"/>
    <w:rsid w:val="00914D28"/>
    <w:rsid w:val="00914EC1"/>
    <w:rsid w:val="00915364"/>
    <w:rsid w:val="009153F0"/>
    <w:rsid w:val="0091552C"/>
    <w:rsid w:val="009156CC"/>
    <w:rsid w:val="0091583F"/>
    <w:rsid w:val="009158F1"/>
    <w:rsid w:val="00915B28"/>
    <w:rsid w:val="00915C58"/>
    <w:rsid w:val="00915CDA"/>
    <w:rsid w:val="00915D53"/>
    <w:rsid w:val="00915F4D"/>
    <w:rsid w:val="009160F7"/>
    <w:rsid w:val="00916433"/>
    <w:rsid w:val="009164B8"/>
    <w:rsid w:val="009164FB"/>
    <w:rsid w:val="00916A80"/>
    <w:rsid w:val="00916DAC"/>
    <w:rsid w:val="00917000"/>
    <w:rsid w:val="009170B7"/>
    <w:rsid w:val="009171C8"/>
    <w:rsid w:val="009171ED"/>
    <w:rsid w:val="0091729F"/>
    <w:rsid w:val="009176B0"/>
    <w:rsid w:val="00917708"/>
    <w:rsid w:val="009179D6"/>
    <w:rsid w:val="00917D7D"/>
    <w:rsid w:val="00917DAD"/>
    <w:rsid w:val="00917DE7"/>
    <w:rsid w:val="00917E49"/>
    <w:rsid w:val="00917F5C"/>
    <w:rsid w:val="00920117"/>
    <w:rsid w:val="009201E7"/>
    <w:rsid w:val="0092020D"/>
    <w:rsid w:val="0092024B"/>
    <w:rsid w:val="0092025D"/>
    <w:rsid w:val="009203AE"/>
    <w:rsid w:val="009207F2"/>
    <w:rsid w:val="0092088E"/>
    <w:rsid w:val="00920A5F"/>
    <w:rsid w:val="00920D77"/>
    <w:rsid w:val="00920FFF"/>
    <w:rsid w:val="00921025"/>
    <w:rsid w:val="009210B7"/>
    <w:rsid w:val="009210EE"/>
    <w:rsid w:val="00921269"/>
    <w:rsid w:val="00921433"/>
    <w:rsid w:val="0092146E"/>
    <w:rsid w:val="0092179B"/>
    <w:rsid w:val="00921907"/>
    <w:rsid w:val="00921E46"/>
    <w:rsid w:val="00921F36"/>
    <w:rsid w:val="00921F53"/>
    <w:rsid w:val="00922014"/>
    <w:rsid w:val="00922077"/>
    <w:rsid w:val="0092217E"/>
    <w:rsid w:val="0092230A"/>
    <w:rsid w:val="0092232F"/>
    <w:rsid w:val="00922568"/>
    <w:rsid w:val="00922925"/>
    <w:rsid w:val="00922963"/>
    <w:rsid w:val="00922A4D"/>
    <w:rsid w:val="00922ACD"/>
    <w:rsid w:val="00922D18"/>
    <w:rsid w:val="00922DF2"/>
    <w:rsid w:val="00922E5E"/>
    <w:rsid w:val="00922EBD"/>
    <w:rsid w:val="00923116"/>
    <w:rsid w:val="0092316F"/>
    <w:rsid w:val="00923369"/>
    <w:rsid w:val="009233F4"/>
    <w:rsid w:val="009239EB"/>
    <w:rsid w:val="00923AC9"/>
    <w:rsid w:val="00923AE5"/>
    <w:rsid w:val="00923E1A"/>
    <w:rsid w:val="00923E76"/>
    <w:rsid w:val="00923EAA"/>
    <w:rsid w:val="00923ECC"/>
    <w:rsid w:val="00924022"/>
    <w:rsid w:val="0092403C"/>
    <w:rsid w:val="0092415D"/>
    <w:rsid w:val="009241FF"/>
    <w:rsid w:val="00924351"/>
    <w:rsid w:val="00924354"/>
    <w:rsid w:val="009243E7"/>
    <w:rsid w:val="009244A9"/>
    <w:rsid w:val="009244BA"/>
    <w:rsid w:val="009244E9"/>
    <w:rsid w:val="00924546"/>
    <w:rsid w:val="0092483D"/>
    <w:rsid w:val="00924A93"/>
    <w:rsid w:val="00924B28"/>
    <w:rsid w:val="00924F56"/>
    <w:rsid w:val="0092505C"/>
    <w:rsid w:val="00925301"/>
    <w:rsid w:val="0092532F"/>
    <w:rsid w:val="009253B8"/>
    <w:rsid w:val="0092568C"/>
    <w:rsid w:val="00925DEB"/>
    <w:rsid w:val="00925E3B"/>
    <w:rsid w:val="00925EC2"/>
    <w:rsid w:val="00925F97"/>
    <w:rsid w:val="0092602F"/>
    <w:rsid w:val="00926184"/>
    <w:rsid w:val="0092621B"/>
    <w:rsid w:val="009263AA"/>
    <w:rsid w:val="00926615"/>
    <w:rsid w:val="009269C1"/>
    <w:rsid w:val="009269C8"/>
    <w:rsid w:val="00926C4A"/>
    <w:rsid w:val="00926CA1"/>
    <w:rsid w:val="00926CDE"/>
    <w:rsid w:val="00926DA5"/>
    <w:rsid w:val="00926DBA"/>
    <w:rsid w:val="009272E3"/>
    <w:rsid w:val="009272F2"/>
    <w:rsid w:val="0092734D"/>
    <w:rsid w:val="0092737A"/>
    <w:rsid w:val="009274EA"/>
    <w:rsid w:val="00927581"/>
    <w:rsid w:val="00927761"/>
    <w:rsid w:val="00927847"/>
    <w:rsid w:val="0092796B"/>
    <w:rsid w:val="00927AAD"/>
    <w:rsid w:val="00927AB2"/>
    <w:rsid w:val="00927BD5"/>
    <w:rsid w:val="00927D72"/>
    <w:rsid w:val="009301B6"/>
    <w:rsid w:val="009302B2"/>
    <w:rsid w:val="0093043D"/>
    <w:rsid w:val="00930451"/>
    <w:rsid w:val="009306AE"/>
    <w:rsid w:val="00930BFC"/>
    <w:rsid w:val="00930CCC"/>
    <w:rsid w:val="0093107E"/>
    <w:rsid w:val="00931241"/>
    <w:rsid w:val="00931343"/>
    <w:rsid w:val="00931372"/>
    <w:rsid w:val="00931810"/>
    <w:rsid w:val="009319A6"/>
    <w:rsid w:val="00931A2E"/>
    <w:rsid w:val="00931B25"/>
    <w:rsid w:val="00931D37"/>
    <w:rsid w:val="00931D3A"/>
    <w:rsid w:val="00931FD5"/>
    <w:rsid w:val="0093217D"/>
    <w:rsid w:val="009322A6"/>
    <w:rsid w:val="009324A7"/>
    <w:rsid w:val="009324AA"/>
    <w:rsid w:val="00932872"/>
    <w:rsid w:val="0093297A"/>
    <w:rsid w:val="00932A6A"/>
    <w:rsid w:val="00932BED"/>
    <w:rsid w:val="00932C76"/>
    <w:rsid w:val="00932CC0"/>
    <w:rsid w:val="00932EFF"/>
    <w:rsid w:val="009330B4"/>
    <w:rsid w:val="00933335"/>
    <w:rsid w:val="00933619"/>
    <w:rsid w:val="0093363A"/>
    <w:rsid w:val="009337EE"/>
    <w:rsid w:val="0093388E"/>
    <w:rsid w:val="00933945"/>
    <w:rsid w:val="009339CD"/>
    <w:rsid w:val="009339F3"/>
    <w:rsid w:val="00933A80"/>
    <w:rsid w:val="00933C96"/>
    <w:rsid w:val="00933E12"/>
    <w:rsid w:val="00934246"/>
    <w:rsid w:val="009342A4"/>
    <w:rsid w:val="009344A2"/>
    <w:rsid w:val="009345C5"/>
    <w:rsid w:val="009346E5"/>
    <w:rsid w:val="009347BF"/>
    <w:rsid w:val="009348C9"/>
    <w:rsid w:val="00934946"/>
    <w:rsid w:val="00934C67"/>
    <w:rsid w:val="00934FE0"/>
    <w:rsid w:val="0093512B"/>
    <w:rsid w:val="00935185"/>
    <w:rsid w:val="0093523F"/>
    <w:rsid w:val="009352A8"/>
    <w:rsid w:val="0093539D"/>
    <w:rsid w:val="0093545A"/>
    <w:rsid w:val="009356D4"/>
    <w:rsid w:val="0093584C"/>
    <w:rsid w:val="0093589E"/>
    <w:rsid w:val="00935A17"/>
    <w:rsid w:val="00935A2E"/>
    <w:rsid w:val="00935AFA"/>
    <w:rsid w:val="00935CA3"/>
    <w:rsid w:val="00935E21"/>
    <w:rsid w:val="00935E41"/>
    <w:rsid w:val="00935E8A"/>
    <w:rsid w:val="00936180"/>
    <w:rsid w:val="009364F6"/>
    <w:rsid w:val="00936511"/>
    <w:rsid w:val="00936580"/>
    <w:rsid w:val="009365A5"/>
    <w:rsid w:val="00936747"/>
    <w:rsid w:val="00936750"/>
    <w:rsid w:val="00936987"/>
    <w:rsid w:val="00936AC3"/>
    <w:rsid w:val="00936B3F"/>
    <w:rsid w:val="00936C8C"/>
    <w:rsid w:val="00936DAF"/>
    <w:rsid w:val="00937290"/>
    <w:rsid w:val="009372AF"/>
    <w:rsid w:val="009372C7"/>
    <w:rsid w:val="009373D1"/>
    <w:rsid w:val="00937537"/>
    <w:rsid w:val="009379AA"/>
    <w:rsid w:val="00937A43"/>
    <w:rsid w:val="00937B22"/>
    <w:rsid w:val="009401CC"/>
    <w:rsid w:val="00940282"/>
    <w:rsid w:val="00940436"/>
    <w:rsid w:val="00940590"/>
    <w:rsid w:val="00940631"/>
    <w:rsid w:val="009409FA"/>
    <w:rsid w:val="00940A6D"/>
    <w:rsid w:val="00940ABD"/>
    <w:rsid w:val="00940C8C"/>
    <w:rsid w:val="00940CB4"/>
    <w:rsid w:val="00940D68"/>
    <w:rsid w:val="00940E81"/>
    <w:rsid w:val="00940F3B"/>
    <w:rsid w:val="00940F75"/>
    <w:rsid w:val="0094142A"/>
    <w:rsid w:val="009417CF"/>
    <w:rsid w:val="009419D4"/>
    <w:rsid w:val="009419FF"/>
    <w:rsid w:val="00941D6D"/>
    <w:rsid w:val="00941DBA"/>
    <w:rsid w:val="00941F08"/>
    <w:rsid w:val="00941FB5"/>
    <w:rsid w:val="00942180"/>
    <w:rsid w:val="009421D8"/>
    <w:rsid w:val="009421E3"/>
    <w:rsid w:val="00942439"/>
    <w:rsid w:val="009424A7"/>
    <w:rsid w:val="00942510"/>
    <w:rsid w:val="00942620"/>
    <w:rsid w:val="0094279E"/>
    <w:rsid w:val="00942821"/>
    <w:rsid w:val="00942889"/>
    <w:rsid w:val="00942C39"/>
    <w:rsid w:val="00942F01"/>
    <w:rsid w:val="00942FF4"/>
    <w:rsid w:val="00943166"/>
    <w:rsid w:val="00943205"/>
    <w:rsid w:val="00943276"/>
    <w:rsid w:val="009433F6"/>
    <w:rsid w:val="0094345F"/>
    <w:rsid w:val="00943487"/>
    <w:rsid w:val="009435E4"/>
    <w:rsid w:val="0094387F"/>
    <w:rsid w:val="009438F1"/>
    <w:rsid w:val="00943907"/>
    <w:rsid w:val="00943C8B"/>
    <w:rsid w:val="00943D94"/>
    <w:rsid w:val="00943F66"/>
    <w:rsid w:val="00943F89"/>
    <w:rsid w:val="0094402D"/>
    <w:rsid w:val="00944280"/>
    <w:rsid w:val="0094438B"/>
    <w:rsid w:val="0094446A"/>
    <w:rsid w:val="00944533"/>
    <w:rsid w:val="00944596"/>
    <w:rsid w:val="00944843"/>
    <w:rsid w:val="009449AB"/>
    <w:rsid w:val="00944CDF"/>
    <w:rsid w:val="00944EF5"/>
    <w:rsid w:val="00945131"/>
    <w:rsid w:val="009451CD"/>
    <w:rsid w:val="009451CF"/>
    <w:rsid w:val="009455C6"/>
    <w:rsid w:val="009455DC"/>
    <w:rsid w:val="00945652"/>
    <w:rsid w:val="00945AD0"/>
    <w:rsid w:val="00945C29"/>
    <w:rsid w:val="00945C2E"/>
    <w:rsid w:val="00945DD9"/>
    <w:rsid w:val="00945EF6"/>
    <w:rsid w:val="00946014"/>
    <w:rsid w:val="009460BD"/>
    <w:rsid w:val="0094644C"/>
    <w:rsid w:val="00946549"/>
    <w:rsid w:val="0094665E"/>
    <w:rsid w:val="0094674C"/>
    <w:rsid w:val="009468B2"/>
    <w:rsid w:val="009469B6"/>
    <w:rsid w:val="00946C37"/>
    <w:rsid w:val="00946CC6"/>
    <w:rsid w:val="00946DF2"/>
    <w:rsid w:val="009471D5"/>
    <w:rsid w:val="009475A5"/>
    <w:rsid w:val="009475AE"/>
    <w:rsid w:val="00947608"/>
    <w:rsid w:val="009479A1"/>
    <w:rsid w:val="00947A5A"/>
    <w:rsid w:val="00947E0D"/>
    <w:rsid w:val="00947F5D"/>
    <w:rsid w:val="00950015"/>
    <w:rsid w:val="009500C5"/>
    <w:rsid w:val="009501F6"/>
    <w:rsid w:val="009502DC"/>
    <w:rsid w:val="0095030B"/>
    <w:rsid w:val="00950BCB"/>
    <w:rsid w:val="00950C0D"/>
    <w:rsid w:val="00950D0C"/>
    <w:rsid w:val="00950E72"/>
    <w:rsid w:val="00950E94"/>
    <w:rsid w:val="00950EBA"/>
    <w:rsid w:val="00951042"/>
    <w:rsid w:val="00951062"/>
    <w:rsid w:val="00951087"/>
    <w:rsid w:val="0095165F"/>
    <w:rsid w:val="0095189B"/>
    <w:rsid w:val="00951B18"/>
    <w:rsid w:val="00951CF0"/>
    <w:rsid w:val="00951D23"/>
    <w:rsid w:val="00951DB3"/>
    <w:rsid w:val="00951F1D"/>
    <w:rsid w:val="009523ED"/>
    <w:rsid w:val="00952411"/>
    <w:rsid w:val="0095269D"/>
    <w:rsid w:val="009526DA"/>
    <w:rsid w:val="009528B6"/>
    <w:rsid w:val="009528BF"/>
    <w:rsid w:val="00952AF7"/>
    <w:rsid w:val="00952B0B"/>
    <w:rsid w:val="00952B79"/>
    <w:rsid w:val="00952C13"/>
    <w:rsid w:val="00952F3A"/>
    <w:rsid w:val="00952F60"/>
    <w:rsid w:val="00953254"/>
    <w:rsid w:val="009533E2"/>
    <w:rsid w:val="0095342C"/>
    <w:rsid w:val="00953723"/>
    <w:rsid w:val="00953894"/>
    <w:rsid w:val="00953F1E"/>
    <w:rsid w:val="00953F57"/>
    <w:rsid w:val="00953F5E"/>
    <w:rsid w:val="00954033"/>
    <w:rsid w:val="009544E8"/>
    <w:rsid w:val="0095469D"/>
    <w:rsid w:val="00954AC6"/>
    <w:rsid w:val="00954BF0"/>
    <w:rsid w:val="00954D29"/>
    <w:rsid w:val="00954D4F"/>
    <w:rsid w:val="00954D98"/>
    <w:rsid w:val="00954FF9"/>
    <w:rsid w:val="00955072"/>
    <w:rsid w:val="009550E5"/>
    <w:rsid w:val="00955182"/>
    <w:rsid w:val="009551EB"/>
    <w:rsid w:val="009552CE"/>
    <w:rsid w:val="00955407"/>
    <w:rsid w:val="009554DA"/>
    <w:rsid w:val="009559C1"/>
    <w:rsid w:val="00955A33"/>
    <w:rsid w:val="00955D91"/>
    <w:rsid w:val="00956159"/>
    <w:rsid w:val="009563FB"/>
    <w:rsid w:val="0095648D"/>
    <w:rsid w:val="00956AEA"/>
    <w:rsid w:val="00956D1A"/>
    <w:rsid w:val="009570D0"/>
    <w:rsid w:val="00957103"/>
    <w:rsid w:val="0095723C"/>
    <w:rsid w:val="0095737A"/>
    <w:rsid w:val="009573EC"/>
    <w:rsid w:val="009574D2"/>
    <w:rsid w:val="009574D9"/>
    <w:rsid w:val="00957663"/>
    <w:rsid w:val="00957679"/>
    <w:rsid w:val="0095769B"/>
    <w:rsid w:val="0095789E"/>
    <w:rsid w:val="009578D3"/>
    <w:rsid w:val="0095791F"/>
    <w:rsid w:val="00957BA6"/>
    <w:rsid w:val="00957D60"/>
    <w:rsid w:val="00957EA9"/>
    <w:rsid w:val="00957EB4"/>
    <w:rsid w:val="0096056B"/>
    <w:rsid w:val="009606B8"/>
    <w:rsid w:val="00960756"/>
    <w:rsid w:val="0096084B"/>
    <w:rsid w:val="009608CA"/>
    <w:rsid w:val="009609C0"/>
    <w:rsid w:val="00960AD8"/>
    <w:rsid w:val="00960B88"/>
    <w:rsid w:val="00960D1B"/>
    <w:rsid w:val="00960DCC"/>
    <w:rsid w:val="00960E0B"/>
    <w:rsid w:val="00960E20"/>
    <w:rsid w:val="00960ED1"/>
    <w:rsid w:val="0096104D"/>
    <w:rsid w:val="009613DE"/>
    <w:rsid w:val="009614E8"/>
    <w:rsid w:val="0096181A"/>
    <w:rsid w:val="009619CE"/>
    <w:rsid w:val="00961BFA"/>
    <w:rsid w:val="00961D53"/>
    <w:rsid w:val="00961D77"/>
    <w:rsid w:val="00961F7E"/>
    <w:rsid w:val="00961FDF"/>
    <w:rsid w:val="00962336"/>
    <w:rsid w:val="00962372"/>
    <w:rsid w:val="00962503"/>
    <w:rsid w:val="0096274C"/>
    <w:rsid w:val="00962857"/>
    <w:rsid w:val="009629CE"/>
    <w:rsid w:val="00962A94"/>
    <w:rsid w:val="00962AB8"/>
    <w:rsid w:val="00962BFD"/>
    <w:rsid w:val="00962CE0"/>
    <w:rsid w:val="00962EDF"/>
    <w:rsid w:val="00962F86"/>
    <w:rsid w:val="00963073"/>
    <w:rsid w:val="009632B1"/>
    <w:rsid w:val="009633E3"/>
    <w:rsid w:val="0096340A"/>
    <w:rsid w:val="0096362B"/>
    <w:rsid w:val="009637F0"/>
    <w:rsid w:val="009639C0"/>
    <w:rsid w:val="00963A5E"/>
    <w:rsid w:val="00963A7E"/>
    <w:rsid w:val="00963AF8"/>
    <w:rsid w:val="00963B91"/>
    <w:rsid w:val="00963C5A"/>
    <w:rsid w:val="00963CD8"/>
    <w:rsid w:val="00963DBF"/>
    <w:rsid w:val="00963E7F"/>
    <w:rsid w:val="00963F4A"/>
    <w:rsid w:val="00963FF9"/>
    <w:rsid w:val="00964070"/>
    <w:rsid w:val="009640DE"/>
    <w:rsid w:val="00964126"/>
    <w:rsid w:val="009642CD"/>
    <w:rsid w:val="0096443C"/>
    <w:rsid w:val="00964585"/>
    <w:rsid w:val="00964665"/>
    <w:rsid w:val="00964827"/>
    <w:rsid w:val="009649DA"/>
    <w:rsid w:val="00964AEB"/>
    <w:rsid w:val="00964F55"/>
    <w:rsid w:val="009650CA"/>
    <w:rsid w:val="00965475"/>
    <w:rsid w:val="00965486"/>
    <w:rsid w:val="00965572"/>
    <w:rsid w:val="009656F9"/>
    <w:rsid w:val="0096571F"/>
    <w:rsid w:val="00965783"/>
    <w:rsid w:val="00965B0D"/>
    <w:rsid w:val="00965DE6"/>
    <w:rsid w:val="00965F52"/>
    <w:rsid w:val="00965F59"/>
    <w:rsid w:val="00966189"/>
    <w:rsid w:val="009662CB"/>
    <w:rsid w:val="00966480"/>
    <w:rsid w:val="00966918"/>
    <w:rsid w:val="00966A07"/>
    <w:rsid w:val="00966AA8"/>
    <w:rsid w:val="00966E69"/>
    <w:rsid w:val="00966F90"/>
    <w:rsid w:val="009670ED"/>
    <w:rsid w:val="009673E2"/>
    <w:rsid w:val="00967429"/>
    <w:rsid w:val="009676AE"/>
    <w:rsid w:val="009679E3"/>
    <w:rsid w:val="00967AB6"/>
    <w:rsid w:val="00967B0E"/>
    <w:rsid w:val="00967B5E"/>
    <w:rsid w:val="00967CD2"/>
    <w:rsid w:val="00970019"/>
    <w:rsid w:val="009700A2"/>
    <w:rsid w:val="00970231"/>
    <w:rsid w:val="00970256"/>
    <w:rsid w:val="00970305"/>
    <w:rsid w:val="00970314"/>
    <w:rsid w:val="00970358"/>
    <w:rsid w:val="00970464"/>
    <w:rsid w:val="00970703"/>
    <w:rsid w:val="00970848"/>
    <w:rsid w:val="0097085D"/>
    <w:rsid w:val="00970ABE"/>
    <w:rsid w:val="00970B39"/>
    <w:rsid w:val="00970CC6"/>
    <w:rsid w:val="0097112A"/>
    <w:rsid w:val="00971242"/>
    <w:rsid w:val="0097129D"/>
    <w:rsid w:val="009719FC"/>
    <w:rsid w:val="00972043"/>
    <w:rsid w:val="00972057"/>
    <w:rsid w:val="00972147"/>
    <w:rsid w:val="009721C7"/>
    <w:rsid w:val="00972261"/>
    <w:rsid w:val="00972610"/>
    <w:rsid w:val="009727E0"/>
    <w:rsid w:val="00972987"/>
    <w:rsid w:val="00972BCB"/>
    <w:rsid w:val="00972C77"/>
    <w:rsid w:val="00972E12"/>
    <w:rsid w:val="00972FD6"/>
    <w:rsid w:val="00973400"/>
    <w:rsid w:val="0097360E"/>
    <w:rsid w:val="00973613"/>
    <w:rsid w:val="00973666"/>
    <w:rsid w:val="00973753"/>
    <w:rsid w:val="00973870"/>
    <w:rsid w:val="0097399A"/>
    <w:rsid w:val="00973A0D"/>
    <w:rsid w:val="00973BAA"/>
    <w:rsid w:val="00973C1E"/>
    <w:rsid w:val="00973D08"/>
    <w:rsid w:val="00973D94"/>
    <w:rsid w:val="00973EE0"/>
    <w:rsid w:val="00974048"/>
    <w:rsid w:val="0097417E"/>
    <w:rsid w:val="00974233"/>
    <w:rsid w:val="00974287"/>
    <w:rsid w:val="00974382"/>
    <w:rsid w:val="00974387"/>
    <w:rsid w:val="009744CA"/>
    <w:rsid w:val="009744DB"/>
    <w:rsid w:val="00974534"/>
    <w:rsid w:val="009746DA"/>
    <w:rsid w:val="0097486E"/>
    <w:rsid w:val="00974B56"/>
    <w:rsid w:val="00974D42"/>
    <w:rsid w:val="00974D98"/>
    <w:rsid w:val="00974E5D"/>
    <w:rsid w:val="0097500C"/>
    <w:rsid w:val="009750D5"/>
    <w:rsid w:val="00975154"/>
    <w:rsid w:val="009752AB"/>
    <w:rsid w:val="00975364"/>
    <w:rsid w:val="0097560B"/>
    <w:rsid w:val="00975649"/>
    <w:rsid w:val="00975759"/>
    <w:rsid w:val="009758FA"/>
    <w:rsid w:val="009760A1"/>
    <w:rsid w:val="009760AD"/>
    <w:rsid w:val="00976172"/>
    <w:rsid w:val="0097618D"/>
    <w:rsid w:val="009762FB"/>
    <w:rsid w:val="009764D2"/>
    <w:rsid w:val="00976668"/>
    <w:rsid w:val="00976675"/>
    <w:rsid w:val="0097673E"/>
    <w:rsid w:val="00976769"/>
    <w:rsid w:val="00976AAD"/>
    <w:rsid w:val="00976B95"/>
    <w:rsid w:val="00976F2A"/>
    <w:rsid w:val="00976FF9"/>
    <w:rsid w:val="00977178"/>
    <w:rsid w:val="009773B6"/>
    <w:rsid w:val="009774C5"/>
    <w:rsid w:val="009774C9"/>
    <w:rsid w:val="009775C1"/>
    <w:rsid w:val="00977D23"/>
    <w:rsid w:val="00977D64"/>
    <w:rsid w:val="00977E7D"/>
    <w:rsid w:val="00977FEE"/>
    <w:rsid w:val="00980180"/>
    <w:rsid w:val="009801DC"/>
    <w:rsid w:val="009802A4"/>
    <w:rsid w:val="009803CE"/>
    <w:rsid w:val="009804F5"/>
    <w:rsid w:val="0098050B"/>
    <w:rsid w:val="0098098A"/>
    <w:rsid w:val="00980A41"/>
    <w:rsid w:val="00980BD0"/>
    <w:rsid w:val="00980EF2"/>
    <w:rsid w:val="00980F74"/>
    <w:rsid w:val="00980F85"/>
    <w:rsid w:val="00980FF7"/>
    <w:rsid w:val="00981079"/>
    <w:rsid w:val="00981096"/>
    <w:rsid w:val="00981382"/>
    <w:rsid w:val="009817F8"/>
    <w:rsid w:val="009818D9"/>
    <w:rsid w:val="00981A03"/>
    <w:rsid w:val="00981E05"/>
    <w:rsid w:val="00981F04"/>
    <w:rsid w:val="00981F2C"/>
    <w:rsid w:val="00982102"/>
    <w:rsid w:val="0098239B"/>
    <w:rsid w:val="009823BF"/>
    <w:rsid w:val="00982521"/>
    <w:rsid w:val="0098272D"/>
    <w:rsid w:val="00982E35"/>
    <w:rsid w:val="00982E3D"/>
    <w:rsid w:val="00983301"/>
    <w:rsid w:val="00983384"/>
    <w:rsid w:val="00983577"/>
    <w:rsid w:val="00983732"/>
    <w:rsid w:val="0098379C"/>
    <w:rsid w:val="009837EA"/>
    <w:rsid w:val="00983816"/>
    <w:rsid w:val="00983886"/>
    <w:rsid w:val="00983C30"/>
    <w:rsid w:val="00983E63"/>
    <w:rsid w:val="00983FB7"/>
    <w:rsid w:val="009841E0"/>
    <w:rsid w:val="009843E3"/>
    <w:rsid w:val="00984782"/>
    <w:rsid w:val="0098492B"/>
    <w:rsid w:val="00984963"/>
    <w:rsid w:val="00984A29"/>
    <w:rsid w:val="00984B3D"/>
    <w:rsid w:val="00984F68"/>
    <w:rsid w:val="00984FD8"/>
    <w:rsid w:val="009850F3"/>
    <w:rsid w:val="00985186"/>
    <w:rsid w:val="0098556B"/>
    <w:rsid w:val="009855CF"/>
    <w:rsid w:val="0098578B"/>
    <w:rsid w:val="00985A5C"/>
    <w:rsid w:val="00985D08"/>
    <w:rsid w:val="00985E5F"/>
    <w:rsid w:val="0098618D"/>
    <w:rsid w:val="0098629D"/>
    <w:rsid w:val="0098634C"/>
    <w:rsid w:val="0098681A"/>
    <w:rsid w:val="00986E70"/>
    <w:rsid w:val="009872FD"/>
    <w:rsid w:val="00987450"/>
    <w:rsid w:val="009876E2"/>
    <w:rsid w:val="009877F0"/>
    <w:rsid w:val="00987934"/>
    <w:rsid w:val="0098799F"/>
    <w:rsid w:val="009879FB"/>
    <w:rsid w:val="00987B1A"/>
    <w:rsid w:val="00987EF8"/>
    <w:rsid w:val="00987F77"/>
    <w:rsid w:val="00990000"/>
    <w:rsid w:val="0099010C"/>
    <w:rsid w:val="00990166"/>
    <w:rsid w:val="0099029D"/>
    <w:rsid w:val="00990398"/>
    <w:rsid w:val="00990410"/>
    <w:rsid w:val="009906FB"/>
    <w:rsid w:val="0099074A"/>
    <w:rsid w:val="00990D9C"/>
    <w:rsid w:val="00990E7D"/>
    <w:rsid w:val="00990EE9"/>
    <w:rsid w:val="00991115"/>
    <w:rsid w:val="0099112A"/>
    <w:rsid w:val="0099144F"/>
    <w:rsid w:val="0099196F"/>
    <w:rsid w:val="00991A75"/>
    <w:rsid w:val="00991D46"/>
    <w:rsid w:val="00991E90"/>
    <w:rsid w:val="00991F54"/>
    <w:rsid w:val="009920AB"/>
    <w:rsid w:val="00992179"/>
    <w:rsid w:val="00992417"/>
    <w:rsid w:val="00992467"/>
    <w:rsid w:val="00992540"/>
    <w:rsid w:val="0099255E"/>
    <w:rsid w:val="00992673"/>
    <w:rsid w:val="009926F0"/>
    <w:rsid w:val="0099271C"/>
    <w:rsid w:val="0099298F"/>
    <w:rsid w:val="00992B44"/>
    <w:rsid w:val="00992C54"/>
    <w:rsid w:val="00992DBF"/>
    <w:rsid w:val="00993090"/>
    <w:rsid w:val="00993144"/>
    <w:rsid w:val="0099332F"/>
    <w:rsid w:val="0099368F"/>
    <w:rsid w:val="00993830"/>
    <w:rsid w:val="009938D8"/>
    <w:rsid w:val="0099393B"/>
    <w:rsid w:val="00993D6B"/>
    <w:rsid w:val="00993E3F"/>
    <w:rsid w:val="00993E87"/>
    <w:rsid w:val="00993FC2"/>
    <w:rsid w:val="00994039"/>
    <w:rsid w:val="009942A2"/>
    <w:rsid w:val="009942D7"/>
    <w:rsid w:val="009946E7"/>
    <w:rsid w:val="00994891"/>
    <w:rsid w:val="00994BAD"/>
    <w:rsid w:val="00994DB2"/>
    <w:rsid w:val="00994EEB"/>
    <w:rsid w:val="00994FA6"/>
    <w:rsid w:val="00994FD8"/>
    <w:rsid w:val="00994FF4"/>
    <w:rsid w:val="009954BC"/>
    <w:rsid w:val="009955BD"/>
    <w:rsid w:val="0099561A"/>
    <w:rsid w:val="009956A4"/>
    <w:rsid w:val="0099581C"/>
    <w:rsid w:val="0099582C"/>
    <w:rsid w:val="009959FC"/>
    <w:rsid w:val="00995A8A"/>
    <w:rsid w:val="00995E26"/>
    <w:rsid w:val="00995E7B"/>
    <w:rsid w:val="00995FD1"/>
    <w:rsid w:val="009960BB"/>
    <w:rsid w:val="009963E4"/>
    <w:rsid w:val="00996428"/>
    <w:rsid w:val="0099649F"/>
    <w:rsid w:val="00996973"/>
    <w:rsid w:val="00996A58"/>
    <w:rsid w:val="00996BB8"/>
    <w:rsid w:val="00996C37"/>
    <w:rsid w:val="00996EFC"/>
    <w:rsid w:val="00997029"/>
    <w:rsid w:val="009971F6"/>
    <w:rsid w:val="0099734F"/>
    <w:rsid w:val="0099742A"/>
    <w:rsid w:val="00997A08"/>
    <w:rsid w:val="00997C72"/>
    <w:rsid w:val="009A008A"/>
    <w:rsid w:val="009A02AB"/>
    <w:rsid w:val="009A02DF"/>
    <w:rsid w:val="009A0334"/>
    <w:rsid w:val="009A0473"/>
    <w:rsid w:val="009A0577"/>
    <w:rsid w:val="009A095F"/>
    <w:rsid w:val="009A0994"/>
    <w:rsid w:val="009A0A49"/>
    <w:rsid w:val="009A0C79"/>
    <w:rsid w:val="009A0CD9"/>
    <w:rsid w:val="009A0E40"/>
    <w:rsid w:val="009A0EEA"/>
    <w:rsid w:val="009A0FBA"/>
    <w:rsid w:val="009A1163"/>
    <w:rsid w:val="009A12FE"/>
    <w:rsid w:val="009A1323"/>
    <w:rsid w:val="009A13E9"/>
    <w:rsid w:val="009A171B"/>
    <w:rsid w:val="009A1892"/>
    <w:rsid w:val="009A1A13"/>
    <w:rsid w:val="009A1A89"/>
    <w:rsid w:val="009A1D8A"/>
    <w:rsid w:val="009A1E8A"/>
    <w:rsid w:val="009A1F19"/>
    <w:rsid w:val="009A2086"/>
    <w:rsid w:val="009A2102"/>
    <w:rsid w:val="009A22A3"/>
    <w:rsid w:val="009A2359"/>
    <w:rsid w:val="009A2427"/>
    <w:rsid w:val="009A253D"/>
    <w:rsid w:val="009A25E5"/>
    <w:rsid w:val="009A26B2"/>
    <w:rsid w:val="009A27AA"/>
    <w:rsid w:val="009A2886"/>
    <w:rsid w:val="009A291F"/>
    <w:rsid w:val="009A2FC6"/>
    <w:rsid w:val="009A2FC8"/>
    <w:rsid w:val="009A304A"/>
    <w:rsid w:val="009A308D"/>
    <w:rsid w:val="009A320F"/>
    <w:rsid w:val="009A3320"/>
    <w:rsid w:val="009A3995"/>
    <w:rsid w:val="009A3AD0"/>
    <w:rsid w:val="009A3BEC"/>
    <w:rsid w:val="009A3EFF"/>
    <w:rsid w:val="009A41E1"/>
    <w:rsid w:val="009A4271"/>
    <w:rsid w:val="009A47AF"/>
    <w:rsid w:val="009A4881"/>
    <w:rsid w:val="009A48FA"/>
    <w:rsid w:val="009A495B"/>
    <w:rsid w:val="009A49E2"/>
    <w:rsid w:val="009A4B43"/>
    <w:rsid w:val="009A5237"/>
    <w:rsid w:val="009A5334"/>
    <w:rsid w:val="009A53DF"/>
    <w:rsid w:val="009A553C"/>
    <w:rsid w:val="009A5695"/>
    <w:rsid w:val="009A5C61"/>
    <w:rsid w:val="009A5FBA"/>
    <w:rsid w:val="009A60AD"/>
    <w:rsid w:val="009A62B9"/>
    <w:rsid w:val="009A6529"/>
    <w:rsid w:val="009A6535"/>
    <w:rsid w:val="009A653F"/>
    <w:rsid w:val="009A6700"/>
    <w:rsid w:val="009A6731"/>
    <w:rsid w:val="009A6EE2"/>
    <w:rsid w:val="009A70A6"/>
    <w:rsid w:val="009A7186"/>
    <w:rsid w:val="009A71B9"/>
    <w:rsid w:val="009A737F"/>
    <w:rsid w:val="009A7454"/>
    <w:rsid w:val="009A78D0"/>
    <w:rsid w:val="009A791C"/>
    <w:rsid w:val="009A7ACE"/>
    <w:rsid w:val="009A7DCC"/>
    <w:rsid w:val="009A7EBC"/>
    <w:rsid w:val="009A7FA7"/>
    <w:rsid w:val="009B0417"/>
    <w:rsid w:val="009B043F"/>
    <w:rsid w:val="009B05E9"/>
    <w:rsid w:val="009B07A0"/>
    <w:rsid w:val="009B0BE9"/>
    <w:rsid w:val="009B0ED5"/>
    <w:rsid w:val="009B1095"/>
    <w:rsid w:val="009B1507"/>
    <w:rsid w:val="009B151D"/>
    <w:rsid w:val="009B1522"/>
    <w:rsid w:val="009B167F"/>
    <w:rsid w:val="009B17ED"/>
    <w:rsid w:val="009B1D7E"/>
    <w:rsid w:val="009B1E3C"/>
    <w:rsid w:val="009B24FF"/>
    <w:rsid w:val="009B2513"/>
    <w:rsid w:val="009B286F"/>
    <w:rsid w:val="009B29CB"/>
    <w:rsid w:val="009B2A05"/>
    <w:rsid w:val="009B2CFA"/>
    <w:rsid w:val="009B2E19"/>
    <w:rsid w:val="009B30A2"/>
    <w:rsid w:val="009B3139"/>
    <w:rsid w:val="009B315F"/>
    <w:rsid w:val="009B3368"/>
    <w:rsid w:val="009B338B"/>
    <w:rsid w:val="009B35C4"/>
    <w:rsid w:val="009B39BF"/>
    <w:rsid w:val="009B3A4C"/>
    <w:rsid w:val="009B3B23"/>
    <w:rsid w:val="009B3D76"/>
    <w:rsid w:val="009B3DC9"/>
    <w:rsid w:val="009B3F3D"/>
    <w:rsid w:val="009B3FEA"/>
    <w:rsid w:val="009B400A"/>
    <w:rsid w:val="009B436C"/>
    <w:rsid w:val="009B4477"/>
    <w:rsid w:val="009B465A"/>
    <w:rsid w:val="009B475F"/>
    <w:rsid w:val="009B482A"/>
    <w:rsid w:val="009B48D6"/>
    <w:rsid w:val="009B4B9D"/>
    <w:rsid w:val="009B4D54"/>
    <w:rsid w:val="009B509B"/>
    <w:rsid w:val="009B550C"/>
    <w:rsid w:val="009B55B8"/>
    <w:rsid w:val="009B5636"/>
    <w:rsid w:val="009B5924"/>
    <w:rsid w:val="009B5971"/>
    <w:rsid w:val="009B5A61"/>
    <w:rsid w:val="009B5C73"/>
    <w:rsid w:val="009B5D1D"/>
    <w:rsid w:val="009B5DED"/>
    <w:rsid w:val="009B5EA5"/>
    <w:rsid w:val="009B6481"/>
    <w:rsid w:val="009B67AA"/>
    <w:rsid w:val="009B6921"/>
    <w:rsid w:val="009B6A98"/>
    <w:rsid w:val="009B6C9F"/>
    <w:rsid w:val="009B6D2E"/>
    <w:rsid w:val="009B6DF0"/>
    <w:rsid w:val="009B6E79"/>
    <w:rsid w:val="009B7481"/>
    <w:rsid w:val="009B7591"/>
    <w:rsid w:val="009B77C1"/>
    <w:rsid w:val="009B79EC"/>
    <w:rsid w:val="009B7B55"/>
    <w:rsid w:val="009B7C84"/>
    <w:rsid w:val="009B7E0B"/>
    <w:rsid w:val="009C00CC"/>
    <w:rsid w:val="009C01D4"/>
    <w:rsid w:val="009C01F6"/>
    <w:rsid w:val="009C0470"/>
    <w:rsid w:val="009C05B8"/>
    <w:rsid w:val="009C06FC"/>
    <w:rsid w:val="009C0953"/>
    <w:rsid w:val="009C0995"/>
    <w:rsid w:val="009C0DF4"/>
    <w:rsid w:val="009C0ED8"/>
    <w:rsid w:val="009C0F8E"/>
    <w:rsid w:val="009C101D"/>
    <w:rsid w:val="009C112C"/>
    <w:rsid w:val="009C1263"/>
    <w:rsid w:val="009C1286"/>
    <w:rsid w:val="009C1342"/>
    <w:rsid w:val="009C1485"/>
    <w:rsid w:val="009C15A8"/>
    <w:rsid w:val="009C1612"/>
    <w:rsid w:val="009C1669"/>
    <w:rsid w:val="009C1A5C"/>
    <w:rsid w:val="009C1A73"/>
    <w:rsid w:val="009C1B5A"/>
    <w:rsid w:val="009C1CCE"/>
    <w:rsid w:val="009C1CCF"/>
    <w:rsid w:val="009C1E0A"/>
    <w:rsid w:val="009C2060"/>
    <w:rsid w:val="009C226B"/>
    <w:rsid w:val="009C23D3"/>
    <w:rsid w:val="009C2547"/>
    <w:rsid w:val="009C2670"/>
    <w:rsid w:val="009C29A3"/>
    <w:rsid w:val="009C2A7B"/>
    <w:rsid w:val="009C2B23"/>
    <w:rsid w:val="009C2C7A"/>
    <w:rsid w:val="009C326F"/>
    <w:rsid w:val="009C33A7"/>
    <w:rsid w:val="009C3579"/>
    <w:rsid w:val="009C37B2"/>
    <w:rsid w:val="009C37E9"/>
    <w:rsid w:val="009C37EF"/>
    <w:rsid w:val="009C3A40"/>
    <w:rsid w:val="009C3A97"/>
    <w:rsid w:val="009C3B14"/>
    <w:rsid w:val="009C3B27"/>
    <w:rsid w:val="009C3C19"/>
    <w:rsid w:val="009C421A"/>
    <w:rsid w:val="009C440B"/>
    <w:rsid w:val="009C44C6"/>
    <w:rsid w:val="009C460F"/>
    <w:rsid w:val="009C4708"/>
    <w:rsid w:val="009C4905"/>
    <w:rsid w:val="009C4A35"/>
    <w:rsid w:val="009C4AE5"/>
    <w:rsid w:val="009C4AEF"/>
    <w:rsid w:val="009C4BB0"/>
    <w:rsid w:val="009C4BE7"/>
    <w:rsid w:val="009C4D39"/>
    <w:rsid w:val="009C4E50"/>
    <w:rsid w:val="009C4E9D"/>
    <w:rsid w:val="009C50E9"/>
    <w:rsid w:val="009C517F"/>
    <w:rsid w:val="009C53C0"/>
    <w:rsid w:val="009C549B"/>
    <w:rsid w:val="009C5521"/>
    <w:rsid w:val="009C58CA"/>
    <w:rsid w:val="009C5B68"/>
    <w:rsid w:val="009C5C05"/>
    <w:rsid w:val="009C5D51"/>
    <w:rsid w:val="009C5DC2"/>
    <w:rsid w:val="009C5E7C"/>
    <w:rsid w:val="009C5F56"/>
    <w:rsid w:val="009C66F4"/>
    <w:rsid w:val="009C68A9"/>
    <w:rsid w:val="009C69C4"/>
    <w:rsid w:val="009C6E8F"/>
    <w:rsid w:val="009C7066"/>
    <w:rsid w:val="009C73FC"/>
    <w:rsid w:val="009C75B3"/>
    <w:rsid w:val="009C76D9"/>
    <w:rsid w:val="009C7A02"/>
    <w:rsid w:val="009C7A5D"/>
    <w:rsid w:val="009C7B40"/>
    <w:rsid w:val="009C7F2E"/>
    <w:rsid w:val="009D0319"/>
    <w:rsid w:val="009D0351"/>
    <w:rsid w:val="009D03D3"/>
    <w:rsid w:val="009D0687"/>
    <w:rsid w:val="009D09AA"/>
    <w:rsid w:val="009D0BB1"/>
    <w:rsid w:val="009D0BB4"/>
    <w:rsid w:val="009D0BB9"/>
    <w:rsid w:val="009D0BF3"/>
    <w:rsid w:val="009D0C9B"/>
    <w:rsid w:val="009D0D0D"/>
    <w:rsid w:val="009D0E8D"/>
    <w:rsid w:val="009D0EC4"/>
    <w:rsid w:val="009D10B6"/>
    <w:rsid w:val="009D1426"/>
    <w:rsid w:val="009D16C9"/>
    <w:rsid w:val="009D173C"/>
    <w:rsid w:val="009D1823"/>
    <w:rsid w:val="009D18B1"/>
    <w:rsid w:val="009D1E89"/>
    <w:rsid w:val="009D1ED9"/>
    <w:rsid w:val="009D201D"/>
    <w:rsid w:val="009D2114"/>
    <w:rsid w:val="009D22FF"/>
    <w:rsid w:val="009D25E6"/>
    <w:rsid w:val="009D2650"/>
    <w:rsid w:val="009D26DF"/>
    <w:rsid w:val="009D2B01"/>
    <w:rsid w:val="009D2B16"/>
    <w:rsid w:val="009D2CAB"/>
    <w:rsid w:val="009D35EA"/>
    <w:rsid w:val="009D3743"/>
    <w:rsid w:val="009D3A23"/>
    <w:rsid w:val="009D3AC0"/>
    <w:rsid w:val="009D3D19"/>
    <w:rsid w:val="009D400D"/>
    <w:rsid w:val="009D40D8"/>
    <w:rsid w:val="009D44CF"/>
    <w:rsid w:val="009D452B"/>
    <w:rsid w:val="009D453A"/>
    <w:rsid w:val="009D4644"/>
    <w:rsid w:val="009D477F"/>
    <w:rsid w:val="009D479F"/>
    <w:rsid w:val="009D47DB"/>
    <w:rsid w:val="009D4A0F"/>
    <w:rsid w:val="009D4ACD"/>
    <w:rsid w:val="009D4AE1"/>
    <w:rsid w:val="009D4C44"/>
    <w:rsid w:val="009D4CCA"/>
    <w:rsid w:val="009D4DC1"/>
    <w:rsid w:val="009D4EBD"/>
    <w:rsid w:val="009D54D1"/>
    <w:rsid w:val="009D54E3"/>
    <w:rsid w:val="009D5585"/>
    <w:rsid w:val="009D558E"/>
    <w:rsid w:val="009D59C3"/>
    <w:rsid w:val="009D5A4C"/>
    <w:rsid w:val="009D5B5C"/>
    <w:rsid w:val="009D5DD8"/>
    <w:rsid w:val="009D5EA7"/>
    <w:rsid w:val="009D5FAD"/>
    <w:rsid w:val="009D5FFF"/>
    <w:rsid w:val="009D6104"/>
    <w:rsid w:val="009D6195"/>
    <w:rsid w:val="009D642F"/>
    <w:rsid w:val="009D66F1"/>
    <w:rsid w:val="009D670D"/>
    <w:rsid w:val="009D684E"/>
    <w:rsid w:val="009D6881"/>
    <w:rsid w:val="009D68A1"/>
    <w:rsid w:val="009D6975"/>
    <w:rsid w:val="009D6ABC"/>
    <w:rsid w:val="009D6ACA"/>
    <w:rsid w:val="009D6B50"/>
    <w:rsid w:val="009D6B9C"/>
    <w:rsid w:val="009D6BF7"/>
    <w:rsid w:val="009D6C0A"/>
    <w:rsid w:val="009D6D09"/>
    <w:rsid w:val="009D6D85"/>
    <w:rsid w:val="009D6DB6"/>
    <w:rsid w:val="009D6F65"/>
    <w:rsid w:val="009D6FE3"/>
    <w:rsid w:val="009D7123"/>
    <w:rsid w:val="009D7226"/>
    <w:rsid w:val="009D72BD"/>
    <w:rsid w:val="009D7337"/>
    <w:rsid w:val="009D75C3"/>
    <w:rsid w:val="009D7654"/>
    <w:rsid w:val="009D7662"/>
    <w:rsid w:val="009D7A4A"/>
    <w:rsid w:val="009D7AC9"/>
    <w:rsid w:val="009D7CCF"/>
    <w:rsid w:val="009D7D02"/>
    <w:rsid w:val="009D7DD8"/>
    <w:rsid w:val="009D7E26"/>
    <w:rsid w:val="009D7EA8"/>
    <w:rsid w:val="009D7FBB"/>
    <w:rsid w:val="009E01F5"/>
    <w:rsid w:val="009E0221"/>
    <w:rsid w:val="009E0305"/>
    <w:rsid w:val="009E031E"/>
    <w:rsid w:val="009E0443"/>
    <w:rsid w:val="009E0728"/>
    <w:rsid w:val="009E0B7E"/>
    <w:rsid w:val="009E0C92"/>
    <w:rsid w:val="009E0CFC"/>
    <w:rsid w:val="009E0D06"/>
    <w:rsid w:val="009E1136"/>
    <w:rsid w:val="009E12B0"/>
    <w:rsid w:val="009E15A6"/>
    <w:rsid w:val="009E18C1"/>
    <w:rsid w:val="009E1AA1"/>
    <w:rsid w:val="009E1D35"/>
    <w:rsid w:val="009E1E1B"/>
    <w:rsid w:val="009E1F35"/>
    <w:rsid w:val="009E21CD"/>
    <w:rsid w:val="009E222D"/>
    <w:rsid w:val="009E2251"/>
    <w:rsid w:val="009E22FE"/>
    <w:rsid w:val="009E24C4"/>
    <w:rsid w:val="009E24DF"/>
    <w:rsid w:val="009E2549"/>
    <w:rsid w:val="009E25D5"/>
    <w:rsid w:val="009E25D7"/>
    <w:rsid w:val="009E25FA"/>
    <w:rsid w:val="009E26EE"/>
    <w:rsid w:val="009E2737"/>
    <w:rsid w:val="009E2767"/>
    <w:rsid w:val="009E2942"/>
    <w:rsid w:val="009E2A5F"/>
    <w:rsid w:val="009E2B62"/>
    <w:rsid w:val="009E2D10"/>
    <w:rsid w:val="009E2F54"/>
    <w:rsid w:val="009E3111"/>
    <w:rsid w:val="009E312B"/>
    <w:rsid w:val="009E31E6"/>
    <w:rsid w:val="009E329C"/>
    <w:rsid w:val="009E32BD"/>
    <w:rsid w:val="009E32D3"/>
    <w:rsid w:val="009E34EB"/>
    <w:rsid w:val="009E3588"/>
    <w:rsid w:val="009E378C"/>
    <w:rsid w:val="009E3C1B"/>
    <w:rsid w:val="009E3C1F"/>
    <w:rsid w:val="009E3C6D"/>
    <w:rsid w:val="009E3D6E"/>
    <w:rsid w:val="009E3D7F"/>
    <w:rsid w:val="009E3DA0"/>
    <w:rsid w:val="009E3EE3"/>
    <w:rsid w:val="009E3F5D"/>
    <w:rsid w:val="009E3FE5"/>
    <w:rsid w:val="009E4314"/>
    <w:rsid w:val="009E4BCD"/>
    <w:rsid w:val="009E4C85"/>
    <w:rsid w:val="009E5076"/>
    <w:rsid w:val="009E52DA"/>
    <w:rsid w:val="009E5345"/>
    <w:rsid w:val="009E5529"/>
    <w:rsid w:val="009E56C7"/>
    <w:rsid w:val="009E5B74"/>
    <w:rsid w:val="009E5EF9"/>
    <w:rsid w:val="009E62EC"/>
    <w:rsid w:val="009E64B6"/>
    <w:rsid w:val="009E688A"/>
    <w:rsid w:val="009E6B58"/>
    <w:rsid w:val="009E6DF1"/>
    <w:rsid w:val="009E6EB1"/>
    <w:rsid w:val="009E70D8"/>
    <w:rsid w:val="009E7109"/>
    <w:rsid w:val="009E739C"/>
    <w:rsid w:val="009E74BD"/>
    <w:rsid w:val="009E75A9"/>
    <w:rsid w:val="009E766A"/>
    <w:rsid w:val="009E771D"/>
    <w:rsid w:val="009E7758"/>
    <w:rsid w:val="009E7770"/>
    <w:rsid w:val="009E7914"/>
    <w:rsid w:val="009E7B32"/>
    <w:rsid w:val="009E7C23"/>
    <w:rsid w:val="009E7FC2"/>
    <w:rsid w:val="009F003D"/>
    <w:rsid w:val="009F025E"/>
    <w:rsid w:val="009F02B2"/>
    <w:rsid w:val="009F04B8"/>
    <w:rsid w:val="009F0503"/>
    <w:rsid w:val="009F050C"/>
    <w:rsid w:val="009F05B7"/>
    <w:rsid w:val="009F07C0"/>
    <w:rsid w:val="009F0A54"/>
    <w:rsid w:val="009F0CD2"/>
    <w:rsid w:val="009F0EA8"/>
    <w:rsid w:val="009F100E"/>
    <w:rsid w:val="009F1027"/>
    <w:rsid w:val="009F1038"/>
    <w:rsid w:val="009F1078"/>
    <w:rsid w:val="009F113C"/>
    <w:rsid w:val="009F142E"/>
    <w:rsid w:val="009F158C"/>
    <w:rsid w:val="009F16BF"/>
    <w:rsid w:val="009F16C4"/>
    <w:rsid w:val="009F1745"/>
    <w:rsid w:val="009F1A29"/>
    <w:rsid w:val="009F1C71"/>
    <w:rsid w:val="009F1C7A"/>
    <w:rsid w:val="009F1CB4"/>
    <w:rsid w:val="009F1D0A"/>
    <w:rsid w:val="009F1F05"/>
    <w:rsid w:val="009F20F8"/>
    <w:rsid w:val="009F283D"/>
    <w:rsid w:val="009F2938"/>
    <w:rsid w:val="009F29CD"/>
    <w:rsid w:val="009F2A99"/>
    <w:rsid w:val="009F2E20"/>
    <w:rsid w:val="009F2F1C"/>
    <w:rsid w:val="009F3087"/>
    <w:rsid w:val="009F3147"/>
    <w:rsid w:val="009F3164"/>
    <w:rsid w:val="009F31DB"/>
    <w:rsid w:val="009F325C"/>
    <w:rsid w:val="009F3366"/>
    <w:rsid w:val="009F342D"/>
    <w:rsid w:val="009F347B"/>
    <w:rsid w:val="009F35F3"/>
    <w:rsid w:val="009F3CAB"/>
    <w:rsid w:val="009F40D6"/>
    <w:rsid w:val="009F4139"/>
    <w:rsid w:val="009F431E"/>
    <w:rsid w:val="009F476A"/>
    <w:rsid w:val="009F4A11"/>
    <w:rsid w:val="009F4B42"/>
    <w:rsid w:val="009F4D48"/>
    <w:rsid w:val="009F4D67"/>
    <w:rsid w:val="009F4ED0"/>
    <w:rsid w:val="009F4F42"/>
    <w:rsid w:val="009F5296"/>
    <w:rsid w:val="009F563C"/>
    <w:rsid w:val="009F5805"/>
    <w:rsid w:val="009F583E"/>
    <w:rsid w:val="009F5970"/>
    <w:rsid w:val="009F5E67"/>
    <w:rsid w:val="009F5ECC"/>
    <w:rsid w:val="009F6190"/>
    <w:rsid w:val="009F62FE"/>
    <w:rsid w:val="009F64CB"/>
    <w:rsid w:val="009F6604"/>
    <w:rsid w:val="009F6732"/>
    <w:rsid w:val="009F6898"/>
    <w:rsid w:val="009F698D"/>
    <w:rsid w:val="009F6AB7"/>
    <w:rsid w:val="009F6C9A"/>
    <w:rsid w:val="009F6D4C"/>
    <w:rsid w:val="009F6ED2"/>
    <w:rsid w:val="009F72E8"/>
    <w:rsid w:val="009F7454"/>
    <w:rsid w:val="009F745A"/>
    <w:rsid w:val="009F7638"/>
    <w:rsid w:val="009F769E"/>
    <w:rsid w:val="009F7900"/>
    <w:rsid w:val="009F79DA"/>
    <w:rsid w:val="009F79DE"/>
    <w:rsid w:val="009F7BF0"/>
    <w:rsid w:val="009F7C0A"/>
    <w:rsid w:val="009F7C1E"/>
    <w:rsid w:val="009F7D55"/>
    <w:rsid w:val="009F7D5B"/>
    <w:rsid w:val="009F7E43"/>
    <w:rsid w:val="00A00053"/>
    <w:rsid w:val="00A000DF"/>
    <w:rsid w:val="00A00318"/>
    <w:rsid w:val="00A005CA"/>
    <w:rsid w:val="00A0095B"/>
    <w:rsid w:val="00A00A34"/>
    <w:rsid w:val="00A00B71"/>
    <w:rsid w:val="00A00BF0"/>
    <w:rsid w:val="00A00D6F"/>
    <w:rsid w:val="00A00F41"/>
    <w:rsid w:val="00A00F6E"/>
    <w:rsid w:val="00A017AF"/>
    <w:rsid w:val="00A01995"/>
    <w:rsid w:val="00A01A04"/>
    <w:rsid w:val="00A01A6F"/>
    <w:rsid w:val="00A01B94"/>
    <w:rsid w:val="00A01CA7"/>
    <w:rsid w:val="00A01E63"/>
    <w:rsid w:val="00A023E5"/>
    <w:rsid w:val="00A02596"/>
    <w:rsid w:val="00A026D1"/>
    <w:rsid w:val="00A02BD9"/>
    <w:rsid w:val="00A02D5F"/>
    <w:rsid w:val="00A02E0E"/>
    <w:rsid w:val="00A02E66"/>
    <w:rsid w:val="00A02EAE"/>
    <w:rsid w:val="00A02F4B"/>
    <w:rsid w:val="00A03028"/>
    <w:rsid w:val="00A033B3"/>
    <w:rsid w:val="00A03548"/>
    <w:rsid w:val="00A03855"/>
    <w:rsid w:val="00A03B9F"/>
    <w:rsid w:val="00A03EAB"/>
    <w:rsid w:val="00A03FC0"/>
    <w:rsid w:val="00A0421A"/>
    <w:rsid w:val="00A04475"/>
    <w:rsid w:val="00A0452D"/>
    <w:rsid w:val="00A04578"/>
    <w:rsid w:val="00A04991"/>
    <w:rsid w:val="00A052E9"/>
    <w:rsid w:val="00A053B6"/>
    <w:rsid w:val="00A056EE"/>
    <w:rsid w:val="00A057E7"/>
    <w:rsid w:val="00A0586B"/>
    <w:rsid w:val="00A059AA"/>
    <w:rsid w:val="00A05B0A"/>
    <w:rsid w:val="00A05D4A"/>
    <w:rsid w:val="00A05F29"/>
    <w:rsid w:val="00A05F7B"/>
    <w:rsid w:val="00A05F83"/>
    <w:rsid w:val="00A06121"/>
    <w:rsid w:val="00A0618E"/>
    <w:rsid w:val="00A061F0"/>
    <w:rsid w:val="00A062B2"/>
    <w:rsid w:val="00A0646D"/>
    <w:rsid w:val="00A06493"/>
    <w:rsid w:val="00A06559"/>
    <w:rsid w:val="00A068CB"/>
    <w:rsid w:val="00A06982"/>
    <w:rsid w:val="00A06B41"/>
    <w:rsid w:val="00A06CAB"/>
    <w:rsid w:val="00A06DAC"/>
    <w:rsid w:val="00A07011"/>
    <w:rsid w:val="00A07024"/>
    <w:rsid w:val="00A072C7"/>
    <w:rsid w:val="00A07317"/>
    <w:rsid w:val="00A07548"/>
    <w:rsid w:val="00A07684"/>
    <w:rsid w:val="00A07907"/>
    <w:rsid w:val="00A07937"/>
    <w:rsid w:val="00A079C1"/>
    <w:rsid w:val="00A100F7"/>
    <w:rsid w:val="00A10185"/>
    <w:rsid w:val="00A1027C"/>
    <w:rsid w:val="00A1033F"/>
    <w:rsid w:val="00A1074B"/>
    <w:rsid w:val="00A107FB"/>
    <w:rsid w:val="00A10892"/>
    <w:rsid w:val="00A109AB"/>
    <w:rsid w:val="00A10A24"/>
    <w:rsid w:val="00A10C19"/>
    <w:rsid w:val="00A10DCD"/>
    <w:rsid w:val="00A10E88"/>
    <w:rsid w:val="00A10EDC"/>
    <w:rsid w:val="00A10F50"/>
    <w:rsid w:val="00A11197"/>
    <w:rsid w:val="00A111E1"/>
    <w:rsid w:val="00A1141A"/>
    <w:rsid w:val="00A11470"/>
    <w:rsid w:val="00A115E0"/>
    <w:rsid w:val="00A1188C"/>
    <w:rsid w:val="00A118D9"/>
    <w:rsid w:val="00A1193F"/>
    <w:rsid w:val="00A11B7B"/>
    <w:rsid w:val="00A11F0E"/>
    <w:rsid w:val="00A11F5D"/>
    <w:rsid w:val="00A11F67"/>
    <w:rsid w:val="00A11FD5"/>
    <w:rsid w:val="00A120CD"/>
    <w:rsid w:val="00A1248D"/>
    <w:rsid w:val="00A1254A"/>
    <w:rsid w:val="00A12681"/>
    <w:rsid w:val="00A1268F"/>
    <w:rsid w:val="00A12784"/>
    <w:rsid w:val="00A127ED"/>
    <w:rsid w:val="00A1281F"/>
    <w:rsid w:val="00A12920"/>
    <w:rsid w:val="00A12A35"/>
    <w:rsid w:val="00A12B48"/>
    <w:rsid w:val="00A12E46"/>
    <w:rsid w:val="00A12E6B"/>
    <w:rsid w:val="00A13028"/>
    <w:rsid w:val="00A130C9"/>
    <w:rsid w:val="00A13132"/>
    <w:rsid w:val="00A1328A"/>
    <w:rsid w:val="00A13344"/>
    <w:rsid w:val="00A1356E"/>
    <w:rsid w:val="00A13594"/>
    <w:rsid w:val="00A13661"/>
    <w:rsid w:val="00A13B35"/>
    <w:rsid w:val="00A13B7A"/>
    <w:rsid w:val="00A13E74"/>
    <w:rsid w:val="00A13EEA"/>
    <w:rsid w:val="00A1410C"/>
    <w:rsid w:val="00A14491"/>
    <w:rsid w:val="00A14574"/>
    <w:rsid w:val="00A14732"/>
    <w:rsid w:val="00A14763"/>
    <w:rsid w:val="00A147DF"/>
    <w:rsid w:val="00A14FB8"/>
    <w:rsid w:val="00A151AA"/>
    <w:rsid w:val="00A15217"/>
    <w:rsid w:val="00A153D6"/>
    <w:rsid w:val="00A15423"/>
    <w:rsid w:val="00A15493"/>
    <w:rsid w:val="00A154B8"/>
    <w:rsid w:val="00A15541"/>
    <w:rsid w:val="00A15674"/>
    <w:rsid w:val="00A159D5"/>
    <w:rsid w:val="00A15B47"/>
    <w:rsid w:val="00A15B93"/>
    <w:rsid w:val="00A15BC3"/>
    <w:rsid w:val="00A15D35"/>
    <w:rsid w:val="00A15EE2"/>
    <w:rsid w:val="00A15F34"/>
    <w:rsid w:val="00A164E4"/>
    <w:rsid w:val="00A16686"/>
    <w:rsid w:val="00A16688"/>
    <w:rsid w:val="00A1679B"/>
    <w:rsid w:val="00A167DE"/>
    <w:rsid w:val="00A16A24"/>
    <w:rsid w:val="00A16DE0"/>
    <w:rsid w:val="00A16EC3"/>
    <w:rsid w:val="00A16FFD"/>
    <w:rsid w:val="00A171BA"/>
    <w:rsid w:val="00A171E1"/>
    <w:rsid w:val="00A172B4"/>
    <w:rsid w:val="00A17463"/>
    <w:rsid w:val="00A1761F"/>
    <w:rsid w:val="00A1777D"/>
    <w:rsid w:val="00A17875"/>
    <w:rsid w:val="00A17921"/>
    <w:rsid w:val="00A17998"/>
    <w:rsid w:val="00A179AC"/>
    <w:rsid w:val="00A179C4"/>
    <w:rsid w:val="00A17C3B"/>
    <w:rsid w:val="00A17CD6"/>
    <w:rsid w:val="00A17CF7"/>
    <w:rsid w:val="00A17D57"/>
    <w:rsid w:val="00A17DAA"/>
    <w:rsid w:val="00A17F00"/>
    <w:rsid w:val="00A17FDE"/>
    <w:rsid w:val="00A20058"/>
    <w:rsid w:val="00A200C2"/>
    <w:rsid w:val="00A202CB"/>
    <w:rsid w:val="00A20366"/>
    <w:rsid w:val="00A20390"/>
    <w:rsid w:val="00A20392"/>
    <w:rsid w:val="00A203BD"/>
    <w:rsid w:val="00A20446"/>
    <w:rsid w:val="00A206AA"/>
    <w:rsid w:val="00A206D1"/>
    <w:rsid w:val="00A207E5"/>
    <w:rsid w:val="00A20C16"/>
    <w:rsid w:val="00A20C65"/>
    <w:rsid w:val="00A20D02"/>
    <w:rsid w:val="00A20FD4"/>
    <w:rsid w:val="00A20FF2"/>
    <w:rsid w:val="00A20FFD"/>
    <w:rsid w:val="00A210FB"/>
    <w:rsid w:val="00A2119B"/>
    <w:rsid w:val="00A21371"/>
    <w:rsid w:val="00A2164B"/>
    <w:rsid w:val="00A216FA"/>
    <w:rsid w:val="00A218F9"/>
    <w:rsid w:val="00A219BE"/>
    <w:rsid w:val="00A21CDD"/>
    <w:rsid w:val="00A21F9F"/>
    <w:rsid w:val="00A22049"/>
    <w:rsid w:val="00A221CC"/>
    <w:rsid w:val="00A22348"/>
    <w:rsid w:val="00A224F9"/>
    <w:rsid w:val="00A22722"/>
    <w:rsid w:val="00A22730"/>
    <w:rsid w:val="00A22797"/>
    <w:rsid w:val="00A228A8"/>
    <w:rsid w:val="00A22A1C"/>
    <w:rsid w:val="00A22AE9"/>
    <w:rsid w:val="00A22AF4"/>
    <w:rsid w:val="00A22BBD"/>
    <w:rsid w:val="00A22C01"/>
    <w:rsid w:val="00A22D63"/>
    <w:rsid w:val="00A22FD8"/>
    <w:rsid w:val="00A230B8"/>
    <w:rsid w:val="00A2331D"/>
    <w:rsid w:val="00A2339A"/>
    <w:rsid w:val="00A23439"/>
    <w:rsid w:val="00A234DF"/>
    <w:rsid w:val="00A234EF"/>
    <w:rsid w:val="00A2365F"/>
    <w:rsid w:val="00A2368F"/>
    <w:rsid w:val="00A2395C"/>
    <w:rsid w:val="00A23BCB"/>
    <w:rsid w:val="00A23C91"/>
    <w:rsid w:val="00A240A9"/>
    <w:rsid w:val="00A24293"/>
    <w:rsid w:val="00A24314"/>
    <w:rsid w:val="00A2434F"/>
    <w:rsid w:val="00A244AE"/>
    <w:rsid w:val="00A2457C"/>
    <w:rsid w:val="00A24683"/>
    <w:rsid w:val="00A24784"/>
    <w:rsid w:val="00A2488A"/>
    <w:rsid w:val="00A248C3"/>
    <w:rsid w:val="00A249CE"/>
    <w:rsid w:val="00A24A4C"/>
    <w:rsid w:val="00A24C45"/>
    <w:rsid w:val="00A24E90"/>
    <w:rsid w:val="00A24FE9"/>
    <w:rsid w:val="00A250BE"/>
    <w:rsid w:val="00A255B9"/>
    <w:rsid w:val="00A2565B"/>
    <w:rsid w:val="00A2588F"/>
    <w:rsid w:val="00A258F2"/>
    <w:rsid w:val="00A25936"/>
    <w:rsid w:val="00A25959"/>
    <w:rsid w:val="00A259CE"/>
    <w:rsid w:val="00A25F73"/>
    <w:rsid w:val="00A25FE5"/>
    <w:rsid w:val="00A26245"/>
    <w:rsid w:val="00A2648C"/>
    <w:rsid w:val="00A26520"/>
    <w:rsid w:val="00A265B3"/>
    <w:rsid w:val="00A26656"/>
    <w:rsid w:val="00A2670B"/>
    <w:rsid w:val="00A26718"/>
    <w:rsid w:val="00A267BA"/>
    <w:rsid w:val="00A268AC"/>
    <w:rsid w:val="00A268CB"/>
    <w:rsid w:val="00A268DC"/>
    <w:rsid w:val="00A268FE"/>
    <w:rsid w:val="00A2698F"/>
    <w:rsid w:val="00A27016"/>
    <w:rsid w:val="00A27497"/>
    <w:rsid w:val="00A275BE"/>
    <w:rsid w:val="00A2762E"/>
    <w:rsid w:val="00A2784C"/>
    <w:rsid w:val="00A27919"/>
    <w:rsid w:val="00A27E79"/>
    <w:rsid w:val="00A27FD0"/>
    <w:rsid w:val="00A27FED"/>
    <w:rsid w:val="00A301FA"/>
    <w:rsid w:val="00A302B3"/>
    <w:rsid w:val="00A303E6"/>
    <w:rsid w:val="00A3076B"/>
    <w:rsid w:val="00A308F9"/>
    <w:rsid w:val="00A30966"/>
    <w:rsid w:val="00A30A04"/>
    <w:rsid w:val="00A30B48"/>
    <w:rsid w:val="00A30BB8"/>
    <w:rsid w:val="00A30C1C"/>
    <w:rsid w:val="00A3135F"/>
    <w:rsid w:val="00A313F4"/>
    <w:rsid w:val="00A31493"/>
    <w:rsid w:val="00A31521"/>
    <w:rsid w:val="00A315FE"/>
    <w:rsid w:val="00A316CF"/>
    <w:rsid w:val="00A317CC"/>
    <w:rsid w:val="00A319B0"/>
    <w:rsid w:val="00A31CA4"/>
    <w:rsid w:val="00A31CD0"/>
    <w:rsid w:val="00A31D42"/>
    <w:rsid w:val="00A31DBE"/>
    <w:rsid w:val="00A31DD3"/>
    <w:rsid w:val="00A322BF"/>
    <w:rsid w:val="00A32348"/>
    <w:rsid w:val="00A326E0"/>
    <w:rsid w:val="00A327D9"/>
    <w:rsid w:val="00A32857"/>
    <w:rsid w:val="00A32A16"/>
    <w:rsid w:val="00A32C42"/>
    <w:rsid w:val="00A33019"/>
    <w:rsid w:val="00A3304E"/>
    <w:rsid w:val="00A3307B"/>
    <w:rsid w:val="00A33579"/>
    <w:rsid w:val="00A33A37"/>
    <w:rsid w:val="00A33AF5"/>
    <w:rsid w:val="00A33B50"/>
    <w:rsid w:val="00A33DB8"/>
    <w:rsid w:val="00A340B3"/>
    <w:rsid w:val="00A340D2"/>
    <w:rsid w:val="00A3415B"/>
    <w:rsid w:val="00A34316"/>
    <w:rsid w:val="00A343B5"/>
    <w:rsid w:val="00A343C8"/>
    <w:rsid w:val="00A34786"/>
    <w:rsid w:val="00A34AF5"/>
    <w:rsid w:val="00A34B8C"/>
    <w:rsid w:val="00A34C2A"/>
    <w:rsid w:val="00A34C77"/>
    <w:rsid w:val="00A34E4F"/>
    <w:rsid w:val="00A34F4F"/>
    <w:rsid w:val="00A35044"/>
    <w:rsid w:val="00A353CF"/>
    <w:rsid w:val="00A356BD"/>
    <w:rsid w:val="00A359A6"/>
    <w:rsid w:val="00A35A29"/>
    <w:rsid w:val="00A35D0A"/>
    <w:rsid w:val="00A35D63"/>
    <w:rsid w:val="00A35DFF"/>
    <w:rsid w:val="00A35E89"/>
    <w:rsid w:val="00A35F3E"/>
    <w:rsid w:val="00A35FA2"/>
    <w:rsid w:val="00A360AA"/>
    <w:rsid w:val="00A36424"/>
    <w:rsid w:val="00A3659A"/>
    <w:rsid w:val="00A3660D"/>
    <w:rsid w:val="00A367D9"/>
    <w:rsid w:val="00A36880"/>
    <w:rsid w:val="00A368A6"/>
    <w:rsid w:val="00A368FC"/>
    <w:rsid w:val="00A36916"/>
    <w:rsid w:val="00A36969"/>
    <w:rsid w:val="00A369BB"/>
    <w:rsid w:val="00A36BFC"/>
    <w:rsid w:val="00A36E50"/>
    <w:rsid w:val="00A37014"/>
    <w:rsid w:val="00A376F3"/>
    <w:rsid w:val="00A37721"/>
    <w:rsid w:val="00A3791A"/>
    <w:rsid w:val="00A37CB8"/>
    <w:rsid w:val="00A37EC8"/>
    <w:rsid w:val="00A37F1A"/>
    <w:rsid w:val="00A400AE"/>
    <w:rsid w:val="00A408D8"/>
    <w:rsid w:val="00A40A63"/>
    <w:rsid w:val="00A40CFF"/>
    <w:rsid w:val="00A40D4F"/>
    <w:rsid w:val="00A40DF4"/>
    <w:rsid w:val="00A40F3F"/>
    <w:rsid w:val="00A41092"/>
    <w:rsid w:val="00A410F2"/>
    <w:rsid w:val="00A41205"/>
    <w:rsid w:val="00A412AF"/>
    <w:rsid w:val="00A4173A"/>
    <w:rsid w:val="00A41B81"/>
    <w:rsid w:val="00A41BA2"/>
    <w:rsid w:val="00A41F30"/>
    <w:rsid w:val="00A41FA2"/>
    <w:rsid w:val="00A42008"/>
    <w:rsid w:val="00A4218C"/>
    <w:rsid w:val="00A42514"/>
    <w:rsid w:val="00A425D7"/>
    <w:rsid w:val="00A42658"/>
    <w:rsid w:val="00A42A4B"/>
    <w:rsid w:val="00A42B18"/>
    <w:rsid w:val="00A42B23"/>
    <w:rsid w:val="00A42B54"/>
    <w:rsid w:val="00A42C94"/>
    <w:rsid w:val="00A42D83"/>
    <w:rsid w:val="00A43197"/>
    <w:rsid w:val="00A43204"/>
    <w:rsid w:val="00A43282"/>
    <w:rsid w:val="00A43494"/>
    <w:rsid w:val="00A434AA"/>
    <w:rsid w:val="00A4351E"/>
    <w:rsid w:val="00A4356B"/>
    <w:rsid w:val="00A436B9"/>
    <w:rsid w:val="00A43739"/>
    <w:rsid w:val="00A438F5"/>
    <w:rsid w:val="00A438FC"/>
    <w:rsid w:val="00A43AAD"/>
    <w:rsid w:val="00A43B25"/>
    <w:rsid w:val="00A43C6C"/>
    <w:rsid w:val="00A43C95"/>
    <w:rsid w:val="00A43F4C"/>
    <w:rsid w:val="00A43FE7"/>
    <w:rsid w:val="00A441A0"/>
    <w:rsid w:val="00A442D5"/>
    <w:rsid w:val="00A4444A"/>
    <w:rsid w:val="00A4451A"/>
    <w:rsid w:val="00A445E6"/>
    <w:rsid w:val="00A445F3"/>
    <w:rsid w:val="00A446E0"/>
    <w:rsid w:val="00A446F6"/>
    <w:rsid w:val="00A44AA1"/>
    <w:rsid w:val="00A44C3A"/>
    <w:rsid w:val="00A45069"/>
    <w:rsid w:val="00A4532E"/>
    <w:rsid w:val="00A453D8"/>
    <w:rsid w:val="00A45553"/>
    <w:rsid w:val="00A45557"/>
    <w:rsid w:val="00A4556D"/>
    <w:rsid w:val="00A4591B"/>
    <w:rsid w:val="00A45A23"/>
    <w:rsid w:val="00A45AB6"/>
    <w:rsid w:val="00A45B07"/>
    <w:rsid w:val="00A45DC7"/>
    <w:rsid w:val="00A45F4E"/>
    <w:rsid w:val="00A46033"/>
    <w:rsid w:val="00A46285"/>
    <w:rsid w:val="00A462E2"/>
    <w:rsid w:val="00A46693"/>
    <w:rsid w:val="00A466D4"/>
    <w:rsid w:val="00A4681A"/>
    <w:rsid w:val="00A46894"/>
    <w:rsid w:val="00A469AF"/>
    <w:rsid w:val="00A46BE0"/>
    <w:rsid w:val="00A46C1A"/>
    <w:rsid w:val="00A46E16"/>
    <w:rsid w:val="00A46F17"/>
    <w:rsid w:val="00A470EF"/>
    <w:rsid w:val="00A4730E"/>
    <w:rsid w:val="00A4733D"/>
    <w:rsid w:val="00A4742E"/>
    <w:rsid w:val="00A4751A"/>
    <w:rsid w:val="00A47677"/>
    <w:rsid w:val="00A476D9"/>
    <w:rsid w:val="00A4790C"/>
    <w:rsid w:val="00A47C1E"/>
    <w:rsid w:val="00A47C24"/>
    <w:rsid w:val="00A47CF3"/>
    <w:rsid w:val="00A47EDD"/>
    <w:rsid w:val="00A501DB"/>
    <w:rsid w:val="00A5021D"/>
    <w:rsid w:val="00A50355"/>
    <w:rsid w:val="00A50382"/>
    <w:rsid w:val="00A50D96"/>
    <w:rsid w:val="00A510FC"/>
    <w:rsid w:val="00A511ED"/>
    <w:rsid w:val="00A512B6"/>
    <w:rsid w:val="00A514D5"/>
    <w:rsid w:val="00A516BC"/>
    <w:rsid w:val="00A518B1"/>
    <w:rsid w:val="00A518B4"/>
    <w:rsid w:val="00A52263"/>
    <w:rsid w:val="00A52485"/>
    <w:rsid w:val="00A52491"/>
    <w:rsid w:val="00A525C1"/>
    <w:rsid w:val="00A526FB"/>
    <w:rsid w:val="00A52796"/>
    <w:rsid w:val="00A5288F"/>
    <w:rsid w:val="00A529CE"/>
    <w:rsid w:val="00A52A2C"/>
    <w:rsid w:val="00A52A7D"/>
    <w:rsid w:val="00A52AFA"/>
    <w:rsid w:val="00A52E8A"/>
    <w:rsid w:val="00A532BF"/>
    <w:rsid w:val="00A53497"/>
    <w:rsid w:val="00A53563"/>
    <w:rsid w:val="00A53653"/>
    <w:rsid w:val="00A536E8"/>
    <w:rsid w:val="00A53A12"/>
    <w:rsid w:val="00A53B7F"/>
    <w:rsid w:val="00A53BBE"/>
    <w:rsid w:val="00A53C36"/>
    <w:rsid w:val="00A53CE9"/>
    <w:rsid w:val="00A54003"/>
    <w:rsid w:val="00A54028"/>
    <w:rsid w:val="00A542C2"/>
    <w:rsid w:val="00A544B0"/>
    <w:rsid w:val="00A546A5"/>
    <w:rsid w:val="00A548AE"/>
    <w:rsid w:val="00A54CF4"/>
    <w:rsid w:val="00A54DE3"/>
    <w:rsid w:val="00A54DEA"/>
    <w:rsid w:val="00A54E30"/>
    <w:rsid w:val="00A54F47"/>
    <w:rsid w:val="00A551B2"/>
    <w:rsid w:val="00A552F8"/>
    <w:rsid w:val="00A5569F"/>
    <w:rsid w:val="00A557AE"/>
    <w:rsid w:val="00A5592A"/>
    <w:rsid w:val="00A559CB"/>
    <w:rsid w:val="00A559ED"/>
    <w:rsid w:val="00A55BB7"/>
    <w:rsid w:val="00A55CD5"/>
    <w:rsid w:val="00A55CE4"/>
    <w:rsid w:val="00A55E38"/>
    <w:rsid w:val="00A55E8C"/>
    <w:rsid w:val="00A55FCF"/>
    <w:rsid w:val="00A55FDA"/>
    <w:rsid w:val="00A562A7"/>
    <w:rsid w:val="00A5645F"/>
    <w:rsid w:val="00A5692A"/>
    <w:rsid w:val="00A56B5D"/>
    <w:rsid w:val="00A56BEC"/>
    <w:rsid w:val="00A56CF7"/>
    <w:rsid w:val="00A56ED0"/>
    <w:rsid w:val="00A57044"/>
    <w:rsid w:val="00A5731C"/>
    <w:rsid w:val="00A57828"/>
    <w:rsid w:val="00A578F5"/>
    <w:rsid w:val="00A57B28"/>
    <w:rsid w:val="00A57DC8"/>
    <w:rsid w:val="00A57DD9"/>
    <w:rsid w:val="00A57F68"/>
    <w:rsid w:val="00A57FB6"/>
    <w:rsid w:val="00A600C5"/>
    <w:rsid w:val="00A60191"/>
    <w:rsid w:val="00A6019E"/>
    <w:rsid w:val="00A6031C"/>
    <w:rsid w:val="00A605C5"/>
    <w:rsid w:val="00A606D2"/>
    <w:rsid w:val="00A60770"/>
    <w:rsid w:val="00A60894"/>
    <w:rsid w:val="00A60A6A"/>
    <w:rsid w:val="00A60E93"/>
    <w:rsid w:val="00A60FBD"/>
    <w:rsid w:val="00A610C1"/>
    <w:rsid w:val="00A61300"/>
    <w:rsid w:val="00A61554"/>
    <w:rsid w:val="00A615BB"/>
    <w:rsid w:val="00A616A2"/>
    <w:rsid w:val="00A616E0"/>
    <w:rsid w:val="00A61767"/>
    <w:rsid w:val="00A619CB"/>
    <w:rsid w:val="00A61E42"/>
    <w:rsid w:val="00A61E58"/>
    <w:rsid w:val="00A61E5E"/>
    <w:rsid w:val="00A6208D"/>
    <w:rsid w:val="00A621A1"/>
    <w:rsid w:val="00A62338"/>
    <w:rsid w:val="00A623E8"/>
    <w:rsid w:val="00A623EC"/>
    <w:rsid w:val="00A62561"/>
    <w:rsid w:val="00A62692"/>
    <w:rsid w:val="00A629F9"/>
    <w:rsid w:val="00A62AC9"/>
    <w:rsid w:val="00A62B60"/>
    <w:rsid w:val="00A62C17"/>
    <w:rsid w:val="00A62C5C"/>
    <w:rsid w:val="00A62C6A"/>
    <w:rsid w:val="00A62CBA"/>
    <w:rsid w:val="00A62E8D"/>
    <w:rsid w:val="00A62F00"/>
    <w:rsid w:val="00A62F11"/>
    <w:rsid w:val="00A6302C"/>
    <w:rsid w:val="00A63208"/>
    <w:rsid w:val="00A63294"/>
    <w:rsid w:val="00A63594"/>
    <w:rsid w:val="00A635F5"/>
    <w:rsid w:val="00A63630"/>
    <w:rsid w:val="00A63672"/>
    <w:rsid w:val="00A63928"/>
    <w:rsid w:val="00A63988"/>
    <w:rsid w:val="00A63C1D"/>
    <w:rsid w:val="00A63EE0"/>
    <w:rsid w:val="00A63F2C"/>
    <w:rsid w:val="00A63FBB"/>
    <w:rsid w:val="00A63FD8"/>
    <w:rsid w:val="00A64022"/>
    <w:rsid w:val="00A64049"/>
    <w:rsid w:val="00A6406B"/>
    <w:rsid w:val="00A640CB"/>
    <w:rsid w:val="00A640FF"/>
    <w:rsid w:val="00A6432C"/>
    <w:rsid w:val="00A644B2"/>
    <w:rsid w:val="00A64577"/>
    <w:rsid w:val="00A648CD"/>
    <w:rsid w:val="00A64B46"/>
    <w:rsid w:val="00A64BB6"/>
    <w:rsid w:val="00A64C86"/>
    <w:rsid w:val="00A64FC1"/>
    <w:rsid w:val="00A64FC7"/>
    <w:rsid w:val="00A650A0"/>
    <w:rsid w:val="00A652A6"/>
    <w:rsid w:val="00A6549D"/>
    <w:rsid w:val="00A6573C"/>
    <w:rsid w:val="00A658CE"/>
    <w:rsid w:val="00A658D5"/>
    <w:rsid w:val="00A65975"/>
    <w:rsid w:val="00A662F0"/>
    <w:rsid w:val="00A666FC"/>
    <w:rsid w:val="00A667CA"/>
    <w:rsid w:val="00A66918"/>
    <w:rsid w:val="00A66A24"/>
    <w:rsid w:val="00A66B65"/>
    <w:rsid w:val="00A66D34"/>
    <w:rsid w:val="00A66D8B"/>
    <w:rsid w:val="00A66DB4"/>
    <w:rsid w:val="00A66DD5"/>
    <w:rsid w:val="00A66E5D"/>
    <w:rsid w:val="00A66ECA"/>
    <w:rsid w:val="00A66F08"/>
    <w:rsid w:val="00A67004"/>
    <w:rsid w:val="00A6706D"/>
    <w:rsid w:val="00A670D4"/>
    <w:rsid w:val="00A671DD"/>
    <w:rsid w:val="00A672C3"/>
    <w:rsid w:val="00A673E0"/>
    <w:rsid w:val="00A6760B"/>
    <w:rsid w:val="00A67923"/>
    <w:rsid w:val="00A67AAF"/>
    <w:rsid w:val="00A67ADA"/>
    <w:rsid w:val="00A67B3E"/>
    <w:rsid w:val="00A67C4D"/>
    <w:rsid w:val="00A67C70"/>
    <w:rsid w:val="00A67D71"/>
    <w:rsid w:val="00A67E50"/>
    <w:rsid w:val="00A7022C"/>
    <w:rsid w:val="00A70263"/>
    <w:rsid w:val="00A703EC"/>
    <w:rsid w:val="00A70403"/>
    <w:rsid w:val="00A704DF"/>
    <w:rsid w:val="00A704F2"/>
    <w:rsid w:val="00A70500"/>
    <w:rsid w:val="00A70943"/>
    <w:rsid w:val="00A70A7F"/>
    <w:rsid w:val="00A70E7C"/>
    <w:rsid w:val="00A71108"/>
    <w:rsid w:val="00A71326"/>
    <w:rsid w:val="00A71392"/>
    <w:rsid w:val="00A715B0"/>
    <w:rsid w:val="00A7161C"/>
    <w:rsid w:val="00A71795"/>
    <w:rsid w:val="00A717FB"/>
    <w:rsid w:val="00A7186B"/>
    <w:rsid w:val="00A71B35"/>
    <w:rsid w:val="00A71CBB"/>
    <w:rsid w:val="00A71E4C"/>
    <w:rsid w:val="00A71E6F"/>
    <w:rsid w:val="00A71FDC"/>
    <w:rsid w:val="00A71FE8"/>
    <w:rsid w:val="00A720D9"/>
    <w:rsid w:val="00A722FA"/>
    <w:rsid w:val="00A723AB"/>
    <w:rsid w:val="00A7241D"/>
    <w:rsid w:val="00A72498"/>
    <w:rsid w:val="00A7267B"/>
    <w:rsid w:val="00A726A8"/>
    <w:rsid w:val="00A72BA2"/>
    <w:rsid w:val="00A72C3F"/>
    <w:rsid w:val="00A72E41"/>
    <w:rsid w:val="00A72FFF"/>
    <w:rsid w:val="00A731AC"/>
    <w:rsid w:val="00A7362B"/>
    <w:rsid w:val="00A73695"/>
    <w:rsid w:val="00A738A6"/>
    <w:rsid w:val="00A7396B"/>
    <w:rsid w:val="00A73A93"/>
    <w:rsid w:val="00A73F3B"/>
    <w:rsid w:val="00A73F87"/>
    <w:rsid w:val="00A73F88"/>
    <w:rsid w:val="00A73F90"/>
    <w:rsid w:val="00A7419D"/>
    <w:rsid w:val="00A74403"/>
    <w:rsid w:val="00A7441D"/>
    <w:rsid w:val="00A744B6"/>
    <w:rsid w:val="00A7454B"/>
    <w:rsid w:val="00A7490E"/>
    <w:rsid w:val="00A74CBA"/>
    <w:rsid w:val="00A74ECE"/>
    <w:rsid w:val="00A751B9"/>
    <w:rsid w:val="00A75236"/>
    <w:rsid w:val="00A75257"/>
    <w:rsid w:val="00A753E0"/>
    <w:rsid w:val="00A755A9"/>
    <w:rsid w:val="00A755EE"/>
    <w:rsid w:val="00A756E0"/>
    <w:rsid w:val="00A75BA2"/>
    <w:rsid w:val="00A75C12"/>
    <w:rsid w:val="00A76041"/>
    <w:rsid w:val="00A76122"/>
    <w:rsid w:val="00A76534"/>
    <w:rsid w:val="00A7664E"/>
    <w:rsid w:val="00A767D9"/>
    <w:rsid w:val="00A7693C"/>
    <w:rsid w:val="00A76A70"/>
    <w:rsid w:val="00A76BC7"/>
    <w:rsid w:val="00A76DCF"/>
    <w:rsid w:val="00A77091"/>
    <w:rsid w:val="00A77272"/>
    <w:rsid w:val="00A77333"/>
    <w:rsid w:val="00A775EF"/>
    <w:rsid w:val="00A777AA"/>
    <w:rsid w:val="00A77A17"/>
    <w:rsid w:val="00A77AA7"/>
    <w:rsid w:val="00A77AD5"/>
    <w:rsid w:val="00A77B4C"/>
    <w:rsid w:val="00A77C13"/>
    <w:rsid w:val="00A77E69"/>
    <w:rsid w:val="00A80017"/>
    <w:rsid w:val="00A8013F"/>
    <w:rsid w:val="00A803F5"/>
    <w:rsid w:val="00A8048D"/>
    <w:rsid w:val="00A806E4"/>
    <w:rsid w:val="00A80D2E"/>
    <w:rsid w:val="00A80F68"/>
    <w:rsid w:val="00A8134B"/>
    <w:rsid w:val="00A81381"/>
    <w:rsid w:val="00A813C7"/>
    <w:rsid w:val="00A81562"/>
    <w:rsid w:val="00A8180E"/>
    <w:rsid w:val="00A818E2"/>
    <w:rsid w:val="00A819BF"/>
    <w:rsid w:val="00A81A38"/>
    <w:rsid w:val="00A81B06"/>
    <w:rsid w:val="00A81B20"/>
    <w:rsid w:val="00A81C99"/>
    <w:rsid w:val="00A81CC9"/>
    <w:rsid w:val="00A81F30"/>
    <w:rsid w:val="00A821FB"/>
    <w:rsid w:val="00A82644"/>
    <w:rsid w:val="00A827E7"/>
    <w:rsid w:val="00A827FF"/>
    <w:rsid w:val="00A82AD9"/>
    <w:rsid w:val="00A82F66"/>
    <w:rsid w:val="00A831BE"/>
    <w:rsid w:val="00A8358A"/>
    <w:rsid w:val="00A836BD"/>
    <w:rsid w:val="00A8392C"/>
    <w:rsid w:val="00A83B0C"/>
    <w:rsid w:val="00A83D4A"/>
    <w:rsid w:val="00A83D68"/>
    <w:rsid w:val="00A83E96"/>
    <w:rsid w:val="00A83F0E"/>
    <w:rsid w:val="00A83F2A"/>
    <w:rsid w:val="00A83F66"/>
    <w:rsid w:val="00A83F95"/>
    <w:rsid w:val="00A8414C"/>
    <w:rsid w:val="00A84262"/>
    <w:rsid w:val="00A8426E"/>
    <w:rsid w:val="00A84493"/>
    <w:rsid w:val="00A84594"/>
    <w:rsid w:val="00A84601"/>
    <w:rsid w:val="00A847B2"/>
    <w:rsid w:val="00A8494B"/>
    <w:rsid w:val="00A84C1C"/>
    <w:rsid w:val="00A84CA6"/>
    <w:rsid w:val="00A84CAA"/>
    <w:rsid w:val="00A84D31"/>
    <w:rsid w:val="00A84DF3"/>
    <w:rsid w:val="00A84E1F"/>
    <w:rsid w:val="00A84F58"/>
    <w:rsid w:val="00A85099"/>
    <w:rsid w:val="00A85306"/>
    <w:rsid w:val="00A85333"/>
    <w:rsid w:val="00A85721"/>
    <w:rsid w:val="00A85845"/>
    <w:rsid w:val="00A85C09"/>
    <w:rsid w:val="00A85C54"/>
    <w:rsid w:val="00A85C88"/>
    <w:rsid w:val="00A85C99"/>
    <w:rsid w:val="00A85E05"/>
    <w:rsid w:val="00A860F4"/>
    <w:rsid w:val="00A86125"/>
    <w:rsid w:val="00A861F4"/>
    <w:rsid w:val="00A864BC"/>
    <w:rsid w:val="00A865E2"/>
    <w:rsid w:val="00A866DF"/>
    <w:rsid w:val="00A86781"/>
    <w:rsid w:val="00A86802"/>
    <w:rsid w:val="00A86B11"/>
    <w:rsid w:val="00A86BDC"/>
    <w:rsid w:val="00A86D5D"/>
    <w:rsid w:val="00A86E13"/>
    <w:rsid w:val="00A86E90"/>
    <w:rsid w:val="00A86F40"/>
    <w:rsid w:val="00A87054"/>
    <w:rsid w:val="00A87063"/>
    <w:rsid w:val="00A870AF"/>
    <w:rsid w:val="00A87200"/>
    <w:rsid w:val="00A872F2"/>
    <w:rsid w:val="00A873D6"/>
    <w:rsid w:val="00A87743"/>
    <w:rsid w:val="00A87778"/>
    <w:rsid w:val="00A8777B"/>
    <w:rsid w:val="00A87806"/>
    <w:rsid w:val="00A8790F"/>
    <w:rsid w:val="00A87987"/>
    <w:rsid w:val="00A879E5"/>
    <w:rsid w:val="00A87BD4"/>
    <w:rsid w:val="00A87DD2"/>
    <w:rsid w:val="00A87DE0"/>
    <w:rsid w:val="00A901AC"/>
    <w:rsid w:val="00A90249"/>
    <w:rsid w:val="00A905A9"/>
    <w:rsid w:val="00A90999"/>
    <w:rsid w:val="00A91090"/>
    <w:rsid w:val="00A910CF"/>
    <w:rsid w:val="00A91265"/>
    <w:rsid w:val="00A916A2"/>
    <w:rsid w:val="00A919A5"/>
    <w:rsid w:val="00A91A92"/>
    <w:rsid w:val="00A91B5C"/>
    <w:rsid w:val="00A91E80"/>
    <w:rsid w:val="00A91F9A"/>
    <w:rsid w:val="00A921DE"/>
    <w:rsid w:val="00A92239"/>
    <w:rsid w:val="00A92643"/>
    <w:rsid w:val="00A926BA"/>
    <w:rsid w:val="00A92E3D"/>
    <w:rsid w:val="00A9301E"/>
    <w:rsid w:val="00A93105"/>
    <w:rsid w:val="00A93143"/>
    <w:rsid w:val="00A932E4"/>
    <w:rsid w:val="00A9330A"/>
    <w:rsid w:val="00A93335"/>
    <w:rsid w:val="00A93385"/>
    <w:rsid w:val="00A9346F"/>
    <w:rsid w:val="00A9372A"/>
    <w:rsid w:val="00A9387F"/>
    <w:rsid w:val="00A939AD"/>
    <w:rsid w:val="00A93A20"/>
    <w:rsid w:val="00A93A80"/>
    <w:rsid w:val="00A93D20"/>
    <w:rsid w:val="00A93EC0"/>
    <w:rsid w:val="00A93FFD"/>
    <w:rsid w:val="00A945B0"/>
    <w:rsid w:val="00A94656"/>
    <w:rsid w:val="00A946F2"/>
    <w:rsid w:val="00A94965"/>
    <w:rsid w:val="00A94B98"/>
    <w:rsid w:val="00A94D11"/>
    <w:rsid w:val="00A9505C"/>
    <w:rsid w:val="00A95093"/>
    <w:rsid w:val="00A95257"/>
    <w:rsid w:val="00A953BC"/>
    <w:rsid w:val="00A953F5"/>
    <w:rsid w:val="00A95692"/>
    <w:rsid w:val="00A956D0"/>
    <w:rsid w:val="00A9583F"/>
    <w:rsid w:val="00A9586B"/>
    <w:rsid w:val="00A95A28"/>
    <w:rsid w:val="00A95A89"/>
    <w:rsid w:val="00A95C81"/>
    <w:rsid w:val="00A960D3"/>
    <w:rsid w:val="00A96104"/>
    <w:rsid w:val="00A9611B"/>
    <w:rsid w:val="00A96280"/>
    <w:rsid w:val="00A96488"/>
    <w:rsid w:val="00A96584"/>
    <w:rsid w:val="00A96596"/>
    <w:rsid w:val="00A96650"/>
    <w:rsid w:val="00A9685E"/>
    <w:rsid w:val="00A9697E"/>
    <w:rsid w:val="00A96B77"/>
    <w:rsid w:val="00A96BC8"/>
    <w:rsid w:val="00A96E8D"/>
    <w:rsid w:val="00A9700F"/>
    <w:rsid w:val="00A9739E"/>
    <w:rsid w:val="00A9744A"/>
    <w:rsid w:val="00A974A0"/>
    <w:rsid w:val="00A976DB"/>
    <w:rsid w:val="00A97875"/>
    <w:rsid w:val="00A978BE"/>
    <w:rsid w:val="00A97A19"/>
    <w:rsid w:val="00A97B2B"/>
    <w:rsid w:val="00A97DC5"/>
    <w:rsid w:val="00A97DCD"/>
    <w:rsid w:val="00A97E13"/>
    <w:rsid w:val="00A97EA0"/>
    <w:rsid w:val="00AA00A7"/>
    <w:rsid w:val="00AA041B"/>
    <w:rsid w:val="00AA0456"/>
    <w:rsid w:val="00AA0476"/>
    <w:rsid w:val="00AA04A6"/>
    <w:rsid w:val="00AA0592"/>
    <w:rsid w:val="00AA06D0"/>
    <w:rsid w:val="00AA07DA"/>
    <w:rsid w:val="00AA0800"/>
    <w:rsid w:val="00AA08B4"/>
    <w:rsid w:val="00AA0984"/>
    <w:rsid w:val="00AA09D3"/>
    <w:rsid w:val="00AA0AE6"/>
    <w:rsid w:val="00AA0D1B"/>
    <w:rsid w:val="00AA0D90"/>
    <w:rsid w:val="00AA0F5A"/>
    <w:rsid w:val="00AA0FE4"/>
    <w:rsid w:val="00AA106B"/>
    <w:rsid w:val="00AA11BE"/>
    <w:rsid w:val="00AA1225"/>
    <w:rsid w:val="00AA13FA"/>
    <w:rsid w:val="00AA14A8"/>
    <w:rsid w:val="00AA16B6"/>
    <w:rsid w:val="00AA19B6"/>
    <w:rsid w:val="00AA1A57"/>
    <w:rsid w:val="00AA1A95"/>
    <w:rsid w:val="00AA1AA4"/>
    <w:rsid w:val="00AA1F60"/>
    <w:rsid w:val="00AA201D"/>
    <w:rsid w:val="00AA24F2"/>
    <w:rsid w:val="00AA28AD"/>
    <w:rsid w:val="00AA2A18"/>
    <w:rsid w:val="00AA2AC5"/>
    <w:rsid w:val="00AA2CA0"/>
    <w:rsid w:val="00AA2D7F"/>
    <w:rsid w:val="00AA2D8D"/>
    <w:rsid w:val="00AA2DD1"/>
    <w:rsid w:val="00AA2EFE"/>
    <w:rsid w:val="00AA302E"/>
    <w:rsid w:val="00AA3217"/>
    <w:rsid w:val="00AA323D"/>
    <w:rsid w:val="00AA33D2"/>
    <w:rsid w:val="00AA3402"/>
    <w:rsid w:val="00AA36D3"/>
    <w:rsid w:val="00AA39AF"/>
    <w:rsid w:val="00AA3A50"/>
    <w:rsid w:val="00AA3EAB"/>
    <w:rsid w:val="00AA4026"/>
    <w:rsid w:val="00AA41B0"/>
    <w:rsid w:val="00AA4585"/>
    <w:rsid w:val="00AA480F"/>
    <w:rsid w:val="00AA4886"/>
    <w:rsid w:val="00AA4F96"/>
    <w:rsid w:val="00AA5141"/>
    <w:rsid w:val="00AA524F"/>
    <w:rsid w:val="00AA5360"/>
    <w:rsid w:val="00AA53A1"/>
    <w:rsid w:val="00AA53A4"/>
    <w:rsid w:val="00AA5439"/>
    <w:rsid w:val="00AA54FB"/>
    <w:rsid w:val="00AA554E"/>
    <w:rsid w:val="00AA574E"/>
    <w:rsid w:val="00AA59CE"/>
    <w:rsid w:val="00AA5A1A"/>
    <w:rsid w:val="00AA5BB6"/>
    <w:rsid w:val="00AA5D63"/>
    <w:rsid w:val="00AA5D64"/>
    <w:rsid w:val="00AA6092"/>
    <w:rsid w:val="00AA609C"/>
    <w:rsid w:val="00AA60AF"/>
    <w:rsid w:val="00AA60E4"/>
    <w:rsid w:val="00AA620F"/>
    <w:rsid w:val="00AA6339"/>
    <w:rsid w:val="00AA64AA"/>
    <w:rsid w:val="00AA64B5"/>
    <w:rsid w:val="00AA64F2"/>
    <w:rsid w:val="00AA6509"/>
    <w:rsid w:val="00AA6676"/>
    <w:rsid w:val="00AA66A8"/>
    <w:rsid w:val="00AA6D8F"/>
    <w:rsid w:val="00AA71F1"/>
    <w:rsid w:val="00AA72A6"/>
    <w:rsid w:val="00AA72B7"/>
    <w:rsid w:val="00AA7348"/>
    <w:rsid w:val="00AA7510"/>
    <w:rsid w:val="00AA7760"/>
    <w:rsid w:val="00AA7816"/>
    <w:rsid w:val="00AA7A8C"/>
    <w:rsid w:val="00AA7D1F"/>
    <w:rsid w:val="00AB00A5"/>
    <w:rsid w:val="00AB0193"/>
    <w:rsid w:val="00AB0258"/>
    <w:rsid w:val="00AB0933"/>
    <w:rsid w:val="00AB0998"/>
    <w:rsid w:val="00AB0AC0"/>
    <w:rsid w:val="00AB0AF5"/>
    <w:rsid w:val="00AB0CAD"/>
    <w:rsid w:val="00AB0E99"/>
    <w:rsid w:val="00AB0EA3"/>
    <w:rsid w:val="00AB0F74"/>
    <w:rsid w:val="00AB12A8"/>
    <w:rsid w:val="00AB1593"/>
    <w:rsid w:val="00AB1609"/>
    <w:rsid w:val="00AB17BA"/>
    <w:rsid w:val="00AB1CD7"/>
    <w:rsid w:val="00AB1D5B"/>
    <w:rsid w:val="00AB1E6B"/>
    <w:rsid w:val="00AB20A6"/>
    <w:rsid w:val="00AB258A"/>
    <w:rsid w:val="00AB26C6"/>
    <w:rsid w:val="00AB26DB"/>
    <w:rsid w:val="00AB282B"/>
    <w:rsid w:val="00AB2891"/>
    <w:rsid w:val="00AB2927"/>
    <w:rsid w:val="00AB2A1F"/>
    <w:rsid w:val="00AB2C42"/>
    <w:rsid w:val="00AB2D48"/>
    <w:rsid w:val="00AB2D86"/>
    <w:rsid w:val="00AB2E13"/>
    <w:rsid w:val="00AB2EE5"/>
    <w:rsid w:val="00AB2EE7"/>
    <w:rsid w:val="00AB335D"/>
    <w:rsid w:val="00AB3613"/>
    <w:rsid w:val="00AB3737"/>
    <w:rsid w:val="00AB3903"/>
    <w:rsid w:val="00AB392F"/>
    <w:rsid w:val="00AB3A4F"/>
    <w:rsid w:val="00AB3B8E"/>
    <w:rsid w:val="00AB3D12"/>
    <w:rsid w:val="00AB3F0A"/>
    <w:rsid w:val="00AB421B"/>
    <w:rsid w:val="00AB4536"/>
    <w:rsid w:val="00AB45B1"/>
    <w:rsid w:val="00AB46FA"/>
    <w:rsid w:val="00AB4751"/>
    <w:rsid w:val="00AB47D5"/>
    <w:rsid w:val="00AB48A8"/>
    <w:rsid w:val="00AB49DA"/>
    <w:rsid w:val="00AB4B61"/>
    <w:rsid w:val="00AB4ECD"/>
    <w:rsid w:val="00AB4F53"/>
    <w:rsid w:val="00AB4F68"/>
    <w:rsid w:val="00AB4FB0"/>
    <w:rsid w:val="00AB4FD0"/>
    <w:rsid w:val="00AB5010"/>
    <w:rsid w:val="00AB5038"/>
    <w:rsid w:val="00AB53BB"/>
    <w:rsid w:val="00AB5561"/>
    <w:rsid w:val="00AB59E3"/>
    <w:rsid w:val="00AB5A6C"/>
    <w:rsid w:val="00AB5B64"/>
    <w:rsid w:val="00AB5D1E"/>
    <w:rsid w:val="00AB5D38"/>
    <w:rsid w:val="00AB5DD4"/>
    <w:rsid w:val="00AB5E51"/>
    <w:rsid w:val="00AB5EDB"/>
    <w:rsid w:val="00AB60BE"/>
    <w:rsid w:val="00AB618C"/>
    <w:rsid w:val="00AB63E3"/>
    <w:rsid w:val="00AB63E5"/>
    <w:rsid w:val="00AB66CB"/>
    <w:rsid w:val="00AB6775"/>
    <w:rsid w:val="00AB7171"/>
    <w:rsid w:val="00AB72BB"/>
    <w:rsid w:val="00AB7372"/>
    <w:rsid w:val="00AB7377"/>
    <w:rsid w:val="00AB7459"/>
    <w:rsid w:val="00AB74F0"/>
    <w:rsid w:val="00AB7993"/>
    <w:rsid w:val="00AB79BD"/>
    <w:rsid w:val="00AB7A05"/>
    <w:rsid w:val="00AC05B6"/>
    <w:rsid w:val="00AC0AFD"/>
    <w:rsid w:val="00AC0BF2"/>
    <w:rsid w:val="00AC0E9E"/>
    <w:rsid w:val="00AC0F88"/>
    <w:rsid w:val="00AC0FEF"/>
    <w:rsid w:val="00AC1084"/>
    <w:rsid w:val="00AC10AC"/>
    <w:rsid w:val="00AC12E5"/>
    <w:rsid w:val="00AC13BA"/>
    <w:rsid w:val="00AC14AF"/>
    <w:rsid w:val="00AC1873"/>
    <w:rsid w:val="00AC19A6"/>
    <w:rsid w:val="00AC1A4A"/>
    <w:rsid w:val="00AC1CCB"/>
    <w:rsid w:val="00AC1E86"/>
    <w:rsid w:val="00AC1F77"/>
    <w:rsid w:val="00AC210C"/>
    <w:rsid w:val="00AC2179"/>
    <w:rsid w:val="00AC24A4"/>
    <w:rsid w:val="00AC25C4"/>
    <w:rsid w:val="00AC2618"/>
    <w:rsid w:val="00AC27C7"/>
    <w:rsid w:val="00AC281E"/>
    <w:rsid w:val="00AC2ADA"/>
    <w:rsid w:val="00AC2BFE"/>
    <w:rsid w:val="00AC2C96"/>
    <w:rsid w:val="00AC2CA4"/>
    <w:rsid w:val="00AC2F5E"/>
    <w:rsid w:val="00AC2F8E"/>
    <w:rsid w:val="00AC2FED"/>
    <w:rsid w:val="00AC30CE"/>
    <w:rsid w:val="00AC3245"/>
    <w:rsid w:val="00AC32BA"/>
    <w:rsid w:val="00AC32C3"/>
    <w:rsid w:val="00AC340C"/>
    <w:rsid w:val="00AC3446"/>
    <w:rsid w:val="00AC3895"/>
    <w:rsid w:val="00AC38C7"/>
    <w:rsid w:val="00AC3BEF"/>
    <w:rsid w:val="00AC3E14"/>
    <w:rsid w:val="00AC3E79"/>
    <w:rsid w:val="00AC3F14"/>
    <w:rsid w:val="00AC3FAA"/>
    <w:rsid w:val="00AC407D"/>
    <w:rsid w:val="00AC431E"/>
    <w:rsid w:val="00AC43C8"/>
    <w:rsid w:val="00AC4416"/>
    <w:rsid w:val="00AC4420"/>
    <w:rsid w:val="00AC46FB"/>
    <w:rsid w:val="00AC488E"/>
    <w:rsid w:val="00AC4A95"/>
    <w:rsid w:val="00AC4D80"/>
    <w:rsid w:val="00AC4E31"/>
    <w:rsid w:val="00AC4F67"/>
    <w:rsid w:val="00AC506F"/>
    <w:rsid w:val="00AC50FE"/>
    <w:rsid w:val="00AC51DC"/>
    <w:rsid w:val="00AC53D3"/>
    <w:rsid w:val="00AC554A"/>
    <w:rsid w:val="00AC57D5"/>
    <w:rsid w:val="00AC5A16"/>
    <w:rsid w:val="00AC5CBB"/>
    <w:rsid w:val="00AC5D03"/>
    <w:rsid w:val="00AC5E26"/>
    <w:rsid w:val="00AC5F23"/>
    <w:rsid w:val="00AC61C8"/>
    <w:rsid w:val="00AC6234"/>
    <w:rsid w:val="00AC624A"/>
    <w:rsid w:val="00AC63BA"/>
    <w:rsid w:val="00AC63D1"/>
    <w:rsid w:val="00AC6517"/>
    <w:rsid w:val="00AC653D"/>
    <w:rsid w:val="00AC6709"/>
    <w:rsid w:val="00AC67C8"/>
    <w:rsid w:val="00AC685F"/>
    <w:rsid w:val="00AC6A99"/>
    <w:rsid w:val="00AC6AAC"/>
    <w:rsid w:val="00AC704C"/>
    <w:rsid w:val="00AC7056"/>
    <w:rsid w:val="00AC711D"/>
    <w:rsid w:val="00AC7127"/>
    <w:rsid w:val="00AC72FC"/>
    <w:rsid w:val="00AC7650"/>
    <w:rsid w:val="00AC7798"/>
    <w:rsid w:val="00AC7B24"/>
    <w:rsid w:val="00AC7C10"/>
    <w:rsid w:val="00AC7C5B"/>
    <w:rsid w:val="00AC7E2C"/>
    <w:rsid w:val="00AC7E5E"/>
    <w:rsid w:val="00AD014D"/>
    <w:rsid w:val="00AD040F"/>
    <w:rsid w:val="00AD047C"/>
    <w:rsid w:val="00AD0560"/>
    <w:rsid w:val="00AD08C2"/>
    <w:rsid w:val="00AD09A2"/>
    <w:rsid w:val="00AD0E95"/>
    <w:rsid w:val="00AD101E"/>
    <w:rsid w:val="00AD12D3"/>
    <w:rsid w:val="00AD1303"/>
    <w:rsid w:val="00AD1385"/>
    <w:rsid w:val="00AD138A"/>
    <w:rsid w:val="00AD1408"/>
    <w:rsid w:val="00AD15C7"/>
    <w:rsid w:val="00AD1673"/>
    <w:rsid w:val="00AD18BD"/>
    <w:rsid w:val="00AD1972"/>
    <w:rsid w:val="00AD1A75"/>
    <w:rsid w:val="00AD1AC8"/>
    <w:rsid w:val="00AD1E88"/>
    <w:rsid w:val="00AD1F2A"/>
    <w:rsid w:val="00AD2009"/>
    <w:rsid w:val="00AD22BD"/>
    <w:rsid w:val="00AD243B"/>
    <w:rsid w:val="00AD2FE3"/>
    <w:rsid w:val="00AD305F"/>
    <w:rsid w:val="00AD321D"/>
    <w:rsid w:val="00AD3220"/>
    <w:rsid w:val="00AD328C"/>
    <w:rsid w:val="00AD3294"/>
    <w:rsid w:val="00AD32EB"/>
    <w:rsid w:val="00AD34B2"/>
    <w:rsid w:val="00AD34FA"/>
    <w:rsid w:val="00AD3573"/>
    <w:rsid w:val="00AD36DA"/>
    <w:rsid w:val="00AD38BE"/>
    <w:rsid w:val="00AD39AB"/>
    <w:rsid w:val="00AD3D78"/>
    <w:rsid w:val="00AD3DFD"/>
    <w:rsid w:val="00AD447E"/>
    <w:rsid w:val="00AD4661"/>
    <w:rsid w:val="00AD4742"/>
    <w:rsid w:val="00AD47CA"/>
    <w:rsid w:val="00AD4A06"/>
    <w:rsid w:val="00AD4A88"/>
    <w:rsid w:val="00AD4C50"/>
    <w:rsid w:val="00AD4C95"/>
    <w:rsid w:val="00AD504A"/>
    <w:rsid w:val="00AD5286"/>
    <w:rsid w:val="00AD52A6"/>
    <w:rsid w:val="00AD5702"/>
    <w:rsid w:val="00AD5D3F"/>
    <w:rsid w:val="00AD5D51"/>
    <w:rsid w:val="00AD5E56"/>
    <w:rsid w:val="00AD5FF9"/>
    <w:rsid w:val="00AD656D"/>
    <w:rsid w:val="00AD65C7"/>
    <w:rsid w:val="00AD66D0"/>
    <w:rsid w:val="00AD672D"/>
    <w:rsid w:val="00AD683D"/>
    <w:rsid w:val="00AD68DA"/>
    <w:rsid w:val="00AD6BE7"/>
    <w:rsid w:val="00AD6D73"/>
    <w:rsid w:val="00AD6E38"/>
    <w:rsid w:val="00AD6E3E"/>
    <w:rsid w:val="00AD6EDB"/>
    <w:rsid w:val="00AD6EE5"/>
    <w:rsid w:val="00AD7049"/>
    <w:rsid w:val="00AD71A2"/>
    <w:rsid w:val="00AD72AB"/>
    <w:rsid w:val="00AD7374"/>
    <w:rsid w:val="00AD75BA"/>
    <w:rsid w:val="00AD75DA"/>
    <w:rsid w:val="00AD771C"/>
    <w:rsid w:val="00AD782B"/>
    <w:rsid w:val="00AD793B"/>
    <w:rsid w:val="00AD7956"/>
    <w:rsid w:val="00AE0025"/>
    <w:rsid w:val="00AE010E"/>
    <w:rsid w:val="00AE0132"/>
    <w:rsid w:val="00AE01A9"/>
    <w:rsid w:val="00AE01F3"/>
    <w:rsid w:val="00AE03D7"/>
    <w:rsid w:val="00AE03FD"/>
    <w:rsid w:val="00AE03FF"/>
    <w:rsid w:val="00AE0481"/>
    <w:rsid w:val="00AE065E"/>
    <w:rsid w:val="00AE06D0"/>
    <w:rsid w:val="00AE0911"/>
    <w:rsid w:val="00AE0AA3"/>
    <w:rsid w:val="00AE1186"/>
    <w:rsid w:val="00AE1289"/>
    <w:rsid w:val="00AE12DF"/>
    <w:rsid w:val="00AE12E4"/>
    <w:rsid w:val="00AE19A4"/>
    <w:rsid w:val="00AE19DF"/>
    <w:rsid w:val="00AE1B8F"/>
    <w:rsid w:val="00AE1CF6"/>
    <w:rsid w:val="00AE1FA3"/>
    <w:rsid w:val="00AE209C"/>
    <w:rsid w:val="00AE2148"/>
    <w:rsid w:val="00AE2365"/>
    <w:rsid w:val="00AE248C"/>
    <w:rsid w:val="00AE256B"/>
    <w:rsid w:val="00AE265F"/>
    <w:rsid w:val="00AE276B"/>
    <w:rsid w:val="00AE2B78"/>
    <w:rsid w:val="00AE2D7D"/>
    <w:rsid w:val="00AE3067"/>
    <w:rsid w:val="00AE313E"/>
    <w:rsid w:val="00AE340D"/>
    <w:rsid w:val="00AE3506"/>
    <w:rsid w:val="00AE3777"/>
    <w:rsid w:val="00AE382F"/>
    <w:rsid w:val="00AE3DF7"/>
    <w:rsid w:val="00AE4389"/>
    <w:rsid w:val="00AE43F2"/>
    <w:rsid w:val="00AE46C6"/>
    <w:rsid w:val="00AE46E3"/>
    <w:rsid w:val="00AE47ED"/>
    <w:rsid w:val="00AE48C2"/>
    <w:rsid w:val="00AE51D7"/>
    <w:rsid w:val="00AE5237"/>
    <w:rsid w:val="00AE5325"/>
    <w:rsid w:val="00AE5639"/>
    <w:rsid w:val="00AE5651"/>
    <w:rsid w:val="00AE590E"/>
    <w:rsid w:val="00AE59F6"/>
    <w:rsid w:val="00AE5A3E"/>
    <w:rsid w:val="00AE5B20"/>
    <w:rsid w:val="00AE5D10"/>
    <w:rsid w:val="00AE5DFD"/>
    <w:rsid w:val="00AE5F41"/>
    <w:rsid w:val="00AE61BA"/>
    <w:rsid w:val="00AE61FB"/>
    <w:rsid w:val="00AE63F0"/>
    <w:rsid w:val="00AE6501"/>
    <w:rsid w:val="00AE6566"/>
    <w:rsid w:val="00AE6681"/>
    <w:rsid w:val="00AE6786"/>
    <w:rsid w:val="00AE69E9"/>
    <w:rsid w:val="00AE69FA"/>
    <w:rsid w:val="00AE6B4F"/>
    <w:rsid w:val="00AE6CD2"/>
    <w:rsid w:val="00AE6CE8"/>
    <w:rsid w:val="00AE6D6A"/>
    <w:rsid w:val="00AE6EAD"/>
    <w:rsid w:val="00AE6F30"/>
    <w:rsid w:val="00AE7193"/>
    <w:rsid w:val="00AE729A"/>
    <w:rsid w:val="00AE7400"/>
    <w:rsid w:val="00AE7464"/>
    <w:rsid w:val="00AE74FA"/>
    <w:rsid w:val="00AE7868"/>
    <w:rsid w:val="00AE7957"/>
    <w:rsid w:val="00AE79F5"/>
    <w:rsid w:val="00AE7A42"/>
    <w:rsid w:val="00AE7A50"/>
    <w:rsid w:val="00AE7B36"/>
    <w:rsid w:val="00AE7E94"/>
    <w:rsid w:val="00AF0041"/>
    <w:rsid w:val="00AF00AD"/>
    <w:rsid w:val="00AF0193"/>
    <w:rsid w:val="00AF0217"/>
    <w:rsid w:val="00AF0367"/>
    <w:rsid w:val="00AF03B1"/>
    <w:rsid w:val="00AF0432"/>
    <w:rsid w:val="00AF050E"/>
    <w:rsid w:val="00AF078D"/>
    <w:rsid w:val="00AF0815"/>
    <w:rsid w:val="00AF09A1"/>
    <w:rsid w:val="00AF0A73"/>
    <w:rsid w:val="00AF0BF1"/>
    <w:rsid w:val="00AF0C86"/>
    <w:rsid w:val="00AF0FDA"/>
    <w:rsid w:val="00AF10B1"/>
    <w:rsid w:val="00AF10C5"/>
    <w:rsid w:val="00AF10DF"/>
    <w:rsid w:val="00AF1258"/>
    <w:rsid w:val="00AF1308"/>
    <w:rsid w:val="00AF13E0"/>
    <w:rsid w:val="00AF13E8"/>
    <w:rsid w:val="00AF143E"/>
    <w:rsid w:val="00AF1452"/>
    <w:rsid w:val="00AF145E"/>
    <w:rsid w:val="00AF180C"/>
    <w:rsid w:val="00AF182C"/>
    <w:rsid w:val="00AF1AE9"/>
    <w:rsid w:val="00AF1CB6"/>
    <w:rsid w:val="00AF1CE8"/>
    <w:rsid w:val="00AF1F8A"/>
    <w:rsid w:val="00AF2126"/>
    <w:rsid w:val="00AF252F"/>
    <w:rsid w:val="00AF257F"/>
    <w:rsid w:val="00AF25CA"/>
    <w:rsid w:val="00AF279B"/>
    <w:rsid w:val="00AF28D9"/>
    <w:rsid w:val="00AF298F"/>
    <w:rsid w:val="00AF2A1E"/>
    <w:rsid w:val="00AF2BCF"/>
    <w:rsid w:val="00AF2E87"/>
    <w:rsid w:val="00AF3034"/>
    <w:rsid w:val="00AF3175"/>
    <w:rsid w:val="00AF3188"/>
    <w:rsid w:val="00AF3226"/>
    <w:rsid w:val="00AF3293"/>
    <w:rsid w:val="00AF3311"/>
    <w:rsid w:val="00AF3635"/>
    <w:rsid w:val="00AF3684"/>
    <w:rsid w:val="00AF377A"/>
    <w:rsid w:val="00AF377D"/>
    <w:rsid w:val="00AF395D"/>
    <w:rsid w:val="00AF3979"/>
    <w:rsid w:val="00AF3B6E"/>
    <w:rsid w:val="00AF3BBD"/>
    <w:rsid w:val="00AF3BCA"/>
    <w:rsid w:val="00AF3F50"/>
    <w:rsid w:val="00AF402A"/>
    <w:rsid w:val="00AF41A3"/>
    <w:rsid w:val="00AF42E1"/>
    <w:rsid w:val="00AF43DB"/>
    <w:rsid w:val="00AF4489"/>
    <w:rsid w:val="00AF4494"/>
    <w:rsid w:val="00AF44B6"/>
    <w:rsid w:val="00AF44DF"/>
    <w:rsid w:val="00AF4702"/>
    <w:rsid w:val="00AF4846"/>
    <w:rsid w:val="00AF4884"/>
    <w:rsid w:val="00AF4D9C"/>
    <w:rsid w:val="00AF4DC8"/>
    <w:rsid w:val="00AF4F78"/>
    <w:rsid w:val="00AF4FBA"/>
    <w:rsid w:val="00AF5299"/>
    <w:rsid w:val="00AF5628"/>
    <w:rsid w:val="00AF56A2"/>
    <w:rsid w:val="00AF576C"/>
    <w:rsid w:val="00AF59D5"/>
    <w:rsid w:val="00AF606E"/>
    <w:rsid w:val="00AF64EA"/>
    <w:rsid w:val="00AF6B00"/>
    <w:rsid w:val="00AF6BAA"/>
    <w:rsid w:val="00AF6C4D"/>
    <w:rsid w:val="00AF6D10"/>
    <w:rsid w:val="00AF6E74"/>
    <w:rsid w:val="00AF6EF8"/>
    <w:rsid w:val="00AF71AF"/>
    <w:rsid w:val="00AF749C"/>
    <w:rsid w:val="00AF7847"/>
    <w:rsid w:val="00AF7860"/>
    <w:rsid w:val="00AF78D4"/>
    <w:rsid w:val="00AF7AED"/>
    <w:rsid w:val="00AF7E66"/>
    <w:rsid w:val="00B000C4"/>
    <w:rsid w:val="00B0013E"/>
    <w:rsid w:val="00B00275"/>
    <w:rsid w:val="00B0035C"/>
    <w:rsid w:val="00B00477"/>
    <w:rsid w:val="00B00590"/>
    <w:rsid w:val="00B009E7"/>
    <w:rsid w:val="00B00AE4"/>
    <w:rsid w:val="00B0114C"/>
    <w:rsid w:val="00B0150B"/>
    <w:rsid w:val="00B01814"/>
    <w:rsid w:val="00B01C3D"/>
    <w:rsid w:val="00B01CAE"/>
    <w:rsid w:val="00B01FA5"/>
    <w:rsid w:val="00B0212F"/>
    <w:rsid w:val="00B0217B"/>
    <w:rsid w:val="00B02473"/>
    <w:rsid w:val="00B0259B"/>
    <w:rsid w:val="00B02603"/>
    <w:rsid w:val="00B0264C"/>
    <w:rsid w:val="00B0299A"/>
    <w:rsid w:val="00B02B4E"/>
    <w:rsid w:val="00B02B97"/>
    <w:rsid w:val="00B02EA6"/>
    <w:rsid w:val="00B02EE8"/>
    <w:rsid w:val="00B03002"/>
    <w:rsid w:val="00B03391"/>
    <w:rsid w:val="00B03401"/>
    <w:rsid w:val="00B035BF"/>
    <w:rsid w:val="00B036D7"/>
    <w:rsid w:val="00B037DC"/>
    <w:rsid w:val="00B03855"/>
    <w:rsid w:val="00B0396B"/>
    <w:rsid w:val="00B03B0C"/>
    <w:rsid w:val="00B040BA"/>
    <w:rsid w:val="00B041C8"/>
    <w:rsid w:val="00B0440C"/>
    <w:rsid w:val="00B044E1"/>
    <w:rsid w:val="00B04706"/>
    <w:rsid w:val="00B04A44"/>
    <w:rsid w:val="00B04BA3"/>
    <w:rsid w:val="00B04BA7"/>
    <w:rsid w:val="00B04CBA"/>
    <w:rsid w:val="00B04CBD"/>
    <w:rsid w:val="00B04CF0"/>
    <w:rsid w:val="00B04D0E"/>
    <w:rsid w:val="00B04F29"/>
    <w:rsid w:val="00B051A6"/>
    <w:rsid w:val="00B051C0"/>
    <w:rsid w:val="00B0573F"/>
    <w:rsid w:val="00B057E7"/>
    <w:rsid w:val="00B05A49"/>
    <w:rsid w:val="00B05AE8"/>
    <w:rsid w:val="00B05BE7"/>
    <w:rsid w:val="00B05E76"/>
    <w:rsid w:val="00B05EF0"/>
    <w:rsid w:val="00B05FFB"/>
    <w:rsid w:val="00B060A1"/>
    <w:rsid w:val="00B061E5"/>
    <w:rsid w:val="00B06254"/>
    <w:rsid w:val="00B0687E"/>
    <w:rsid w:val="00B06B9A"/>
    <w:rsid w:val="00B06BA8"/>
    <w:rsid w:val="00B06C7A"/>
    <w:rsid w:val="00B06D8C"/>
    <w:rsid w:val="00B06EC3"/>
    <w:rsid w:val="00B06FAF"/>
    <w:rsid w:val="00B07196"/>
    <w:rsid w:val="00B0761F"/>
    <w:rsid w:val="00B07693"/>
    <w:rsid w:val="00B07795"/>
    <w:rsid w:val="00B07837"/>
    <w:rsid w:val="00B07B8D"/>
    <w:rsid w:val="00B07F2F"/>
    <w:rsid w:val="00B1085E"/>
    <w:rsid w:val="00B1089C"/>
    <w:rsid w:val="00B1093C"/>
    <w:rsid w:val="00B10E16"/>
    <w:rsid w:val="00B10FE1"/>
    <w:rsid w:val="00B11013"/>
    <w:rsid w:val="00B11282"/>
    <w:rsid w:val="00B112C4"/>
    <w:rsid w:val="00B11338"/>
    <w:rsid w:val="00B1155E"/>
    <w:rsid w:val="00B11680"/>
    <w:rsid w:val="00B117CF"/>
    <w:rsid w:val="00B11977"/>
    <w:rsid w:val="00B11B3F"/>
    <w:rsid w:val="00B11C45"/>
    <w:rsid w:val="00B120EF"/>
    <w:rsid w:val="00B12310"/>
    <w:rsid w:val="00B12639"/>
    <w:rsid w:val="00B1268C"/>
    <w:rsid w:val="00B127C0"/>
    <w:rsid w:val="00B12852"/>
    <w:rsid w:val="00B12966"/>
    <w:rsid w:val="00B12A6A"/>
    <w:rsid w:val="00B12C8B"/>
    <w:rsid w:val="00B12CB2"/>
    <w:rsid w:val="00B12D3D"/>
    <w:rsid w:val="00B12E05"/>
    <w:rsid w:val="00B12ED2"/>
    <w:rsid w:val="00B13419"/>
    <w:rsid w:val="00B1355E"/>
    <w:rsid w:val="00B13634"/>
    <w:rsid w:val="00B1365F"/>
    <w:rsid w:val="00B138A1"/>
    <w:rsid w:val="00B13AC9"/>
    <w:rsid w:val="00B13D77"/>
    <w:rsid w:val="00B13F82"/>
    <w:rsid w:val="00B14633"/>
    <w:rsid w:val="00B14650"/>
    <w:rsid w:val="00B14724"/>
    <w:rsid w:val="00B14DD5"/>
    <w:rsid w:val="00B14E37"/>
    <w:rsid w:val="00B1524E"/>
    <w:rsid w:val="00B152AF"/>
    <w:rsid w:val="00B152E9"/>
    <w:rsid w:val="00B152FB"/>
    <w:rsid w:val="00B1556C"/>
    <w:rsid w:val="00B156C3"/>
    <w:rsid w:val="00B158BE"/>
    <w:rsid w:val="00B15BDF"/>
    <w:rsid w:val="00B15DF7"/>
    <w:rsid w:val="00B1624D"/>
    <w:rsid w:val="00B1642F"/>
    <w:rsid w:val="00B16473"/>
    <w:rsid w:val="00B1672B"/>
    <w:rsid w:val="00B1680E"/>
    <w:rsid w:val="00B16956"/>
    <w:rsid w:val="00B169BF"/>
    <w:rsid w:val="00B16B47"/>
    <w:rsid w:val="00B16B57"/>
    <w:rsid w:val="00B16BE1"/>
    <w:rsid w:val="00B16C32"/>
    <w:rsid w:val="00B16CE8"/>
    <w:rsid w:val="00B16E8D"/>
    <w:rsid w:val="00B16FB7"/>
    <w:rsid w:val="00B17076"/>
    <w:rsid w:val="00B170F5"/>
    <w:rsid w:val="00B17304"/>
    <w:rsid w:val="00B17776"/>
    <w:rsid w:val="00B17798"/>
    <w:rsid w:val="00B178D1"/>
    <w:rsid w:val="00B17EC3"/>
    <w:rsid w:val="00B17FD9"/>
    <w:rsid w:val="00B200B9"/>
    <w:rsid w:val="00B2015C"/>
    <w:rsid w:val="00B202DD"/>
    <w:rsid w:val="00B20363"/>
    <w:rsid w:val="00B20465"/>
    <w:rsid w:val="00B20496"/>
    <w:rsid w:val="00B20671"/>
    <w:rsid w:val="00B20772"/>
    <w:rsid w:val="00B20784"/>
    <w:rsid w:val="00B2078C"/>
    <w:rsid w:val="00B208EF"/>
    <w:rsid w:val="00B20B08"/>
    <w:rsid w:val="00B20EDE"/>
    <w:rsid w:val="00B2124C"/>
    <w:rsid w:val="00B212E3"/>
    <w:rsid w:val="00B213DC"/>
    <w:rsid w:val="00B213EE"/>
    <w:rsid w:val="00B21458"/>
    <w:rsid w:val="00B21A99"/>
    <w:rsid w:val="00B21CE8"/>
    <w:rsid w:val="00B21E6C"/>
    <w:rsid w:val="00B2226A"/>
    <w:rsid w:val="00B22276"/>
    <w:rsid w:val="00B22372"/>
    <w:rsid w:val="00B223A4"/>
    <w:rsid w:val="00B224F5"/>
    <w:rsid w:val="00B226CD"/>
    <w:rsid w:val="00B2293E"/>
    <w:rsid w:val="00B22C3E"/>
    <w:rsid w:val="00B22C52"/>
    <w:rsid w:val="00B22C75"/>
    <w:rsid w:val="00B22CAF"/>
    <w:rsid w:val="00B22CD4"/>
    <w:rsid w:val="00B22EB3"/>
    <w:rsid w:val="00B232A5"/>
    <w:rsid w:val="00B233A2"/>
    <w:rsid w:val="00B23528"/>
    <w:rsid w:val="00B23A67"/>
    <w:rsid w:val="00B23C3E"/>
    <w:rsid w:val="00B23DBE"/>
    <w:rsid w:val="00B23DE7"/>
    <w:rsid w:val="00B23E07"/>
    <w:rsid w:val="00B23EAD"/>
    <w:rsid w:val="00B2411C"/>
    <w:rsid w:val="00B24454"/>
    <w:rsid w:val="00B24594"/>
    <w:rsid w:val="00B24783"/>
    <w:rsid w:val="00B24BA4"/>
    <w:rsid w:val="00B24D5C"/>
    <w:rsid w:val="00B24E52"/>
    <w:rsid w:val="00B24F7D"/>
    <w:rsid w:val="00B24FCF"/>
    <w:rsid w:val="00B250F1"/>
    <w:rsid w:val="00B2534A"/>
    <w:rsid w:val="00B25528"/>
    <w:rsid w:val="00B25625"/>
    <w:rsid w:val="00B256F4"/>
    <w:rsid w:val="00B25AE9"/>
    <w:rsid w:val="00B25BE0"/>
    <w:rsid w:val="00B25DA7"/>
    <w:rsid w:val="00B25DB7"/>
    <w:rsid w:val="00B25E2A"/>
    <w:rsid w:val="00B25ED5"/>
    <w:rsid w:val="00B25F0C"/>
    <w:rsid w:val="00B25F37"/>
    <w:rsid w:val="00B261C0"/>
    <w:rsid w:val="00B262D0"/>
    <w:rsid w:val="00B262F0"/>
    <w:rsid w:val="00B2645E"/>
    <w:rsid w:val="00B2675E"/>
    <w:rsid w:val="00B269CE"/>
    <w:rsid w:val="00B26C0C"/>
    <w:rsid w:val="00B27202"/>
    <w:rsid w:val="00B27555"/>
    <w:rsid w:val="00B27880"/>
    <w:rsid w:val="00B278D5"/>
    <w:rsid w:val="00B27A98"/>
    <w:rsid w:val="00B27C62"/>
    <w:rsid w:val="00B301E3"/>
    <w:rsid w:val="00B3064C"/>
    <w:rsid w:val="00B306F3"/>
    <w:rsid w:val="00B3077E"/>
    <w:rsid w:val="00B30887"/>
    <w:rsid w:val="00B30BC8"/>
    <w:rsid w:val="00B30F69"/>
    <w:rsid w:val="00B31016"/>
    <w:rsid w:val="00B31403"/>
    <w:rsid w:val="00B314A7"/>
    <w:rsid w:val="00B31852"/>
    <w:rsid w:val="00B318BA"/>
    <w:rsid w:val="00B319CE"/>
    <w:rsid w:val="00B31A6E"/>
    <w:rsid w:val="00B31C49"/>
    <w:rsid w:val="00B31E98"/>
    <w:rsid w:val="00B320E1"/>
    <w:rsid w:val="00B32117"/>
    <w:rsid w:val="00B322D4"/>
    <w:rsid w:val="00B32433"/>
    <w:rsid w:val="00B32730"/>
    <w:rsid w:val="00B32F86"/>
    <w:rsid w:val="00B33046"/>
    <w:rsid w:val="00B33147"/>
    <w:rsid w:val="00B33574"/>
    <w:rsid w:val="00B33B95"/>
    <w:rsid w:val="00B33C8F"/>
    <w:rsid w:val="00B33C9F"/>
    <w:rsid w:val="00B33D4A"/>
    <w:rsid w:val="00B33DB7"/>
    <w:rsid w:val="00B341C2"/>
    <w:rsid w:val="00B346F6"/>
    <w:rsid w:val="00B34719"/>
    <w:rsid w:val="00B34BE3"/>
    <w:rsid w:val="00B34D07"/>
    <w:rsid w:val="00B34D29"/>
    <w:rsid w:val="00B34E95"/>
    <w:rsid w:val="00B35048"/>
    <w:rsid w:val="00B35136"/>
    <w:rsid w:val="00B35206"/>
    <w:rsid w:val="00B352E3"/>
    <w:rsid w:val="00B35323"/>
    <w:rsid w:val="00B3588E"/>
    <w:rsid w:val="00B35BA0"/>
    <w:rsid w:val="00B36282"/>
    <w:rsid w:val="00B3653A"/>
    <w:rsid w:val="00B36873"/>
    <w:rsid w:val="00B36CB7"/>
    <w:rsid w:val="00B36E20"/>
    <w:rsid w:val="00B36E33"/>
    <w:rsid w:val="00B370B1"/>
    <w:rsid w:val="00B37346"/>
    <w:rsid w:val="00B373AE"/>
    <w:rsid w:val="00B37484"/>
    <w:rsid w:val="00B37511"/>
    <w:rsid w:val="00B375C1"/>
    <w:rsid w:val="00B375FE"/>
    <w:rsid w:val="00B37672"/>
    <w:rsid w:val="00B3798D"/>
    <w:rsid w:val="00B37A66"/>
    <w:rsid w:val="00B37A82"/>
    <w:rsid w:val="00B37D64"/>
    <w:rsid w:val="00B37D6E"/>
    <w:rsid w:val="00B37DB8"/>
    <w:rsid w:val="00B37DD7"/>
    <w:rsid w:val="00B37F66"/>
    <w:rsid w:val="00B40010"/>
    <w:rsid w:val="00B400D3"/>
    <w:rsid w:val="00B4012D"/>
    <w:rsid w:val="00B40153"/>
    <w:rsid w:val="00B401C4"/>
    <w:rsid w:val="00B4028F"/>
    <w:rsid w:val="00B40389"/>
    <w:rsid w:val="00B40518"/>
    <w:rsid w:val="00B408AC"/>
    <w:rsid w:val="00B40932"/>
    <w:rsid w:val="00B40956"/>
    <w:rsid w:val="00B40BE1"/>
    <w:rsid w:val="00B40FC6"/>
    <w:rsid w:val="00B410AA"/>
    <w:rsid w:val="00B4127F"/>
    <w:rsid w:val="00B412EA"/>
    <w:rsid w:val="00B41339"/>
    <w:rsid w:val="00B41492"/>
    <w:rsid w:val="00B4149B"/>
    <w:rsid w:val="00B414AB"/>
    <w:rsid w:val="00B414DC"/>
    <w:rsid w:val="00B4163E"/>
    <w:rsid w:val="00B419F0"/>
    <w:rsid w:val="00B41DB7"/>
    <w:rsid w:val="00B41EEF"/>
    <w:rsid w:val="00B41FB3"/>
    <w:rsid w:val="00B42534"/>
    <w:rsid w:val="00B425AB"/>
    <w:rsid w:val="00B428C6"/>
    <w:rsid w:val="00B429D8"/>
    <w:rsid w:val="00B42B90"/>
    <w:rsid w:val="00B42C29"/>
    <w:rsid w:val="00B42C74"/>
    <w:rsid w:val="00B42C97"/>
    <w:rsid w:val="00B42CCB"/>
    <w:rsid w:val="00B42D3F"/>
    <w:rsid w:val="00B42DC7"/>
    <w:rsid w:val="00B42ED5"/>
    <w:rsid w:val="00B42F4E"/>
    <w:rsid w:val="00B42FA1"/>
    <w:rsid w:val="00B430CE"/>
    <w:rsid w:val="00B430ED"/>
    <w:rsid w:val="00B43137"/>
    <w:rsid w:val="00B43188"/>
    <w:rsid w:val="00B43241"/>
    <w:rsid w:val="00B43276"/>
    <w:rsid w:val="00B43352"/>
    <w:rsid w:val="00B43469"/>
    <w:rsid w:val="00B435BB"/>
    <w:rsid w:val="00B435EF"/>
    <w:rsid w:val="00B43647"/>
    <w:rsid w:val="00B436B8"/>
    <w:rsid w:val="00B438FD"/>
    <w:rsid w:val="00B43A9C"/>
    <w:rsid w:val="00B43C06"/>
    <w:rsid w:val="00B43E43"/>
    <w:rsid w:val="00B43E6E"/>
    <w:rsid w:val="00B43EF6"/>
    <w:rsid w:val="00B43F49"/>
    <w:rsid w:val="00B43FE9"/>
    <w:rsid w:val="00B4411E"/>
    <w:rsid w:val="00B4451C"/>
    <w:rsid w:val="00B4467C"/>
    <w:rsid w:val="00B44845"/>
    <w:rsid w:val="00B4494D"/>
    <w:rsid w:val="00B44962"/>
    <w:rsid w:val="00B44C4F"/>
    <w:rsid w:val="00B44D4B"/>
    <w:rsid w:val="00B44EC5"/>
    <w:rsid w:val="00B4520F"/>
    <w:rsid w:val="00B453C6"/>
    <w:rsid w:val="00B45566"/>
    <w:rsid w:val="00B45660"/>
    <w:rsid w:val="00B4568D"/>
    <w:rsid w:val="00B456B9"/>
    <w:rsid w:val="00B458A0"/>
    <w:rsid w:val="00B458D4"/>
    <w:rsid w:val="00B45AFA"/>
    <w:rsid w:val="00B45D07"/>
    <w:rsid w:val="00B45E0D"/>
    <w:rsid w:val="00B46102"/>
    <w:rsid w:val="00B46699"/>
    <w:rsid w:val="00B46700"/>
    <w:rsid w:val="00B46724"/>
    <w:rsid w:val="00B4677E"/>
    <w:rsid w:val="00B4695D"/>
    <w:rsid w:val="00B469EE"/>
    <w:rsid w:val="00B46B64"/>
    <w:rsid w:val="00B46D51"/>
    <w:rsid w:val="00B46E0B"/>
    <w:rsid w:val="00B46EBD"/>
    <w:rsid w:val="00B46F46"/>
    <w:rsid w:val="00B470DD"/>
    <w:rsid w:val="00B471A5"/>
    <w:rsid w:val="00B4736C"/>
    <w:rsid w:val="00B47373"/>
    <w:rsid w:val="00B475B9"/>
    <w:rsid w:val="00B479E6"/>
    <w:rsid w:val="00B47A0A"/>
    <w:rsid w:val="00B47AA6"/>
    <w:rsid w:val="00B47D93"/>
    <w:rsid w:val="00B47DB1"/>
    <w:rsid w:val="00B47E64"/>
    <w:rsid w:val="00B47F3C"/>
    <w:rsid w:val="00B47F6B"/>
    <w:rsid w:val="00B502F1"/>
    <w:rsid w:val="00B503BE"/>
    <w:rsid w:val="00B5047A"/>
    <w:rsid w:val="00B50496"/>
    <w:rsid w:val="00B50550"/>
    <w:rsid w:val="00B5098A"/>
    <w:rsid w:val="00B50E88"/>
    <w:rsid w:val="00B511E9"/>
    <w:rsid w:val="00B5123B"/>
    <w:rsid w:val="00B51253"/>
    <w:rsid w:val="00B513F9"/>
    <w:rsid w:val="00B5156E"/>
    <w:rsid w:val="00B51614"/>
    <w:rsid w:val="00B51779"/>
    <w:rsid w:val="00B51920"/>
    <w:rsid w:val="00B51AA8"/>
    <w:rsid w:val="00B51C6E"/>
    <w:rsid w:val="00B51D4C"/>
    <w:rsid w:val="00B51D98"/>
    <w:rsid w:val="00B51DDB"/>
    <w:rsid w:val="00B5227C"/>
    <w:rsid w:val="00B52350"/>
    <w:rsid w:val="00B524FD"/>
    <w:rsid w:val="00B526C8"/>
    <w:rsid w:val="00B52D28"/>
    <w:rsid w:val="00B52D94"/>
    <w:rsid w:val="00B5300D"/>
    <w:rsid w:val="00B5302F"/>
    <w:rsid w:val="00B530F2"/>
    <w:rsid w:val="00B5323F"/>
    <w:rsid w:val="00B5348A"/>
    <w:rsid w:val="00B53585"/>
    <w:rsid w:val="00B53614"/>
    <w:rsid w:val="00B53620"/>
    <w:rsid w:val="00B53666"/>
    <w:rsid w:val="00B53674"/>
    <w:rsid w:val="00B536E0"/>
    <w:rsid w:val="00B53876"/>
    <w:rsid w:val="00B5388F"/>
    <w:rsid w:val="00B53A8E"/>
    <w:rsid w:val="00B53AA0"/>
    <w:rsid w:val="00B53D9B"/>
    <w:rsid w:val="00B53DBB"/>
    <w:rsid w:val="00B53EDD"/>
    <w:rsid w:val="00B54387"/>
    <w:rsid w:val="00B5449C"/>
    <w:rsid w:val="00B544D9"/>
    <w:rsid w:val="00B54509"/>
    <w:rsid w:val="00B5467D"/>
    <w:rsid w:val="00B54B1A"/>
    <w:rsid w:val="00B54B75"/>
    <w:rsid w:val="00B54CE4"/>
    <w:rsid w:val="00B54F3F"/>
    <w:rsid w:val="00B54F61"/>
    <w:rsid w:val="00B5532A"/>
    <w:rsid w:val="00B55428"/>
    <w:rsid w:val="00B55656"/>
    <w:rsid w:val="00B55856"/>
    <w:rsid w:val="00B558A0"/>
    <w:rsid w:val="00B558B7"/>
    <w:rsid w:val="00B55C84"/>
    <w:rsid w:val="00B55D1F"/>
    <w:rsid w:val="00B55D52"/>
    <w:rsid w:val="00B56092"/>
    <w:rsid w:val="00B5610B"/>
    <w:rsid w:val="00B561F6"/>
    <w:rsid w:val="00B56526"/>
    <w:rsid w:val="00B56770"/>
    <w:rsid w:val="00B56A37"/>
    <w:rsid w:val="00B56CC4"/>
    <w:rsid w:val="00B56E25"/>
    <w:rsid w:val="00B56F7F"/>
    <w:rsid w:val="00B5703A"/>
    <w:rsid w:val="00B570F2"/>
    <w:rsid w:val="00B57164"/>
    <w:rsid w:val="00B57445"/>
    <w:rsid w:val="00B574F1"/>
    <w:rsid w:val="00B57583"/>
    <w:rsid w:val="00B57834"/>
    <w:rsid w:val="00B57861"/>
    <w:rsid w:val="00B57920"/>
    <w:rsid w:val="00B57ABF"/>
    <w:rsid w:val="00B57AFC"/>
    <w:rsid w:val="00B57C01"/>
    <w:rsid w:val="00B57CFA"/>
    <w:rsid w:val="00B57D1B"/>
    <w:rsid w:val="00B57F3E"/>
    <w:rsid w:val="00B57FA0"/>
    <w:rsid w:val="00B6021D"/>
    <w:rsid w:val="00B6028D"/>
    <w:rsid w:val="00B60490"/>
    <w:rsid w:val="00B6072A"/>
    <w:rsid w:val="00B607F6"/>
    <w:rsid w:val="00B60824"/>
    <w:rsid w:val="00B60926"/>
    <w:rsid w:val="00B60BB3"/>
    <w:rsid w:val="00B60D1A"/>
    <w:rsid w:val="00B60E0C"/>
    <w:rsid w:val="00B60F44"/>
    <w:rsid w:val="00B6108C"/>
    <w:rsid w:val="00B610E3"/>
    <w:rsid w:val="00B61733"/>
    <w:rsid w:val="00B61791"/>
    <w:rsid w:val="00B619DB"/>
    <w:rsid w:val="00B61B1A"/>
    <w:rsid w:val="00B61D74"/>
    <w:rsid w:val="00B61ED2"/>
    <w:rsid w:val="00B61F2B"/>
    <w:rsid w:val="00B6201F"/>
    <w:rsid w:val="00B621B1"/>
    <w:rsid w:val="00B622DA"/>
    <w:rsid w:val="00B62644"/>
    <w:rsid w:val="00B6272A"/>
    <w:rsid w:val="00B62891"/>
    <w:rsid w:val="00B62953"/>
    <w:rsid w:val="00B62AC6"/>
    <w:rsid w:val="00B62D39"/>
    <w:rsid w:val="00B62D9C"/>
    <w:rsid w:val="00B62DC9"/>
    <w:rsid w:val="00B62ED2"/>
    <w:rsid w:val="00B62F1F"/>
    <w:rsid w:val="00B630DB"/>
    <w:rsid w:val="00B634FD"/>
    <w:rsid w:val="00B635E8"/>
    <w:rsid w:val="00B636EE"/>
    <w:rsid w:val="00B63A93"/>
    <w:rsid w:val="00B63D60"/>
    <w:rsid w:val="00B63FC7"/>
    <w:rsid w:val="00B64154"/>
    <w:rsid w:val="00B643E0"/>
    <w:rsid w:val="00B643FF"/>
    <w:rsid w:val="00B6453C"/>
    <w:rsid w:val="00B64666"/>
    <w:rsid w:val="00B64709"/>
    <w:rsid w:val="00B6472A"/>
    <w:rsid w:val="00B64743"/>
    <w:rsid w:val="00B648B5"/>
    <w:rsid w:val="00B6492E"/>
    <w:rsid w:val="00B64A19"/>
    <w:rsid w:val="00B64A1C"/>
    <w:rsid w:val="00B64A54"/>
    <w:rsid w:val="00B64A9A"/>
    <w:rsid w:val="00B6520E"/>
    <w:rsid w:val="00B65495"/>
    <w:rsid w:val="00B6562F"/>
    <w:rsid w:val="00B65755"/>
    <w:rsid w:val="00B65AB1"/>
    <w:rsid w:val="00B6618D"/>
    <w:rsid w:val="00B66371"/>
    <w:rsid w:val="00B663BF"/>
    <w:rsid w:val="00B6675D"/>
    <w:rsid w:val="00B667AD"/>
    <w:rsid w:val="00B667D8"/>
    <w:rsid w:val="00B667E3"/>
    <w:rsid w:val="00B66AA4"/>
    <w:rsid w:val="00B66ABC"/>
    <w:rsid w:val="00B66B08"/>
    <w:rsid w:val="00B66B2F"/>
    <w:rsid w:val="00B66D42"/>
    <w:rsid w:val="00B6716C"/>
    <w:rsid w:val="00B67264"/>
    <w:rsid w:val="00B67398"/>
    <w:rsid w:val="00B678B8"/>
    <w:rsid w:val="00B679A4"/>
    <w:rsid w:val="00B67BE8"/>
    <w:rsid w:val="00B67E29"/>
    <w:rsid w:val="00B67E36"/>
    <w:rsid w:val="00B70088"/>
    <w:rsid w:val="00B70133"/>
    <w:rsid w:val="00B7018D"/>
    <w:rsid w:val="00B70217"/>
    <w:rsid w:val="00B702B2"/>
    <w:rsid w:val="00B70328"/>
    <w:rsid w:val="00B7067E"/>
    <w:rsid w:val="00B706C9"/>
    <w:rsid w:val="00B7080B"/>
    <w:rsid w:val="00B70957"/>
    <w:rsid w:val="00B70B5C"/>
    <w:rsid w:val="00B70B7F"/>
    <w:rsid w:val="00B70BDF"/>
    <w:rsid w:val="00B70DAD"/>
    <w:rsid w:val="00B70EDE"/>
    <w:rsid w:val="00B70F7F"/>
    <w:rsid w:val="00B70FF4"/>
    <w:rsid w:val="00B71320"/>
    <w:rsid w:val="00B71401"/>
    <w:rsid w:val="00B717AF"/>
    <w:rsid w:val="00B71903"/>
    <w:rsid w:val="00B71EFE"/>
    <w:rsid w:val="00B721E2"/>
    <w:rsid w:val="00B72243"/>
    <w:rsid w:val="00B72340"/>
    <w:rsid w:val="00B7249F"/>
    <w:rsid w:val="00B72517"/>
    <w:rsid w:val="00B725A8"/>
    <w:rsid w:val="00B72708"/>
    <w:rsid w:val="00B727A0"/>
    <w:rsid w:val="00B72DCD"/>
    <w:rsid w:val="00B72ECB"/>
    <w:rsid w:val="00B7302A"/>
    <w:rsid w:val="00B730C3"/>
    <w:rsid w:val="00B732B2"/>
    <w:rsid w:val="00B73485"/>
    <w:rsid w:val="00B73579"/>
    <w:rsid w:val="00B735A4"/>
    <w:rsid w:val="00B73756"/>
    <w:rsid w:val="00B73922"/>
    <w:rsid w:val="00B739F8"/>
    <w:rsid w:val="00B73A01"/>
    <w:rsid w:val="00B73D32"/>
    <w:rsid w:val="00B73F12"/>
    <w:rsid w:val="00B73FCE"/>
    <w:rsid w:val="00B73FFC"/>
    <w:rsid w:val="00B742E3"/>
    <w:rsid w:val="00B744AC"/>
    <w:rsid w:val="00B745CA"/>
    <w:rsid w:val="00B7466E"/>
    <w:rsid w:val="00B74EE7"/>
    <w:rsid w:val="00B750AE"/>
    <w:rsid w:val="00B7515B"/>
    <w:rsid w:val="00B752A8"/>
    <w:rsid w:val="00B755E5"/>
    <w:rsid w:val="00B756C2"/>
    <w:rsid w:val="00B75873"/>
    <w:rsid w:val="00B75AB7"/>
    <w:rsid w:val="00B75AFD"/>
    <w:rsid w:val="00B75BED"/>
    <w:rsid w:val="00B75CE6"/>
    <w:rsid w:val="00B76231"/>
    <w:rsid w:val="00B76290"/>
    <w:rsid w:val="00B76405"/>
    <w:rsid w:val="00B76586"/>
    <w:rsid w:val="00B767CD"/>
    <w:rsid w:val="00B76969"/>
    <w:rsid w:val="00B76B8E"/>
    <w:rsid w:val="00B76D38"/>
    <w:rsid w:val="00B76D59"/>
    <w:rsid w:val="00B76DE5"/>
    <w:rsid w:val="00B76E28"/>
    <w:rsid w:val="00B770F0"/>
    <w:rsid w:val="00B7719B"/>
    <w:rsid w:val="00B771D1"/>
    <w:rsid w:val="00B7724F"/>
    <w:rsid w:val="00B77338"/>
    <w:rsid w:val="00B7764E"/>
    <w:rsid w:val="00B77662"/>
    <w:rsid w:val="00B77671"/>
    <w:rsid w:val="00B777AB"/>
    <w:rsid w:val="00B77A8B"/>
    <w:rsid w:val="00B77AE3"/>
    <w:rsid w:val="00B77BDB"/>
    <w:rsid w:val="00B77E7C"/>
    <w:rsid w:val="00B80737"/>
    <w:rsid w:val="00B80A62"/>
    <w:rsid w:val="00B80EC2"/>
    <w:rsid w:val="00B80FB5"/>
    <w:rsid w:val="00B81312"/>
    <w:rsid w:val="00B81580"/>
    <w:rsid w:val="00B815AF"/>
    <w:rsid w:val="00B815E9"/>
    <w:rsid w:val="00B8173F"/>
    <w:rsid w:val="00B8177E"/>
    <w:rsid w:val="00B81835"/>
    <w:rsid w:val="00B818A9"/>
    <w:rsid w:val="00B8193C"/>
    <w:rsid w:val="00B81A16"/>
    <w:rsid w:val="00B81B61"/>
    <w:rsid w:val="00B81CDC"/>
    <w:rsid w:val="00B81D39"/>
    <w:rsid w:val="00B81F0A"/>
    <w:rsid w:val="00B821E1"/>
    <w:rsid w:val="00B822A3"/>
    <w:rsid w:val="00B826BD"/>
    <w:rsid w:val="00B827BE"/>
    <w:rsid w:val="00B827C1"/>
    <w:rsid w:val="00B82A38"/>
    <w:rsid w:val="00B82A68"/>
    <w:rsid w:val="00B82D3D"/>
    <w:rsid w:val="00B82D55"/>
    <w:rsid w:val="00B82D8E"/>
    <w:rsid w:val="00B82FF7"/>
    <w:rsid w:val="00B83075"/>
    <w:rsid w:val="00B8346B"/>
    <w:rsid w:val="00B83DFA"/>
    <w:rsid w:val="00B840C2"/>
    <w:rsid w:val="00B84148"/>
    <w:rsid w:val="00B841C8"/>
    <w:rsid w:val="00B842AB"/>
    <w:rsid w:val="00B84331"/>
    <w:rsid w:val="00B84465"/>
    <w:rsid w:val="00B8456F"/>
    <w:rsid w:val="00B8457C"/>
    <w:rsid w:val="00B84644"/>
    <w:rsid w:val="00B84843"/>
    <w:rsid w:val="00B84923"/>
    <w:rsid w:val="00B84A6A"/>
    <w:rsid w:val="00B84AEA"/>
    <w:rsid w:val="00B84AFB"/>
    <w:rsid w:val="00B84D4B"/>
    <w:rsid w:val="00B84E4C"/>
    <w:rsid w:val="00B84EF0"/>
    <w:rsid w:val="00B85081"/>
    <w:rsid w:val="00B850F0"/>
    <w:rsid w:val="00B851A5"/>
    <w:rsid w:val="00B854E4"/>
    <w:rsid w:val="00B85503"/>
    <w:rsid w:val="00B85681"/>
    <w:rsid w:val="00B85815"/>
    <w:rsid w:val="00B8587E"/>
    <w:rsid w:val="00B85A76"/>
    <w:rsid w:val="00B85B45"/>
    <w:rsid w:val="00B85CBC"/>
    <w:rsid w:val="00B85CC3"/>
    <w:rsid w:val="00B8639F"/>
    <w:rsid w:val="00B869CA"/>
    <w:rsid w:val="00B86D56"/>
    <w:rsid w:val="00B86D79"/>
    <w:rsid w:val="00B86DFE"/>
    <w:rsid w:val="00B86EF5"/>
    <w:rsid w:val="00B86F6A"/>
    <w:rsid w:val="00B87035"/>
    <w:rsid w:val="00B87097"/>
    <w:rsid w:val="00B8714A"/>
    <w:rsid w:val="00B8716E"/>
    <w:rsid w:val="00B874DB"/>
    <w:rsid w:val="00B87582"/>
    <w:rsid w:val="00B875A9"/>
    <w:rsid w:val="00B87E61"/>
    <w:rsid w:val="00B9010B"/>
    <w:rsid w:val="00B9024E"/>
    <w:rsid w:val="00B9026F"/>
    <w:rsid w:val="00B9051B"/>
    <w:rsid w:val="00B90585"/>
    <w:rsid w:val="00B906CA"/>
    <w:rsid w:val="00B907C1"/>
    <w:rsid w:val="00B9083C"/>
    <w:rsid w:val="00B90876"/>
    <w:rsid w:val="00B90A25"/>
    <w:rsid w:val="00B90A78"/>
    <w:rsid w:val="00B90E13"/>
    <w:rsid w:val="00B90E83"/>
    <w:rsid w:val="00B90F05"/>
    <w:rsid w:val="00B90F81"/>
    <w:rsid w:val="00B910F8"/>
    <w:rsid w:val="00B9130A"/>
    <w:rsid w:val="00B913BF"/>
    <w:rsid w:val="00B91723"/>
    <w:rsid w:val="00B91753"/>
    <w:rsid w:val="00B917E5"/>
    <w:rsid w:val="00B9181C"/>
    <w:rsid w:val="00B9190E"/>
    <w:rsid w:val="00B91A68"/>
    <w:rsid w:val="00B91AED"/>
    <w:rsid w:val="00B91BA6"/>
    <w:rsid w:val="00B91C35"/>
    <w:rsid w:val="00B91D64"/>
    <w:rsid w:val="00B91D73"/>
    <w:rsid w:val="00B91E73"/>
    <w:rsid w:val="00B91F54"/>
    <w:rsid w:val="00B92199"/>
    <w:rsid w:val="00B922A7"/>
    <w:rsid w:val="00B922B8"/>
    <w:rsid w:val="00B9235B"/>
    <w:rsid w:val="00B9245B"/>
    <w:rsid w:val="00B924AE"/>
    <w:rsid w:val="00B92520"/>
    <w:rsid w:val="00B9254F"/>
    <w:rsid w:val="00B92724"/>
    <w:rsid w:val="00B92841"/>
    <w:rsid w:val="00B92943"/>
    <w:rsid w:val="00B929D9"/>
    <w:rsid w:val="00B929F2"/>
    <w:rsid w:val="00B92B6D"/>
    <w:rsid w:val="00B92C8B"/>
    <w:rsid w:val="00B92EA4"/>
    <w:rsid w:val="00B92F8E"/>
    <w:rsid w:val="00B931B7"/>
    <w:rsid w:val="00B93228"/>
    <w:rsid w:val="00B935D2"/>
    <w:rsid w:val="00B93891"/>
    <w:rsid w:val="00B9399E"/>
    <w:rsid w:val="00B93BFD"/>
    <w:rsid w:val="00B93F6A"/>
    <w:rsid w:val="00B93FB2"/>
    <w:rsid w:val="00B94118"/>
    <w:rsid w:val="00B94221"/>
    <w:rsid w:val="00B94283"/>
    <w:rsid w:val="00B942FE"/>
    <w:rsid w:val="00B94908"/>
    <w:rsid w:val="00B9494A"/>
    <w:rsid w:val="00B94A00"/>
    <w:rsid w:val="00B94A37"/>
    <w:rsid w:val="00B94AF5"/>
    <w:rsid w:val="00B94CED"/>
    <w:rsid w:val="00B94D3B"/>
    <w:rsid w:val="00B94DD4"/>
    <w:rsid w:val="00B94E01"/>
    <w:rsid w:val="00B95025"/>
    <w:rsid w:val="00B95034"/>
    <w:rsid w:val="00B954F6"/>
    <w:rsid w:val="00B95884"/>
    <w:rsid w:val="00B95903"/>
    <w:rsid w:val="00B95A55"/>
    <w:rsid w:val="00B95B6A"/>
    <w:rsid w:val="00B95C9D"/>
    <w:rsid w:val="00B95D48"/>
    <w:rsid w:val="00B95DF0"/>
    <w:rsid w:val="00B95E50"/>
    <w:rsid w:val="00B95F6E"/>
    <w:rsid w:val="00B96258"/>
    <w:rsid w:val="00B9630D"/>
    <w:rsid w:val="00B96422"/>
    <w:rsid w:val="00B964AE"/>
    <w:rsid w:val="00B966D3"/>
    <w:rsid w:val="00B96A23"/>
    <w:rsid w:val="00B96BE7"/>
    <w:rsid w:val="00B96D28"/>
    <w:rsid w:val="00B96FFE"/>
    <w:rsid w:val="00B9704D"/>
    <w:rsid w:val="00B97072"/>
    <w:rsid w:val="00B97678"/>
    <w:rsid w:val="00B97703"/>
    <w:rsid w:val="00B97A14"/>
    <w:rsid w:val="00B97A4B"/>
    <w:rsid w:val="00BA0057"/>
    <w:rsid w:val="00BA01E8"/>
    <w:rsid w:val="00BA038B"/>
    <w:rsid w:val="00BA040E"/>
    <w:rsid w:val="00BA0430"/>
    <w:rsid w:val="00BA04AE"/>
    <w:rsid w:val="00BA08F6"/>
    <w:rsid w:val="00BA0FC0"/>
    <w:rsid w:val="00BA104A"/>
    <w:rsid w:val="00BA1052"/>
    <w:rsid w:val="00BA10D7"/>
    <w:rsid w:val="00BA125C"/>
    <w:rsid w:val="00BA136F"/>
    <w:rsid w:val="00BA19BC"/>
    <w:rsid w:val="00BA1C5D"/>
    <w:rsid w:val="00BA1CB6"/>
    <w:rsid w:val="00BA1EBF"/>
    <w:rsid w:val="00BA1F93"/>
    <w:rsid w:val="00BA240A"/>
    <w:rsid w:val="00BA2574"/>
    <w:rsid w:val="00BA2717"/>
    <w:rsid w:val="00BA2771"/>
    <w:rsid w:val="00BA2954"/>
    <w:rsid w:val="00BA2B2A"/>
    <w:rsid w:val="00BA2B9B"/>
    <w:rsid w:val="00BA2D43"/>
    <w:rsid w:val="00BA2DFB"/>
    <w:rsid w:val="00BA2F53"/>
    <w:rsid w:val="00BA3079"/>
    <w:rsid w:val="00BA327F"/>
    <w:rsid w:val="00BA3337"/>
    <w:rsid w:val="00BA3341"/>
    <w:rsid w:val="00BA34CC"/>
    <w:rsid w:val="00BA36EE"/>
    <w:rsid w:val="00BA37BF"/>
    <w:rsid w:val="00BA37CF"/>
    <w:rsid w:val="00BA3883"/>
    <w:rsid w:val="00BA3ADE"/>
    <w:rsid w:val="00BA3C0F"/>
    <w:rsid w:val="00BA3C84"/>
    <w:rsid w:val="00BA3DC7"/>
    <w:rsid w:val="00BA3E17"/>
    <w:rsid w:val="00BA429E"/>
    <w:rsid w:val="00BA430E"/>
    <w:rsid w:val="00BA434D"/>
    <w:rsid w:val="00BA466D"/>
    <w:rsid w:val="00BA47D4"/>
    <w:rsid w:val="00BA487C"/>
    <w:rsid w:val="00BA4ED3"/>
    <w:rsid w:val="00BA4F07"/>
    <w:rsid w:val="00BA5329"/>
    <w:rsid w:val="00BA53A5"/>
    <w:rsid w:val="00BA5417"/>
    <w:rsid w:val="00BA5562"/>
    <w:rsid w:val="00BA57BD"/>
    <w:rsid w:val="00BA57F9"/>
    <w:rsid w:val="00BA5B03"/>
    <w:rsid w:val="00BA5BFF"/>
    <w:rsid w:val="00BA5C9D"/>
    <w:rsid w:val="00BA5D28"/>
    <w:rsid w:val="00BA5D7C"/>
    <w:rsid w:val="00BA5DA0"/>
    <w:rsid w:val="00BA63AF"/>
    <w:rsid w:val="00BA6599"/>
    <w:rsid w:val="00BA65EF"/>
    <w:rsid w:val="00BA6742"/>
    <w:rsid w:val="00BA6C5E"/>
    <w:rsid w:val="00BA6EA9"/>
    <w:rsid w:val="00BA7134"/>
    <w:rsid w:val="00BA7246"/>
    <w:rsid w:val="00BA749F"/>
    <w:rsid w:val="00BA755C"/>
    <w:rsid w:val="00BA76F4"/>
    <w:rsid w:val="00BA7934"/>
    <w:rsid w:val="00BA7B9C"/>
    <w:rsid w:val="00BA7C52"/>
    <w:rsid w:val="00BA7E96"/>
    <w:rsid w:val="00BA7EF8"/>
    <w:rsid w:val="00BA7FDE"/>
    <w:rsid w:val="00BB0122"/>
    <w:rsid w:val="00BB015F"/>
    <w:rsid w:val="00BB01A6"/>
    <w:rsid w:val="00BB02D0"/>
    <w:rsid w:val="00BB040D"/>
    <w:rsid w:val="00BB048A"/>
    <w:rsid w:val="00BB0914"/>
    <w:rsid w:val="00BB0AB0"/>
    <w:rsid w:val="00BB0D24"/>
    <w:rsid w:val="00BB0FF3"/>
    <w:rsid w:val="00BB11F9"/>
    <w:rsid w:val="00BB120E"/>
    <w:rsid w:val="00BB165C"/>
    <w:rsid w:val="00BB189E"/>
    <w:rsid w:val="00BB207D"/>
    <w:rsid w:val="00BB20D0"/>
    <w:rsid w:val="00BB20D7"/>
    <w:rsid w:val="00BB212C"/>
    <w:rsid w:val="00BB2337"/>
    <w:rsid w:val="00BB26B7"/>
    <w:rsid w:val="00BB29AB"/>
    <w:rsid w:val="00BB2CEB"/>
    <w:rsid w:val="00BB2D6C"/>
    <w:rsid w:val="00BB2F74"/>
    <w:rsid w:val="00BB31A3"/>
    <w:rsid w:val="00BB33B0"/>
    <w:rsid w:val="00BB352C"/>
    <w:rsid w:val="00BB363A"/>
    <w:rsid w:val="00BB384E"/>
    <w:rsid w:val="00BB3D9D"/>
    <w:rsid w:val="00BB3DA7"/>
    <w:rsid w:val="00BB3E88"/>
    <w:rsid w:val="00BB4029"/>
    <w:rsid w:val="00BB41FD"/>
    <w:rsid w:val="00BB421B"/>
    <w:rsid w:val="00BB4256"/>
    <w:rsid w:val="00BB4533"/>
    <w:rsid w:val="00BB45DB"/>
    <w:rsid w:val="00BB4667"/>
    <w:rsid w:val="00BB4726"/>
    <w:rsid w:val="00BB4A47"/>
    <w:rsid w:val="00BB4A82"/>
    <w:rsid w:val="00BB4B02"/>
    <w:rsid w:val="00BB52A3"/>
    <w:rsid w:val="00BB52C4"/>
    <w:rsid w:val="00BB52EC"/>
    <w:rsid w:val="00BB53B8"/>
    <w:rsid w:val="00BB5435"/>
    <w:rsid w:val="00BB5886"/>
    <w:rsid w:val="00BB5907"/>
    <w:rsid w:val="00BB59FB"/>
    <w:rsid w:val="00BB5A2D"/>
    <w:rsid w:val="00BB5B5E"/>
    <w:rsid w:val="00BB5D7D"/>
    <w:rsid w:val="00BB5E4E"/>
    <w:rsid w:val="00BB5FD0"/>
    <w:rsid w:val="00BB612F"/>
    <w:rsid w:val="00BB62C7"/>
    <w:rsid w:val="00BB64EE"/>
    <w:rsid w:val="00BB66D9"/>
    <w:rsid w:val="00BB6864"/>
    <w:rsid w:val="00BB6942"/>
    <w:rsid w:val="00BB6960"/>
    <w:rsid w:val="00BB6D6B"/>
    <w:rsid w:val="00BB6DB7"/>
    <w:rsid w:val="00BB6E99"/>
    <w:rsid w:val="00BB6EEC"/>
    <w:rsid w:val="00BB6FCC"/>
    <w:rsid w:val="00BB7099"/>
    <w:rsid w:val="00BB75C6"/>
    <w:rsid w:val="00BB76DA"/>
    <w:rsid w:val="00BB7761"/>
    <w:rsid w:val="00BB7936"/>
    <w:rsid w:val="00BB7975"/>
    <w:rsid w:val="00BB798D"/>
    <w:rsid w:val="00BB7BFC"/>
    <w:rsid w:val="00BB7C28"/>
    <w:rsid w:val="00BB7D56"/>
    <w:rsid w:val="00BB7E9D"/>
    <w:rsid w:val="00BB7F78"/>
    <w:rsid w:val="00BC00C1"/>
    <w:rsid w:val="00BC0276"/>
    <w:rsid w:val="00BC0371"/>
    <w:rsid w:val="00BC0563"/>
    <w:rsid w:val="00BC074D"/>
    <w:rsid w:val="00BC09B7"/>
    <w:rsid w:val="00BC0B09"/>
    <w:rsid w:val="00BC0C78"/>
    <w:rsid w:val="00BC0CD2"/>
    <w:rsid w:val="00BC0E20"/>
    <w:rsid w:val="00BC10F2"/>
    <w:rsid w:val="00BC120C"/>
    <w:rsid w:val="00BC125B"/>
    <w:rsid w:val="00BC1475"/>
    <w:rsid w:val="00BC189B"/>
    <w:rsid w:val="00BC18AD"/>
    <w:rsid w:val="00BC1C9B"/>
    <w:rsid w:val="00BC1D44"/>
    <w:rsid w:val="00BC1EE1"/>
    <w:rsid w:val="00BC2115"/>
    <w:rsid w:val="00BC2161"/>
    <w:rsid w:val="00BC23F4"/>
    <w:rsid w:val="00BC24C1"/>
    <w:rsid w:val="00BC2617"/>
    <w:rsid w:val="00BC2694"/>
    <w:rsid w:val="00BC2711"/>
    <w:rsid w:val="00BC299E"/>
    <w:rsid w:val="00BC2AD6"/>
    <w:rsid w:val="00BC31B8"/>
    <w:rsid w:val="00BC34A3"/>
    <w:rsid w:val="00BC34AD"/>
    <w:rsid w:val="00BC3522"/>
    <w:rsid w:val="00BC3659"/>
    <w:rsid w:val="00BC39C1"/>
    <w:rsid w:val="00BC3E24"/>
    <w:rsid w:val="00BC419A"/>
    <w:rsid w:val="00BC453D"/>
    <w:rsid w:val="00BC4561"/>
    <w:rsid w:val="00BC495D"/>
    <w:rsid w:val="00BC4A0C"/>
    <w:rsid w:val="00BC4C05"/>
    <w:rsid w:val="00BC4DE6"/>
    <w:rsid w:val="00BC4E72"/>
    <w:rsid w:val="00BC4EE8"/>
    <w:rsid w:val="00BC527F"/>
    <w:rsid w:val="00BC52E0"/>
    <w:rsid w:val="00BC554B"/>
    <w:rsid w:val="00BC5566"/>
    <w:rsid w:val="00BC56AD"/>
    <w:rsid w:val="00BC583B"/>
    <w:rsid w:val="00BC58AA"/>
    <w:rsid w:val="00BC5944"/>
    <w:rsid w:val="00BC59A4"/>
    <w:rsid w:val="00BC5A7D"/>
    <w:rsid w:val="00BC5B84"/>
    <w:rsid w:val="00BC5C1E"/>
    <w:rsid w:val="00BC5D11"/>
    <w:rsid w:val="00BC5E91"/>
    <w:rsid w:val="00BC6486"/>
    <w:rsid w:val="00BC6685"/>
    <w:rsid w:val="00BC6980"/>
    <w:rsid w:val="00BC6CD4"/>
    <w:rsid w:val="00BC6D16"/>
    <w:rsid w:val="00BC6D5A"/>
    <w:rsid w:val="00BC6E36"/>
    <w:rsid w:val="00BC6E51"/>
    <w:rsid w:val="00BC6E76"/>
    <w:rsid w:val="00BC6FAC"/>
    <w:rsid w:val="00BC6FDA"/>
    <w:rsid w:val="00BC70E6"/>
    <w:rsid w:val="00BC7206"/>
    <w:rsid w:val="00BC74CD"/>
    <w:rsid w:val="00BC75C4"/>
    <w:rsid w:val="00BC784F"/>
    <w:rsid w:val="00BC7854"/>
    <w:rsid w:val="00BC7A3D"/>
    <w:rsid w:val="00BC7ACC"/>
    <w:rsid w:val="00BC7BB0"/>
    <w:rsid w:val="00BD047C"/>
    <w:rsid w:val="00BD0E2A"/>
    <w:rsid w:val="00BD1013"/>
    <w:rsid w:val="00BD11A2"/>
    <w:rsid w:val="00BD1435"/>
    <w:rsid w:val="00BD14B3"/>
    <w:rsid w:val="00BD14C4"/>
    <w:rsid w:val="00BD15A6"/>
    <w:rsid w:val="00BD15E8"/>
    <w:rsid w:val="00BD16CB"/>
    <w:rsid w:val="00BD1A75"/>
    <w:rsid w:val="00BD1B96"/>
    <w:rsid w:val="00BD1BA7"/>
    <w:rsid w:val="00BD1D36"/>
    <w:rsid w:val="00BD1D5F"/>
    <w:rsid w:val="00BD1EED"/>
    <w:rsid w:val="00BD1FF6"/>
    <w:rsid w:val="00BD2018"/>
    <w:rsid w:val="00BD2241"/>
    <w:rsid w:val="00BD22BF"/>
    <w:rsid w:val="00BD235F"/>
    <w:rsid w:val="00BD23B9"/>
    <w:rsid w:val="00BD2D73"/>
    <w:rsid w:val="00BD301C"/>
    <w:rsid w:val="00BD32AB"/>
    <w:rsid w:val="00BD33D1"/>
    <w:rsid w:val="00BD342A"/>
    <w:rsid w:val="00BD35FF"/>
    <w:rsid w:val="00BD3C20"/>
    <w:rsid w:val="00BD3C98"/>
    <w:rsid w:val="00BD4143"/>
    <w:rsid w:val="00BD44CB"/>
    <w:rsid w:val="00BD466F"/>
    <w:rsid w:val="00BD4A5E"/>
    <w:rsid w:val="00BD4BA0"/>
    <w:rsid w:val="00BD4BFC"/>
    <w:rsid w:val="00BD4E4A"/>
    <w:rsid w:val="00BD4ED0"/>
    <w:rsid w:val="00BD502F"/>
    <w:rsid w:val="00BD566A"/>
    <w:rsid w:val="00BD598C"/>
    <w:rsid w:val="00BD5A87"/>
    <w:rsid w:val="00BD5B52"/>
    <w:rsid w:val="00BD5B9A"/>
    <w:rsid w:val="00BD5BF4"/>
    <w:rsid w:val="00BD5E67"/>
    <w:rsid w:val="00BD5FC8"/>
    <w:rsid w:val="00BD6110"/>
    <w:rsid w:val="00BD6511"/>
    <w:rsid w:val="00BD6587"/>
    <w:rsid w:val="00BD68EF"/>
    <w:rsid w:val="00BD6916"/>
    <w:rsid w:val="00BD6975"/>
    <w:rsid w:val="00BD69B4"/>
    <w:rsid w:val="00BD6C31"/>
    <w:rsid w:val="00BD6EE3"/>
    <w:rsid w:val="00BD7010"/>
    <w:rsid w:val="00BD71FA"/>
    <w:rsid w:val="00BD7259"/>
    <w:rsid w:val="00BD7524"/>
    <w:rsid w:val="00BD7570"/>
    <w:rsid w:val="00BD769B"/>
    <w:rsid w:val="00BD77D7"/>
    <w:rsid w:val="00BD786E"/>
    <w:rsid w:val="00BD7898"/>
    <w:rsid w:val="00BD7901"/>
    <w:rsid w:val="00BD7B5A"/>
    <w:rsid w:val="00BD7F6C"/>
    <w:rsid w:val="00BE02DC"/>
    <w:rsid w:val="00BE03F8"/>
    <w:rsid w:val="00BE0454"/>
    <w:rsid w:val="00BE06BC"/>
    <w:rsid w:val="00BE071C"/>
    <w:rsid w:val="00BE0781"/>
    <w:rsid w:val="00BE0949"/>
    <w:rsid w:val="00BE0B5A"/>
    <w:rsid w:val="00BE0BF0"/>
    <w:rsid w:val="00BE0CA2"/>
    <w:rsid w:val="00BE0D54"/>
    <w:rsid w:val="00BE0E4C"/>
    <w:rsid w:val="00BE0F60"/>
    <w:rsid w:val="00BE1139"/>
    <w:rsid w:val="00BE11CB"/>
    <w:rsid w:val="00BE14A3"/>
    <w:rsid w:val="00BE170C"/>
    <w:rsid w:val="00BE1726"/>
    <w:rsid w:val="00BE1729"/>
    <w:rsid w:val="00BE1849"/>
    <w:rsid w:val="00BE19BC"/>
    <w:rsid w:val="00BE1A7E"/>
    <w:rsid w:val="00BE2094"/>
    <w:rsid w:val="00BE213A"/>
    <w:rsid w:val="00BE2420"/>
    <w:rsid w:val="00BE261D"/>
    <w:rsid w:val="00BE2655"/>
    <w:rsid w:val="00BE296F"/>
    <w:rsid w:val="00BE2AA4"/>
    <w:rsid w:val="00BE2CB6"/>
    <w:rsid w:val="00BE2DDE"/>
    <w:rsid w:val="00BE2EDD"/>
    <w:rsid w:val="00BE36A8"/>
    <w:rsid w:val="00BE37E8"/>
    <w:rsid w:val="00BE392E"/>
    <w:rsid w:val="00BE399C"/>
    <w:rsid w:val="00BE3A51"/>
    <w:rsid w:val="00BE3C19"/>
    <w:rsid w:val="00BE3CF3"/>
    <w:rsid w:val="00BE3D9B"/>
    <w:rsid w:val="00BE3E8B"/>
    <w:rsid w:val="00BE3F93"/>
    <w:rsid w:val="00BE4064"/>
    <w:rsid w:val="00BE420E"/>
    <w:rsid w:val="00BE43BF"/>
    <w:rsid w:val="00BE45B0"/>
    <w:rsid w:val="00BE4897"/>
    <w:rsid w:val="00BE4B9D"/>
    <w:rsid w:val="00BE4CEE"/>
    <w:rsid w:val="00BE4CF8"/>
    <w:rsid w:val="00BE4E69"/>
    <w:rsid w:val="00BE4E79"/>
    <w:rsid w:val="00BE4F9C"/>
    <w:rsid w:val="00BE4FBE"/>
    <w:rsid w:val="00BE4FE7"/>
    <w:rsid w:val="00BE503D"/>
    <w:rsid w:val="00BE556A"/>
    <w:rsid w:val="00BE559C"/>
    <w:rsid w:val="00BE56FB"/>
    <w:rsid w:val="00BE5722"/>
    <w:rsid w:val="00BE5976"/>
    <w:rsid w:val="00BE5B5A"/>
    <w:rsid w:val="00BE5B87"/>
    <w:rsid w:val="00BE5DE2"/>
    <w:rsid w:val="00BE5E9B"/>
    <w:rsid w:val="00BE5ECC"/>
    <w:rsid w:val="00BE6299"/>
    <w:rsid w:val="00BE6316"/>
    <w:rsid w:val="00BE6321"/>
    <w:rsid w:val="00BE6578"/>
    <w:rsid w:val="00BE65A9"/>
    <w:rsid w:val="00BE68BC"/>
    <w:rsid w:val="00BE68C6"/>
    <w:rsid w:val="00BE6B82"/>
    <w:rsid w:val="00BE6BCC"/>
    <w:rsid w:val="00BE6C35"/>
    <w:rsid w:val="00BE6C52"/>
    <w:rsid w:val="00BE6D4A"/>
    <w:rsid w:val="00BE6D9A"/>
    <w:rsid w:val="00BE7027"/>
    <w:rsid w:val="00BE712B"/>
    <w:rsid w:val="00BE74ED"/>
    <w:rsid w:val="00BE75F3"/>
    <w:rsid w:val="00BE7650"/>
    <w:rsid w:val="00BE78A4"/>
    <w:rsid w:val="00BE797C"/>
    <w:rsid w:val="00BE7994"/>
    <w:rsid w:val="00BE7A64"/>
    <w:rsid w:val="00BE7B66"/>
    <w:rsid w:val="00BE7B97"/>
    <w:rsid w:val="00BE7D68"/>
    <w:rsid w:val="00BE7E00"/>
    <w:rsid w:val="00BE7EA2"/>
    <w:rsid w:val="00BE7F67"/>
    <w:rsid w:val="00BF015E"/>
    <w:rsid w:val="00BF02B2"/>
    <w:rsid w:val="00BF0472"/>
    <w:rsid w:val="00BF0508"/>
    <w:rsid w:val="00BF0668"/>
    <w:rsid w:val="00BF06D1"/>
    <w:rsid w:val="00BF0784"/>
    <w:rsid w:val="00BF07C7"/>
    <w:rsid w:val="00BF0830"/>
    <w:rsid w:val="00BF0A14"/>
    <w:rsid w:val="00BF0A6A"/>
    <w:rsid w:val="00BF0A8B"/>
    <w:rsid w:val="00BF0B5F"/>
    <w:rsid w:val="00BF0F48"/>
    <w:rsid w:val="00BF11E1"/>
    <w:rsid w:val="00BF139C"/>
    <w:rsid w:val="00BF1469"/>
    <w:rsid w:val="00BF1483"/>
    <w:rsid w:val="00BF181E"/>
    <w:rsid w:val="00BF1883"/>
    <w:rsid w:val="00BF18A7"/>
    <w:rsid w:val="00BF1A6F"/>
    <w:rsid w:val="00BF1C06"/>
    <w:rsid w:val="00BF2011"/>
    <w:rsid w:val="00BF20FF"/>
    <w:rsid w:val="00BF21BB"/>
    <w:rsid w:val="00BF2222"/>
    <w:rsid w:val="00BF2229"/>
    <w:rsid w:val="00BF2707"/>
    <w:rsid w:val="00BF271B"/>
    <w:rsid w:val="00BF274F"/>
    <w:rsid w:val="00BF280D"/>
    <w:rsid w:val="00BF2816"/>
    <w:rsid w:val="00BF28B4"/>
    <w:rsid w:val="00BF2BEA"/>
    <w:rsid w:val="00BF2D1D"/>
    <w:rsid w:val="00BF2D26"/>
    <w:rsid w:val="00BF316A"/>
    <w:rsid w:val="00BF321F"/>
    <w:rsid w:val="00BF32ED"/>
    <w:rsid w:val="00BF33A0"/>
    <w:rsid w:val="00BF3526"/>
    <w:rsid w:val="00BF3D34"/>
    <w:rsid w:val="00BF40FC"/>
    <w:rsid w:val="00BF4243"/>
    <w:rsid w:val="00BF4399"/>
    <w:rsid w:val="00BF4AD2"/>
    <w:rsid w:val="00BF4C26"/>
    <w:rsid w:val="00BF4EB2"/>
    <w:rsid w:val="00BF50E4"/>
    <w:rsid w:val="00BF5220"/>
    <w:rsid w:val="00BF5280"/>
    <w:rsid w:val="00BF5299"/>
    <w:rsid w:val="00BF529C"/>
    <w:rsid w:val="00BF530E"/>
    <w:rsid w:val="00BF565A"/>
    <w:rsid w:val="00BF5723"/>
    <w:rsid w:val="00BF5832"/>
    <w:rsid w:val="00BF5969"/>
    <w:rsid w:val="00BF5E88"/>
    <w:rsid w:val="00BF5ECA"/>
    <w:rsid w:val="00BF606E"/>
    <w:rsid w:val="00BF60A1"/>
    <w:rsid w:val="00BF60BB"/>
    <w:rsid w:val="00BF61C2"/>
    <w:rsid w:val="00BF61CA"/>
    <w:rsid w:val="00BF626F"/>
    <w:rsid w:val="00BF6302"/>
    <w:rsid w:val="00BF649A"/>
    <w:rsid w:val="00BF65C5"/>
    <w:rsid w:val="00BF6622"/>
    <w:rsid w:val="00BF6715"/>
    <w:rsid w:val="00BF6814"/>
    <w:rsid w:val="00BF68FA"/>
    <w:rsid w:val="00BF6A26"/>
    <w:rsid w:val="00BF6C1F"/>
    <w:rsid w:val="00BF6D76"/>
    <w:rsid w:val="00BF6DC7"/>
    <w:rsid w:val="00BF7042"/>
    <w:rsid w:val="00BF70A2"/>
    <w:rsid w:val="00BF78AE"/>
    <w:rsid w:val="00BF7974"/>
    <w:rsid w:val="00BF79F0"/>
    <w:rsid w:val="00BF7AAB"/>
    <w:rsid w:val="00BF7C1C"/>
    <w:rsid w:val="00BF7EF2"/>
    <w:rsid w:val="00C0044E"/>
    <w:rsid w:val="00C00D2F"/>
    <w:rsid w:val="00C00DE0"/>
    <w:rsid w:val="00C01529"/>
    <w:rsid w:val="00C01990"/>
    <w:rsid w:val="00C01B5B"/>
    <w:rsid w:val="00C01BCE"/>
    <w:rsid w:val="00C01DAD"/>
    <w:rsid w:val="00C01E68"/>
    <w:rsid w:val="00C02833"/>
    <w:rsid w:val="00C02887"/>
    <w:rsid w:val="00C02A54"/>
    <w:rsid w:val="00C02D5C"/>
    <w:rsid w:val="00C02D88"/>
    <w:rsid w:val="00C02E01"/>
    <w:rsid w:val="00C03228"/>
    <w:rsid w:val="00C0334D"/>
    <w:rsid w:val="00C0370A"/>
    <w:rsid w:val="00C039C7"/>
    <w:rsid w:val="00C03C44"/>
    <w:rsid w:val="00C03C66"/>
    <w:rsid w:val="00C03D84"/>
    <w:rsid w:val="00C03FF2"/>
    <w:rsid w:val="00C04121"/>
    <w:rsid w:val="00C04123"/>
    <w:rsid w:val="00C042FC"/>
    <w:rsid w:val="00C0438A"/>
    <w:rsid w:val="00C043BB"/>
    <w:rsid w:val="00C044B3"/>
    <w:rsid w:val="00C04618"/>
    <w:rsid w:val="00C04997"/>
    <w:rsid w:val="00C04E22"/>
    <w:rsid w:val="00C04EC5"/>
    <w:rsid w:val="00C0504C"/>
    <w:rsid w:val="00C050E0"/>
    <w:rsid w:val="00C05251"/>
    <w:rsid w:val="00C059E5"/>
    <w:rsid w:val="00C05A4E"/>
    <w:rsid w:val="00C05E78"/>
    <w:rsid w:val="00C060C8"/>
    <w:rsid w:val="00C060D7"/>
    <w:rsid w:val="00C064CA"/>
    <w:rsid w:val="00C06660"/>
    <w:rsid w:val="00C06836"/>
    <w:rsid w:val="00C0687C"/>
    <w:rsid w:val="00C06941"/>
    <w:rsid w:val="00C06956"/>
    <w:rsid w:val="00C06A01"/>
    <w:rsid w:val="00C06A4F"/>
    <w:rsid w:val="00C06B24"/>
    <w:rsid w:val="00C06B3F"/>
    <w:rsid w:val="00C06DDA"/>
    <w:rsid w:val="00C06EB2"/>
    <w:rsid w:val="00C06F94"/>
    <w:rsid w:val="00C070C3"/>
    <w:rsid w:val="00C0726C"/>
    <w:rsid w:val="00C07599"/>
    <w:rsid w:val="00C076E9"/>
    <w:rsid w:val="00C07739"/>
    <w:rsid w:val="00C079FF"/>
    <w:rsid w:val="00C07C7C"/>
    <w:rsid w:val="00C07DE8"/>
    <w:rsid w:val="00C07EA1"/>
    <w:rsid w:val="00C07EEF"/>
    <w:rsid w:val="00C100B5"/>
    <w:rsid w:val="00C1014D"/>
    <w:rsid w:val="00C103E6"/>
    <w:rsid w:val="00C1058F"/>
    <w:rsid w:val="00C1062F"/>
    <w:rsid w:val="00C10710"/>
    <w:rsid w:val="00C107C0"/>
    <w:rsid w:val="00C10838"/>
    <w:rsid w:val="00C10886"/>
    <w:rsid w:val="00C1088C"/>
    <w:rsid w:val="00C10F20"/>
    <w:rsid w:val="00C10F6E"/>
    <w:rsid w:val="00C11A88"/>
    <w:rsid w:val="00C11E18"/>
    <w:rsid w:val="00C11E49"/>
    <w:rsid w:val="00C11F19"/>
    <w:rsid w:val="00C12518"/>
    <w:rsid w:val="00C125CA"/>
    <w:rsid w:val="00C12A7F"/>
    <w:rsid w:val="00C12A8B"/>
    <w:rsid w:val="00C12D97"/>
    <w:rsid w:val="00C12F98"/>
    <w:rsid w:val="00C12FD1"/>
    <w:rsid w:val="00C13063"/>
    <w:rsid w:val="00C13083"/>
    <w:rsid w:val="00C1324D"/>
    <w:rsid w:val="00C132B8"/>
    <w:rsid w:val="00C1341D"/>
    <w:rsid w:val="00C134B7"/>
    <w:rsid w:val="00C134EE"/>
    <w:rsid w:val="00C135D3"/>
    <w:rsid w:val="00C13625"/>
    <w:rsid w:val="00C13811"/>
    <w:rsid w:val="00C138DF"/>
    <w:rsid w:val="00C139FF"/>
    <w:rsid w:val="00C13B0F"/>
    <w:rsid w:val="00C13B22"/>
    <w:rsid w:val="00C13B2B"/>
    <w:rsid w:val="00C13BA0"/>
    <w:rsid w:val="00C13F41"/>
    <w:rsid w:val="00C13F9A"/>
    <w:rsid w:val="00C13FF1"/>
    <w:rsid w:val="00C14300"/>
    <w:rsid w:val="00C1434C"/>
    <w:rsid w:val="00C14387"/>
    <w:rsid w:val="00C144EA"/>
    <w:rsid w:val="00C1480B"/>
    <w:rsid w:val="00C14AA5"/>
    <w:rsid w:val="00C14CB1"/>
    <w:rsid w:val="00C14D74"/>
    <w:rsid w:val="00C152BB"/>
    <w:rsid w:val="00C156D1"/>
    <w:rsid w:val="00C157EE"/>
    <w:rsid w:val="00C158A0"/>
    <w:rsid w:val="00C1591E"/>
    <w:rsid w:val="00C15EEE"/>
    <w:rsid w:val="00C161AE"/>
    <w:rsid w:val="00C16304"/>
    <w:rsid w:val="00C16515"/>
    <w:rsid w:val="00C16710"/>
    <w:rsid w:val="00C169A5"/>
    <w:rsid w:val="00C169E6"/>
    <w:rsid w:val="00C16C0A"/>
    <w:rsid w:val="00C16EE1"/>
    <w:rsid w:val="00C17242"/>
    <w:rsid w:val="00C172A4"/>
    <w:rsid w:val="00C172D0"/>
    <w:rsid w:val="00C172FA"/>
    <w:rsid w:val="00C173AB"/>
    <w:rsid w:val="00C17512"/>
    <w:rsid w:val="00C17730"/>
    <w:rsid w:val="00C177A7"/>
    <w:rsid w:val="00C177CD"/>
    <w:rsid w:val="00C17855"/>
    <w:rsid w:val="00C17959"/>
    <w:rsid w:val="00C17CBB"/>
    <w:rsid w:val="00C17D21"/>
    <w:rsid w:val="00C17D9E"/>
    <w:rsid w:val="00C17E66"/>
    <w:rsid w:val="00C17EBA"/>
    <w:rsid w:val="00C20069"/>
    <w:rsid w:val="00C20183"/>
    <w:rsid w:val="00C202A4"/>
    <w:rsid w:val="00C2073D"/>
    <w:rsid w:val="00C208F0"/>
    <w:rsid w:val="00C20A88"/>
    <w:rsid w:val="00C20DAE"/>
    <w:rsid w:val="00C20DD2"/>
    <w:rsid w:val="00C21110"/>
    <w:rsid w:val="00C211B4"/>
    <w:rsid w:val="00C2125C"/>
    <w:rsid w:val="00C2141B"/>
    <w:rsid w:val="00C21678"/>
    <w:rsid w:val="00C216E4"/>
    <w:rsid w:val="00C2175D"/>
    <w:rsid w:val="00C21923"/>
    <w:rsid w:val="00C21CAA"/>
    <w:rsid w:val="00C220FD"/>
    <w:rsid w:val="00C221D8"/>
    <w:rsid w:val="00C222A5"/>
    <w:rsid w:val="00C222AB"/>
    <w:rsid w:val="00C22671"/>
    <w:rsid w:val="00C22903"/>
    <w:rsid w:val="00C22925"/>
    <w:rsid w:val="00C229F1"/>
    <w:rsid w:val="00C22A88"/>
    <w:rsid w:val="00C22F66"/>
    <w:rsid w:val="00C23104"/>
    <w:rsid w:val="00C2358F"/>
    <w:rsid w:val="00C23662"/>
    <w:rsid w:val="00C23A90"/>
    <w:rsid w:val="00C23B57"/>
    <w:rsid w:val="00C23BD7"/>
    <w:rsid w:val="00C23C56"/>
    <w:rsid w:val="00C23CC9"/>
    <w:rsid w:val="00C23CEE"/>
    <w:rsid w:val="00C23DCE"/>
    <w:rsid w:val="00C24675"/>
    <w:rsid w:val="00C246B7"/>
    <w:rsid w:val="00C246E8"/>
    <w:rsid w:val="00C247C0"/>
    <w:rsid w:val="00C24A6A"/>
    <w:rsid w:val="00C24C27"/>
    <w:rsid w:val="00C24CE0"/>
    <w:rsid w:val="00C24FED"/>
    <w:rsid w:val="00C2512A"/>
    <w:rsid w:val="00C2549D"/>
    <w:rsid w:val="00C254E3"/>
    <w:rsid w:val="00C256C6"/>
    <w:rsid w:val="00C257D2"/>
    <w:rsid w:val="00C25A0C"/>
    <w:rsid w:val="00C25C83"/>
    <w:rsid w:val="00C25D1C"/>
    <w:rsid w:val="00C25DDA"/>
    <w:rsid w:val="00C25F45"/>
    <w:rsid w:val="00C2602D"/>
    <w:rsid w:val="00C260E8"/>
    <w:rsid w:val="00C26166"/>
    <w:rsid w:val="00C26548"/>
    <w:rsid w:val="00C265A4"/>
    <w:rsid w:val="00C26669"/>
    <w:rsid w:val="00C266E7"/>
    <w:rsid w:val="00C26980"/>
    <w:rsid w:val="00C270E2"/>
    <w:rsid w:val="00C272C0"/>
    <w:rsid w:val="00C27324"/>
    <w:rsid w:val="00C273EE"/>
    <w:rsid w:val="00C276E0"/>
    <w:rsid w:val="00C277FF"/>
    <w:rsid w:val="00C278B9"/>
    <w:rsid w:val="00C27964"/>
    <w:rsid w:val="00C27986"/>
    <w:rsid w:val="00C279EB"/>
    <w:rsid w:val="00C27A43"/>
    <w:rsid w:val="00C27C84"/>
    <w:rsid w:val="00C27D9D"/>
    <w:rsid w:val="00C27E50"/>
    <w:rsid w:val="00C27F22"/>
    <w:rsid w:val="00C30064"/>
    <w:rsid w:val="00C3036D"/>
    <w:rsid w:val="00C3046C"/>
    <w:rsid w:val="00C304FA"/>
    <w:rsid w:val="00C30B3F"/>
    <w:rsid w:val="00C30B50"/>
    <w:rsid w:val="00C30B79"/>
    <w:rsid w:val="00C30CEE"/>
    <w:rsid w:val="00C30F06"/>
    <w:rsid w:val="00C31105"/>
    <w:rsid w:val="00C312BB"/>
    <w:rsid w:val="00C31337"/>
    <w:rsid w:val="00C31416"/>
    <w:rsid w:val="00C315DF"/>
    <w:rsid w:val="00C31CD6"/>
    <w:rsid w:val="00C31D72"/>
    <w:rsid w:val="00C320EB"/>
    <w:rsid w:val="00C32186"/>
    <w:rsid w:val="00C323CD"/>
    <w:rsid w:val="00C323FA"/>
    <w:rsid w:val="00C32526"/>
    <w:rsid w:val="00C32863"/>
    <w:rsid w:val="00C328B5"/>
    <w:rsid w:val="00C329FB"/>
    <w:rsid w:val="00C32FA6"/>
    <w:rsid w:val="00C32FCB"/>
    <w:rsid w:val="00C33129"/>
    <w:rsid w:val="00C33223"/>
    <w:rsid w:val="00C3332A"/>
    <w:rsid w:val="00C339AD"/>
    <w:rsid w:val="00C339CC"/>
    <w:rsid w:val="00C33C91"/>
    <w:rsid w:val="00C33D6E"/>
    <w:rsid w:val="00C33FEF"/>
    <w:rsid w:val="00C34350"/>
    <w:rsid w:val="00C344DF"/>
    <w:rsid w:val="00C345F2"/>
    <w:rsid w:val="00C34776"/>
    <w:rsid w:val="00C348EC"/>
    <w:rsid w:val="00C3493C"/>
    <w:rsid w:val="00C34A44"/>
    <w:rsid w:val="00C34A6E"/>
    <w:rsid w:val="00C34C0C"/>
    <w:rsid w:val="00C34C63"/>
    <w:rsid w:val="00C34D97"/>
    <w:rsid w:val="00C34FD7"/>
    <w:rsid w:val="00C3515F"/>
    <w:rsid w:val="00C3545E"/>
    <w:rsid w:val="00C354FD"/>
    <w:rsid w:val="00C3559E"/>
    <w:rsid w:val="00C3569C"/>
    <w:rsid w:val="00C356AC"/>
    <w:rsid w:val="00C35DD2"/>
    <w:rsid w:val="00C35E29"/>
    <w:rsid w:val="00C3603D"/>
    <w:rsid w:val="00C36081"/>
    <w:rsid w:val="00C361D5"/>
    <w:rsid w:val="00C36378"/>
    <w:rsid w:val="00C36386"/>
    <w:rsid w:val="00C363AD"/>
    <w:rsid w:val="00C36644"/>
    <w:rsid w:val="00C366C0"/>
    <w:rsid w:val="00C368E8"/>
    <w:rsid w:val="00C36FDB"/>
    <w:rsid w:val="00C36FE2"/>
    <w:rsid w:val="00C37134"/>
    <w:rsid w:val="00C371F7"/>
    <w:rsid w:val="00C374C2"/>
    <w:rsid w:val="00C376F2"/>
    <w:rsid w:val="00C3797D"/>
    <w:rsid w:val="00C37A86"/>
    <w:rsid w:val="00C37D2A"/>
    <w:rsid w:val="00C37FE2"/>
    <w:rsid w:val="00C40327"/>
    <w:rsid w:val="00C4033C"/>
    <w:rsid w:val="00C403EA"/>
    <w:rsid w:val="00C405C3"/>
    <w:rsid w:val="00C40600"/>
    <w:rsid w:val="00C407DD"/>
    <w:rsid w:val="00C40923"/>
    <w:rsid w:val="00C40CD5"/>
    <w:rsid w:val="00C40E0E"/>
    <w:rsid w:val="00C40E79"/>
    <w:rsid w:val="00C410BA"/>
    <w:rsid w:val="00C41184"/>
    <w:rsid w:val="00C41714"/>
    <w:rsid w:val="00C41A35"/>
    <w:rsid w:val="00C41B5A"/>
    <w:rsid w:val="00C41DF6"/>
    <w:rsid w:val="00C41EAD"/>
    <w:rsid w:val="00C42366"/>
    <w:rsid w:val="00C42430"/>
    <w:rsid w:val="00C42469"/>
    <w:rsid w:val="00C4271C"/>
    <w:rsid w:val="00C4293F"/>
    <w:rsid w:val="00C4296F"/>
    <w:rsid w:val="00C42CA6"/>
    <w:rsid w:val="00C42D32"/>
    <w:rsid w:val="00C42EDE"/>
    <w:rsid w:val="00C430B0"/>
    <w:rsid w:val="00C43224"/>
    <w:rsid w:val="00C43298"/>
    <w:rsid w:val="00C432FD"/>
    <w:rsid w:val="00C43687"/>
    <w:rsid w:val="00C437DA"/>
    <w:rsid w:val="00C437F0"/>
    <w:rsid w:val="00C43ABC"/>
    <w:rsid w:val="00C43B77"/>
    <w:rsid w:val="00C43BEF"/>
    <w:rsid w:val="00C43BF9"/>
    <w:rsid w:val="00C43C2F"/>
    <w:rsid w:val="00C43CA1"/>
    <w:rsid w:val="00C43E98"/>
    <w:rsid w:val="00C44026"/>
    <w:rsid w:val="00C440B4"/>
    <w:rsid w:val="00C4412E"/>
    <w:rsid w:val="00C44190"/>
    <w:rsid w:val="00C44195"/>
    <w:rsid w:val="00C442B6"/>
    <w:rsid w:val="00C4446F"/>
    <w:rsid w:val="00C44587"/>
    <w:rsid w:val="00C44778"/>
    <w:rsid w:val="00C449F8"/>
    <w:rsid w:val="00C44AEE"/>
    <w:rsid w:val="00C44C57"/>
    <w:rsid w:val="00C44D65"/>
    <w:rsid w:val="00C44D81"/>
    <w:rsid w:val="00C44ED1"/>
    <w:rsid w:val="00C44F6E"/>
    <w:rsid w:val="00C44FC9"/>
    <w:rsid w:val="00C45268"/>
    <w:rsid w:val="00C45352"/>
    <w:rsid w:val="00C45437"/>
    <w:rsid w:val="00C4549E"/>
    <w:rsid w:val="00C45667"/>
    <w:rsid w:val="00C457AB"/>
    <w:rsid w:val="00C45B0C"/>
    <w:rsid w:val="00C45B23"/>
    <w:rsid w:val="00C45D66"/>
    <w:rsid w:val="00C45F66"/>
    <w:rsid w:val="00C45FCE"/>
    <w:rsid w:val="00C461BE"/>
    <w:rsid w:val="00C46266"/>
    <w:rsid w:val="00C46369"/>
    <w:rsid w:val="00C463A1"/>
    <w:rsid w:val="00C468A3"/>
    <w:rsid w:val="00C4694B"/>
    <w:rsid w:val="00C4697B"/>
    <w:rsid w:val="00C4699C"/>
    <w:rsid w:val="00C46E26"/>
    <w:rsid w:val="00C473FB"/>
    <w:rsid w:val="00C4742B"/>
    <w:rsid w:val="00C47495"/>
    <w:rsid w:val="00C475D5"/>
    <w:rsid w:val="00C476F7"/>
    <w:rsid w:val="00C47C77"/>
    <w:rsid w:val="00C47C95"/>
    <w:rsid w:val="00C500BC"/>
    <w:rsid w:val="00C50362"/>
    <w:rsid w:val="00C505DA"/>
    <w:rsid w:val="00C50626"/>
    <w:rsid w:val="00C50743"/>
    <w:rsid w:val="00C50979"/>
    <w:rsid w:val="00C50A5D"/>
    <w:rsid w:val="00C50B5A"/>
    <w:rsid w:val="00C50C98"/>
    <w:rsid w:val="00C50D59"/>
    <w:rsid w:val="00C50DD3"/>
    <w:rsid w:val="00C50F14"/>
    <w:rsid w:val="00C51100"/>
    <w:rsid w:val="00C512F7"/>
    <w:rsid w:val="00C513DC"/>
    <w:rsid w:val="00C514E2"/>
    <w:rsid w:val="00C51763"/>
    <w:rsid w:val="00C5186B"/>
    <w:rsid w:val="00C51944"/>
    <w:rsid w:val="00C51A16"/>
    <w:rsid w:val="00C51A63"/>
    <w:rsid w:val="00C51ACD"/>
    <w:rsid w:val="00C51B37"/>
    <w:rsid w:val="00C51B71"/>
    <w:rsid w:val="00C51D50"/>
    <w:rsid w:val="00C52133"/>
    <w:rsid w:val="00C5227F"/>
    <w:rsid w:val="00C52688"/>
    <w:rsid w:val="00C52CEC"/>
    <w:rsid w:val="00C52F01"/>
    <w:rsid w:val="00C52F1E"/>
    <w:rsid w:val="00C5314D"/>
    <w:rsid w:val="00C5315A"/>
    <w:rsid w:val="00C532F3"/>
    <w:rsid w:val="00C53343"/>
    <w:rsid w:val="00C53463"/>
    <w:rsid w:val="00C53520"/>
    <w:rsid w:val="00C53565"/>
    <w:rsid w:val="00C53692"/>
    <w:rsid w:val="00C537AD"/>
    <w:rsid w:val="00C53AD5"/>
    <w:rsid w:val="00C53BCD"/>
    <w:rsid w:val="00C53D48"/>
    <w:rsid w:val="00C53D6B"/>
    <w:rsid w:val="00C53E3F"/>
    <w:rsid w:val="00C53F40"/>
    <w:rsid w:val="00C54199"/>
    <w:rsid w:val="00C544C4"/>
    <w:rsid w:val="00C54677"/>
    <w:rsid w:val="00C548BC"/>
    <w:rsid w:val="00C54BCD"/>
    <w:rsid w:val="00C54C09"/>
    <w:rsid w:val="00C54C2B"/>
    <w:rsid w:val="00C54C5E"/>
    <w:rsid w:val="00C54C89"/>
    <w:rsid w:val="00C54E45"/>
    <w:rsid w:val="00C54EA1"/>
    <w:rsid w:val="00C552BA"/>
    <w:rsid w:val="00C55538"/>
    <w:rsid w:val="00C5577F"/>
    <w:rsid w:val="00C55849"/>
    <w:rsid w:val="00C5592B"/>
    <w:rsid w:val="00C55B11"/>
    <w:rsid w:val="00C55B57"/>
    <w:rsid w:val="00C55BC1"/>
    <w:rsid w:val="00C55C81"/>
    <w:rsid w:val="00C55D9C"/>
    <w:rsid w:val="00C55EAD"/>
    <w:rsid w:val="00C56134"/>
    <w:rsid w:val="00C56394"/>
    <w:rsid w:val="00C565A8"/>
    <w:rsid w:val="00C5667F"/>
    <w:rsid w:val="00C5684A"/>
    <w:rsid w:val="00C56956"/>
    <w:rsid w:val="00C56A01"/>
    <w:rsid w:val="00C56B71"/>
    <w:rsid w:val="00C56D20"/>
    <w:rsid w:val="00C571BC"/>
    <w:rsid w:val="00C571E6"/>
    <w:rsid w:val="00C576B5"/>
    <w:rsid w:val="00C57D59"/>
    <w:rsid w:val="00C57E2A"/>
    <w:rsid w:val="00C601D0"/>
    <w:rsid w:val="00C604CF"/>
    <w:rsid w:val="00C60BE9"/>
    <w:rsid w:val="00C60CB8"/>
    <w:rsid w:val="00C60F2D"/>
    <w:rsid w:val="00C619D9"/>
    <w:rsid w:val="00C61A03"/>
    <w:rsid w:val="00C61DEF"/>
    <w:rsid w:val="00C6223C"/>
    <w:rsid w:val="00C62384"/>
    <w:rsid w:val="00C623E5"/>
    <w:rsid w:val="00C624F6"/>
    <w:rsid w:val="00C626E9"/>
    <w:rsid w:val="00C627AE"/>
    <w:rsid w:val="00C628E4"/>
    <w:rsid w:val="00C62A80"/>
    <w:rsid w:val="00C62DC9"/>
    <w:rsid w:val="00C62E44"/>
    <w:rsid w:val="00C62EF3"/>
    <w:rsid w:val="00C62F20"/>
    <w:rsid w:val="00C63093"/>
    <w:rsid w:val="00C631B4"/>
    <w:rsid w:val="00C63255"/>
    <w:rsid w:val="00C63388"/>
    <w:rsid w:val="00C63403"/>
    <w:rsid w:val="00C6346C"/>
    <w:rsid w:val="00C635E3"/>
    <w:rsid w:val="00C6363E"/>
    <w:rsid w:val="00C63675"/>
    <w:rsid w:val="00C6375A"/>
    <w:rsid w:val="00C637B3"/>
    <w:rsid w:val="00C638DA"/>
    <w:rsid w:val="00C63A14"/>
    <w:rsid w:val="00C63A7F"/>
    <w:rsid w:val="00C63C11"/>
    <w:rsid w:val="00C63CB7"/>
    <w:rsid w:val="00C63D6C"/>
    <w:rsid w:val="00C63D99"/>
    <w:rsid w:val="00C63DFD"/>
    <w:rsid w:val="00C63E77"/>
    <w:rsid w:val="00C64618"/>
    <w:rsid w:val="00C64784"/>
    <w:rsid w:val="00C64997"/>
    <w:rsid w:val="00C64A37"/>
    <w:rsid w:val="00C64B2B"/>
    <w:rsid w:val="00C64B6E"/>
    <w:rsid w:val="00C64CC1"/>
    <w:rsid w:val="00C654FE"/>
    <w:rsid w:val="00C6582B"/>
    <w:rsid w:val="00C658E6"/>
    <w:rsid w:val="00C65CCC"/>
    <w:rsid w:val="00C65EEE"/>
    <w:rsid w:val="00C65F53"/>
    <w:rsid w:val="00C6600B"/>
    <w:rsid w:val="00C6603E"/>
    <w:rsid w:val="00C6620A"/>
    <w:rsid w:val="00C66271"/>
    <w:rsid w:val="00C6636A"/>
    <w:rsid w:val="00C665CD"/>
    <w:rsid w:val="00C666CF"/>
    <w:rsid w:val="00C66757"/>
    <w:rsid w:val="00C66835"/>
    <w:rsid w:val="00C66A69"/>
    <w:rsid w:val="00C66AD3"/>
    <w:rsid w:val="00C674EC"/>
    <w:rsid w:val="00C676FB"/>
    <w:rsid w:val="00C67973"/>
    <w:rsid w:val="00C67DCE"/>
    <w:rsid w:val="00C700F2"/>
    <w:rsid w:val="00C7016B"/>
    <w:rsid w:val="00C70628"/>
    <w:rsid w:val="00C70721"/>
    <w:rsid w:val="00C70726"/>
    <w:rsid w:val="00C707F5"/>
    <w:rsid w:val="00C7088C"/>
    <w:rsid w:val="00C70A67"/>
    <w:rsid w:val="00C70AB7"/>
    <w:rsid w:val="00C70B8B"/>
    <w:rsid w:val="00C70DE0"/>
    <w:rsid w:val="00C70F2F"/>
    <w:rsid w:val="00C70F86"/>
    <w:rsid w:val="00C71668"/>
    <w:rsid w:val="00C71777"/>
    <w:rsid w:val="00C71778"/>
    <w:rsid w:val="00C7195B"/>
    <w:rsid w:val="00C719A2"/>
    <w:rsid w:val="00C719B3"/>
    <w:rsid w:val="00C71DC0"/>
    <w:rsid w:val="00C72321"/>
    <w:rsid w:val="00C7244D"/>
    <w:rsid w:val="00C724CA"/>
    <w:rsid w:val="00C725A3"/>
    <w:rsid w:val="00C7267B"/>
    <w:rsid w:val="00C72700"/>
    <w:rsid w:val="00C729A6"/>
    <w:rsid w:val="00C729E6"/>
    <w:rsid w:val="00C72B1C"/>
    <w:rsid w:val="00C72B57"/>
    <w:rsid w:val="00C72C7A"/>
    <w:rsid w:val="00C72D1D"/>
    <w:rsid w:val="00C7308E"/>
    <w:rsid w:val="00C731FE"/>
    <w:rsid w:val="00C7322F"/>
    <w:rsid w:val="00C732EF"/>
    <w:rsid w:val="00C736B2"/>
    <w:rsid w:val="00C73A3F"/>
    <w:rsid w:val="00C73EAF"/>
    <w:rsid w:val="00C73F14"/>
    <w:rsid w:val="00C74187"/>
    <w:rsid w:val="00C7419E"/>
    <w:rsid w:val="00C74358"/>
    <w:rsid w:val="00C743F1"/>
    <w:rsid w:val="00C74434"/>
    <w:rsid w:val="00C746E2"/>
    <w:rsid w:val="00C747F1"/>
    <w:rsid w:val="00C74BB0"/>
    <w:rsid w:val="00C74CC4"/>
    <w:rsid w:val="00C74DC7"/>
    <w:rsid w:val="00C74E79"/>
    <w:rsid w:val="00C752F7"/>
    <w:rsid w:val="00C7543E"/>
    <w:rsid w:val="00C75664"/>
    <w:rsid w:val="00C75932"/>
    <w:rsid w:val="00C759CC"/>
    <w:rsid w:val="00C75ABC"/>
    <w:rsid w:val="00C75BD7"/>
    <w:rsid w:val="00C76004"/>
    <w:rsid w:val="00C760EE"/>
    <w:rsid w:val="00C76604"/>
    <w:rsid w:val="00C769D9"/>
    <w:rsid w:val="00C76EC6"/>
    <w:rsid w:val="00C77071"/>
    <w:rsid w:val="00C77134"/>
    <w:rsid w:val="00C771F4"/>
    <w:rsid w:val="00C77464"/>
    <w:rsid w:val="00C774B0"/>
    <w:rsid w:val="00C77726"/>
    <w:rsid w:val="00C77AB2"/>
    <w:rsid w:val="00C77B2F"/>
    <w:rsid w:val="00C77B4C"/>
    <w:rsid w:val="00C80023"/>
    <w:rsid w:val="00C80189"/>
    <w:rsid w:val="00C80448"/>
    <w:rsid w:val="00C8062B"/>
    <w:rsid w:val="00C8087C"/>
    <w:rsid w:val="00C80C36"/>
    <w:rsid w:val="00C80D6B"/>
    <w:rsid w:val="00C80D88"/>
    <w:rsid w:val="00C80DD0"/>
    <w:rsid w:val="00C80E0B"/>
    <w:rsid w:val="00C8127D"/>
    <w:rsid w:val="00C81347"/>
    <w:rsid w:val="00C816D9"/>
    <w:rsid w:val="00C8184C"/>
    <w:rsid w:val="00C819A6"/>
    <w:rsid w:val="00C81C30"/>
    <w:rsid w:val="00C81D98"/>
    <w:rsid w:val="00C81DF2"/>
    <w:rsid w:val="00C81E4B"/>
    <w:rsid w:val="00C82003"/>
    <w:rsid w:val="00C82389"/>
    <w:rsid w:val="00C8249E"/>
    <w:rsid w:val="00C828C2"/>
    <w:rsid w:val="00C829AA"/>
    <w:rsid w:val="00C82A13"/>
    <w:rsid w:val="00C82BE7"/>
    <w:rsid w:val="00C82C4D"/>
    <w:rsid w:val="00C82C5D"/>
    <w:rsid w:val="00C82EE9"/>
    <w:rsid w:val="00C82F6D"/>
    <w:rsid w:val="00C82FFF"/>
    <w:rsid w:val="00C835C2"/>
    <w:rsid w:val="00C83617"/>
    <w:rsid w:val="00C83618"/>
    <w:rsid w:val="00C8380C"/>
    <w:rsid w:val="00C83B45"/>
    <w:rsid w:val="00C83DAA"/>
    <w:rsid w:val="00C83E15"/>
    <w:rsid w:val="00C83E1C"/>
    <w:rsid w:val="00C83F58"/>
    <w:rsid w:val="00C84019"/>
    <w:rsid w:val="00C84025"/>
    <w:rsid w:val="00C84095"/>
    <w:rsid w:val="00C8410B"/>
    <w:rsid w:val="00C84125"/>
    <w:rsid w:val="00C842F9"/>
    <w:rsid w:val="00C8430C"/>
    <w:rsid w:val="00C84481"/>
    <w:rsid w:val="00C847FC"/>
    <w:rsid w:val="00C8493E"/>
    <w:rsid w:val="00C849D6"/>
    <w:rsid w:val="00C84B10"/>
    <w:rsid w:val="00C84B16"/>
    <w:rsid w:val="00C84CD3"/>
    <w:rsid w:val="00C84E40"/>
    <w:rsid w:val="00C84EAD"/>
    <w:rsid w:val="00C85001"/>
    <w:rsid w:val="00C8504C"/>
    <w:rsid w:val="00C851BD"/>
    <w:rsid w:val="00C85231"/>
    <w:rsid w:val="00C85247"/>
    <w:rsid w:val="00C8532D"/>
    <w:rsid w:val="00C857EE"/>
    <w:rsid w:val="00C85987"/>
    <w:rsid w:val="00C85B08"/>
    <w:rsid w:val="00C85B50"/>
    <w:rsid w:val="00C85B59"/>
    <w:rsid w:val="00C85E6B"/>
    <w:rsid w:val="00C85FA5"/>
    <w:rsid w:val="00C86170"/>
    <w:rsid w:val="00C863DE"/>
    <w:rsid w:val="00C867BD"/>
    <w:rsid w:val="00C8691E"/>
    <w:rsid w:val="00C869A2"/>
    <w:rsid w:val="00C86E4A"/>
    <w:rsid w:val="00C872D5"/>
    <w:rsid w:val="00C8742B"/>
    <w:rsid w:val="00C87604"/>
    <w:rsid w:val="00C879C3"/>
    <w:rsid w:val="00C87D93"/>
    <w:rsid w:val="00C87DEF"/>
    <w:rsid w:val="00C87DFD"/>
    <w:rsid w:val="00C900A4"/>
    <w:rsid w:val="00C901FC"/>
    <w:rsid w:val="00C90A9C"/>
    <w:rsid w:val="00C90ADF"/>
    <w:rsid w:val="00C90BEE"/>
    <w:rsid w:val="00C910FE"/>
    <w:rsid w:val="00C91180"/>
    <w:rsid w:val="00C91245"/>
    <w:rsid w:val="00C91587"/>
    <w:rsid w:val="00C915B0"/>
    <w:rsid w:val="00C915ED"/>
    <w:rsid w:val="00C9161F"/>
    <w:rsid w:val="00C9163D"/>
    <w:rsid w:val="00C91906"/>
    <w:rsid w:val="00C91E4F"/>
    <w:rsid w:val="00C91F45"/>
    <w:rsid w:val="00C9204C"/>
    <w:rsid w:val="00C920F3"/>
    <w:rsid w:val="00C9225F"/>
    <w:rsid w:val="00C92374"/>
    <w:rsid w:val="00C927EC"/>
    <w:rsid w:val="00C928CE"/>
    <w:rsid w:val="00C92D97"/>
    <w:rsid w:val="00C92E9C"/>
    <w:rsid w:val="00C92FE9"/>
    <w:rsid w:val="00C93398"/>
    <w:rsid w:val="00C933B7"/>
    <w:rsid w:val="00C933E2"/>
    <w:rsid w:val="00C935B8"/>
    <w:rsid w:val="00C9389A"/>
    <w:rsid w:val="00C93B04"/>
    <w:rsid w:val="00C93B3E"/>
    <w:rsid w:val="00C93E3F"/>
    <w:rsid w:val="00C93F1E"/>
    <w:rsid w:val="00C941A4"/>
    <w:rsid w:val="00C94279"/>
    <w:rsid w:val="00C943A5"/>
    <w:rsid w:val="00C94909"/>
    <w:rsid w:val="00C949D1"/>
    <w:rsid w:val="00C94AB7"/>
    <w:rsid w:val="00C94AD6"/>
    <w:rsid w:val="00C94AE2"/>
    <w:rsid w:val="00C94F8F"/>
    <w:rsid w:val="00C951CE"/>
    <w:rsid w:val="00C95498"/>
    <w:rsid w:val="00C9551A"/>
    <w:rsid w:val="00C9560F"/>
    <w:rsid w:val="00C9577D"/>
    <w:rsid w:val="00C958AE"/>
    <w:rsid w:val="00C9592A"/>
    <w:rsid w:val="00C95948"/>
    <w:rsid w:val="00C95A98"/>
    <w:rsid w:val="00C95C51"/>
    <w:rsid w:val="00C95D97"/>
    <w:rsid w:val="00C95EDA"/>
    <w:rsid w:val="00C95F80"/>
    <w:rsid w:val="00C96062"/>
    <w:rsid w:val="00C9609B"/>
    <w:rsid w:val="00C960EC"/>
    <w:rsid w:val="00C96107"/>
    <w:rsid w:val="00C962A9"/>
    <w:rsid w:val="00C9642A"/>
    <w:rsid w:val="00C9665D"/>
    <w:rsid w:val="00C96719"/>
    <w:rsid w:val="00C96AA0"/>
    <w:rsid w:val="00C96FC6"/>
    <w:rsid w:val="00C970CF"/>
    <w:rsid w:val="00C970FD"/>
    <w:rsid w:val="00C9731D"/>
    <w:rsid w:val="00C97324"/>
    <w:rsid w:val="00C97360"/>
    <w:rsid w:val="00C974BA"/>
    <w:rsid w:val="00C9781C"/>
    <w:rsid w:val="00C97996"/>
    <w:rsid w:val="00C979EF"/>
    <w:rsid w:val="00C97A43"/>
    <w:rsid w:val="00CA026D"/>
    <w:rsid w:val="00CA03DC"/>
    <w:rsid w:val="00CA05EE"/>
    <w:rsid w:val="00CA0661"/>
    <w:rsid w:val="00CA07C4"/>
    <w:rsid w:val="00CA09FF"/>
    <w:rsid w:val="00CA0B4F"/>
    <w:rsid w:val="00CA0BB7"/>
    <w:rsid w:val="00CA0CEF"/>
    <w:rsid w:val="00CA0FAF"/>
    <w:rsid w:val="00CA12F6"/>
    <w:rsid w:val="00CA1415"/>
    <w:rsid w:val="00CA1561"/>
    <w:rsid w:val="00CA1791"/>
    <w:rsid w:val="00CA18CE"/>
    <w:rsid w:val="00CA1AB3"/>
    <w:rsid w:val="00CA1C80"/>
    <w:rsid w:val="00CA2041"/>
    <w:rsid w:val="00CA2122"/>
    <w:rsid w:val="00CA21AB"/>
    <w:rsid w:val="00CA21C3"/>
    <w:rsid w:val="00CA2620"/>
    <w:rsid w:val="00CA2676"/>
    <w:rsid w:val="00CA26AF"/>
    <w:rsid w:val="00CA271D"/>
    <w:rsid w:val="00CA2888"/>
    <w:rsid w:val="00CA29BA"/>
    <w:rsid w:val="00CA2E4A"/>
    <w:rsid w:val="00CA2F07"/>
    <w:rsid w:val="00CA2FCC"/>
    <w:rsid w:val="00CA30B5"/>
    <w:rsid w:val="00CA313A"/>
    <w:rsid w:val="00CA320A"/>
    <w:rsid w:val="00CA352A"/>
    <w:rsid w:val="00CA3725"/>
    <w:rsid w:val="00CA374B"/>
    <w:rsid w:val="00CA3812"/>
    <w:rsid w:val="00CA39D1"/>
    <w:rsid w:val="00CA3A20"/>
    <w:rsid w:val="00CA4060"/>
    <w:rsid w:val="00CA407E"/>
    <w:rsid w:val="00CA413F"/>
    <w:rsid w:val="00CA4263"/>
    <w:rsid w:val="00CA426D"/>
    <w:rsid w:val="00CA45A2"/>
    <w:rsid w:val="00CA45B9"/>
    <w:rsid w:val="00CA4B38"/>
    <w:rsid w:val="00CA4CFA"/>
    <w:rsid w:val="00CA4F6F"/>
    <w:rsid w:val="00CA506A"/>
    <w:rsid w:val="00CA54E2"/>
    <w:rsid w:val="00CA59F4"/>
    <w:rsid w:val="00CA5C94"/>
    <w:rsid w:val="00CA5DF3"/>
    <w:rsid w:val="00CA5EAB"/>
    <w:rsid w:val="00CA5F10"/>
    <w:rsid w:val="00CA5F36"/>
    <w:rsid w:val="00CA6179"/>
    <w:rsid w:val="00CA61D5"/>
    <w:rsid w:val="00CA62B6"/>
    <w:rsid w:val="00CA6372"/>
    <w:rsid w:val="00CA6382"/>
    <w:rsid w:val="00CA6753"/>
    <w:rsid w:val="00CA6807"/>
    <w:rsid w:val="00CA6A07"/>
    <w:rsid w:val="00CA6B00"/>
    <w:rsid w:val="00CA6B55"/>
    <w:rsid w:val="00CA6CF4"/>
    <w:rsid w:val="00CA6D26"/>
    <w:rsid w:val="00CA6EF1"/>
    <w:rsid w:val="00CA7577"/>
    <w:rsid w:val="00CA7B8F"/>
    <w:rsid w:val="00CB02C4"/>
    <w:rsid w:val="00CB03D9"/>
    <w:rsid w:val="00CB05E4"/>
    <w:rsid w:val="00CB07B0"/>
    <w:rsid w:val="00CB08ED"/>
    <w:rsid w:val="00CB0C83"/>
    <w:rsid w:val="00CB1207"/>
    <w:rsid w:val="00CB13F4"/>
    <w:rsid w:val="00CB14C9"/>
    <w:rsid w:val="00CB15EE"/>
    <w:rsid w:val="00CB168C"/>
    <w:rsid w:val="00CB1891"/>
    <w:rsid w:val="00CB19D9"/>
    <w:rsid w:val="00CB1B4C"/>
    <w:rsid w:val="00CB1C3E"/>
    <w:rsid w:val="00CB1F6D"/>
    <w:rsid w:val="00CB1F86"/>
    <w:rsid w:val="00CB1F8E"/>
    <w:rsid w:val="00CB2048"/>
    <w:rsid w:val="00CB2155"/>
    <w:rsid w:val="00CB224F"/>
    <w:rsid w:val="00CB237F"/>
    <w:rsid w:val="00CB2477"/>
    <w:rsid w:val="00CB27C0"/>
    <w:rsid w:val="00CB2824"/>
    <w:rsid w:val="00CB2991"/>
    <w:rsid w:val="00CB2C72"/>
    <w:rsid w:val="00CB2D75"/>
    <w:rsid w:val="00CB2F23"/>
    <w:rsid w:val="00CB30A1"/>
    <w:rsid w:val="00CB3282"/>
    <w:rsid w:val="00CB37EB"/>
    <w:rsid w:val="00CB39B5"/>
    <w:rsid w:val="00CB39CF"/>
    <w:rsid w:val="00CB3BC4"/>
    <w:rsid w:val="00CB4301"/>
    <w:rsid w:val="00CB4311"/>
    <w:rsid w:val="00CB43B4"/>
    <w:rsid w:val="00CB44EF"/>
    <w:rsid w:val="00CB4645"/>
    <w:rsid w:val="00CB47AF"/>
    <w:rsid w:val="00CB47D6"/>
    <w:rsid w:val="00CB4A84"/>
    <w:rsid w:val="00CB4CF3"/>
    <w:rsid w:val="00CB4D3F"/>
    <w:rsid w:val="00CB4DDD"/>
    <w:rsid w:val="00CB4FDF"/>
    <w:rsid w:val="00CB5056"/>
    <w:rsid w:val="00CB5058"/>
    <w:rsid w:val="00CB5095"/>
    <w:rsid w:val="00CB50E2"/>
    <w:rsid w:val="00CB5139"/>
    <w:rsid w:val="00CB520E"/>
    <w:rsid w:val="00CB5503"/>
    <w:rsid w:val="00CB5A55"/>
    <w:rsid w:val="00CB5AAF"/>
    <w:rsid w:val="00CB5B7A"/>
    <w:rsid w:val="00CB5BA0"/>
    <w:rsid w:val="00CB5CA8"/>
    <w:rsid w:val="00CB5D5F"/>
    <w:rsid w:val="00CB5ECB"/>
    <w:rsid w:val="00CB6018"/>
    <w:rsid w:val="00CB63FF"/>
    <w:rsid w:val="00CB6454"/>
    <w:rsid w:val="00CB6602"/>
    <w:rsid w:val="00CB679B"/>
    <w:rsid w:val="00CB69BA"/>
    <w:rsid w:val="00CB6EE7"/>
    <w:rsid w:val="00CB73B5"/>
    <w:rsid w:val="00CB775D"/>
    <w:rsid w:val="00CB7ADA"/>
    <w:rsid w:val="00CB7B34"/>
    <w:rsid w:val="00CB7B68"/>
    <w:rsid w:val="00CB7C91"/>
    <w:rsid w:val="00CB7E81"/>
    <w:rsid w:val="00CC0194"/>
    <w:rsid w:val="00CC039D"/>
    <w:rsid w:val="00CC056B"/>
    <w:rsid w:val="00CC0577"/>
    <w:rsid w:val="00CC06E9"/>
    <w:rsid w:val="00CC0810"/>
    <w:rsid w:val="00CC0B15"/>
    <w:rsid w:val="00CC0CDF"/>
    <w:rsid w:val="00CC0E63"/>
    <w:rsid w:val="00CC0F30"/>
    <w:rsid w:val="00CC11C1"/>
    <w:rsid w:val="00CC139F"/>
    <w:rsid w:val="00CC13AF"/>
    <w:rsid w:val="00CC1492"/>
    <w:rsid w:val="00CC169F"/>
    <w:rsid w:val="00CC1BB5"/>
    <w:rsid w:val="00CC1BC4"/>
    <w:rsid w:val="00CC1BC9"/>
    <w:rsid w:val="00CC1CC3"/>
    <w:rsid w:val="00CC1D82"/>
    <w:rsid w:val="00CC1D93"/>
    <w:rsid w:val="00CC1D9C"/>
    <w:rsid w:val="00CC1DE4"/>
    <w:rsid w:val="00CC1EE7"/>
    <w:rsid w:val="00CC2183"/>
    <w:rsid w:val="00CC22C1"/>
    <w:rsid w:val="00CC2324"/>
    <w:rsid w:val="00CC233A"/>
    <w:rsid w:val="00CC23C8"/>
    <w:rsid w:val="00CC27AA"/>
    <w:rsid w:val="00CC28D2"/>
    <w:rsid w:val="00CC29AD"/>
    <w:rsid w:val="00CC2C26"/>
    <w:rsid w:val="00CC2C3F"/>
    <w:rsid w:val="00CC2C82"/>
    <w:rsid w:val="00CC2D54"/>
    <w:rsid w:val="00CC2ECB"/>
    <w:rsid w:val="00CC2F8D"/>
    <w:rsid w:val="00CC310C"/>
    <w:rsid w:val="00CC3110"/>
    <w:rsid w:val="00CC313E"/>
    <w:rsid w:val="00CC343D"/>
    <w:rsid w:val="00CC34B0"/>
    <w:rsid w:val="00CC3550"/>
    <w:rsid w:val="00CC358E"/>
    <w:rsid w:val="00CC37DD"/>
    <w:rsid w:val="00CC384D"/>
    <w:rsid w:val="00CC3E5F"/>
    <w:rsid w:val="00CC3EE7"/>
    <w:rsid w:val="00CC3FC7"/>
    <w:rsid w:val="00CC3FF7"/>
    <w:rsid w:val="00CC42E9"/>
    <w:rsid w:val="00CC44C1"/>
    <w:rsid w:val="00CC4674"/>
    <w:rsid w:val="00CC47A5"/>
    <w:rsid w:val="00CC4F03"/>
    <w:rsid w:val="00CC4F5D"/>
    <w:rsid w:val="00CC4F6F"/>
    <w:rsid w:val="00CC5089"/>
    <w:rsid w:val="00CC5424"/>
    <w:rsid w:val="00CC57EA"/>
    <w:rsid w:val="00CC5896"/>
    <w:rsid w:val="00CC5B2A"/>
    <w:rsid w:val="00CC5B2C"/>
    <w:rsid w:val="00CC5C89"/>
    <w:rsid w:val="00CC6004"/>
    <w:rsid w:val="00CC60E2"/>
    <w:rsid w:val="00CC611F"/>
    <w:rsid w:val="00CC6140"/>
    <w:rsid w:val="00CC61BB"/>
    <w:rsid w:val="00CC63D3"/>
    <w:rsid w:val="00CC63DF"/>
    <w:rsid w:val="00CC65E6"/>
    <w:rsid w:val="00CC6618"/>
    <w:rsid w:val="00CC6865"/>
    <w:rsid w:val="00CC6919"/>
    <w:rsid w:val="00CC6CBC"/>
    <w:rsid w:val="00CC6D72"/>
    <w:rsid w:val="00CC6F21"/>
    <w:rsid w:val="00CC7081"/>
    <w:rsid w:val="00CC70DA"/>
    <w:rsid w:val="00CC7174"/>
    <w:rsid w:val="00CC7567"/>
    <w:rsid w:val="00CC7596"/>
    <w:rsid w:val="00CC762F"/>
    <w:rsid w:val="00CC7754"/>
    <w:rsid w:val="00CC7818"/>
    <w:rsid w:val="00CC784A"/>
    <w:rsid w:val="00CC79AF"/>
    <w:rsid w:val="00CC7DAC"/>
    <w:rsid w:val="00CC7E2A"/>
    <w:rsid w:val="00CC7F49"/>
    <w:rsid w:val="00CD05D5"/>
    <w:rsid w:val="00CD074A"/>
    <w:rsid w:val="00CD0820"/>
    <w:rsid w:val="00CD0923"/>
    <w:rsid w:val="00CD098F"/>
    <w:rsid w:val="00CD0A47"/>
    <w:rsid w:val="00CD0BD4"/>
    <w:rsid w:val="00CD0C4C"/>
    <w:rsid w:val="00CD0D0A"/>
    <w:rsid w:val="00CD0DC4"/>
    <w:rsid w:val="00CD0F87"/>
    <w:rsid w:val="00CD107B"/>
    <w:rsid w:val="00CD10F9"/>
    <w:rsid w:val="00CD12A2"/>
    <w:rsid w:val="00CD13C4"/>
    <w:rsid w:val="00CD14BF"/>
    <w:rsid w:val="00CD1521"/>
    <w:rsid w:val="00CD164D"/>
    <w:rsid w:val="00CD178D"/>
    <w:rsid w:val="00CD1A47"/>
    <w:rsid w:val="00CD202D"/>
    <w:rsid w:val="00CD217E"/>
    <w:rsid w:val="00CD21C9"/>
    <w:rsid w:val="00CD22D6"/>
    <w:rsid w:val="00CD282A"/>
    <w:rsid w:val="00CD2961"/>
    <w:rsid w:val="00CD29F2"/>
    <w:rsid w:val="00CD2C03"/>
    <w:rsid w:val="00CD2E88"/>
    <w:rsid w:val="00CD3196"/>
    <w:rsid w:val="00CD354E"/>
    <w:rsid w:val="00CD35B7"/>
    <w:rsid w:val="00CD3902"/>
    <w:rsid w:val="00CD3B46"/>
    <w:rsid w:val="00CD3BE0"/>
    <w:rsid w:val="00CD3BF6"/>
    <w:rsid w:val="00CD3C41"/>
    <w:rsid w:val="00CD4053"/>
    <w:rsid w:val="00CD421E"/>
    <w:rsid w:val="00CD42DE"/>
    <w:rsid w:val="00CD42F1"/>
    <w:rsid w:val="00CD4571"/>
    <w:rsid w:val="00CD45F5"/>
    <w:rsid w:val="00CD4689"/>
    <w:rsid w:val="00CD46DD"/>
    <w:rsid w:val="00CD475C"/>
    <w:rsid w:val="00CD4C69"/>
    <w:rsid w:val="00CD4CF9"/>
    <w:rsid w:val="00CD4D9B"/>
    <w:rsid w:val="00CD4E56"/>
    <w:rsid w:val="00CD4E5E"/>
    <w:rsid w:val="00CD4EF7"/>
    <w:rsid w:val="00CD535B"/>
    <w:rsid w:val="00CD599B"/>
    <w:rsid w:val="00CD5AFE"/>
    <w:rsid w:val="00CD5F8B"/>
    <w:rsid w:val="00CD60B1"/>
    <w:rsid w:val="00CD6406"/>
    <w:rsid w:val="00CD6617"/>
    <w:rsid w:val="00CD6AE9"/>
    <w:rsid w:val="00CD6F28"/>
    <w:rsid w:val="00CD7135"/>
    <w:rsid w:val="00CD768D"/>
    <w:rsid w:val="00CD7708"/>
    <w:rsid w:val="00CD7A65"/>
    <w:rsid w:val="00CD7A74"/>
    <w:rsid w:val="00CD7B4F"/>
    <w:rsid w:val="00CD7F3B"/>
    <w:rsid w:val="00CE00D2"/>
    <w:rsid w:val="00CE017C"/>
    <w:rsid w:val="00CE019D"/>
    <w:rsid w:val="00CE01CA"/>
    <w:rsid w:val="00CE0390"/>
    <w:rsid w:val="00CE07D8"/>
    <w:rsid w:val="00CE0C3A"/>
    <w:rsid w:val="00CE0E96"/>
    <w:rsid w:val="00CE0FF8"/>
    <w:rsid w:val="00CE105A"/>
    <w:rsid w:val="00CE12D6"/>
    <w:rsid w:val="00CE14A7"/>
    <w:rsid w:val="00CE1869"/>
    <w:rsid w:val="00CE1A38"/>
    <w:rsid w:val="00CE1A72"/>
    <w:rsid w:val="00CE1C80"/>
    <w:rsid w:val="00CE1CA1"/>
    <w:rsid w:val="00CE1E3C"/>
    <w:rsid w:val="00CE2747"/>
    <w:rsid w:val="00CE2CA4"/>
    <w:rsid w:val="00CE2E70"/>
    <w:rsid w:val="00CE311B"/>
    <w:rsid w:val="00CE3694"/>
    <w:rsid w:val="00CE39E1"/>
    <w:rsid w:val="00CE3A64"/>
    <w:rsid w:val="00CE3ABD"/>
    <w:rsid w:val="00CE3C91"/>
    <w:rsid w:val="00CE3E4E"/>
    <w:rsid w:val="00CE3F01"/>
    <w:rsid w:val="00CE3F7E"/>
    <w:rsid w:val="00CE4575"/>
    <w:rsid w:val="00CE4787"/>
    <w:rsid w:val="00CE48FF"/>
    <w:rsid w:val="00CE4956"/>
    <w:rsid w:val="00CE4AAB"/>
    <w:rsid w:val="00CE4E14"/>
    <w:rsid w:val="00CE50C8"/>
    <w:rsid w:val="00CE5494"/>
    <w:rsid w:val="00CE56B5"/>
    <w:rsid w:val="00CE5933"/>
    <w:rsid w:val="00CE5AAA"/>
    <w:rsid w:val="00CE5B59"/>
    <w:rsid w:val="00CE5CB5"/>
    <w:rsid w:val="00CE6020"/>
    <w:rsid w:val="00CE624D"/>
    <w:rsid w:val="00CE6527"/>
    <w:rsid w:val="00CE68BA"/>
    <w:rsid w:val="00CE6A36"/>
    <w:rsid w:val="00CE6A46"/>
    <w:rsid w:val="00CE6C73"/>
    <w:rsid w:val="00CE6DE0"/>
    <w:rsid w:val="00CE6E88"/>
    <w:rsid w:val="00CE71E9"/>
    <w:rsid w:val="00CE73A8"/>
    <w:rsid w:val="00CE77AA"/>
    <w:rsid w:val="00CE793B"/>
    <w:rsid w:val="00CE79B0"/>
    <w:rsid w:val="00CE7F17"/>
    <w:rsid w:val="00CE7FB6"/>
    <w:rsid w:val="00CF0002"/>
    <w:rsid w:val="00CF00BF"/>
    <w:rsid w:val="00CF057A"/>
    <w:rsid w:val="00CF076E"/>
    <w:rsid w:val="00CF08D4"/>
    <w:rsid w:val="00CF0BE8"/>
    <w:rsid w:val="00CF0C51"/>
    <w:rsid w:val="00CF0CFF"/>
    <w:rsid w:val="00CF0D9E"/>
    <w:rsid w:val="00CF0DC1"/>
    <w:rsid w:val="00CF11F3"/>
    <w:rsid w:val="00CF11FD"/>
    <w:rsid w:val="00CF128C"/>
    <w:rsid w:val="00CF128E"/>
    <w:rsid w:val="00CF1560"/>
    <w:rsid w:val="00CF1592"/>
    <w:rsid w:val="00CF168F"/>
    <w:rsid w:val="00CF1A5C"/>
    <w:rsid w:val="00CF1A62"/>
    <w:rsid w:val="00CF1D5B"/>
    <w:rsid w:val="00CF1D70"/>
    <w:rsid w:val="00CF1DF4"/>
    <w:rsid w:val="00CF2107"/>
    <w:rsid w:val="00CF2244"/>
    <w:rsid w:val="00CF23B4"/>
    <w:rsid w:val="00CF240A"/>
    <w:rsid w:val="00CF2474"/>
    <w:rsid w:val="00CF25E0"/>
    <w:rsid w:val="00CF27A4"/>
    <w:rsid w:val="00CF27C6"/>
    <w:rsid w:val="00CF2854"/>
    <w:rsid w:val="00CF28B6"/>
    <w:rsid w:val="00CF2A1D"/>
    <w:rsid w:val="00CF2A72"/>
    <w:rsid w:val="00CF2B2D"/>
    <w:rsid w:val="00CF2DE3"/>
    <w:rsid w:val="00CF30F3"/>
    <w:rsid w:val="00CF3580"/>
    <w:rsid w:val="00CF36CA"/>
    <w:rsid w:val="00CF3967"/>
    <w:rsid w:val="00CF3A1F"/>
    <w:rsid w:val="00CF3A84"/>
    <w:rsid w:val="00CF3ADA"/>
    <w:rsid w:val="00CF3C42"/>
    <w:rsid w:val="00CF3D74"/>
    <w:rsid w:val="00CF3DEA"/>
    <w:rsid w:val="00CF3FC1"/>
    <w:rsid w:val="00CF4135"/>
    <w:rsid w:val="00CF4149"/>
    <w:rsid w:val="00CF44D7"/>
    <w:rsid w:val="00CF4EE1"/>
    <w:rsid w:val="00CF54E6"/>
    <w:rsid w:val="00CF59A4"/>
    <w:rsid w:val="00CF59EA"/>
    <w:rsid w:val="00CF5A39"/>
    <w:rsid w:val="00CF5C7E"/>
    <w:rsid w:val="00CF60CB"/>
    <w:rsid w:val="00CF6112"/>
    <w:rsid w:val="00CF67BC"/>
    <w:rsid w:val="00CF6861"/>
    <w:rsid w:val="00CF6899"/>
    <w:rsid w:val="00CF6B83"/>
    <w:rsid w:val="00CF6CC4"/>
    <w:rsid w:val="00CF6E18"/>
    <w:rsid w:val="00CF6E2D"/>
    <w:rsid w:val="00CF6F1C"/>
    <w:rsid w:val="00CF6FEB"/>
    <w:rsid w:val="00CF72C4"/>
    <w:rsid w:val="00CF7365"/>
    <w:rsid w:val="00CF7650"/>
    <w:rsid w:val="00CF76B7"/>
    <w:rsid w:val="00CF76EF"/>
    <w:rsid w:val="00CF7A0F"/>
    <w:rsid w:val="00CF7B3C"/>
    <w:rsid w:val="00CF7C35"/>
    <w:rsid w:val="00CF7DEB"/>
    <w:rsid w:val="00D000D2"/>
    <w:rsid w:val="00D00378"/>
    <w:rsid w:val="00D008C4"/>
    <w:rsid w:val="00D00969"/>
    <w:rsid w:val="00D00B16"/>
    <w:rsid w:val="00D00C2F"/>
    <w:rsid w:val="00D00C50"/>
    <w:rsid w:val="00D00CF9"/>
    <w:rsid w:val="00D00D4B"/>
    <w:rsid w:val="00D00DAE"/>
    <w:rsid w:val="00D00E86"/>
    <w:rsid w:val="00D00F6B"/>
    <w:rsid w:val="00D016D4"/>
    <w:rsid w:val="00D01794"/>
    <w:rsid w:val="00D017D2"/>
    <w:rsid w:val="00D01A04"/>
    <w:rsid w:val="00D01C3A"/>
    <w:rsid w:val="00D01EA7"/>
    <w:rsid w:val="00D01F21"/>
    <w:rsid w:val="00D01F85"/>
    <w:rsid w:val="00D02048"/>
    <w:rsid w:val="00D021CC"/>
    <w:rsid w:val="00D0220C"/>
    <w:rsid w:val="00D02508"/>
    <w:rsid w:val="00D02535"/>
    <w:rsid w:val="00D02661"/>
    <w:rsid w:val="00D0268F"/>
    <w:rsid w:val="00D0273A"/>
    <w:rsid w:val="00D029BF"/>
    <w:rsid w:val="00D02A5C"/>
    <w:rsid w:val="00D02A76"/>
    <w:rsid w:val="00D02B17"/>
    <w:rsid w:val="00D02E7D"/>
    <w:rsid w:val="00D02FAE"/>
    <w:rsid w:val="00D0304B"/>
    <w:rsid w:val="00D03221"/>
    <w:rsid w:val="00D03378"/>
    <w:rsid w:val="00D03387"/>
    <w:rsid w:val="00D035C4"/>
    <w:rsid w:val="00D036C0"/>
    <w:rsid w:val="00D037B5"/>
    <w:rsid w:val="00D03958"/>
    <w:rsid w:val="00D03A0F"/>
    <w:rsid w:val="00D03B06"/>
    <w:rsid w:val="00D03BF8"/>
    <w:rsid w:val="00D03F45"/>
    <w:rsid w:val="00D040D7"/>
    <w:rsid w:val="00D04449"/>
    <w:rsid w:val="00D04589"/>
    <w:rsid w:val="00D046BF"/>
    <w:rsid w:val="00D04778"/>
    <w:rsid w:val="00D04BF0"/>
    <w:rsid w:val="00D04BFE"/>
    <w:rsid w:val="00D04CE7"/>
    <w:rsid w:val="00D04D80"/>
    <w:rsid w:val="00D04E27"/>
    <w:rsid w:val="00D05184"/>
    <w:rsid w:val="00D05274"/>
    <w:rsid w:val="00D0527C"/>
    <w:rsid w:val="00D052CE"/>
    <w:rsid w:val="00D0536B"/>
    <w:rsid w:val="00D054BD"/>
    <w:rsid w:val="00D057FC"/>
    <w:rsid w:val="00D0580E"/>
    <w:rsid w:val="00D058B4"/>
    <w:rsid w:val="00D05B36"/>
    <w:rsid w:val="00D05B47"/>
    <w:rsid w:val="00D05C96"/>
    <w:rsid w:val="00D05D3A"/>
    <w:rsid w:val="00D05D44"/>
    <w:rsid w:val="00D05D5E"/>
    <w:rsid w:val="00D05EAA"/>
    <w:rsid w:val="00D05EC7"/>
    <w:rsid w:val="00D05F1C"/>
    <w:rsid w:val="00D0611A"/>
    <w:rsid w:val="00D064CD"/>
    <w:rsid w:val="00D0696A"/>
    <w:rsid w:val="00D06A62"/>
    <w:rsid w:val="00D06AF7"/>
    <w:rsid w:val="00D07222"/>
    <w:rsid w:val="00D07416"/>
    <w:rsid w:val="00D0750B"/>
    <w:rsid w:val="00D076FA"/>
    <w:rsid w:val="00D07785"/>
    <w:rsid w:val="00D0779A"/>
    <w:rsid w:val="00D0780A"/>
    <w:rsid w:val="00D079CC"/>
    <w:rsid w:val="00D07B20"/>
    <w:rsid w:val="00D07B64"/>
    <w:rsid w:val="00D07BD2"/>
    <w:rsid w:val="00D07DAA"/>
    <w:rsid w:val="00D07E7D"/>
    <w:rsid w:val="00D100FF"/>
    <w:rsid w:val="00D105DB"/>
    <w:rsid w:val="00D106BB"/>
    <w:rsid w:val="00D106FD"/>
    <w:rsid w:val="00D10778"/>
    <w:rsid w:val="00D108D3"/>
    <w:rsid w:val="00D1090D"/>
    <w:rsid w:val="00D10929"/>
    <w:rsid w:val="00D10A46"/>
    <w:rsid w:val="00D10B69"/>
    <w:rsid w:val="00D11119"/>
    <w:rsid w:val="00D114C9"/>
    <w:rsid w:val="00D1176F"/>
    <w:rsid w:val="00D11A1A"/>
    <w:rsid w:val="00D11B82"/>
    <w:rsid w:val="00D11BFF"/>
    <w:rsid w:val="00D11C4D"/>
    <w:rsid w:val="00D11C6E"/>
    <w:rsid w:val="00D12286"/>
    <w:rsid w:val="00D12478"/>
    <w:rsid w:val="00D12707"/>
    <w:rsid w:val="00D12739"/>
    <w:rsid w:val="00D1291C"/>
    <w:rsid w:val="00D1298D"/>
    <w:rsid w:val="00D12BDD"/>
    <w:rsid w:val="00D12C85"/>
    <w:rsid w:val="00D12CB1"/>
    <w:rsid w:val="00D12D19"/>
    <w:rsid w:val="00D12E3D"/>
    <w:rsid w:val="00D1300B"/>
    <w:rsid w:val="00D13097"/>
    <w:rsid w:val="00D1322E"/>
    <w:rsid w:val="00D133DD"/>
    <w:rsid w:val="00D13422"/>
    <w:rsid w:val="00D13462"/>
    <w:rsid w:val="00D13471"/>
    <w:rsid w:val="00D13697"/>
    <w:rsid w:val="00D13698"/>
    <w:rsid w:val="00D136D9"/>
    <w:rsid w:val="00D137D4"/>
    <w:rsid w:val="00D13873"/>
    <w:rsid w:val="00D138EA"/>
    <w:rsid w:val="00D13910"/>
    <w:rsid w:val="00D13A95"/>
    <w:rsid w:val="00D13A97"/>
    <w:rsid w:val="00D13BBC"/>
    <w:rsid w:val="00D13BF9"/>
    <w:rsid w:val="00D13C50"/>
    <w:rsid w:val="00D13E93"/>
    <w:rsid w:val="00D142CA"/>
    <w:rsid w:val="00D146C1"/>
    <w:rsid w:val="00D146F0"/>
    <w:rsid w:val="00D147B6"/>
    <w:rsid w:val="00D15079"/>
    <w:rsid w:val="00D152E3"/>
    <w:rsid w:val="00D15837"/>
    <w:rsid w:val="00D159B9"/>
    <w:rsid w:val="00D15B4A"/>
    <w:rsid w:val="00D15C51"/>
    <w:rsid w:val="00D15C6A"/>
    <w:rsid w:val="00D15C6D"/>
    <w:rsid w:val="00D15DDC"/>
    <w:rsid w:val="00D15E81"/>
    <w:rsid w:val="00D162F4"/>
    <w:rsid w:val="00D1646A"/>
    <w:rsid w:val="00D1656D"/>
    <w:rsid w:val="00D166BA"/>
    <w:rsid w:val="00D16797"/>
    <w:rsid w:val="00D1685E"/>
    <w:rsid w:val="00D169A4"/>
    <w:rsid w:val="00D16B03"/>
    <w:rsid w:val="00D16C5A"/>
    <w:rsid w:val="00D16CB9"/>
    <w:rsid w:val="00D16DB2"/>
    <w:rsid w:val="00D171EE"/>
    <w:rsid w:val="00D17231"/>
    <w:rsid w:val="00D17475"/>
    <w:rsid w:val="00D175AD"/>
    <w:rsid w:val="00D179B8"/>
    <w:rsid w:val="00D17A66"/>
    <w:rsid w:val="00D17B64"/>
    <w:rsid w:val="00D20165"/>
    <w:rsid w:val="00D20258"/>
    <w:rsid w:val="00D20449"/>
    <w:rsid w:val="00D205FD"/>
    <w:rsid w:val="00D20667"/>
    <w:rsid w:val="00D20692"/>
    <w:rsid w:val="00D20A61"/>
    <w:rsid w:val="00D20A84"/>
    <w:rsid w:val="00D20A99"/>
    <w:rsid w:val="00D20B60"/>
    <w:rsid w:val="00D20BBF"/>
    <w:rsid w:val="00D20C22"/>
    <w:rsid w:val="00D20C38"/>
    <w:rsid w:val="00D20C7D"/>
    <w:rsid w:val="00D20D26"/>
    <w:rsid w:val="00D20E63"/>
    <w:rsid w:val="00D20F5D"/>
    <w:rsid w:val="00D20FB9"/>
    <w:rsid w:val="00D210FB"/>
    <w:rsid w:val="00D2111E"/>
    <w:rsid w:val="00D21345"/>
    <w:rsid w:val="00D21368"/>
    <w:rsid w:val="00D214C2"/>
    <w:rsid w:val="00D2158A"/>
    <w:rsid w:val="00D21823"/>
    <w:rsid w:val="00D21896"/>
    <w:rsid w:val="00D21D6E"/>
    <w:rsid w:val="00D21F66"/>
    <w:rsid w:val="00D22173"/>
    <w:rsid w:val="00D222F9"/>
    <w:rsid w:val="00D22302"/>
    <w:rsid w:val="00D227DC"/>
    <w:rsid w:val="00D228CC"/>
    <w:rsid w:val="00D228CE"/>
    <w:rsid w:val="00D2295C"/>
    <w:rsid w:val="00D22A17"/>
    <w:rsid w:val="00D22A89"/>
    <w:rsid w:val="00D22AD5"/>
    <w:rsid w:val="00D22DBB"/>
    <w:rsid w:val="00D22E4A"/>
    <w:rsid w:val="00D22F3D"/>
    <w:rsid w:val="00D2327A"/>
    <w:rsid w:val="00D2356E"/>
    <w:rsid w:val="00D23735"/>
    <w:rsid w:val="00D239AC"/>
    <w:rsid w:val="00D239F2"/>
    <w:rsid w:val="00D23B7E"/>
    <w:rsid w:val="00D23C95"/>
    <w:rsid w:val="00D23CFD"/>
    <w:rsid w:val="00D23D57"/>
    <w:rsid w:val="00D23D7E"/>
    <w:rsid w:val="00D23D7F"/>
    <w:rsid w:val="00D23DAA"/>
    <w:rsid w:val="00D240A8"/>
    <w:rsid w:val="00D24164"/>
    <w:rsid w:val="00D2452C"/>
    <w:rsid w:val="00D2499E"/>
    <w:rsid w:val="00D249AD"/>
    <w:rsid w:val="00D24A8F"/>
    <w:rsid w:val="00D24CF4"/>
    <w:rsid w:val="00D24EF3"/>
    <w:rsid w:val="00D250CB"/>
    <w:rsid w:val="00D25176"/>
    <w:rsid w:val="00D252D2"/>
    <w:rsid w:val="00D255B5"/>
    <w:rsid w:val="00D25817"/>
    <w:rsid w:val="00D258B6"/>
    <w:rsid w:val="00D25B31"/>
    <w:rsid w:val="00D25C75"/>
    <w:rsid w:val="00D25C89"/>
    <w:rsid w:val="00D260F4"/>
    <w:rsid w:val="00D26184"/>
    <w:rsid w:val="00D2619C"/>
    <w:rsid w:val="00D26570"/>
    <w:rsid w:val="00D26651"/>
    <w:rsid w:val="00D267AB"/>
    <w:rsid w:val="00D2681C"/>
    <w:rsid w:val="00D26B27"/>
    <w:rsid w:val="00D26B8B"/>
    <w:rsid w:val="00D26EED"/>
    <w:rsid w:val="00D26FDA"/>
    <w:rsid w:val="00D27078"/>
    <w:rsid w:val="00D270F4"/>
    <w:rsid w:val="00D27170"/>
    <w:rsid w:val="00D27274"/>
    <w:rsid w:val="00D27523"/>
    <w:rsid w:val="00D2756F"/>
    <w:rsid w:val="00D2776F"/>
    <w:rsid w:val="00D27867"/>
    <w:rsid w:val="00D27ACE"/>
    <w:rsid w:val="00D27B88"/>
    <w:rsid w:val="00D27BDE"/>
    <w:rsid w:val="00D27CAB"/>
    <w:rsid w:val="00D27E41"/>
    <w:rsid w:val="00D27F59"/>
    <w:rsid w:val="00D27FA0"/>
    <w:rsid w:val="00D30176"/>
    <w:rsid w:val="00D303E3"/>
    <w:rsid w:val="00D3073D"/>
    <w:rsid w:val="00D3090E"/>
    <w:rsid w:val="00D309CA"/>
    <w:rsid w:val="00D30A11"/>
    <w:rsid w:val="00D30A35"/>
    <w:rsid w:val="00D30ED2"/>
    <w:rsid w:val="00D3105F"/>
    <w:rsid w:val="00D31112"/>
    <w:rsid w:val="00D31123"/>
    <w:rsid w:val="00D311AD"/>
    <w:rsid w:val="00D3156B"/>
    <w:rsid w:val="00D317E8"/>
    <w:rsid w:val="00D31821"/>
    <w:rsid w:val="00D31951"/>
    <w:rsid w:val="00D31967"/>
    <w:rsid w:val="00D319D4"/>
    <w:rsid w:val="00D31AEB"/>
    <w:rsid w:val="00D31D7A"/>
    <w:rsid w:val="00D31FC2"/>
    <w:rsid w:val="00D321A6"/>
    <w:rsid w:val="00D32490"/>
    <w:rsid w:val="00D324F1"/>
    <w:rsid w:val="00D32684"/>
    <w:rsid w:val="00D327F0"/>
    <w:rsid w:val="00D328F2"/>
    <w:rsid w:val="00D32CC4"/>
    <w:rsid w:val="00D32D5F"/>
    <w:rsid w:val="00D32E59"/>
    <w:rsid w:val="00D331AA"/>
    <w:rsid w:val="00D333C9"/>
    <w:rsid w:val="00D334F2"/>
    <w:rsid w:val="00D3352A"/>
    <w:rsid w:val="00D335BB"/>
    <w:rsid w:val="00D335F3"/>
    <w:rsid w:val="00D336B7"/>
    <w:rsid w:val="00D33785"/>
    <w:rsid w:val="00D33821"/>
    <w:rsid w:val="00D33972"/>
    <w:rsid w:val="00D339E5"/>
    <w:rsid w:val="00D33A38"/>
    <w:rsid w:val="00D33B2B"/>
    <w:rsid w:val="00D33B2E"/>
    <w:rsid w:val="00D33CFB"/>
    <w:rsid w:val="00D33FFF"/>
    <w:rsid w:val="00D34034"/>
    <w:rsid w:val="00D3404F"/>
    <w:rsid w:val="00D340C3"/>
    <w:rsid w:val="00D34325"/>
    <w:rsid w:val="00D3432B"/>
    <w:rsid w:val="00D344FA"/>
    <w:rsid w:val="00D345AA"/>
    <w:rsid w:val="00D347CA"/>
    <w:rsid w:val="00D34CCF"/>
    <w:rsid w:val="00D34F08"/>
    <w:rsid w:val="00D35055"/>
    <w:rsid w:val="00D3512F"/>
    <w:rsid w:val="00D35193"/>
    <w:rsid w:val="00D35629"/>
    <w:rsid w:val="00D35843"/>
    <w:rsid w:val="00D35B2D"/>
    <w:rsid w:val="00D35BA2"/>
    <w:rsid w:val="00D35C38"/>
    <w:rsid w:val="00D35DC2"/>
    <w:rsid w:val="00D35DDC"/>
    <w:rsid w:val="00D35E58"/>
    <w:rsid w:val="00D35EFA"/>
    <w:rsid w:val="00D36066"/>
    <w:rsid w:val="00D3631C"/>
    <w:rsid w:val="00D3643B"/>
    <w:rsid w:val="00D365AA"/>
    <w:rsid w:val="00D36604"/>
    <w:rsid w:val="00D3665B"/>
    <w:rsid w:val="00D36789"/>
    <w:rsid w:val="00D36A83"/>
    <w:rsid w:val="00D3715D"/>
    <w:rsid w:val="00D371BC"/>
    <w:rsid w:val="00D37394"/>
    <w:rsid w:val="00D3763E"/>
    <w:rsid w:val="00D3764A"/>
    <w:rsid w:val="00D377F2"/>
    <w:rsid w:val="00D37A42"/>
    <w:rsid w:val="00D37AB0"/>
    <w:rsid w:val="00D37C7F"/>
    <w:rsid w:val="00D37CAC"/>
    <w:rsid w:val="00D37D98"/>
    <w:rsid w:val="00D40363"/>
    <w:rsid w:val="00D4058F"/>
    <w:rsid w:val="00D40607"/>
    <w:rsid w:val="00D406E9"/>
    <w:rsid w:val="00D40B20"/>
    <w:rsid w:val="00D40BBD"/>
    <w:rsid w:val="00D40C49"/>
    <w:rsid w:val="00D40FB5"/>
    <w:rsid w:val="00D41197"/>
    <w:rsid w:val="00D41232"/>
    <w:rsid w:val="00D41418"/>
    <w:rsid w:val="00D415BF"/>
    <w:rsid w:val="00D415E8"/>
    <w:rsid w:val="00D41726"/>
    <w:rsid w:val="00D41D4A"/>
    <w:rsid w:val="00D41E0D"/>
    <w:rsid w:val="00D41E92"/>
    <w:rsid w:val="00D41EBC"/>
    <w:rsid w:val="00D421FE"/>
    <w:rsid w:val="00D427E8"/>
    <w:rsid w:val="00D428A9"/>
    <w:rsid w:val="00D429D2"/>
    <w:rsid w:val="00D42DCD"/>
    <w:rsid w:val="00D42DEB"/>
    <w:rsid w:val="00D42EAB"/>
    <w:rsid w:val="00D42ED4"/>
    <w:rsid w:val="00D42F52"/>
    <w:rsid w:val="00D42F7F"/>
    <w:rsid w:val="00D42FF7"/>
    <w:rsid w:val="00D4301D"/>
    <w:rsid w:val="00D4356A"/>
    <w:rsid w:val="00D436BE"/>
    <w:rsid w:val="00D43748"/>
    <w:rsid w:val="00D43895"/>
    <w:rsid w:val="00D43A5F"/>
    <w:rsid w:val="00D43E63"/>
    <w:rsid w:val="00D4406C"/>
    <w:rsid w:val="00D44412"/>
    <w:rsid w:val="00D444AF"/>
    <w:rsid w:val="00D444DB"/>
    <w:rsid w:val="00D44780"/>
    <w:rsid w:val="00D4478B"/>
    <w:rsid w:val="00D447D3"/>
    <w:rsid w:val="00D44B82"/>
    <w:rsid w:val="00D44BFC"/>
    <w:rsid w:val="00D44FE6"/>
    <w:rsid w:val="00D45094"/>
    <w:rsid w:val="00D450D2"/>
    <w:rsid w:val="00D45273"/>
    <w:rsid w:val="00D454D8"/>
    <w:rsid w:val="00D45CDF"/>
    <w:rsid w:val="00D45D6B"/>
    <w:rsid w:val="00D45F62"/>
    <w:rsid w:val="00D461BE"/>
    <w:rsid w:val="00D46520"/>
    <w:rsid w:val="00D467F5"/>
    <w:rsid w:val="00D46862"/>
    <w:rsid w:val="00D468DC"/>
    <w:rsid w:val="00D4698F"/>
    <w:rsid w:val="00D46A6A"/>
    <w:rsid w:val="00D46C59"/>
    <w:rsid w:val="00D46EEC"/>
    <w:rsid w:val="00D46EF2"/>
    <w:rsid w:val="00D470B5"/>
    <w:rsid w:val="00D471C3"/>
    <w:rsid w:val="00D47286"/>
    <w:rsid w:val="00D472F6"/>
    <w:rsid w:val="00D47680"/>
    <w:rsid w:val="00D47951"/>
    <w:rsid w:val="00D47A5A"/>
    <w:rsid w:val="00D47B03"/>
    <w:rsid w:val="00D47BCF"/>
    <w:rsid w:val="00D47C6E"/>
    <w:rsid w:val="00D47DB0"/>
    <w:rsid w:val="00D47F46"/>
    <w:rsid w:val="00D5005C"/>
    <w:rsid w:val="00D500D9"/>
    <w:rsid w:val="00D503DF"/>
    <w:rsid w:val="00D50547"/>
    <w:rsid w:val="00D50563"/>
    <w:rsid w:val="00D5092D"/>
    <w:rsid w:val="00D509D3"/>
    <w:rsid w:val="00D50A8B"/>
    <w:rsid w:val="00D50B3A"/>
    <w:rsid w:val="00D50EFA"/>
    <w:rsid w:val="00D50F2C"/>
    <w:rsid w:val="00D50F7E"/>
    <w:rsid w:val="00D51061"/>
    <w:rsid w:val="00D5135D"/>
    <w:rsid w:val="00D51421"/>
    <w:rsid w:val="00D514A3"/>
    <w:rsid w:val="00D51587"/>
    <w:rsid w:val="00D515CC"/>
    <w:rsid w:val="00D515FA"/>
    <w:rsid w:val="00D5171F"/>
    <w:rsid w:val="00D51762"/>
    <w:rsid w:val="00D51ABA"/>
    <w:rsid w:val="00D51ACF"/>
    <w:rsid w:val="00D51BB4"/>
    <w:rsid w:val="00D51C2C"/>
    <w:rsid w:val="00D51CDA"/>
    <w:rsid w:val="00D51D27"/>
    <w:rsid w:val="00D51F14"/>
    <w:rsid w:val="00D520DE"/>
    <w:rsid w:val="00D522D1"/>
    <w:rsid w:val="00D52464"/>
    <w:rsid w:val="00D5247C"/>
    <w:rsid w:val="00D52677"/>
    <w:rsid w:val="00D52911"/>
    <w:rsid w:val="00D529FC"/>
    <w:rsid w:val="00D52B6D"/>
    <w:rsid w:val="00D52EA9"/>
    <w:rsid w:val="00D52F2C"/>
    <w:rsid w:val="00D52F36"/>
    <w:rsid w:val="00D5303D"/>
    <w:rsid w:val="00D531B4"/>
    <w:rsid w:val="00D5339A"/>
    <w:rsid w:val="00D533BA"/>
    <w:rsid w:val="00D53668"/>
    <w:rsid w:val="00D537E7"/>
    <w:rsid w:val="00D53915"/>
    <w:rsid w:val="00D53C1B"/>
    <w:rsid w:val="00D53E64"/>
    <w:rsid w:val="00D53E8D"/>
    <w:rsid w:val="00D53F23"/>
    <w:rsid w:val="00D53F74"/>
    <w:rsid w:val="00D5406F"/>
    <w:rsid w:val="00D54090"/>
    <w:rsid w:val="00D541A6"/>
    <w:rsid w:val="00D541BA"/>
    <w:rsid w:val="00D543C6"/>
    <w:rsid w:val="00D543EE"/>
    <w:rsid w:val="00D54502"/>
    <w:rsid w:val="00D54A02"/>
    <w:rsid w:val="00D54D71"/>
    <w:rsid w:val="00D55064"/>
    <w:rsid w:val="00D550ED"/>
    <w:rsid w:val="00D55133"/>
    <w:rsid w:val="00D55411"/>
    <w:rsid w:val="00D5549E"/>
    <w:rsid w:val="00D55652"/>
    <w:rsid w:val="00D5569F"/>
    <w:rsid w:val="00D557B3"/>
    <w:rsid w:val="00D559EF"/>
    <w:rsid w:val="00D55E8B"/>
    <w:rsid w:val="00D55FE6"/>
    <w:rsid w:val="00D56029"/>
    <w:rsid w:val="00D5630E"/>
    <w:rsid w:val="00D56334"/>
    <w:rsid w:val="00D56391"/>
    <w:rsid w:val="00D567C4"/>
    <w:rsid w:val="00D567EA"/>
    <w:rsid w:val="00D56985"/>
    <w:rsid w:val="00D569E3"/>
    <w:rsid w:val="00D569EC"/>
    <w:rsid w:val="00D56B68"/>
    <w:rsid w:val="00D56C43"/>
    <w:rsid w:val="00D56DC5"/>
    <w:rsid w:val="00D57040"/>
    <w:rsid w:val="00D573B8"/>
    <w:rsid w:val="00D5749A"/>
    <w:rsid w:val="00D57915"/>
    <w:rsid w:val="00D57986"/>
    <w:rsid w:val="00D57A0D"/>
    <w:rsid w:val="00D57A1F"/>
    <w:rsid w:val="00D57AF4"/>
    <w:rsid w:val="00D57F1D"/>
    <w:rsid w:val="00D6007A"/>
    <w:rsid w:val="00D603D7"/>
    <w:rsid w:val="00D606F4"/>
    <w:rsid w:val="00D60A7A"/>
    <w:rsid w:val="00D60A91"/>
    <w:rsid w:val="00D60CBB"/>
    <w:rsid w:val="00D60E2A"/>
    <w:rsid w:val="00D61102"/>
    <w:rsid w:val="00D611B7"/>
    <w:rsid w:val="00D61353"/>
    <w:rsid w:val="00D6137A"/>
    <w:rsid w:val="00D614E7"/>
    <w:rsid w:val="00D619C4"/>
    <w:rsid w:val="00D61A24"/>
    <w:rsid w:val="00D620EB"/>
    <w:rsid w:val="00D6222E"/>
    <w:rsid w:val="00D62390"/>
    <w:rsid w:val="00D62584"/>
    <w:rsid w:val="00D62928"/>
    <w:rsid w:val="00D62966"/>
    <w:rsid w:val="00D6296B"/>
    <w:rsid w:val="00D62A03"/>
    <w:rsid w:val="00D62D3F"/>
    <w:rsid w:val="00D62EB2"/>
    <w:rsid w:val="00D62F64"/>
    <w:rsid w:val="00D62FDB"/>
    <w:rsid w:val="00D6300D"/>
    <w:rsid w:val="00D63032"/>
    <w:rsid w:val="00D6324D"/>
    <w:rsid w:val="00D63A1E"/>
    <w:rsid w:val="00D63F57"/>
    <w:rsid w:val="00D63FE5"/>
    <w:rsid w:val="00D641FC"/>
    <w:rsid w:val="00D64575"/>
    <w:rsid w:val="00D6464A"/>
    <w:rsid w:val="00D6473F"/>
    <w:rsid w:val="00D647FC"/>
    <w:rsid w:val="00D64C01"/>
    <w:rsid w:val="00D64C70"/>
    <w:rsid w:val="00D64CEE"/>
    <w:rsid w:val="00D64E38"/>
    <w:rsid w:val="00D6500E"/>
    <w:rsid w:val="00D653D6"/>
    <w:rsid w:val="00D65622"/>
    <w:rsid w:val="00D65645"/>
    <w:rsid w:val="00D656A7"/>
    <w:rsid w:val="00D6596A"/>
    <w:rsid w:val="00D65EE6"/>
    <w:rsid w:val="00D66090"/>
    <w:rsid w:val="00D66269"/>
    <w:rsid w:val="00D662DC"/>
    <w:rsid w:val="00D6634E"/>
    <w:rsid w:val="00D66617"/>
    <w:rsid w:val="00D669CB"/>
    <w:rsid w:val="00D66CA4"/>
    <w:rsid w:val="00D66E93"/>
    <w:rsid w:val="00D66F94"/>
    <w:rsid w:val="00D67320"/>
    <w:rsid w:val="00D673C2"/>
    <w:rsid w:val="00D676AB"/>
    <w:rsid w:val="00D676D7"/>
    <w:rsid w:val="00D6792C"/>
    <w:rsid w:val="00D679DE"/>
    <w:rsid w:val="00D67A05"/>
    <w:rsid w:val="00D67B1D"/>
    <w:rsid w:val="00D67ECE"/>
    <w:rsid w:val="00D70132"/>
    <w:rsid w:val="00D70133"/>
    <w:rsid w:val="00D703A6"/>
    <w:rsid w:val="00D704C7"/>
    <w:rsid w:val="00D70594"/>
    <w:rsid w:val="00D7073B"/>
    <w:rsid w:val="00D708A9"/>
    <w:rsid w:val="00D70BD8"/>
    <w:rsid w:val="00D70D66"/>
    <w:rsid w:val="00D710DB"/>
    <w:rsid w:val="00D71152"/>
    <w:rsid w:val="00D71262"/>
    <w:rsid w:val="00D713C7"/>
    <w:rsid w:val="00D7144A"/>
    <w:rsid w:val="00D714FE"/>
    <w:rsid w:val="00D718F2"/>
    <w:rsid w:val="00D71DC8"/>
    <w:rsid w:val="00D71E5E"/>
    <w:rsid w:val="00D72143"/>
    <w:rsid w:val="00D7223A"/>
    <w:rsid w:val="00D722AC"/>
    <w:rsid w:val="00D72391"/>
    <w:rsid w:val="00D723B9"/>
    <w:rsid w:val="00D72506"/>
    <w:rsid w:val="00D7279E"/>
    <w:rsid w:val="00D728B3"/>
    <w:rsid w:val="00D728E5"/>
    <w:rsid w:val="00D72A5A"/>
    <w:rsid w:val="00D72C36"/>
    <w:rsid w:val="00D7324E"/>
    <w:rsid w:val="00D73385"/>
    <w:rsid w:val="00D734BB"/>
    <w:rsid w:val="00D73625"/>
    <w:rsid w:val="00D739AB"/>
    <w:rsid w:val="00D73A36"/>
    <w:rsid w:val="00D73BC7"/>
    <w:rsid w:val="00D73D5D"/>
    <w:rsid w:val="00D73E1E"/>
    <w:rsid w:val="00D73FFB"/>
    <w:rsid w:val="00D7410E"/>
    <w:rsid w:val="00D74167"/>
    <w:rsid w:val="00D74271"/>
    <w:rsid w:val="00D7454F"/>
    <w:rsid w:val="00D74BEC"/>
    <w:rsid w:val="00D74DB8"/>
    <w:rsid w:val="00D74F98"/>
    <w:rsid w:val="00D74FA6"/>
    <w:rsid w:val="00D75087"/>
    <w:rsid w:val="00D75876"/>
    <w:rsid w:val="00D75AC6"/>
    <w:rsid w:val="00D75C58"/>
    <w:rsid w:val="00D75CBE"/>
    <w:rsid w:val="00D75D1B"/>
    <w:rsid w:val="00D75DF0"/>
    <w:rsid w:val="00D75ED1"/>
    <w:rsid w:val="00D75FFA"/>
    <w:rsid w:val="00D76199"/>
    <w:rsid w:val="00D76266"/>
    <w:rsid w:val="00D76441"/>
    <w:rsid w:val="00D765B1"/>
    <w:rsid w:val="00D76819"/>
    <w:rsid w:val="00D76961"/>
    <w:rsid w:val="00D76BDF"/>
    <w:rsid w:val="00D76BF5"/>
    <w:rsid w:val="00D76BFD"/>
    <w:rsid w:val="00D76E40"/>
    <w:rsid w:val="00D76E6B"/>
    <w:rsid w:val="00D772B8"/>
    <w:rsid w:val="00D77715"/>
    <w:rsid w:val="00D777E5"/>
    <w:rsid w:val="00D777FB"/>
    <w:rsid w:val="00D77B36"/>
    <w:rsid w:val="00D77C12"/>
    <w:rsid w:val="00D77C4B"/>
    <w:rsid w:val="00D77C53"/>
    <w:rsid w:val="00D77F2C"/>
    <w:rsid w:val="00D802AE"/>
    <w:rsid w:val="00D802E5"/>
    <w:rsid w:val="00D8069D"/>
    <w:rsid w:val="00D80759"/>
    <w:rsid w:val="00D80761"/>
    <w:rsid w:val="00D807FD"/>
    <w:rsid w:val="00D80953"/>
    <w:rsid w:val="00D80A65"/>
    <w:rsid w:val="00D80AED"/>
    <w:rsid w:val="00D80CD9"/>
    <w:rsid w:val="00D80DBB"/>
    <w:rsid w:val="00D80FFD"/>
    <w:rsid w:val="00D810D6"/>
    <w:rsid w:val="00D8170F"/>
    <w:rsid w:val="00D81A31"/>
    <w:rsid w:val="00D81A75"/>
    <w:rsid w:val="00D81BED"/>
    <w:rsid w:val="00D81DB2"/>
    <w:rsid w:val="00D823DF"/>
    <w:rsid w:val="00D825EB"/>
    <w:rsid w:val="00D82670"/>
    <w:rsid w:val="00D826A6"/>
    <w:rsid w:val="00D828CB"/>
    <w:rsid w:val="00D829BE"/>
    <w:rsid w:val="00D829D5"/>
    <w:rsid w:val="00D82B0F"/>
    <w:rsid w:val="00D82C67"/>
    <w:rsid w:val="00D82CF3"/>
    <w:rsid w:val="00D82EAA"/>
    <w:rsid w:val="00D82F32"/>
    <w:rsid w:val="00D83048"/>
    <w:rsid w:val="00D833DC"/>
    <w:rsid w:val="00D83546"/>
    <w:rsid w:val="00D835CB"/>
    <w:rsid w:val="00D835F0"/>
    <w:rsid w:val="00D8374F"/>
    <w:rsid w:val="00D8378E"/>
    <w:rsid w:val="00D837E4"/>
    <w:rsid w:val="00D83E36"/>
    <w:rsid w:val="00D83E46"/>
    <w:rsid w:val="00D84393"/>
    <w:rsid w:val="00D846C2"/>
    <w:rsid w:val="00D8474D"/>
    <w:rsid w:val="00D84971"/>
    <w:rsid w:val="00D84E87"/>
    <w:rsid w:val="00D851B0"/>
    <w:rsid w:val="00D852BD"/>
    <w:rsid w:val="00D8543F"/>
    <w:rsid w:val="00D85476"/>
    <w:rsid w:val="00D8588F"/>
    <w:rsid w:val="00D8598F"/>
    <w:rsid w:val="00D859AC"/>
    <w:rsid w:val="00D85BBF"/>
    <w:rsid w:val="00D85CD5"/>
    <w:rsid w:val="00D864A8"/>
    <w:rsid w:val="00D864CF"/>
    <w:rsid w:val="00D868EA"/>
    <w:rsid w:val="00D86A61"/>
    <w:rsid w:val="00D86B60"/>
    <w:rsid w:val="00D86BA6"/>
    <w:rsid w:val="00D870AF"/>
    <w:rsid w:val="00D87186"/>
    <w:rsid w:val="00D874F4"/>
    <w:rsid w:val="00D8755C"/>
    <w:rsid w:val="00D8758D"/>
    <w:rsid w:val="00D87671"/>
    <w:rsid w:val="00D8782B"/>
    <w:rsid w:val="00D87847"/>
    <w:rsid w:val="00D879C5"/>
    <w:rsid w:val="00D87A55"/>
    <w:rsid w:val="00D87FC5"/>
    <w:rsid w:val="00D90369"/>
    <w:rsid w:val="00D90585"/>
    <w:rsid w:val="00D9069C"/>
    <w:rsid w:val="00D907EF"/>
    <w:rsid w:val="00D90949"/>
    <w:rsid w:val="00D90BB5"/>
    <w:rsid w:val="00D90CBA"/>
    <w:rsid w:val="00D90CC9"/>
    <w:rsid w:val="00D90E78"/>
    <w:rsid w:val="00D91026"/>
    <w:rsid w:val="00D91490"/>
    <w:rsid w:val="00D9149F"/>
    <w:rsid w:val="00D914DE"/>
    <w:rsid w:val="00D91591"/>
    <w:rsid w:val="00D916DC"/>
    <w:rsid w:val="00D91759"/>
    <w:rsid w:val="00D9194E"/>
    <w:rsid w:val="00D9195D"/>
    <w:rsid w:val="00D91C20"/>
    <w:rsid w:val="00D91E16"/>
    <w:rsid w:val="00D91F83"/>
    <w:rsid w:val="00D91FC1"/>
    <w:rsid w:val="00D91FFA"/>
    <w:rsid w:val="00D922B5"/>
    <w:rsid w:val="00D922BC"/>
    <w:rsid w:val="00D9253E"/>
    <w:rsid w:val="00D9263F"/>
    <w:rsid w:val="00D92739"/>
    <w:rsid w:val="00D929FB"/>
    <w:rsid w:val="00D92B90"/>
    <w:rsid w:val="00D92D98"/>
    <w:rsid w:val="00D92DE1"/>
    <w:rsid w:val="00D93085"/>
    <w:rsid w:val="00D9311F"/>
    <w:rsid w:val="00D931C3"/>
    <w:rsid w:val="00D9323B"/>
    <w:rsid w:val="00D93267"/>
    <w:rsid w:val="00D93272"/>
    <w:rsid w:val="00D93347"/>
    <w:rsid w:val="00D93512"/>
    <w:rsid w:val="00D9359D"/>
    <w:rsid w:val="00D935F2"/>
    <w:rsid w:val="00D93747"/>
    <w:rsid w:val="00D93766"/>
    <w:rsid w:val="00D93796"/>
    <w:rsid w:val="00D939A9"/>
    <w:rsid w:val="00D93F6A"/>
    <w:rsid w:val="00D94134"/>
    <w:rsid w:val="00D941CB"/>
    <w:rsid w:val="00D94891"/>
    <w:rsid w:val="00D948AF"/>
    <w:rsid w:val="00D94D2D"/>
    <w:rsid w:val="00D94E8C"/>
    <w:rsid w:val="00D94ECF"/>
    <w:rsid w:val="00D94F0E"/>
    <w:rsid w:val="00D94F14"/>
    <w:rsid w:val="00D950FD"/>
    <w:rsid w:val="00D95107"/>
    <w:rsid w:val="00D95406"/>
    <w:rsid w:val="00D95510"/>
    <w:rsid w:val="00D95648"/>
    <w:rsid w:val="00D95823"/>
    <w:rsid w:val="00D9592B"/>
    <w:rsid w:val="00D95A58"/>
    <w:rsid w:val="00D95C25"/>
    <w:rsid w:val="00D96494"/>
    <w:rsid w:val="00D964DE"/>
    <w:rsid w:val="00D964F0"/>
    <w:rsid w:val="00D9664E"/>
    <w:rsid w:val="00D96678"/>
    <w:rsid w:val="00D96881"/>
    <w:rsid w:val="00D9693F"/>
    <w:rsid w:val="00D96987"/>
    <w:rsid w:val="00D96AA5"/>
    <w:rsid w:val="00D96E86"/>
    <w:rsid w:val="00D96FBD"/>
    <w:rsid w:val="00D97116"/>
    <w:rsid w:val="00D972DD"/>
    <w:rsid w:val="00D97552"/>
    <w:rsid w:val="00D97599"/>
    <w:rsid w:val="00D97623"/>
    <w:rsid w:val="00D97818"/>
    <w:rsid w:val="00D97ABE"/>
    <w:rsid w:val="00D97B31"/>
    <w:rsid w:val="00D97BBC"/>
    <w:rsid w:val="00D97BE4"/>
    <w:rsid w:val="00D97C54"/>
    <w:rsid w:val="00D97CE1"/>
    <w:rsid w:val="00D97D2C"/>
    <w:rsid w:val="00DA00C9"/>
    <w:rsid w:val="00DA00D7"/>
    <w:rsid w:val="00DA01F9"/>
    <w:rsid w:val="00DA02B2"/>
    <w:rsid w:val="00DA0771"/>
    <w:rsid w:val="00DA0834"/>
    <w:rsid w:val="00DA0929"/>
    <w:rsid w:val="00DA0AB8"/>
    <w:rsid w:val="00DA0AE3"/>
    <w:rsid w:val="00DA0B1F"/>
    <w:rsid w:val="00DA0C3F"/>
    <w:rsid w:val="00DA0CDD"/>
    <w:rsid w:val="00DA0D26"/>
    <w:rsid w:val="00DA137D"/>
    <w:rsid w:val="00DA13AD"/>
    <w:rsid w:val="00DA14E2"/>
    <w:rsid w:val="00DA1539"/>
    <w:rsid w:val="00DA1564"/>
    <w:rsid w:val="00DA1569"/>
    <w:rsid w:val="00DA1704"/>
    <w:rsid w:val="00DA1731"/>
    <w:rsid w:val="00DA17ED"/>
    <w:rsid w:val="00DA1925"/>
    <w:rsid w:val="00DA1A33"/>
    <w:rsid w:val="00DA1A5C"/>
    <w:rsid w:val="00DA1AF1"/>
    <w:rsid w:val="00DA1C4C"/>
    <w:rsid w:val="00DA1CD1"/>
    <w:rsid w:val="00DA1DFB"/>
    <w:rsid w:val="00DA22F6"/>
    <w:rsid w:val="00DA237F"/>
    <w:rsid w:val="00DA249D"/>
    <w:rsid w:val="00DA2858"/>
    <w:rsid w:val="00DA2BF6"/>
    <w:rsid w:val="00DA2DD4"/>
    <w:rsid w:val="00DA30B9"/>
    <w:rsid w:val="00DA314A"/>
    <w:rsid w:val="00DA3152"/>
    <w:rsid w:val="00DA3201"/>
    <w:rsid w:val="00DA32FA"/>
    <w:rsid w:val="00DA369C"/>
    <w:rsid w:val="00DA376F"/>
    <w:rsid w:val="00DA37F0"/>
    <w:rsid w:val="00DA3A29"/>
    <w:rsid w:val="00DA3DD3"/>
    <w:rsid w:val="00DA41B2"/>
    <w:rsid w:val="00DA42A3"/>
    <w:rsid w:val="00DA4401"/>
    <w:rsid w:val="00DA4587"/>
    <w:rsid w:val="00DA45AC"/>
    <w:rsid w:val="00DA47A0"/>
    <w:rsid w:val="00DA47F5"/>
    <w:rsid w:val="00DA483B"/>
    <w:rsid w:val="00DA4A29"/>
    <w:rsid w:val="00DA5359"/>
    <w:rsid w:val="00DA58C6"/>
    <w:rsid w:val="00DA5914"/>
    <w:rsid w:val="00DA5946"/>
    <w:rsid w:val="00DA5B60"/>
    <w:rsid w:val="00DA6036"/>
    <w:rsid w:val="00DA603C"/>
    <w:rsid w:val="00DA60FC"/>
    <w:rsid w:val="00DA61C8"/>
    <w:rsid w:val="00DA63C2"/>
    <w:rsid w:val="00DA695E"/>
    <w:rsid w:val="00DA6A2A"/>
    <w:rsid w:val="00DA6AEF"/>
    <w:rsid w:val="00DA6B41"/>
    <w:rsid w:val="00DA6CAF"/>
    <w:rsid w:val="00DA6E95"/>
    <w:rsid w:val="00DA707E"/>
    <w:rsid w:val="00DA74A9"/>
    <w:rsid w:val="00DA761A"/>
    <w:rsid w:val="00DA7678"/>
    <w:rsid w:val="00DA76A8"/>
    <w:rsid w:val="00DA7B7F"/>
    <w:rsid w:val="00DA7C48"/>
    <w:rsid w:val="00DA7F0C"/>
    <w:rsid w:val="00DB02E1"/>
    <w:rsid w:val="00DB0662"/>
    <w:rsid w:val="00DB06E6"/>
    <w:rsid w:val="00DB07E0"/>
    <w:rsid w:val="00DB0B4C"/>
    <w:rsid w:val="00DB0BEE"/>
    <w:rsid w:val="00DB116C"/>
    <w:rsid w:val="00DB1184"/>
    <w:rsid w:val="00DB11DB"/>
    <w:rsid w:val="00DB11FE"/>
    <w:rsid w:val="00DB1212"/>
    <w:rsid w:val="00DB1285"/>
    <w:rsid w:val="00DB1521"/>
    <w:rsid w:val="00DB17A6"/>
    <w:rsid w:val="00DB19FB"/>
    <w:rsid w:val="00DB1C27"/>
    <w:rsid w:val="00DB1DDB"/>
    <w:rsid w:val="00DB1EA5"/>
    <w:rsid w:val="00DB2214"/>
    <w:rsid w:val="00DB26BD"/>
    <w:rsid w:val="00DB2728"/>
    <w:rsid w:val="00DB27C8"/>
    <w:rsid w:val="00DB2A56"/>
    <w:rsid w:val="00DB2AE0"/>
    <w:rsid w:val="00DB2B9D"/>
    <w:rsid w:val="00DB2BEF"/>
    <w:rsid w:val="00DB2E96"/>
    <w:rsid w:val="00DB3283"/>
    <w:rsid w:val="00DB330D"/>
    <w:rsid w:val="00DB3536"/>
    <w:rsid w:val="00DB36E2"/>
    <w:rsid w:val="00DB3A2B"/>
    <w:rsid w:val="00DB3AF1"/>
    <w:rsid w:val="00DB3B37"/>
    <w:rsid w:val="00DB3B75"/>
    <w:rsid w:val="00DB3C02"/>
    <w:rsid w:val="00DB3F4A"/>
    <w:rsid w:val="00DB3F63"/>
    <w:rsid w:val="00DB3FEF"/>
    <w:rsid w:val="00DB4002"/>
    <w:rsid w:val="00DB411E"/>
    <w:rsid w:val="00DB44DC"/>
    <w:rsid w:val="00DB4564"/>
    <w:rsid w:val="00DB48A9"/>
    <w:rsid w:val="00DB48E0"/>
    <w:rsid w:val="00DB4911"/>
    <w:rsid w:val="00DB49AE"/>
    <w:rsid w:val="00DB4B0F"/>
    <w:rsid w:val="00DB4D4D"/>
    <w:rsid w:val="00DB4E43"/>
    <w:rsid w:val="00DB4EE9"/>
    <w:rsid w:val="00DB4FDA"/>
    <w:rsid w:val="00DB513A"/>
    <w:rsid w:val="00DB5205"/>
    <w:rsid w:val="00DB533A"/>
    <w:rsid w:val="00DB5513"/>
    <w:rsid w:val="00DB5596"/>
    <w:rsid w:val="00DB5625"/>
    <w:rsid w:val="00DB57A7"/>
    <w:rsid w:val="00DB58D7"/>
    <w:rsid w:val="00DB58F9"/>
    <w:rsid w:val="00DB5989"/>
    <w:rsid w:val="00DB5B79"/>
    <w:rsid w:val="00DB5B7F"/>
    <w:rsid w:val="00DB5CA8"/>
    <w:rsid w:val="00DB5DC3"/>
    <w:rsid w:val="00DB60D2"/>
    <w:rsid w:val="00DB6210"/>
    <w:rsid w:val="00DB632E"/>
    <w:rsid w:val="00DB6460"/>
    <w:rsid w:val="00DB6465"/>
    <w:rsid w:val="00DB64AE"/>
    <w:rsid w:val="00DB661D"/>
    <w:rsid w:val="00DB6701"/>
    <w:rsid w:val="00DB6774"/>
    <w:rsid w:val="00DB6879"/>
    <w:rsid w:val="00DB68B0"/>
    <w:rsid w:val="00DB696F"/>
    <w:rsid w:val="00DB6ACB"/>
    <w:rsid w:val="00DB6E7B"/>
    <w:rsid w:val="00DB6EEF"/>
    <w:rsid w:val="00DB7279"/>
    <w:rsid w:val="00DB7350"/>
    <w:rsid w:val="00DB752B"/>
    <w:rsid w:val="00DB75AC"/>
    <w:rsid w:val="00DB7872"/>
    <w:rsid w:val="00DB78EB"/>
    <w:rsid w:val="00DB795B"/>
    <w:rsid w:val="00DB79D0"/>
    <w:rsid w:val="00DB7A2E"/>
    <w:rsid w:val="00DB7BD1"/>
    <w:rsid w:val="00DB7C95"/>
    <w:rsid w:val="00DC013D"/>
    <w:rsid w:val="00DC0423"/>
    <w:rsid w:val="00DC05A2"/>
    <w:rsid w:val="00DC0636"/>
    <w:rsid w:val="00DC07C3"/>
    <w:rsid w:val="00DC0AE9"/>
    <w:rsid w:val="00DC0B5F"/>
    <w:rsid w:val="00DC0CDF"/>
    <w:rsid w:val="00DC0EA6"/>
    <w:rsid w:val="00DC0F7E"/>
    <w:rsid w:val="00DC103F"/>
    <w:rsid w:val="00DC10DF"/>
    <w:rsid w:val="00DC118C"/>
    <w:rsid w:val="00DC12C8"/>
    <w:rsid w:val="00DC1321"/>
    <w:rsid w:val="00DC136E"/>
    <w:rsid w:val="00DC148C"/>
    <w:rsid w:val="00DC1584"/>
    <w:rsid w:val="00DC1897"/>
    <w:rsid w:val="00DC1984"/>
    <w:rsid w:val="00DC1A62"/>
    <w:rsid w:val="00DC1C47"/>
    <w:rsid w:val="00DC215B"/>
    <w:rsid w:val="00DC22A1"/>
    <w:rsid w:val="00DC22A5"/>
    <w:rsid w:val="00DC22CB"/>
    <w:rsid w:val="00DC230F"/>
    <w:rsid w:val="00DC23CA"/>
    <w:rsid w:val="00DC24A5"/>
    <w:rsid w:val="00DC295D"/>
    <w:rsid w:val="00DC29A3"/>
    <w:rsid w:val="00DC29B3"/>
    <w:rsid w:val="00DC2C9B"/>
    <w:rsid w:val="00DC2CB2"/>
    <w:rsid w:val="00DC2F4A"/>
    <w:rsid w:val="00DC303A"/>
    <w:rsid w:val="00DC3129"/>
    <w:rsid w:val="00DC31E6"/>
    <w:rsid w:val="00DC3206"/>
    <w:rsid w:val="00DC3995"/>
    <w:rsid w:val="00DC3A33"/>
    <w:rsid w:val="00DC3A7C"/>
    <w:rsid w:val="00DC3C0E"/>
    <w:rsid w:val="00DC3D86"/>
    <w:rsid w:val="00DC3E8D"/>
    <w:rsid w:val="00DC3F29"/>
    <w:rsid w:val="00DC3FB6"/>
    <w:rsid w:val="00DC41D9"/>
    <w:rsid w:val="00DC4540"/>
    <w:rsid w:val="00DC46A7"/>
    <w:rsid w:val="00DC46DB"/>
    <w:rsid w:val="00DC47D9"/>
    <w:rsid w:val="00DC48F2"/>
    <w:rsid w:val="00DC4AFD"/>
    <w:rsid w:val="00DC4C77"/>
    <w:rsid w:val="00DC4CA4"/>
    <w:rsid w:val="00DC4D2C"/>
    <w:rsid w:val="00DC4E22"/>
    <w:rsid w:val="00DC51DE"/>
    <w:rsid w:val="00DC5245"/>
    <w:rsid w:val="00DC56B8"/>
    <w:rsid w:val="00DC58C1"/>
    <w:rsid w:val="00DC58CB"/>
    <w:rsid w:val="00DC598E"/>
    <w:rsid w:val="00DC5CBE"/>
    <w:rsid w:val="00DC5D95"/>
    <w:rsid w:val="00DC6016"/>
    <w:rsid w:val="00DC6195"/>
    <w:rsid w:val="00DC6313"/>
    <w:rsid w:val="00DC6470"/>
    <w:rsid w:val="00DC6586"/>
    <w:rsid w:val="00DC65C2"/>
    <w:rsid w:val="00DC664F"/>
    <w:rsid w:val="00DC6776"/>
    <w:rsid w:val="00DC67D3"/>
    <w:rsid w:val="00DC6815"/>
    <w:rsid w:val="00DC69CB"/>
    <w:rsid w:val="00DC6C02"/>
    <w:rsid w:val="00DC6C0D"/>
    <w:rsid w:val="00DC6C34"/>
    <w:rsid w:val="00DC6D28"/>
    <w:rsid w:val="00DC6F06"/>
    <w:rsid w:val="00DC71A7"/>
    <w:rsid w:val="00DC71D9"/>
    <w:rsid w:val="00DC7494"/>
    <w:rsid w:val="00DC76F4"/>
    <w:rsid w:val="00DC7798"/>
    <w:rsid w:val="00DC779A"/>
    <w:rsid w:val="00DC78CC"/>
    <w:rsid w:val="00DC7E4C"/>
    <w:rsid w:val="00DC7E7F"/>
    <w:rsid w:val="00DD002E"/>
    <w:rsid w:val="00DD023A"/>
    <w:rsid w:val="00DD04CE"/>
    <w:rsid w:val="00DD0534"/>
    <w:rsid w:val="00DD06FA"/>
    <w:rsid w:val="00DD0750"/>
    <w:rsid w:val="00DD0786"/>
    <w:rsid w:val="00DD0797"/>
    <w:rsid w:val="00DD07FF"/>
    <w:rsid w:val="00DD0860"/>
    <w:rsid w:val="00DD0EC4"/>
    <w:rsid w:val="00DD0F9E"/>
    <w:rsid w:val="00DD11EE"/>
    <w:rsid w:val="00DD123E"/>
    <w:rsid w:val="00DD13CC"/>
    <w:rsid w:val="00DD14A8"/>
    <w:rsid w:val="00DD14C7"/>
    <w:rsid w:val="00DD1729"/>
    <w:rsid w:val="00DD1A91"/>
    <w:rsid w:val="00DD1C8F"/>
    <w:rsid w:val="00DD1E66"/>
    <w:rsid w:val="00DD23E8"/>
    <w:rsid w:val="00DD292D"/>
    <w:rsid w:val="00DD296D"/>
    <w:rsid w:val="00DD2C64"/>
    <w:rsid w:val="00DD2CEB"/>
    <w:rsid w:val="00DD30B1"/>
    <w:rsid w:val="00DD321C"/>
    <w:rsid w:val="00DD33CB"/>
    <w:rsid w:val="00DD36F1"/>
    <w:rsid w:val="00DD37F4"/>
    <w:rsid w:val="00DD3816"/>
    <w:rsid w:val="00DD38ED"/>
    <w:rsid w:val="00DD3DBC"/>
    <w:rsid w:val="00DD3DF8"/>
    <w:rsid w:val="00DD4250"/>
    <w:rsid w:val="00DD4263"/>
    <w:rsid w:val="00DD43B0"/>
    <w:rsid w:val="00DD4677"/>
    <w:rsid w:val="00DD46CB"/>
    <w:rsid w:val="00DD4705"/>
    <w:rsid w:val="00DD4778"/>
    <w:rsid w:val="00DD4A1E"/>
    <w:rsid w:val="00DD4B2A"/>
    <w:rsid w:val="00DD509F"/>
    <w:rsid w:val="00DD51B9"/>
    <w:rsid w:val="00DD5217"/>
    <w:rsid w:val="00DD5329"/>
    <w:rsid w:val="00DD5341"/>
    <w:rsid w:val="00DD53BB"/>
    <w:rsid w:val="00DD53C6"/>
    <w:rsid w:val="00DD55BC"/>
    <w:rsid w:val="00DD55C0"/>
    <w:rsid w:val="00DD583F"/>
    <w:rsid w:val="00DD5A03"/>
    <w:rsid w:val="00DD5A41"/>
    <w:rsid w:val="00DD5ABF"/>
    <w:rsid w:val="00DD5BC4"/>
    <w:rsid w:val="00DD5E62"/>
    <w:rsid w:val="00DD5EF0"/>
    <w:rsid w:val="00DD5F58"/>
    <w:rsid w:val="00DD6005"/>
    <w:rsid w:val="00DD603D"/>
    <w:rsid w:val="00DD6481"/>
    <w:rsid w:val="00DD6840"/>
    <w:rsid w:val="00DD6A4F"/>
    <w:rsid w:val="00DD6B71"/>
    <w:rsid w:val="00DD6D10"/>
    <w:rsid w:val="00DD701E"/>
    <w:rsid w:val="00DD70E4"/>
    <w:rsid w:val="00DD71DE"/>
    <w:rsid w:val="00DD7223"/>
    <w:rsid w:val="00DD748F"/>
    <w:rsid w:val="00DD7541"/>
    <w:rsid w:val="00DD7637"/>
    <w:rsid w:val="00DD7829"/>
    <w:rsid w:val="00DE002C"/>
    <w:rsid w:val="00DE04E4"/>
    <w:rsid w:val="00DE0675"/>
    <w:rsid w:val="00DE080A"/>
    <w:rsid w:val="00DE08AC"/>
    <w:rsid w:val="00DE097A"/>
    <w:rsid w:val="00DE09B3"/>
    <w:rsid w:val="00DE0C50"/>
    <w:rsid w:val="00DE0C94"/>
    <w:rsid w:val="00DE0D5C"/>
    <w:rsid w:val="00DE0D63"/>
    <w:rsid w:val="00DE1011"/>
    <w:rsid w:val="00DE11EE"/>
    <w:rsid w:val="00DE11FE"/>
    <w:rsid w:val="00DE125E"/>
    <w:rsid w:val="00DE14A8"/>
    <w:rsid w:val="00DE164D"/>
    <w:rsid w:val="00DE198A"/>
    <w:rsid w:val="00DE1A81"/>
    <w:rsid w:val="00DE1C2F"/>
    <w:rsid w:val="00DE1E96"/>
    <w:rsid w:val="00DE224C"/>
    <w:rsid w:val="00DE233F"/>
    <w:rsid w:val="00DE24D8"/>
    <w:rsid w:val="00DE2E77"/>
    <w:rsid w:val="00DE3373"/>
    <w:rsid w:val="00DE37D4"/>
    <w:rsid w:val="00DE390A"/>
    <w:rsid w:val="00DE3CB2"/>
    <w:rsid w:val="00DE3D9A"/>
    <w:rsid w:val="00DE3E8D"/>
    <w:rsid w:val="00DE3F0C"/>
    <w:rsid w:val="00DE424E"/>
    <w:rsid w:val="00DE45A9"/>
    <w:rsid w:val="00DE46F5"/>
    <w:rsid w:val="00DE47E0"/>
    <w:rsid w:val="00DE48D1"/>
    <w:rsid w:val="00DE4A85"/>
    <w:rsid w:val="00DE4B2D"/>
    <w:rsid w:val="00DE4C2F"/>
    <w:rsid w:val="00DE4D71"/>
    <w:rsid w:val="00DE4E2D"/>
    <w:rsid w:val="00DE4F3E"/>
    <w:rsid w:val="00DE4F6F"/>
    <w:rsid w:val="00DE502A"/>
    <w:rsid w:val="00DE504B"/>
    <w:rsid w:val="00DE5262"/>
    <w:rsid w:val="00DE5342"/>
    <w:rsid w:val="00DE5556"/>
    <w:rsid w:val="00DE5838"/>
    <w:rsid w:val="00DE5C34"/>
    <w:rsid w:val="00DE5CF5"/>
    <w:rsid w:val="00DE5D79"/>
    <w:rsid w:val="00DE601B"/>
    <w:rsid w:val="00DE67A0"/>
    <w:rsid w:val="00DE68BB"/>
    <w:rsid w:val="00DE6B8B"/>
    <w:rsid w:val="00DE6CF8"/>
    <w:rsid w:val="00DE6E04"/>
    <w:rsid w:val="00DE6F3A"/>
    <w:rsid w:val="00DE6F8D"/>
    <w:rsid w:val="00DE705F"/>
    <w:rsid w:val="00DE7097"/>
    <w:rsid w:val="00DE71D2"/>
    <w:rsid w:val="00DE71DD"/>
    <w:rsid w:val="00DE76A8"/>
    <w:rsid w:val="00DE76CA"/>
    <w:rsid w:val="00DE7905"/>
    <w:rsid w:val="00DE7C1A"/>
    <w:rsid w:val="00DE7C8F"/>
    <w:rsid w:val="00DE7DBF"/>
    <w:rsid w:val="00DE7DDD"/>
    <w:rsid w:val="00DE7EB0"/>
    <w:rsid w:val="00DE7EEC"/>
    <w:rsid w:val="00DF0011"/>
    <w:rsid w:val="00DF008E"/>
    <w:rsid w:val="00DF017A"/>
    <w:rsid w:val="00DF0405"/>
    <w:rsid w:val="00DF093A"/>
    <w:rsid w:val="00DF0C46"/>
    <w:rsid w:val="00DF0D8B"/>
    <w:rsid w:val="00DF108C"/>
    <w:rsid w:val="00DF11FB"/>
    <w:rsid w:val="00DF14D0"/>
    <w:rsid w:val="00DF16F7"/>
    <w:rsid w:val="00DF1829"/>
    <w:rsid w:val="00DF21C2"/>
    <w:rsid w:val="00DF249C"/>
    <w:rsid w:val="00DF2697"/>
    <w:rsid w:val="00DF26AE"/>
    <w:rsid w:val="00DF2741"/>
    <w:rsid w:val="00DF2817"/>
    <w:rsid w:val="00DF2858"/>
    <w:rsid w:val="00DF297D"/>
    <w:rsid w:val="00DF2A2F"/>
    <w:rsid w:val="00DF2B29"/>
    <w:rsid w:val="00DF2C62"/>
    <w:rsid w:val="00DF2D3E"/>
    <w:rsid w:val="00DF2D7B"/>
    <w:rsid w:val="00DF2D88"/>
    <w:rsid w:val="00DF2DBE"/>
    <w:rsid w:val="00DF2E64"/>
    <w:rsid w:val="00DF2F3E"/>
    <w:rsid w:val="00DF30AE"/>
    <w:rsid w:val="00DF30D3"/>
    <w:rsid w:val="00DF31DE"/>
    <w:rsid w:val="00DF3551"/>
    <w:rsid w:val="00DF35AA"/>
    <w:rsid w:val="00DF382B"/>
    <w:rsid w:val="00DF3ABC"/>
    <w:rsid w:val="00DF3E9E"/>
    <w:rsid w:val="00DF3EFA"/>
    <w:rsid w:val="00DF3F1E"/>
    <w:rsid w:val="00DF3FEA"/>
    <w:rsid w:val="00DF41B9"/>
    <w:rsid w:val="00DF4251"/>
    <w:rsid w:val="00DF45DA"/>
    <w:rsid w:val="00DF4835"/>
    <w:rsid w:val="00DF49FB"/>
    <w:rsid w:val="00DF4B07"/>
    <w:rsid w:val="00DF4BC7"/>
    <w:rsid w:val="00DF4E43"/>
    <w:rsid w:val="00DF4E8F"/>
    <w:rsid w:val="00DF4EDC"/>
    <w:rsid w:val="00DF50CD"/>
    <w:rsid w:val="00DF54B6"/>
    <w:rsid w:val="00DF5665"/>
    <w:rsid w:val="00DF56BF"/>
    <w:rsid w:val="00DF577B"/>
    <w:rsid w:val="00DF58CC"/>
    <w:rsid w:val="00DF59A8"/>
    <w:rsid w:val="00DF59D0"/>
    <w:rsid w:val="00DF5A91"/>
    <w:rsid w:val="00DF5BF0"/>
    <w:rsid w:val="00DF5F36"/>
    <w:rsid w:val="00DF5FBD"/>
    <w:rsid w:val="00DF6249"/>
    <w:rsid w:val="00DF67D1"/>
    <w:rsid w:val="00DF6831"/>
    <w:rsid w:val="00DF6BC8"/>
    <w:rsid w:val="00DF6D2A"/>
    <w:rsid w:val="00DF6F7F"/>
    <w:rsid w:val="00DF6FEB"/>
    <w:rsid w:val="00DF7350"/>
    <w:rsid w:val="00DF7691"/>
    <w:rsid w:val="00DF76E9"/>
    <w:rsid w:val="00DF790A"/>
    <w:rsid w:val="00DF7B02"/>
    <w:rsid w:val="00DF7B86"/>
    <w:rsid w:val="00DF7CBB"/>
    <w:rsid w:val="00E00016"/>
    <w:rsid w:val="00E00078"/>
    <w:rsid w:val="00E00180"/>
    <w:rsid w:val="00E0031A"/>
    <w:rsid w:val="00E003E2"/>
    <w:rsid w:val="00E00417"/>
    <w:rsid w:val="00E005F2"/>
    <w:rsid w:val="00E0068F"/>
    <w:rsid w:val="00E00733"/>
    <w:rsid w:val="00E00D80"/>
    <w:rsid w:val="00E010AA"/>
    <w:rsid w:val="00E01162"/>
    <w:rsid w:val="00E015B8"/>
    <w:rsid w:val="00E018AA"/>
    <w:rsid w:val="00E01B0D"/>
    <w:rsid w:val="00E01B82"/>
    <w:rsid w:val="00E01CCF"/>
    <w:rsid w:val="00E01F52"/>
    <w:rsid w:val="00E020F2"/>
    <w:rsid w:val="00E0210A"/>
    <w:rsid w:val="00E02214"/>
    <w:rsid w:val="00E022E8"/>
    <w:rsid w:val="00E023DE"/>
    <w:rsid w:val="00E023E3"/>
    <w:rsid w:val="00E02473"/>
    <w:rsid w:val="00E02843"/>
    <w:rsid w:val="00E0299E"/>
    <w:rsid w:val="00E029FE"/>
    <w:rsid w:val="00E02A63"/>
    <w:rsid w:val="00E02A76"/>
    <w:rsid w:val="00E02ABA"/>
    <w:rsid w:val="00E02B63"/>
    <w:rsid w:val="00E02E50"/>
    <w:rsid w:val="00E02E75"/>
    <w:rsid w:val="00E02FAD"/>
    <w:rsid w:val="00E03397"/>
    <w:rsid w:val="00E0371F"/>
    <w:rsid w:val="00E03720"/>
    <w:rsid w:val="00E03816"/>
    <w:rsid w:val="00E04046"/>
    <w:rsid w:val="00E0405E"/>
    <w:rsid w:val="00E040A0"/>
    <w:rsid w:val="00E0412F"/>
    <w:rsid w:val="00E0460A"/>
    <w:rsid w:val="00E04650"/>
    <w:rsid w:val="00E046FD"/>
    <w:rsid w:val="00E0474D"/>
    <w:rsid w:val="00E047BB"/>
    <w:rsid w:val="00E049A7"/>
    <w:rsid w:val="00E04ECB"/>
    <w:rsid w:val="00E050BF"/>
    <w:rsid w:val="00E053B3"/>
    <w:rsid w:val="00E05496"/>
    <w:rsid w:val="00E0556D"/>
    <w:rsid w:val="00E0568A"/>
    <w:rsid w:val="00E056C8"/>
    <w:rsid w:val="00E0576E"/>
    <w:rsid w:val="00E05912"/>
    <w:rsid w:val="00E05975"/>
    <w:rsid w:val="00E05E25"/>
    <w:rsid w:val="00E05E81"/>
    <w:rsid w:val="00E064BA"/>
    <w:rsid w:val="00E067D7"/>
    <w:rsid w:val="00E06A32"/>
    <w:rsid w:val="00E06EB8"/>
    <w:rsid w:val="00E06EC5"/>
    <w:rsid w:val="00E0712A"/>
    <w:rsid w:val="00E074C7"/>
    <w:rsid w:val="00E07B0B"/>
    <w:rsid w:val="00E07B3A"/>
    <w:rsid w:val="00E07C9B"/>
    <w:rsid w:val="00E07DA8"/>
    <w:rsid w:val="00E07FF9"/>
    <w:rsid w:val="00E106AA"/>
    <w:rsid w:val="00E1080C"/>
    <w:rsid w:val="00E108AE"/>
    <w:rsid w:val="00E108EB"/>
    <w:rsid w:val="00E10A78"/>
    <w:rsid w:val="00E10C04"/>
    <w:rsid w:val="00E11300"/>
    <w:rsid w:val="00E11322"/>
    <w:rsid w:val="00E1158D"/>
    <w:rsid w:val="00E1164D"/>
    <w:rsid w:val="00E11676"/>
    <w:rsid w:val="00E11A43"/>
    <w:rsid w:val="00E11D0F"/>
    <w:rsid w:val="00E11D6C"/>
    <w:rsid w:val="00E11DAB"/>
    <w:rsid w:val="00E11F06"/>
    <w:rsid w:val="00E11F09"/>
    <w:rsid w:val="00E11FAE"/>
    <w:rsid w:val="00E1201C"/>
    <w:rsid w:val="00E12496"/>
    <w:rsid w:val="00E124D8"/>
    <w:rsid w:val="00E1266E"/>
    <w:rsid w:val="00E12826"/>
    <w:rsid w:val="00E1290C"/>
    <w:rsid w:val="00E13317"/>
    <w:rsid w:val="00E13393"/>
    <w:rsid w:val="00E133F5"/>
    <w:rsid w:val="00E134A7"/>
    <w:rsid w:val="00E13682"/>
    <w:rsid w:val="00E136C7"/>
    <w:rsid w:val="00E1373C"/>
    <w:rsid w:val="00E13766"/>
    <w:rsid w:val="00E13799"/>
    <w:rsid w:val="00E13A9F"/>
    <w:rsid w:val="00E13B88"/>
    <w:rsid w:val="00E13C6D"/>
    <w:rsid w:val="00E141DF"/>
    <w:rsid w:val="00E14355"/>
    <w:rsid w:val="00E1470B"/>
    <w:rsid w:val="00E1472D"/>
    <w:rsid w:val="00E14768"/>
    <w:rsid w:val="00E1483E"/>
    <w:rsid w:val="00E1488D"/>
    <w:rsid w:val="00E1496C"/>
    <w:rsid w:val="00E14A4A"/>
    <w:rsid w:val="00E14E5B"/>
    <w:rsid w:val="00E14FF8"/>
    <w:rsid w:val="00E150B1"/>
    <w:rsid w:val="00E15292"/>
    <w:rsid w:val="00E152D0"/>
    <w:rsid w:val="00E15413"/>
    <w:rsid w:val="00E154AA"/>
    <w:rsid w:val="00E154D4"/>
    <w:rsid w:val="00E15757"/>
    <w:rsid w:val="00E1577A"/>
    <w:rsid w:val="00E157A8"/>
    <w:rsid w:val="00E15968"/>
    <w:rsid w:val="00E15B65"/>
    <w:rsid w:val="00E15E86"/>
    <w:rsid w:val="00E15FA3"/>
    <w:rsid w:val="00E162A4"/>
    <w:rsid w:val="00E16324"/>
    <w:rsid w:val="00E16520"/>
    <w:rsid w:val="00E16893"/>
    <w:rsid w:val="00E168AB"/>
    <w:rsid w:val="00E16A88"/>
    <w:rsid w:val="00E16D9C"/>
    <w:rsid w:val="00E16DB8"/>
    <w:rsid w:val="00E16F38"/>
    <w:rsid w:val="00E16F53"/>
    <w:rsid w:val="00E1704C"/>
    <w:rsid w:val="00E171B1"/>
    <w:rsid w:val="00E1720F"/>
    <w:rsid w:val="00E17405"/>
    <w:rsid w:val="00E17AE1"/>
    <w:rsid w:val="00E17EEE"/>
    <w:rsid w:val="00E203FE"/>
    <w:rsid w:val="00E20571"/>
    <w:rsid w:val="00E20865"/>
    <w:rsid w:val="00E20C38"/>
    <w:rsid w:val="00E21138"/>
    <w:rsid w:val="00E212E5"/>
    <w:rsid w:val="00E2154D"/>
    <w:rsid w:val="00E2170E"/>
    <w:rsid w:val="00E21807"/>
    <w:rsid w:val="00E2181D"/>
    <w:rsid w:val="00E2188C"/>
    <w:rsid w:val="00E21AEF"/>
    <w:rsid w:val="00E21CEC"/>
    <w:rsid w:val="00E21D89"/>
    <w:rsid w:val="00E21ECF"/>
    <w:rsid w:val="00E223C7"/>
    <w:rsid w:val="00E225BA"/>
    <w:rsid w:val="00E228D8"/>
    <w:rsid w:val="00E22C07"/>
    <w:rsid w:val="00E2314E"/>
    <w:rsid w:val="00E23314"/>
    <w:rsid w:val="00E234AA"/>
    <w:rsid w:val="00E235E9"/>
    <w:rsid w:val="00E2376C"/>
    <w:rsid w:val="00E237A2"/>
    <w:rsid w:val="00E23890"/>
    <w:rsid w:val="00E2397E"/>
    <w:rsid w:val="00E23996"/>
    <w:rsid w:val="00E23E0D"/>
    <w:rsid w:val="00E23F9D"/>
    <w:rsid w:val="00E2429F"/>
    <w:rsid w:val="00E24377"/>
    <w:rsid w:val="00E243AD"/>
    <w:rsid w:val="00E243F0"/>
    <w:rsid w:val="00E24575"/>
    <w:rsid w:val="00E2496E"/>
    <w:rsid w:val="00E249C0"/>
    <w:rsid w:val="00E24AE3"/>
    <w:rsid w:val="00E24B15"/>
    <w:rsid w:val="00E24B64"/>
    <w:rsid w:val="00E24C51"/>
    <w:rsid w:val="00E24D4A"/>
    <w:rsid w:val="00E24E28"/>
    <w:rsid w:val="00E2501A"/>
    <w:rsid w:val="00E25052"/>
    <w:rsid w:val="00E250DF"/>
    <w:rsid w:val="00E25320"/>
    <w:rsid w:val="00E2545F"/>
    <w:rsid w:val="00E2553C"/>
    <w:rsid w:val="00E25711"/>
    <w:rsid w:val="00E2584D"/>
    <w:rsid w:val="00E25B69"/>
    <w:rsid w:val="00E25CAA"/>
    <w:rsid w:val="00E25D75"/>
    <w:rsid w:val="00E261AD"/>
    <w:rsid w:val="00E261BF"/>
    <w:rsid w:val="00E2630E"/>
    <w:rsid w:val="00E2691F"/>
    <w:rsid w:val="00E269DE"/>
    <w:rsid w:val="00E26A3B"/>
    <w:rsid w:val="00E26A4C"/>
    <w:rsid w:val="00E26AAE"/>
    <w:rsid w:val="00E26B76"/>
    <w:rsid w:val="00E26B82"/>
    <w:rsid w:val="00E26DC8"/>
    <w:rsid w:val="00E26EE1"/>
    <w:rsid w:val="00E273A9"/>
    <w:rsid w:val="00E273BA"/>
    <w:rsid w:val="00E27476"/>
    <w:rsid w:val="00E27543"/>
    <w:rsid w:val="00E2754A"/>
    <w:rsid w:val="00E2786D"/>
    <w:rsid w:val="00E2789F"/>
    <w:rsid w:val="00E278A4"/>
    <w:rsid w:val="00E279EE"/>
    <w:rsid w:val="00E27BDE"/>
    <w:rsid w:val="00E27D68"/>
    <w:rsid w:val="00E27F88"/>
    <w:rsid w:val="00E301F6"/>
    <w:rsid w:val="00E3027F"/>
    <w:rsid w:val="00E30562"/>
    <w:rsid w:val="00E3082D"/>
    <w:rsid w:val="00E308A3"/>
    <w:rsid w:val="00E30D04"/>
    <w:rsid w:val="00E30D64"/>
    <w:rsid w:val="00E3119A"/>
    <w:rsid w:val="00E311BA"/>
    <w:rsid w:val="00E314BD"/>
    <w:rsid w:val="00E31528"/>
    <w:rsid w:val="00E31A87"/>
    <w:rsid w:val="00E32251"/>
    <w:rsid w:val="00E3254A"/>
    <w:rsid w:val="00E326CB"/>
    <w:rsid w:val="00E326D2"/>
    <w:rsid w:val="00E32769"/>
    <w:rsid w:val="00E32AA3"/>
    <w:rsid w:val="00E32B15"/>
    <w:rsid w:val="00E32CAC"/>
    <w:rsid w:val="00E33011"/>
    <w:rsid w:val="00E33233"/>
    <w:rsid w:val="00E33440"/>
    <w:rsid w:val="00E337D3"/>
    <w:rsid w:val="00E3385F"/>
    <w:rsid w:val="00E338F0"/>
    <w:rsid w:val="00E3392D"/>
    <w:rsid w:val="00E3398B"/>
    <w:rsid w:val="00E33C89"/>
    <w:rsid w:val="00E33C98"/>
    <w:rsid w:val="00E33E6F"/>
    <w:rsid w:val="00E33FDD"/>
    <w:rsid w:val="00E341BF"/>
    <w:rsid w:val="00E345DF"/>
    <w:rsid w:val="00E34613"/>
    <w:rsid w:val="00E346BF"/>
    <w:rsid w:val="00E3478A"/>
    <w:rsid w:val="00E347E2"/>
    <w:rsid w:val="00E34835"/>
    <w:rsid w:val="00E3493F"/>
    <w:rsid w:val="00E3495A"/>
    <w:rsid w:val="00E34F80"/>
    <w:rsid w:val="00E353F2"/>
    <w:rsid w:val="00E35B02"/>
    <w:rsid w:val="00E35B1D"/>
    <w:rsid w:val="00E35CA0"/>
    <w:rsid w:val="00E35E5B"/>
    <w:rsid w:val="00E35E9E"/>
    <w:rsid w:val="00E35EAA"/>
    <w:rsid w:val="00E36333"/>
    <w:rsid w:val="00E3633E"/>
    <w:rsid w:val="00E3648B"/>
    <w:rsid w:val="00E364A4"/>
    <w:rsid w:val="00E364E0"/>
    <w:rsid w:val="00E3678D"/>
    <w:rsid w:val="00E36845"/>
    <w:rsid w:val="00E36952"/>
    <w:rsid w:val="00E36A48"/>
    <w:rsid w:val="00E36B37"/>
    <w:rsid w:val="00E36C66"/>
    <w:rsid w:val="00E36C8D"/>
    <w:rsid w:val="00E36C9E"/>
    <w:rsid w:val="00E36E6B"/>
    <w:rsid w:val="00E370D8"/>
    <w:rsid w:val="00E370F4"/>
    <w:rsid w:val="00E37291"/>
    <w:rsid w:val="00E37581"/>
    <w:rsid w:val="00E375C6"/>
    <w:rsid w:val="00E375F0"/>
    <w:rsid w:val="00E376CA"/>
    <w:rsid w:val="00E37708"/>
    <w:rsid w:val="00E37822"/>
    <w:rsid w:val="00E378A7"/>
    <w:rsid w:val="00E379F3"/>
    <w:rsid w:val="00E37A29"/>
    <w:rsid w:val="00E37E35"/>
    <w:rsid w:val="00E40027"/>
    <w:rsid w:val="00E40068"/>
    <w:rsid w:val="00E400B4"/>
    <w:rsid w:val="00E4012B"/>
    <w:rsid w:val="00E40261"/>
    <w:rsid w:val="00E40300"/>
    <w:rsid w:val="00E404C5"/>
    <w:rsid w:val="00E406B8"/>
    <w:rsid w:val="00E4094F"/>
    <w:rsid w:val="00E40B4B"/>
    <w:rsid w:val="00E410A5"/>
    <w:rsid w:val="00E411D2"/>
    <w:rsid w:val="00E41947"/>
    <w:rsid w:val="00E41975"/>
    <w:rsid w:val="00E41AF5"/>
    <w:rsid w:val="00E41B72"/>
    <w:rsid w:val="00E41BCF"/>
    <w:rsid w:val="00E41BFB"/>
    <w:rsid w:val="00E41DD3"/>
    <w:rsid w:val="00E41E9A"/>
    <w:rsid w:val="00E41FD5"/>
    <w:rsid w:val="00E420D4"/>
    <w:rsid w:val="00E4231A"/>
    <w:rsid w:val="00E42326"/>
    <w:rsid w:val="00E4256F"/>
    <w:rsid w:val="00E42697"/>
    <w:rsid w:val="00E426FD"/>
    <w:rsid w:val="00E4292F"/>
    <w:rsid w:val="00E42988"/>
    <w:rsid w:val="00E42B75"/>
    <w:rsid w:val="00E42FF7"/>
    <w:rsid w:val="00E430D1"/>
    <w:rsid w:val="00E43237"/>
    <w:rsid w:val="00E4325E"/>
    <w:rsid w:val="00E433EB"/>
    <w:rsid w:val="00E43578"/>
    <w:rsid w:val="00E43694"/>
    <w:rsid w:val="00E43844"/>
    <w:rsid w:val="00E438F8"/>
    <w:rsid w:val="00E43A26"/>
    <w:rsid w:val="00E43D13"/>
    <w:rsid w:val="00E44121"/>
    <w:rsid w:val="00E44342"/>
    <w:rsid w:val="00E44357"/>
    <w:rsid w:val="00E443E7"/>
    <w:rsid w:val="00E44455"/>
    <w:rsid w:val="00E445DB"/>
    <w:rsid w:val="00E4484D"/>
    <w:rsid w:val="00E44B64"/>
    <w:rsid w:val="00E44C95"/>
    <w:rsid w:val="00E44D45"/>
    <w:rsid w:val="00E44D4C"/>
    <w:rsid w:val="00E4524E"/>
    <w:rsid w:val="00E45292"/>
    <w:rsid w:val="00E45439"/>
    <w:rsid w:val="00E45448"/>
    <w:rsid w:val="00E454B7"/>
    <w:rsid w:val="00E45657"/>
    <w:rsid w:val="00E45766"/>
    <w:rsid w:val="00E4578A"/>
    <w:rsid w:val="00E45908"/>
    <w:rsid w:val="00E45BC5"/>
    <w:rsid w:val="00E45F8E"/>
    <w:rsid w:val="00E4603B"/>
    <w:rsid w:val="00E4604E"/>
    <w:rsid w:val="00E46064"/>
    <w:rsid w:val="00E461BA"/>
    <w:rsid w:val="00E4625A"/>
    <w:rsid w:val="00E464BF"/>
    <w:rsid w:val="00E464DE"/>
    <w:rsid w:val="00E46628"/>
    <w:rsid w:val="00E4676F"/>
    <w:rsid w:val="00E467B5"/>
    <w:rsid w:val="00E467F1"/>
    <w:rsid w:val="00E4685E"/>
    <w:rsid w:val="00E46A12"/>
    <w:rsid w:val="00E46DC9"/>
    <w:rsid w:val="00E47006"/>
    <w:rsid w:val="00E4711D"/>
    <w:rsid w:val="00E4719F"/>
    <w:rsid w:val="00E471A7"/>
    <w:rsid w:val="00E47206"/>
    <w:rsid w:val="00E47244"/>
    <w:rsid w:val="00E472A0"/>
    <w:rsid w:val="00E472DC"/>
    <w:rsid w:val="00E475FC"/>
    <w:rsid w:val="00E47682"/>
    <w:rsid w:val="00E47746"/>
    <w:rsid w:val="00E47796"/>
    <w:rsid w:val="00E4790A"/>
    <w:rsid w:val="00E4796A"/>
    <w:rsid w:val="00E50029"/>
    <w:rsid w:val="00E50214"/>
    <w:rsid w:val="00E504BF"/>
    <w:rsid w:val="00E5057C"/>
    <w:rsid w:val="00E505DB"/>
    <w:rsid w:val="00E50654"/>
    <w:rsid w:val="00E5074C"/>
    <w:rsid w:val="00E50B04"/>
    <w:rsid w:val="00E50CCD"/>
    <w:rsid w:val="00E50F79"/>
    <w:rsid w:val="00E51075"/>
    <w:rsid w:val="00E510BF"/>
    <w:rsid w:val="00E5146A"/>
    <w:rsid w:val="00E517B1"/>
    <w:rsid w:val="00E518C6"/>
    <w:rsid w:val="00E518F7"/>
    <w:rsid w:val="00E51CDB"/>
    <w:rsid w:val="00E51F0B"/>
    <w:rsid w:val="00E5208B"/>
    <w:rsid w:val="00E5217A"/>
    <w:rsid w:val="00E5231B"/>
    <w:rsid w:val="00E524F3"/>
    <w:rsid w:val="00E52827"/>
    <w:rsid w:val="00E52B8C"/>
    <w:rsid w:val="00E52C28"/>
    <w:rsid w:val="00E52C6D"/>
    <w:rsid w:val="00E52C7B"/>
    <w:rsid w:val="00E52CB9"/>
    <w:rsid w:val="00E52F2D"/>
    <w:rsid w:val="00E52F4C"/>
    <w:rsid w:val="00E53191"/>
    <w:rsid w:val="00E532A7"/>
    <w:rsid w:val="00E533EB"/>
    <w:rsid w:val="00E53693"/>
    <w:rsid w:val="00E536B2"/>
    <w:rsid w:val="00E53873"/>
    <w:rsid w:val="00E53D91"/>
    <w:rsid w:val="00E5404A"/>
    <w:rsid w:val="00E54185"/>
    <w:rsid w:val="00E54262"/>
    <w:rsid w:val="00E5427D"/>
    <w:rsid w:val="00E542AE"/>
    <w:rsid w:val="00E5440E"/>
    <w:rsid w:val="00E54964"/>
    <w:rsid w:val="00E54BFD"/>
    <w:rsid w:val="00E54CC1"/>
    <w:rsid w:val="00E55298"/>
    <w:rsid w:val="00E553A1"/>
    <w:rsid w:val="00E554D8"/>
    <w:rsid w:val="00E554E6"/>
    <w:rsid w:val="00E55858"/>
    <w:rsid w:val="00E55947"/>
    <w:rsid w:val="00E55B8C"/>
    <w:rsid w:val="00E55BC1"/>
    <w:rsid w:val="00E55CC2"/>
    <w:rsid w:val="00E56091"/>
    <w:rsid w:val="00E560B9"/>
    <w:rsid w:val="00E56169"/>
    <w:rsid w:val="00E563BA"/>
    <w:rsid w:val="00E5655F"/>
    <w:rsid w:val="00E56681"/>
    <w:rsid w:val="00E56736"/>
    <w:rsid w:val="00E5673F"/>
    <w:rsid w:val="00E5698C"/>
    <w:rsid w:val="00E56B1B"/>
    <w:rsid w:val="00E56BEC"/>
    <w:rsid w:val="00E56CD2"/>
    <w:rsid w:val="00E56CFD"/>
    <w:rsid w:val="00E56F64"/>
    <w:rsid w:val="00E57114"/>
    <w:rsid w:val="00E57728"/>
    <w:rsid w:val="00E57887"/>
    <w:rsid w:val="00E578B5"/>
    <w:rsid w:val="00E579DE"/>
    <w:rsid w:val="00E57AC4"/>
    <w:rsid w:val="00E57E6F"/>
    <w:rsid w:val="00E6058D"/>
    <w:rsid w:val="00E605CC"/>
    <w:rsid w:val="00E60661"/>
    <w:rsid w:val="00E606E3"/>
    <w:rsid w:val="00E609CB"/>
    <w:rsid w:val="00E60B5A"/>
    <w:rsid w:val="00E60C22"/>
    <w:rsid w:val="00E60ECD"/>
    <w:rsid w:val="00E60FBE"/>
    <w:rsid w:val="00E60FC4"/>
    <w:rsid w:val="00E610F7"/>
    <w:rsid w:val="00E611E0"/>
    <w:rsid w:val="00E612A6"/>
    <w:rsid w:val="00E6148C"/>
    <w:rsid w:val="00E61950"/>
    <w:rsid w:val="00E6209A"/>
    <w:rsid w:val="00E6225E"/>
    <w:rsid w:val="00E6239D"/>
    <w:rsid w:val="00E6283F"/>
    <w:rsid w:val="00E62E1B"/>
    <w:rsid w:val="00E62F5A"/>
    <w:rsid w:val="00E62FAE"/>
    <w:rsid w:val="00E62FF9"/>
    <w:rsid w:val="00E635DD"/>
    <w:rsid w:val="00E63710"/>
    <w:rsid w:val="00E63B21"/>
    <w:rsid w:val="00E63B71"/>
    <w:rsid w:val="00E63BD1"/>
    <w:rsid w:val="00E63CEA"/>
    <w:rsid w:val="00E63CF9"/>
    <w:rsid w:val="00E63F79"/>
    <w:rsid w:val="00E6400B"/>
    <w:rsid w:val="00E6418B"/>
    <w:rsid w:val="00E641A8"/>
    <w:rsid w:val="00E6464D"/>
    <w:rsid w:val="00E64C16"/>
    <w:rsid w:val="00E64DA0"/>
    <w:rsid w:val="00E64E6A"/>
    <w:rsid w:val="00E64E6F"/>
    <w:rsid w:val="00E64EDB"/>
    <w:rsid w:val="00E6526F"/>
    <w:rsid w:val="00E65576"/>
    <w:rsid w:val="00E655F3"/>
    <w:rsid w:val="00E65605"/>
    <w:rsid w:val="00E658AF"/>
    <w:rsid w:val="00E65B3B"/>
    <w:rsid w:val="00E65C4F"/>
    <w:rsid w:val="00E65FD3"/>
    <w:rsid w:val="00E6602D"/>
    <w:rsid w:val="00E66215"/>
    <w:rsid w:val="00E6628F"/>
    <w:rsid w:val="00E662F0"/>
    <w:rsid w:val="00E664C8"/>
    <w:rsid w:val="00E66511"/>
    <w:rsid w:val="00E665CC"/>
    <w:rsid w:val="00E66665"/>
    <w:rsid w:val="00E6673D"/>
    <w:rsid w:val="00E66821"/>
    <w:rsid w:val="00E66960"/>
    <w:rsid w:val="00E66A28"/>
    <w:rsid w:val="00E66A2C"/>
    <w:rsid w:val="00E66A8C"/>
    <w:rsid w:val="00E66B99"/>
    <w:rsid w:val="00E66C3C"/>
    <w:rsid w:val="00E66C65"/>
    <w:rsid w:val="00E67024"/>
    <w:rsid w:val="00E671E1"/>
    <w:rsid w:val="00E67288"/>
    <w:rsid w:val="00E67387"/>
    <w:rsid w:val="00E67A19"/>
    <w:rsid w:val="00E67BC0"/>
    <w:rsid w:val="00E70159"/>
    <w:rsid w:val="00E70282"/>
    <w:rsid w:val="00E702B3"/>
    <w:rsid w:val="00E704A6"/>
    <w:rsid w:val="00E707CC"/>
    <w:rsid w:val="00E708B5"/>
    <w:rsid w:val="00E70A2A"/>
    <w:rsid w:val="00E70B3A"/>
    <w:rsid w:val="00E70D9A"/>
    <w:rsid w:val="00E70FC2"/>
    <w:rsid w:val="00E71045"/>
    <w:rsid w:val="00E71059"/>
    <w:rsid w:val="00E712FA"/>
    <w:rsid w:val="00E714B1"/>
    <w:rsid w:val="00E71754"/>
    <w:rsid w:val="00E71762"/>
    <w:rsid w:val="00E71873"/>
    <w:rsid w:val="00E718E4"/>
    <w:rsid w:val="00E7190A"/>
    <w:rsid w:val="00E71DE5"/>
    <w:rsid w:val="00E71F36"/>
    <w:rsid w:val="00E71F85"/>
    <w:rsid w:val="00E723FC"/>
    <w:rsid w:val="00E7281B"/>
    <w:rsid w:val="00E72B9B"/>
    <w:rsid w:val="00E72CF4"/>
    <w:rsid w:val="00E72EB7"/>
    <w:rsid w:val="00E72FC4"/>
    <w:rsid w:val="00E73132"/>
    <w:rsid w:val="00E732FE"/>
    <w:rsid w:val="00E733A0"/>
    <w:rsid w:val="00E7353D"/>
    <w:rsid w:val="00E7364A"/>
    <w:rsid w:val="00E73842"/>
    <w:rsid w:val="00E73AF7"/>
    <w:rsid w:val="00E73B0C"/>
    <w:rsid w:val="00E73BDD"/>
    <w:rsid w:val="00E73BFF"/>
    <w:rsid w:val="00E73CF9"/>
    <w:rsid w:val="00E73EB1"/>
    <w:rsid w:val="00E74198"/>
    <w:rsid w:val="00E741BF"/>
    <w:rsid w:val="00E741D4"/>
    <w:rsid w:val="00E74272"/>
    <w:rsid w:val="00E743CD"/>
    <w:rsid w:val="00E74565"/>
    <w:rsid w:val="00E7467D"/>
    <w:rsid w:val="00E746E2"/>
    <w:rsid w:val="00E747F3"/>
    <w:rsid w:val="00E74AF7"/>
    <w:rsid w:val="00E74F5E"/>
    <w:rsid w:val="00E750F3"/>
    <w:rsid w:val="00E7534B"/>
    <w:rsid w:val="00E754FE"/>
    <w:rsid w:val="00E7575C"/>
    <w:rsid w:val="00E758A2"/>
    <w:rsid w:val="00E75B0C"/>
    <w:rsid w:val="00E75E3C"/>
    <w:rsid w:val="00E75FD6"/>
    <w:rsid w:val="00E766A3"/>
    <w:rsid w:val="00E767A1"/>
    <w:rsid w:val="00E767C4"/>
    <w:rsid w:val="00E76861"/>
    <w:rsid w:val="00E7690A"/>
    <w:rsid w:val="00E76B7A"/>
    <w:rsid w:val="00E76BCA"/>
    <w:rsid w:val="00E77046"/>
    <w:rsid w:val="00E7713D"/>
    <w:rsid w:val="00E774DC"/>
    <w:rsid w:val="00E777E2"/>
    <w:rsid w:val="00E777EC"/>
    <w:rsid w:val="00E7789B"/>
    <w:rsid w:val="00E77AC4"/>
    <w:rsid w:val="00E77C17"/>
    <w:rsid w:val="00E77DD3"/>
    <w:rsid w:val="00E800A5"/>
    <w:rsid w:val="00E801BE"/>
    <w:rsid w:val="00E80210"/>
    <w:rsid w:val="00E80284"/>
    <w:rsid w:val="00E802B6"/>
    <w:rsid w:val="00E8043D"/>
    <w:rsid w:val="00E804D9"/>
    <w:rsid w:val="00E80664"/>
    <w:rsid w:val="00E80752"/>
    <w:rsid w:val="00E807A7"/>
    <w:rsid w:val="00E808B9"/>
    <w:rsid w:val="00E809A2"/>
    <w:rsid w:val="00E80B4A"/>
    <w:rsid w:val="00E80BD1"/>
    <w:rsid w:val="00E80D06"/>
    <w:rsid w:val="00E80D61"/>
    <w:rsid w:val="00E80DEE"/>
    <w:rsid w:val="00E80EEB"/>
    <w:rsid w:val="00E80FA1"/>
    <w:rsid w:val="00E8114D"/>
    <w:rsid w:val="00E81307"/>
    <w:rsid w:val="00E81438"/>
    <w:rsid w:val="00E817E7"/>
    <w:rsid w:val="00E8182C"/>
    <w:rsid w:val="00E81918"/>
    <w:rsid w:val="00E81940"/>
    <w:rsid w:val="00E81946"/>
    <w:rsid w:val="00E81AF7"/>
    <w:rsid w:val="00E81AFF"/>
    <w:rsid w:val="00E81BB7"/>
    <w:rsid w:val="00E81D2F"/>
    <w:rsid w:val="00E81F57"/>
    <w:rsid w:val="00E82024"/>
    <w:rsid w:val="00E820D0"/>
    <w:rsid w:val="00E82221"/>
    <w:rsid w:val="00E82446"/>
    <w:rsid w:val="00E824D0"/>
    <w:rsid w:val="00E8262F"/>
    <w:rsid w:val="00E8268E"/>
    <w:rsid w:val="00E82946"/>
    <w:rsid w:val="00E8295C"/>
    <w:rsid w:val="00E829C3"/>
    <w:rsid w:val="00E82D8C"/>
    <w:rsid w:val="00E82F93"/>
    <w:rsid w:val="00E8302D"/>
    <w:rsid w:val="00E83123"/>
    <w:rsid w:val="00E831E4"/>
    <w:rsid w:val="00E8336A"/>
    <w:rsid w:val="00E834D5"/>
    <w:rsid w:val="00E835A0"/>
    <w:rsid w:val="00E835A7"/>
    <w:rsid w:val="00E836D4"/>
    <w:rsid w:val="00E83901"/>
    <w:rsid w:val="00E83A90"/>
    <w:rsid w:val="00E83AB5"/>
    <w:rsid w:val="00E83D01"/>
    <w:rsid w:val="00E83EB6"/>
    <w:rsid w:val="00E840E5"/>
    <w:rsid w:val="00E8447B"/>
    <w:rsid w:val="00E8469D"/>
    <w:rsid w:val="00E848BF"/>
    <w:rsid w:val="00E84AB6"/>
    <w:rsid w:val="00E84CF5"/>
    <w:rsid w:val="00E85029"/>
    <w:rsid w:val="00E855F5"/>
    <w:rsid w:val="00E85602"/>
    <w:rsid w:val="00E85814"/>
    <w:rsid w:val="00E85897"/>
    <w:rsid w:val="00E858CF"/>
    <w:rsid w:val="00E85A71"/>
    <w:rsid w:val="00E85A8E"/>
    <w:rsid w:val="00E85B92"/>
    <w:rsid w:val="00E85D4A"/>
    <w:rsid w:val="00E85F19"/>
    <w:rsid w:val="00E86082"/>
    <w:rsid w:val="00E860D8"/>
    <w:rsid w:val="00E8611C"/>
    <w:rsid w:val="00E861A9"/>
    <w:rsid w:val="00E86C47"/>
    <w:rsid w:val="00E86DA0"/>
    <w:rsid w:val="00E86FE6"/>
    <w:rsid w:val="00E87415"/>
    <w:rsid w:val="00E877B2"/>
    <w:rsid w:val="00E87EAC"/>
    <w:rsid w:val="00E87F6F"/>
    <w:rsid w:val="00E87FF6"/>
    <w:rsid w:val="00E900D3"/>
    <w:rsid w:val="00E9042A"/>
    <w:rsid w:val="00E90899"/>
    <w:rsid w:val="00E908F4"/>
    <w:rsid w:val="00E90B8C"/>
    <w:rsid w:val="00E90C3D"/>
    <w:rsid w:val="00E90DD3"/>
    <w:rsid w:val="00E90E8F"/>
    <w:rsid w:val="00E9103F"/>
    <w:rsid w:val="00E9120C"/>
    <w:rsid w:val="00E9144A"/>
    <w:rsid w:val="00E9166A"/>
    <w:rsid w:val="00E916DD"/>
    <w:rsid w:val="00E91761"/>
    <w:rsid w:val="00E91841"/>
    <w:rsid w:val="00E918A5"/>
    <w:rsid w:val="00E919DD"/>
    <w:rsid w:val="00E91ADF"/>
    <w:rsid w:val="00E91CF6"/>
    <w:rsid w:val="00E91E6E"/>
    <w:rsid w:val="00E91F13"/>
    <w:rsid w:val="00E92084"/>
    <w:rsid w:val="00E92212"/>
    <w:rsid w:val="00E9226A"/>
    <w:rsid w:val="00E922B7"/>
    <w:rsid w:val="00E925DA"/>
    <w:rsid w:val="00E9268B"/>
    <w:rsid w:val="00E92808"/>
    <w:rsid w:val="00E9285A"/>
    <w:rsid w:val="00E928B0"/>
    <w:rsid w:val="00E928BD"/>
    <w:rsid w:val="00E92B1E"/>
    <w:rsid w:val="00E930F1"/>
    <w:rsid w:val="00E93273"/>
    <w:rsid w:val="00E933CE"/>
    <w:rsid w:val="00E936CD"/>
    <w:rsid w:val="00E93A00"/>
    <w:rsid w:val="00E93B67"/>
    <w:rsid w:val="00E93CD3"/>
    <w:rsid w:val="00E93DAE"/>
    <w:rsid w:val="00E93FB7"/>
    <w:rsid w:val="00E94126"/>
    <w:rsid w:val="00E945B1"/>
    <w:rsid w:val="00E9462F"/>
    <w:rsid w:val="00E948F8"/>
    <w:rsid w:val="00E94952"/>
    <w:rsid w:val="00E9496F"/>
    <w:rsid w:val="00E94CF6"/>
    <w:rsid w:val="00E950F0"/>
    <w:rsid w:val="00E9520C"/>
    <w:rsid w:val="00E952D4"/>
    <w:rsid w:val="00E95433"/>
    <w:rsid w:val="00E95498"/>
    <w:rsid w:val="00E954B4"/>
    <w:rsid w:val="00E9565D"/>
    <w:rsid w:val="00E957BD"/>
    <w:rsid w:val="00E957FB"/>
    <w:rsid w:val="00E95842"/>
    <w:rsid w:val="00E95B8F"/>
    <w:rsid w:val="00E95D6F"/>
    <w:rsid w:val="00E95DC8"/>
    <w:rsid w:val="00E95E9B"/>
    <w:rsid w:val="00E96132"/>
    <w:rsid w:val="00E96463"/>
    <w:rsid w:val="00E967D9"/>
    <w:rsid w:val="00E96908"/>
    <w:rsid w:val="00E96ACD"/>
    <w:rsid w:val="00E96B5E"/>
    <w:rsid w:val="00E96C01"/>
    <w:rsid w:val="00E96D97"/>
    <w:rsid w:val="00E96E5A"/>
    <w:rsid w:val="00E96FDE"/>
    <w:rsid w:val="00E971BD"/>
    <w:rsid w:val="00E97472"/>
    <w:rsid w:val="00E97637"/>
    <w:rsid w:val="00E976BD"/>
    <w:rsid w:val="00E978C5"/>
    <w:rsid w:val="00E97978"/>
    <w:rsid w:val="00E97996"/>
    <w:rsid w:val="00E97E7F"/>
    <w:rsid w:val="00E97E8F"/>
    <w:rsid w:val="00E97FEC"/>
    <w:rsid w:val="00EA003A"/>
    <w:rsid w:val="00EA036D"/>
    <w:rsid w:val="00EA03B0"/>
    <w:rsid w:val="00EA0486"/>
    <w:rsid w:val="00EA06A2"/>
    <w:rsid w:val="00EA0AB0"/>
    <w:rsid w:val="00EA0D0D"/>
    <w:rsid w:val="00EA0D4F"/>
    <w:rsid w:val="00EA0E86"/>
    <w:rsid w:val="00EA142E"/>
    <w:rsid w:val="00EA17E1"/>
    <w:rsid w:val="00EA1811"/>
    <w:rsid w:val="00EA19C6"/>
    <w:rsid w:val="00EA1B3C"/>
    <w:rsid w:val="00EA1B54"/>
    <w:rsid w:val="00EA1DFD"/>
    <w:rsid w:val="00EA1EF6"/>
    <w:rsid w:val="00EA1F8F"/>
    <w:rsid w:val="00EA217E"/>
    <w:rsid w:val="00EA23AD"/>
    <w:rsid w:val="00EA24FC"/>
    <w:rsid w:val="00EA255E"/>
    <w:rsid w:val="00EA25AD"/>
    <w:rsid w:val="00EA2720"/>
    <w:rsid w:val="00EA276B"/>
    <w:rsid w:val="00EA27AF"/>
    <w:rsid w:val="00EA2863"/>
    <w:rsid w:val="00EA2994"/>
    <w:rsid w:val="00EA2CCE"/>
    <w:rsid w:val="00EA2F74"/>
    <w:rsid w:val="00EA308C"/>
    <w:rsid w:val="00EA30D0"/>
    <w:rsid w:val="00EA30D4"/>
    <w:rsid w:val="00EA314F"/>
    <w:rsid w:val="00EA3282"/>
    <w:rsid w:val="00EA32CF"/>
    <w:rsid w:val="00EA3424"/>
    <w:rsid w:val="00EA36CC"/>
    <w:rsid w:val="00EA377E"/>
    <w:rsid w:val="00EA3973"/>
    <w:rsid w:val="00EA3D1E"/>
    <w:rsid w:val="00EA3E90"/>
    <w:rsid w:val="00EA3FA2"/>
    <w:rsid w:val="00EA3FEE"/>
    <w:rsid w:val="00EA4382"/>
    <w:rsid w:val="00EA4495"/>
    <w:rsid w:val="00EA4750"/>
    <w:rsid w:val="00EA4943"/>
    <w:rsid w:val="00EA4BC3"/>
    <w:rsid w:val="00EA4BD7"/>
    <w:rsid w:val="00EA4E68"/>
    <w:rsid w:val="00EA5262"/>
    <w:rsid w:val="00EA52E4"/>
    <w:rsid w:val="00EA53C8"/>
    <w:rsid w:val="00EA53CE"/>
    <w:rsid w:val="00EA580B"/>
    <w:rsid w:val="00EA586B"/>
    <w:rsid w:val="00EA596F"/>
    <w:rsid w:val="00EA5AA0"/>
    <w:rsid w:val="00EA5B78"/>
    <w:rsid w:val="00EA5BDE"/>
    <w:rsid w:val="00EA5BF2"/>
    <w:rsid w:val="00EA5CA0"/>
    <w:rsid w:val="00EA5E86"/>
    <w:rsid w:val="00EA61A5"/>
    <w:rsid w:val="00EA63EF"/>
    <w:rsid w:val="00EA646F"/>
    <w:rsid w:val="00EA6590"/>
    <w:rsid w:val="00EA66BC"/>
    <w:rsid w:val="00EA66F0"/>
    <w:rsid w:val="00EA68D9"/>
    <w:rsid w:val="00EA6A6C"/>
    <w:rsid w:val="00EA6C86"/>
    <w:rsid w:val="00EA7051"/>
    <w:rsid w:val="00EA714B"/>
    <w:rsid w:val="00EA7414"/>
    <w:rsid w:val="00EA742C"/>
    <w:rsid w:val="00EA7668"/>
    <w:rsid w:val="00EA797E"/>
    <w:rsid w:val="00EA7B43"/>
    <w:rsid w:val="00EA7B83"/>
    <w:rsid w:val="00EB0103"/>
    <w:rsid w:val="00EB013E"/>
    <w:rsid w:val="00EB02E3"/>
    <w:rsid w:val="00EB03C9"/>
    <w:rsid w:val="00EB0456"/>
    <w:rsid w:val="00EB0738"/>
    <w:rsid w:val="00EB0742"/>
    <w:rsid w:val="00EB0A5F"/>
    <w:rsid w:val="00EB0AB1"/>
    <w:rsid w:val="00EB0CB6"/>
    <w:rsid w:val="00EB0ED3"/>
    <w:rsid w:val="00EB1110"/>
    <w:rsid w:val="00EB111F"/>
    <w:rsid w:val="00EB139B"/>
    <w:rsid w:val="00EB13ED"/>
    <w:rsid w:val="00EB148C"/>
    <w:rsid w:val="00EB14E2"/>
    <w:rsid w:val="00EB15DC"/>
    <w:rsid w:val="00EB1779"/>
    <w:rsid w:val="00EB18B9"/>
    <w:rsid w:val="00EB197A"/>
    <w:rsid w:val="00EB1C4A"/>
    <w:rsid w:val="00EB1D90"/>
    <w:rsid w:val="00EB2080"/>
    <w:rsid w:val="00EB21CB"/>
    <w:rsid w:val="00EB2273"/>
    <w:rsid w:val="00EB25B4"/>
    <w:rsid w:val="00EB25FB"/>
    <w:rsid w:val="00EB2881"/>
    <w:rsid w:val="00EB295A"/>
    <w:rsid w:val="00EB2973"/>
    <w:rsid w:val="00EB2A43"/>
    <w:rsid w:val="00EB2A75"/>
    <w:rsid w:val="00EB2B2A"/>
    <w:rsid w:val="00EB2CAD"/>
    <w:rsid w:val="00EB2E10"/>
    <w:rsid w:val="00EB2E1E"/>
    <w:rsid w:val="00EB3005"/>
    <w:rsid w:val="00EB3356"/>
    <w:rsid w:val="00EB353A"/>
    <w:rsid w:val="00EB3630"/>
    <w:rsid w:val="00EB394C"/>
    <w:rsid w:val="00EB39A4"/>
    <w:rsid w:val="00EB3B0A"/>
    <w:rsid w:val="00EB3BD8"/>
    <w:rsid w:val="00EB3CD9"/>
    <w:rsid w:val="00EB4092"/>
    <w:rsid w:val="00EB409D"/>
    <w:rsid w:val="00EB4301"/>
    <w:rsid w:val="00EB43C9"/>
    <w:rsid w:val="00EB44E6"/>
    <w:rsid w:val="00EB455D"/>
    <w:rsid w:val="00EB469A"/>
    <w:rsid w:val="00EB469D"/>
    <w:rsid w:val="00EB4C6E"/>
    <w:rsid w:val="00EB4D39"/>
    <w:rsid w:val="00EB4D57"/>
    <w:rsid w:val="00EB4EB5"/>
    <w:rsid w:val="00EB5025"/>
    <w:rsid w:val="00EB50DA"/>
    <w:rsid w:val="00EB5184"/>
    <w:rsid w:val="00EB5716"/>
    <w:rsid w:val="00EB5868"/>
    <w:rsid w:val="00EB59B2"/>
    <w:rsid w:val="00EB5A78"/>
    <w:rsid w:val="00EB5A9A"/>
    <w:rsid w:val="00EB5C72"/>
    <w:rsid w:val="00EB5DC2"/>
    <w:rsid w:val="00EB5ED3"/>
    <w:rsid w:val="00EB6163"/>
    <w:rsid w:val="00EB61D4"/>
    <w:rsid w:val="00EB6265"/>
    <w:rsid w:val="00EB6447"/>
    <w:rsid w:val="00EB6529"/>
    <w:rsid w:val="00EB6597"/>
    <w:rsid w:val="00EB6899"/>
    <w:rsid w:val="00EB6A7D"/>
    <w:rsid w:val="00EB6B9C"/>
    <w:rsid w:val="00EB6BCD"/>
    <w:rsid w:val="00EB6C7B"/>
    <w:rsid w:val="00EB6D5D"/>
    <w:rsid w:val="00EB6E4C"/>
    <w:rsid w:val="00EB7288"/>
    <w:rsid w:val="00EB7313"/>
    <w:rsid w:val="00EB7718"/>
    <w:rsid w:val="00EB7805"/>
    <w:rsid w:val="00EB7862"/>
    <w:rsid w:val="00EB789F"/>
    <w:rsid w:val="00EB7B6D"/>
    <w:rsid w:val="00EB7CED"/>
    <w:rsid w:val="00EB7E13"/>
    <w:rsid w:val="00EC008E"/>
    <w:rsid w:val="00EC00B0"/>
    <w:rsid w:val="00EC0240"/>
    <w:rsid w:val="00EC0308"/>
    <w:rsid w:val="00EC04D8"/>
    <w:rsid w:val="00EC0552"/>
    <w:rsid w:val="00EC057D"/>
    <w:rsid w:val="00EC05FA"/>
    <w:rsid w:val="00EC0637"/>
    <w:rsid w:val="00EC06CE"/>
    <w:rsid w:val="00EC0979"/>
    <w:rsid w:val="00EC0AF7"/>
    <w:rsid w:val="00EC0D75"/>
    <w:rsid w:val="00EC0DD1"/>
    <w:rsid w:val="00EC0F2C"/>
    <w:rsid w:val="00EC0F69"/>
    <w:rsid w:val="00EC1102"/>
    <w:rsid w:val="00EC1215"/>
    <w:rsid w:val="00EC1485"/>
    <w:rsid w:val="00EC1562"/>
    <w:rsid w:val="00EC161D"/>
    <w:rsid w:val="00EC16FE"/>
    <w:rsid w:val="00EC1B13"/>
    <w:rsid w:val="00EC1C86"/>
    <w:rsid w:val="00EC1D57"/>
    <w:rsid w:val="00EC1E13"/>
    <w:rsid w:val="00EC1FAF"/>
    <w:rsid w:val="00EC2243"/>
    <w:rsid w:val="00EC238E"/>
    <w:rsid w:val="00EC266E"/>
    <w:rsid w:val="00EC26A2"/>
    <w:rsid w:val="00EC273A"/>
    <w:rsid w:val="00EC2848"/>
    <w:rsid w:val="00EC2878"/>
    <w:rsid w:val="00EC299B"/>
    <w:rsid w:val="00EC2C00"/>
    <w:rsid w:val="00EC2D6D"/>
    <w:rsid w:val="00EC2F4B"/>
    <w:rsid w:val="00EC2F65"/>
    <w:rsid w:val="00EC3848"/>
    <w:rsid w:val="00EC385E"/>
    <w:rsid w:val="00EC394B"/>
    <w:rsid w:val="00EC395F"/>
    <w:rsid w:val="00EC3B00"/>
    <w:rsid w:val="00EC3CEA"/>
    <w:rsid w:val="00EC3CFA"/>
    <w:rsid w:val="00EC3F7D"/>
    <w:rsid w:val="00EC42ED"/>
    <w:rsid w:val="00EC4439"/>
    <w:rsid w:val="00EC47B2"/>
    <w:rsid w:val="00EC4878"/>
    <w:rsid w:val="00EC4D67"/>
    <w:rsid w:val="00EC4D79"/>
    <w:rsid w:val="00EC50AB"/>
    <w:rsid w:val="00EC52D1"/>
    <w:rsid w:val="00EC5529"/>
    <w:rsid w:val="00EC56E8"/>
    <w:rsid w:val="00EC5800"/>
    <w:rsid w:val="00EC589C"/>
    <w:rsid w:val="00EC5B35"/>
    <w:rsid w:val="00EC5DA0"/>
    <w:rsid w:val="00EC5DF0"/>
    <w:rsid w:val="00EC6054"/>
    <w:rsid w:val="00EC61D3"/>
    <w:rsid w:val="00EC63CD"/>
    <w:rsid w:val="00EC6498"/>
    <w:rsid w:val="00EC6742"/>
    <w:rsid w:val="00EC684F"/>
    <w:rsid w:val="00EC686D"/>
    <w:rsid w:val="00EC6929"/>
    <w:rsid w:val="00EC6955"/>
    <w:rsid w:val="00EC69D1"/>
    <w:rsid w:val="00EC6AA7"/>
    <w:rsid w:val="00EC6EC1"/>
    <w:rsid w:val="00EC6FCB"/>
    <w:rsid w:val="00EC7083"/>
    <w:rsid w:val="00EC74B4"/>
    <w:rsid w:val="00EC7563"/>
    <w:rsid w:val="00EC75D5"/>
    <w:rsid w:val="00EC7711"/>
    <w:rsid w:val="00EC79C3"/>
    <w:rsid w:val="00EC7D8B"/>
    <w:rsid w:val="00EC7E4B"/>
    <w:rsid w:val="00ED0357"/>
    <w:rsid w:val="00ED05A7"/>
    <w:rsid w:val="00ED0918"/>
    <w:rsid w:val="00ED0AAC"/>
    <w:rsid w:val="00ED0C64"/>
    <w:rsid w:val="00ED0C8C"/>
    <w:rsid w:val="00ED0CE2"/>
    <w:rsid w:val="00ED107F"/>
    <w:rsid w:val="00ED121F"/>
    <w:rsid w:val="00ED1470"/>
    <w:rsid w:val="00ED14DC"/>
    <w:rsid w:val="00ED1533"/>
    <w:rsid w:val="00ED15D9"/>
    <w:rsid w:val="00ED16FE"/>
    <w:rsid w:val="00ED1805"/>
    <w:rsid w:val="00ED18D7"/>
    <w:rsid w:val="00ED1A9C"/>
    <w:rsid w:val="00ED1B3A"/>
    <w:rsid w:val="00ED1BB2"/>
    <w:rsid w:val="00ED1CD7"/>
    <w:rsid w:val="00ED1D1B"/>
    <w:rsid w:val="00ED1E54"/>
    <w:rsid w:val="00ED214B"/>
    <w:rsid w:val="00ED2166"/>
    <w:rsid w:val="00ED24FE"/>
    <w:rsid w:val="00ED270A"/>
    <w:rsid w:val="00ED270C"/>
    <w:rsid w:val="00ED2936"/>
    <w:rsid w:val="00ED2997"/>
    <w:rsid w:val="00ED2A39"/>
    <w:rsid w:val="00ED2AA6"/>
    <w:rsid w:val="00ED2B7B"/>
    <w:rsid w:val="00ED2BF3"/>
    <w:rsid w:val="00ED2C9C"/>
    <w:rsid w:val="00ED2CEB"/>
    <w:rsid w:val="00ED2D45"/>
    <w:rsid w:val="00ED2F4F"/>
    <w:rsid w:val="00ED34E7"/>
    <w:rsid w:val="00ED363A"/>
    <w:rsid w:val="00ED368B"/>
    <w:rsid w:val="00ED38BC"/>
    <w:rsid w:val="00ED3938"/>
    <w:rsid w:val="00ED3B1F"/>
    <w:rsid w:val="00ED3D9E"/>
    <w:rsid w:val="00ED3F8C"/>
    <w:rsid w:val="00ED424A"/>
    <w:rsid w:val="00ED42A1"/>
    <w:rsid w:val="00ED442A"/>
    <w:rsid w:val="00ED46AB"/>
    <w:rsid w:val="00ED474C"/>
    <w:rsid w:val="00ED4A5C"/>
    <w:rsid w:val="00ED4B58"/>
    <w:rsid w:val="00ED4E20"/>
    <w:rsid w:val="00ED5348"/>
    <w:rsid w:val="00ED548E"/>
    <w:rsid w:val="00ED5532"/>
    <w:rsid w:val="00ED55D4"/>
    <w:rsid w:val="00ED562F"/>
    <w:rsid w:val="00ED571D"/>
    <w:rsid w:val="00ED5987"/>
    <w:rsid w:val="00ED5E40"/>
    <w:rsid w:val="00ED5EC9"/>
    <w:rsid w:val="00ED6062"/>
    <w:rsid w:val="00ED60BB"/>
    <w:rsid w:val="00ED6254"/>
    <w:rsid w:val="00ED6394"/>
    <w:rsid w:val="00ED63E5"/>
    <w:rsid w:val="00ED6707"/>
    <w:rsid w:val="00ED68E7"/>
    <w:rsid w:val="00ED69F9"/>
    <w:rsid w:val="00ED6AC0"/>
    <w:rsid w:val="00ED6C4F"/>
    <w:rsid w:val="00ED6EDD"/>
    <w:rsid w:val="00ED715A"/>
    <w:rsid w:val="00ED7344"/>
    <w:rsid w:val="00ED7412"/>
    <w:rsid w:val="00ED7420"/>
    <w:rsid w:val="00ED7776"/>
    <w:rsid w:val="00ED78A4"/>
    <w:rsid w:val="00ED79F8"/>
    <w:rsid w:val="00ED7B31"/>
    <w:rsid w:val="00ED7C30"/>
    <w:rsid w:val="00ED7EF9"/>
    <w:rsid w:val="00EE00E1"/>
    <w:rsid w:val="00EE037B"/>
    <w:rsid w:val="00EE043D"/>
    <w:rsid w:val="00EE0461"/>
    <w:rsid w:val="00EE0D37"/>
    <w:rsid w:val="00EE1181"/>
    <w:rsid w:val="00EE11B0"/>
    <w:rsid w:val="00EE142A"/>
    <w:rsid w:val="00EE182E"/>
    <w:rsid w:val="00EE1D81"/>
    <w:rsid w:val="00EE1D8F"/>
    <w:rsid w:val="00EE1F1D"/>
    <w:rsid w:val="00EE2033"/>
    <w:rsid w:val="00EE22EB"/>
    <w:rsid w:val="00EE244C"/>
    <w:rsid w:val="00EE2491"/>
    <w:rsid w:val="00EE269A"/>
    <w:rsid w:val="00EE280F"/>
    <w:rsid w:val="00EE2D12"/>
    <w:rsid w:val="00EE2DA9"/>
    <w:rsid w:val="00EE3067"/>
    <w:rsid w:val="00EE317A"/>
    <w:rsid w:val="00EE32C9"/>
    <w:rsid w:val="00EE33D6"/>
    <w:rsid w:val="00EE341D"/>
    <w:rsid w:val="00EE34FD"/>
    <w:rsid w:val="00EE381F"/>
    <w:rsid w:val="00EE38BB"/>
    <w:rsid w:val="00EE391C"/>
    <w:rsid w:val="00EE4138"/>
    <w:rsid w:val="00EE43A0"/>
    <w:rsid w:val="00EE443E"/>
    <w:rsid w:val="00EE44A1"/>
    <w:rsid w:val="00EE4527"/>
    <w:rsid w:val="00EE4540"/>
    <w:rsid w:val="00EE4585"/>
    <w:rsid w:val="00EE45F4"/>
    <w:rsid w:val="00EE4972"/>
    <w:rsid w:val="00EE49C9"/>
    <w:rsid w:val="00EE4A8D"/>
    <w:rsid w:val="00EE4ADC"/>
    <w:rsid w:val="00EE4CC9"/>
    <w:rsid w:val="00EE4E17"/>
    <w:rsid w:val="00EE4ED7"/>
    <w:rsid w:val="00EE4EEB"/>
    <w:rsid w:val="00EE4F66"/>
    <w:rsid w:val="00EE508F"/>
    <w:rsid w:val="00EE52AF"/>
    <w:rsid w:val="00EE5319"/>
    <w:rsid w:val="00EE53C2"/>
    <w:rsid w:val="00EE53CC"/>
    <w:rsid w:val="00EE5974"/>
    <w:rsid w:val="00EE5995"/>
    <w:rsid w:val="00EE5AC1"/>
    <w:rsid w:val="00EE5C39"/>
    <w:rsid w:val="00EE5D24"/>
    <w:rsid w:val="00EE5E56"/>
    <w:rsid w:val="00EE6030"/>
    <w:rsid w:val="00EE63E2"/>
    <w:rsid w:val="00EE6461"/>
    <w:rsid w:val="00EE656F"/>
    <w:rsid w:val="00EE65BA"/>
    <w:rsid w:val="00EE685B"/>
    <w:rsid w:val="00EE6919"/>
    <w:rsid w:val="00EE6993"/>
    <w:rsid w:val="00EE69A4"/>
    <w:rsid w:val="00EE6A8A"/>
    <w:rsid w:val="00EE7159"/>
    <w:rsid w:val="00EE71CE"/>
    <w:rsid w:val="00EE753E"/>
    <w:rsid w:val="00EE76FE"/>
    <w:rsid w:val="00EE7ABA"/>
    <w:rsid w:val="00EE7D3E"/>
    <w:rsid w:val="00EE7D85"/>
    <w:rsid w:val="00EE7E5F"/>
    <w:rsid w:val="00EE7F95"/>
    <w:rsid w:val="00EF005A"/>
    <w:rsid w:val="00EF01C8"/>
    <w:rsid w:val="00EF02BF"/>
    <w:rsid w:val="00EF0434"/>
    <w:rsid w:val="00EF04AC"/>
    <w:rsid w:val="00EF0540"/>
    <w:rsid w:val="00EF0858"/>
    <w:rsid w:val="00EF0A94"/>
    <w:rsid w:val="00EF0B1E"/>
    <w:rsid w:val="00EF0C45"/>
    <w:rsid w:val="00EF0DAA"/>
    <w:rsid w:val="00EF0E03"/>
    <w:rsid w:val="00EF0E78"/>
    <w:rsid w:val="00EF0EC7"/>
    <w:rsid w:val="00EF0F87"/>
    <w:rsid w:val="00EF112E"/>
    <w:rsid w:val="00EF1215"/>
    <w:rsid w:val="00EF1305"/>
    <w:rsid w:val="00EF13A7"/>
    <w:rsid w:val="00EF141C"/>
    <w:rsid w:val="00EF16D8"/>
    <w:rsid w:val="00EF1B7E"/>
    <w:rsid w:val="00EF1DEF"/>
    <w:rsid w:val="00EF2048"/>
    <w:rsid w:val="00EF2143"/>
    <w:rsid w:val="00EF22B1"/>
    <w:rsid w:val="00EF23F0"/>
    <w:rsid w:val="00EF264A"/>
    <w:rsid w:val="00EF2868"/>
    <w:rsid w:val="00EF28E9"/>
    <w:rsid w:val="00EF29F7"/>
    <w:rsid w:val="00EF2AD3"/>
    <w:rsid w:val="00EF2BF9"/>
    <w:rsid w:val="00EF2CEC"/>
    <w:rsid w:val="00EF2D15"/>
    <w:rsid w:val="00EF3079"/>
    <w:rsid w:val="00EF30E7"/>
    <w:rsid w:val="00EF338C"/>
    <w:rsid w:val="00EF33F6"/>
    <w:rsid w:val="00EF3AAC"/>
    <w:rsid w:val="00EF3BAC"/>
    <w:rsid w:val="00EF3E0D"/>
    <w:rsid w:val="00EF3E7B"/>
    <w:rsid w:val="00EF468D"/>
    <w:rsid w:val="00EF4751"/>
    <w:rsid w:val="00EF49CA"/>
    <w:rsid w:val="00EF4B4A"/>
    <w:rsid w:val="00EF4B93"/>
    <w:rsid w:val="00EF4C8A"/>
    <w:rsid w:val="00EF4CEF"/>
    <w:rsid w:val="00EF4E48"/>
    <w:rsid w:val="00EF4EA3"/>
    <w:rsid w:val="00EF5042"/>
    <w:rsid w:val="00EF5161"/>
    <w:rsid w:val="00EF5169"/>
    <w:rsid w:val="00EF5339"/>
    <w:rsid w:val="00EF549E"/>
    <w:rsid w:val="00EF57AC"/>
    <w:rsid w:val="00EF5A09"/>
    <w:rsid w:val="00EF5BA1"/>
    <w:rsid w:val="00EF5C21"/>
    <w:rsid w:val="00EF5CF9"/>
    <w:rsid w:val="00EF601D"/>
    <w:rsid w:val="00EF60E2"/>
    <w:rsid w:val="00EF6221"/>
    <w:rsid w:val="00EF667B"/>
    <w:rsid w:val="00EF69CA"/>
    <w:rsid w:val="00EF6A5D"/>
    <w:rsid w:val="00EF6A8D"/>
    <w:rsid w:val="00EF6D1A"/>
    <w:rsid w:val="00EF6DA9"/>
    <w:rsid w:val="00EF6F34"/>
    <w:rsid w:val="00EF71F2"/>
    <w:rsid w:val="00EF7207"/>
    <w:rsid w:val="00EF72AE"/>
    <w:rsid w:val="00EF7379"/>
    <w:rsid w:val="00EF7405"/>
    <w:rsid w:val="00EF742A"/>
    <w:rsid w:val="00EF7664"/>
    <w:rsid w:val="00EF772D"/>
    <w:rsid w:val="00EF781E"/>
    <w:rsid w:val="00EF7885"/>
    <w:rsid w:val="00EF7AFF"/>
    <w:rsid w:val="00EF7D8B"/>
    <w:rsid w:val="00F00131"/>
    <w:rsid w:val="00F0048F"/>
    <w:rsid w:val="00F004DB"/>
    <w:rsid w:val="00F00521"/>
    <w:rsid w:val="00F00569"/>
    <w:rsid w:val="00F00625"/>
    <w:rsid w:val="00F00642"/>
    <w:rsid w:val="00F0066D"/>
    <w:rsid w:val="00F00690"/>
    <w:rsid w:val="00F0069D"/>
    <w:rsid w:val="00F00734"/>
    <w:rsid w:val="00F0085B"/>
    <w:rsid w:val="00F00A53"/>
    <w:rsid w:val="00F01189"/>
    <w:rsid w:val="00F011F3"/>
    <w:rsid w:val="00F01415"/>
    <w:rsid w:val="00F014D1"/>
    <w:rsid w:val="00F014D7"/>
    <w:rsid w:val="00F0169D"/>
    <w:rsid w:val="00F0198E"/>
    <w:rsid w:val="00F01A19"/>
    <w:rsid w:val="00F01AD2"/>
    <w:rsid w:val="00F01BB5"/>
    <w:rsid w:val="00F01EBF"/>
    <w:rsid w:val="00F01ECB"/>
    <w:rsid w:val="00F02130"/>
    <w:rsid w:val="00F022B7"/>
    <w:rsid w:val="00F024BC"/>
    <w:rsid w:val="00F026CF"/>
    <w:rsid w:val="00F02A78"/>
    <w:rsid w:val="00F02AA2"/>
    <w:rsid w:val="00F02BA3"/>
    <w:rsid w:val="00F02F6B"/>
    <w:rsid w:val="00F0301B"/>
    <w:rsid w:val="00F030B5"/>
    <w:rsid w:val="00F03157"/>
    <w:rsid w:val="00F03252"/>
    <w:rsid w:val="00F03284"/>
    <w:rsid w:val="00F03399"/>
    <w:rsid w:val="00F0373C"/>
    <w:rsid w:val="00F03830"/>
    <w:rsid w:val="00F03922"/>
    <w:rsid w:val="00F03966"/>
    <w:rsid w:val="00F03B6B"/>
    <w:rsid w:val="00F03EA6"/>
    <w:rsid w:val="00F03FE8"/>
    <w:rsid w:val="00F0425A"/>
    <w:rsid w:val="00F04346"/>
    <w:rsid w:val="00F044F7"/>
    <w:rsid w:val="00F04581"/>
    <w:rsid w:val="00F04799"/>
    <w:rsid w:val="00F047E5"/>
    <w:rsid w:val="00F04876"/>
    <w:rsid w:val="00F04883"/>
    <w:rsid w:val="00F0493D"/>
    <w:rsid w:val="00F04ACE"/>
    <w:rsid w:val="00F04BDE"/>
    <w:rsid w:val="00F04FB7"/>
    <w:rsid w:val="00F05134"/>
    <w:rsid w:val="00F051C2"/>
    <w:rsid w:val="00F05282"/>
    <w:rsid w:val="00F05304"/>
    <w:rsid w:val="00F0546A"/>
    <w:rsid w:val="00F054A1"/>
    <w:rsid w:val="00F059E3"/>
    <w:rsid w:val="00F05A51"/>
    <w:rsid w:val="00F05C32"/>
    <w:rsid w:val="00F05D6F"/>
    <w:rsid w:val="00F05F41"/>
    <w:rsid w:val="00F0621F"/>
    <w:rsid w:val="00F06546"/>
    <w:rsid w:val="00F06660"/>
    <w:rsid w:val="00F06776"/>
    <w:rsid w:val="00F067BA"/>
    <w:rsid w:val="00F0683D"/>
    <w:rsid w:val="00F06880"/>
    <w:rsid w:val="00F069E8"/>
    <w:rsid w:val="00F06A67"/>
    <w:rsid w:val="00F06AD8"/>
    <w:rsid w:val="00F06B06"/>
    <w:rsid w:val="00F06CFA"/>
    <w:rsid w:val="00F06D9C"/>
    <w:rsid w:val="00F07219"/>
    <w:rsid w:val="00F07255"/>
    <w:rsid w:val="00F07420"/>
    <w:rsid w:val="00F074B8"/>
    <w:rsid w:val="00F07507"/>
    <w:rsid w:val="00F07933"/>
    <w:rsid w:val="00F07AD5"/>
    <w:rsid w:val="00F07BA2"/>
    <w:rsid w:val="00F07DFC"/>
    <w:rsid w:val="00F07E60"/>
    <w:rsid w:val="00F1014A"/>
    <w:rsid w:val="00F1030B"/>
    <w:rsid w:val="00F1044A"/>
    <w:rsid w:val="00F10678"/>
    <w:rsid w:val="00F10703"/>
    <w:rsid w:val="00F1081A"/>
    <w:rsid w:val="00F109C5"/>
    <w:rsid w:val="00F10BDD"/>
    <w:rsid w:val="00F10D05"/>
    <w:rsid w:val="00F10D15"/>
    <w:rsid w:val="00F10D7A"/>
    <w:rsid w:val="00F10FC8"/>
    <w:rsid w:val="00F11365"/>
    <w:rsid w:val="00F113F4"/>
    <w:rsid w:val="00F114EB"/>
    <w:rsid w:val="00F117B6"/>
    <w:rsid w:val="00F118BE"/>
    <w:rsid w:val="00F1192A"/>
    <w:rsid w:val="00F11C4F"/>
    <w:rsid w:val="00F11DED"/>
    <w:rsid w:val="00F11DF6"/>
    <w:rsid w:val="00F11EAD"/>
    <w:rsid w:val="00F12014"/>
    <w:rsid w:val="00F12285"/>
    <w:rsid w:val="00F12629"/>
    <w:rsid w:val="00F126EB"/>
    <w:rsid w:val="00F127D0"/>
    <w:rsid w:val="00F129A5"/>
    <w:rsid w:val="00F12AAF"/>
    <w:rsid w:val="00F1333E"/>
    <w:rsid w:val="00F13511"/>
    <w:rsid w:val="00F135CF"/>
    <w:rsid w:val="00F13643"/>
    <w:rsid w:val="00F137FF"/>
    <w:rsid w:val="00F1392A"/>
    <w:rsid w:val="00F13A81"/>
    <w:rsid w:val="00F13B74"/>
    <w:rsid w:val="00F13D32"/>
    <w:rsid w:val="00F13EB6"/>
    <w:rsid w:val="00F13F6F"/>
    <w:rsid w:val="00F13F7E"/>
    <w:rsid w:val="00F13FFF"/>
    <w:rsid w:val="00F14062"/>
    <w:rsid w:val="00F140FD"/>
    <w:rsid w:val="00F1422B"/>
    <w:rsid w:val="00F14346"/>
    <w:rsid w:val="00F14561"/>
    <w:rsid w:val="00F145CD"/>
    <w:rsid w:val="00F145F0"/>
    <w:rsid w:val="00F1481C"/>
    <w:rsid w:val="00F14826"/>
    <w:rsid w:val="00F1483F"/>
    <w:rsid w:val="00F14ADD"/>
    <w:rsid w:val="00F14B35"/>
    <w:rsid w:val="00F14BE7"/>
    <w:rsid w:val="00F14F0A"/>
    <w:rsid w:val="00F14F76"/>
    <w:rsid w:val="00F14F82"/>
    <w:rsid w:val="00F151D5"/>
    <w:rsid w:val="00F156CE"/>
    <w:rsid w:val="00F15926"/>
    <w:rsid w:val="00F159B0"/>
    <w:rsid w:val="00F15A0E"/>
    <w:rsid w:val="00F15CA9"/>
    <w:rsid w:val="00F15E00"/>
    <w:rsid w:val="00F15E87"/>
    <w:rsid w:val="00F161B0"/>
    <w:rsid w:val="00F1641D"/>
    <w:rsid w:val="00F16423"/>
    <w:rsid w:val="00F165CC"/>
    <w:rsid w:val="00F165ED"/>
    <w:rsid w:val="00F168FD"/>
    <w:rsid w:val="00F169BC"/>
    <w:rsid w:val="00F16D51"/>
    <w:rsid w:val="00F172B2"/>
    <w:rsid w:val="00F1733A"/>
    <w:rsid w:val="00F17501"/>
    <w:rsid w:val="00F1777B"/>
    <w:rsid w:val="00F17854"/>
    <w:rsid w:val="00F17B6E"/>
    <w:rsid w:val="00F17BDB"/>
    <w:rsid w:val="00F17C4F"/>
    <w:rsid w:val="00F17CDF"/>
    <w:rsid w:val="00F17FC6"/>
    <w:rsid w:val="00F20096"/>
    <w:rsid w:val="00F20363"/>
    <w:rsid w:val="00F20458"/>
    <w:rsid w:val="00F20596"/>
    <w:rsid w:val="00F20833"/>
    <w:rsid w:val="00F209A3"/>
    <w:rsid w:val="00F20C1F"/>
    <w:rsid w:val="00F20CAB"/>
    <w:rsid w:val="00F20D1E"/>
    <w:rsid w:val="00F20F53"/>
    <w:rsid w:val="00F2104D"/>
    <w:rsid w:val="00F210B6"/>
    <w:rsid w:val="00F21419"/>
    <w:rsid w:val="00F2143F"/>
    <w:rsid w:val="00F21B61"/>
    <w:rsid w:val="00F21C22"/>
    <w:rsid w:val="00F21C71"/>
    <w:rsid w:val="00F21F8C"/>
    <w:rsid w:val="00F22036"/>
    <w:rsid w:val="00F2233C"/>
    <w:rsid w:val="00F224B9"/>
    <w:rsid w:val="00F225D0"/>
    <w:rsid w:val="00F22695"/>
    <w:rsid w:val="00F22903"/>
    <w:rsid w:val="00F229AA"/>
    <w:rsid w:val="00F22ABB"/>
    <w:rsid w:val="00F22CFF"/>
    <w:rsid w:val="00F23123"/>
    <w:rsid w:val="00F23125"/>
    <w:rsid w:val="00F2338F"/>
    <w:rsid w:val="00F237FB"/>
    <w:rsid w:val="00F237FD"/>
    <w:rsid w:val="00F23CFD"/>
    <w:rsid w:val="00F23D50"/>
    <w:rsid w:val="00F23EB6"/>
    <w:rsid w:val="00F2415E"/>
    <w:rsid w:val="00F24508"/>
    <w:rsid w:val="00F2462B"/>
    <w:rsid w:val="00F2476A"/>
    <w:rsid w:val="00F248FD"/>
    <w:rsid w:val="00F24C07"/>
    <w:rsid w:val="00F24C84"/>
    <w:rsid w:val="00F24CDB"/>
    <w:rsid w:val="00F24DDE"/>
    <w:rsid w:val="00F250A1"/>
    <w:rsid w:val="00F254A0"/>
    <w:rsid w:val="00F25815"/>
    <w:rsid w:val="00F25BCC"/>
    <w:rsid w:val="00F25EBC"/>
    <w:rsid w:val="00F26123"/>
    <w:rsid w:val="00F26124"/>
    <w:rsid w:val="00F262EA"/>
    <w:rsid w:val="00F26305"/>
    <w:rsid w:val="00F26507"/>
    <w:rsid w:val="00F26512"/>
    <w:rsid w:val="00F2672D"/>
    <w:rsid w:val="00F26992"/>
    <w:rsid w:val="00F2699A"/>
    <w:rsid w:val="00F26A0C"/>
    <w:rsid w:val="00F26E21"/>
    <w:rsid w:val="00F26EDE"/>
    <w:rsid w:val="00F27112"/>
    <w:rsid w:val="00F271B3"/>
    <w:rsid w:val="00F271F4"/>
    <w:rsid w:val="00F276D3"/>
    <w:rsid w:val="00F27A48"/>
    <w:rsid w:val="00F27B8A"/>
    <w:rsid w:val="00F27E20"/>
    <w:rsid w:val="00F302AE"/>
    <w:rsid w:val="00F307B2"/>
    <w:rsid w:val="00F309E2"/>
    <w:rsid w:val="00F30A31"/>
    <w:rsid w:val="00F30AAD"/>
    <w:rsid w:val="00F30D07"/>
    <w:rsid w:val="00F30E3B"/>
    <w:rsid w:val="00F30F1B"/>
    <w:rsid w:val="00F30F58"/>
    <w:rsid w:val="00F3111F"/>
    <w:rsid w:val="00F3125F"/>
    <w:rsid w:val="00F31479"/>
    <w:rsid w:val="00F31588"/>
    <w:rsid w:val="00F31642"/>
    <w:rsid w:val="00F31700"/>
    <w:rsid w:val="00F3180F"/>
    <w:rsid w:val="00F31856"/>
    <w:rsid w:val="00F31924"/>
    <w:rsid w:val="00F31948"/>
    <w:rsid w:val="00F31AEF"/>
    <w:rsid w:val="00F31E62"/>
    <w:rsid w:val="00F31FED"/>
    <w:rsid w:val="00F322C1"/>
    <w:rsid w:val="00F3245B"/>
    <w:rsid w:val="00F32692"/>
    <w:rsid w:val="00F32870"/>
    <w:rsid w:val="00F32973"/>
    <w:rsid w:val="00F32A7C"/>
    <w:rsid w:val="00F32C39"/>
    <w:rsid w:val="00F33050"/>
    <w:rsid w:val="00F330FB"/>
    <w:rsid w:val="00F33124"/>
    <w:rsid w:val="00F33354"/>
    <w:rsid w:val="00F33529"/>
    <w:rsid w:val="00F3353F"/>
    <w:rsid w:val="00F335CA"/>
    <w:rsid w:val="00F3367A"/>
    <w:rsid w:val="00F33750"/>
    <w:rsid w:val="00F337B5"/>
    <w:rsid w:val="00F337EB"/>
    <w:rsid w:val="00F338B9"/>
    <w:rsid w:val="00F33B29"/>
    <w:rsid w:val="00F33B41"/>
    <w:rsid w:val="00F33D1A"/>
    <w:rsid w:val="00F33D1E"/>
    <w:rsid w:val="00F340F3"/>
    <w:rsid w:val="00F34135"/>
    <w:rsid w:val="00F34260"/>
    <w:rsid w:val="00F34314"/>
    <w:rsid w:val="00F343A1"/>
    <w:rsid w:val="00F344D1"/>
    <w:rsid w:val="00F345E2"/>
    <w:rsid w:val="00F34616"/>
    <w:rsid w:val="00F34A97"/>
    <w:rsid w:val="00F34B8C"/>
    <w:rsid w:val="00F351FE"/>
    <w:rsid w:val="00F356C8"/>
    <w:rsid w:val="00F35B40"/>
    <w:rsid w:val="00F35CE5"/>
    <w:rsid w:val="00F362DE"/>
    <w:rsid w:val="00F36692"/>
    <w:rsid w:val="00F366F0"/>
    <w:rsid w:val="00F367D4"/>
    <w:rsid w:val="00F367F8"/>
    <w:rsid w:val="00F36ACB"/>
    <w:rsid w:val="00F36C32"/>
    <w:rsid w:val="00F36CBD"/>
    <w:rsid w:val="00F36D08"/>
    <w:rsid w:val="00F36FE2"/>
    <w:rsid w:val="00F37001"/>
    <w:rsid w:val="00F37027"/>
    <w:rsid w:val="00F37029"/>
    <w:rsid w:val="00F3702E"/>
    <w:rsid w:val="00F37036"/>
    <w:rsid w:val="00F37053"/>
    <w:rsid w:val="00F370F2"/>
    <w:rsid w:val="00F37105"/>
    <w:rsid w:val="00F37257"/>
    <w:rsid w:val="00F373A3"/>
    <w:rsid w:val="00F3743A"/>
    <w:rsid w:val="00F37904"/>
    <w:rsid w:val="00F37A7D"/>
    <w:rsid w:val="00F37BC5"/>
    <w:rsid w:val="00F37BFC"/>
    <w:rsid w:val="00F400D9"/>
    <w:rsid w:val="00F40264"/>
    <w:rsid w:val="00F40470"/>
    <w:rsid w:val="00F407E7"/>
    <w:rsid w:val="00F40AFE"/>
    <w:rsid w:val="00F40D24"/>
    <w:rsid w:val="00F40F27"/>
    <w:rsid w:val="00F41048"/>
    <w:rsid w:val="00F4132F"/>
    <w:rsid w:val="00F41390"/>
    <w:rsid w:val="00F4144F"/>
    <w:rsid w:val="00F4165A"/>
    <w:rsid w:val="00F418C7"/>
    <w:rsid w:val="00F41B47"/>
    <w:rsid w:val="00F41C2E"/>
    <w:rsid w:val="00F41CB4"/>
    <w:rsid w:val="00F41F4D"/>
    <w:rsid w:val="00F41FD8"/>
    <w:rsid w:val="00F42046"/>
    <w:rsid w:val="00F4254B"/>
    <w:rsid w:val="00F42896"/>
    <w:rsid w:val="00F428AC"/>
    <w:rsid w:val="00F4296D"/>
    <w:rsid w:val="00F429BF"/>
    <w:rsid w:val="00F42DC2"/>
    <w:rsid w:val="00F42EF3"/>
    <w:rsid w:val="00F4309E"/>
    <w:rsid w:val="00F43115"/>
    <w:rsid w:val="00F43382"/>
    <w:rsid w:val="00F435D8"/>
    <w:rsid w:val="00F438D4"/>
    <w:rsid w:val="00F43A97"/>
    <w:rsid w:val="00F43E7E"/>
    <w:rsid w:val="00F44073"/>
    <w:rsid w:val="00F440D4"/>
    <w:rsid w:val="00F4426B"/>
    <w:rsid w:val="00F442B7"/>
    <w:rsid w:val="00F44322"/>
    <w:rsid w:val="00F4434B"/>
    <w:rsid w:val="00F4439A"/>
    <w:rsid w:val="00F443D9"/>
    <w:rsid w:val="00F44417"/>
    <w:rsid w:val="00F446B8"/>
    <w:rsid w:val="00F4480A"/>
    <w:rsid w:val="00F4490C"/>
    <w:rsid w:val="00F44A04"/>
    <w:rsid w:val="00F44A53"/>
    <w:rsid w:val="00F44B4A"/>
    <w:rsid w:val="00F44B8F"/>
    <w:rsid w:val="00F44CFA"/>
    <w:rsid w:val="00F44F70"/>
    <w:rsid w:val="00F44F7C"/>
    <w:rsid w:val="00F44FE7"/>
    <w:rsid w:val="00F4505F"/>
    <w:rsid w:val="00F45080"/>
    <w:rsid w:val="00F4551C"/>
    <w:rsid w:val="00F45C87"/>
    <w:rsid w:val="00F46427"/>
    <w:rsid w:val="00F46549"/>
    <w:rsid w:val="00F46909"/>
    <w:rsid w:val="00F46AC8"/>
    <w:rsid w:val="00F46B4D"/>
    <w:rsid w:val="00F46C83"/>
    <w:rsid w:val="00F46DDB"/>
    <w:rsid w:val="00F46E97"/>
    <w:rsid w:val="00F47241"/>
    <w:rsid w:val="00F4735B"/>
    <w:rsid w:val="00F479AC"/>
    <w:rsid w:val="00F479B9"/>
    <w:rsid w:val="00F47A77"/>
    <w:rsid w:val="00F47CF9"/>
    <w:rsid w:val="00F47DCF"/>
    <w:rsid w:val="00F47EB1"/>
    <w:rsid w:val="00F50078"/>
    <w:rsid w:val="00F502F3"/>
    <w:rsid w:val="00F5043F"/>
    <w:rsid w:val="00F50612"/>
    <w:rsid w:val="00F50828"/>
    <w:rsid w:val="00F5082B"/>
    <w:rsid w:val="00F50854"/>
    <w:rsid w:val="00F50862"/>
    <w:rsid w:val="00F5091E"/>
    <w:rsid w:val="00F5099F"/>
    <w:rsid w:val="00F50AFF"/>
    <w:rsid w:val="00F50B6E"/>
    <w:rsid w:val="00F511AD"/>
    <w:rsid w:val="00F511CF"/>
    <w:rsid w:val="00F5123A"/>
    <w:rsid w:val="00F51415"/>
    <w:rsid w:val="00F514C5"/>
    <w:rsid w:val="00F5171A"/>
    <w:rsid w:val="00F519C3"/>
    <w:rsid w:val="00F51AB1"/>
    <w:rsid w:val="00F51DA2"/>
    <w:rsid w:val="00F51E31"/>
    <w:rsid w:val="00F51E54"/>
    <w:rsid w:val="00F51EC7"/>
    <w:rsid w:val="00F51EEC"/>
    <w:rsid w:val="00F51F93"/>
    <w:rsid w:val="00F52010"/>
    <w:rsid w:val="00F520B7"/>
    <w:rsid w:val="00F526AD"/>
    <w:rsid w:val="00F527B3"/>
    <w:rsid w:val="00F529E1"/>
    <w:rsid w:val="00F52B15"/>
    <w:rsid w:val="00F52B57"/>
    <w:rsid w:val="00F52BCA"/>
    <w:rsid w:val="00F52C22"/>
    <w:rsid w:val="00F52C77"/>
    <w:rsid w:val="00F52D50"/>
    <w:rsid w:val="00F52EE2"/>
    <w:rsid w:val="00F5372B"/>
    <w:rsid w:val="00F5376A"/>
    <w:rsid w:val="00F537B8"/>
    <w:rsid w:val="00F53F5D"/>
    <w:rsid w:val="00F53FA5"/>
    <w:rsid w:val="00F5404D"/>
    <w:rsid w:val="00F5425E"/>
    <w:rsid w:val="00F54534"/>
    <w:rsid w:val="00F5465C"/>
    <w:rsid w:val="00F5492E"/>
    <w:rsid w:val="00F5499C"/>
    <w:rsid w:val="00F54B7F"/>
    <w:rsid w:val="00F550D6"/>
    <w:rsid w:val="00F551A6"/>
    <w:rsid w:val="00F5523E"/>
    <w:rsid w:val="00F553A9"/>
    <w:rsid w:val="00F553E3"/>
    <w:rsid w:val="00F55777"/>
    <w:rsid w:val="00F55818"/>
    <w:rsid w:val="00F55A62"/>
    <w:rsid w:val="00F55EAF"/>
    <w:rsid w:val="00F55F5E"/>
    <w:rsid w:val="00F55FEB"/>
    <w:rsid w:val="00F560D6"/>
    <w:rsid w:val="00F563AC"/>
    <w:rsid w:val="00F563B2"/>
    <w:rsid w:val="00F564CB"/>
    <w:rsid w:val="00F5657D"/>
    <w:rsid w:val="00F565E0"/>
    <w:rsid w:val="00F566F9"/>
    <w:rsid w:val="00F56810"/>
    <w:rsid w:val="00F56993"/>
    <w:rsid w:val="00F56A9D"/>
    <w:rsid w:val="00F56C08"/>
    <w:rsid w:val="00F56CE6"/>
    <w:rsid w:val="00F56E96"/>
    <w:rsid w:val="00F56EC7"/>
    <w:rsid w:val="00F57142"/>
    <w:rsid w:val="00F57150"/>
    <w:rsid w:val="00F5719E"/>
    <w:rsid w:val="00F57252"/>
    <w:rsid w:val="00F57270"/>
    <w:rsid w:val="00F576B5"/>
    <w:rsid w:val="00F57743"/>
    <w:rsid w:val="00F57813"/>
    <w:rsid w:val="00F57AAA"/>
    <w:rsid w:val="00F57B54"/>
    <w:rsid w:val="00F57BFB"/>
    <w:rsid w:val="00F57C3B"/>
    <w:rsid w:val="00F57D47"/>
    <w:rsid w:val="00F57E65"/>
    <w:rsid w:val="00F57E9D"/>
    <w:rsid w:val="00F57F2E"/>
    <w:rsid w:val="00F60034"/>
    <w:rsid w:val="00F60086"/>
    <w:rsid w:val="00F6013B"/>
    <w:rsid w:val="00F602A9"/>
    <w:rsid w:val="00F602EA"/>
    <w:rsid w:val="00F60689"/>
    <w:rsid w:val="00F608E9"/>
    <w:rsid w:val="00F6095B"/>
    <w:rsid w:val="00F60AE3"/>
    <w:rsid w:val="00F60B44"/>
    <w:rsid w:val="00F60B45"/>
    <w:rsid w:val="00F60BD6"/>
    <w:rsid w:val="00F60C43"/>
    <w:rsid w:val="00F60C6B"/>
    <w:rsid w:val="00F60EA1"/>
    <w:rsid w:val="00F60F16"/>
    <w:rsid w:val="00F60FA7"/>
    <w:rsid w:val="00F60FDF"/>
    <w:rsid w:val="00F61040"/>
    <w:rsid w:val="00F611E6"/>
    <w:rsid w:val="00F61201"/>
    <w:rsid w:val="00F61477"/>
    <w:rsid w:val="00F61517"/>
    <w:rsid w:val="00F61560"/>
    <w:rsid w:val="00F615FF"/>
    <w:rsid w:val="00F61B5F"/>
    <w:rsid w:val="00F61C4D"/>
    <w:rsid w:val="00F61CD7"/>
    <w:rsid w:val="00F61D17"/>
    <w:rsid w:val="00F61DF9"/>
    <w:rsid w:val="00F61E83"/>
    <w:rsid w:val="00F61F25"/>
    <w:rsid w:val="00F61FBC"/>
    <w:rsid w:val="00F62251"/>
    <w:rsid w:val="00F622A7"/>
    <w:rsid w:val="00F625A0"/>
    <w:rsid w:val="00F627B5"/>
    <w:rsid w:val="00F62877"/>
    <w:rsid w:val="00F629A9"/>
    <w:rsid w:val="00F62C94"/>
    <w:rsid w:val="00F632D2"/>
    <w:rsid w:val="00F63314"/>
    <w:rsid w:val="00F63419"/>
    <w:rsid w:val="00F63421"/>
    <w:rsid w:val="00F635A2"/>
    <w:rsid w:val="00F6365A"/>
    <w:rsid w:val="00F63663"/>
    <w:rsid w:val="00F636EC"/>
    <w:rsid w:val="00F6390F"/>
    <w:rsid w:val="00F63A88"/>
    <w:rsid w:val="00F63AB3"/>
    <w:rsid w:val="00F63C5C"/>
    <w:rsid w:val="00F63C5E"/>
    <w:rsid w:val="00F641C7"/>
    <w:rsid w:val="00F64223"/>
    <w:rsid w:val="00F64462"/>
    <w:rsid w:val="00F64523"/>
    <w:rsid w:val="00F64589"/>
    <w:rsid w:val="00F64AB3"/>
    <w:rsid w:val="00F64C21"/>
    <w:rsid w:val="00F64FAE"/>
    <w:rsid w:val="00F65127"/>
    <w:rsid w:val="00F6517C"/>
    <w:rsid w:val="00F65221"/>
    <w:rsid w:val="00F652BA"/>
    <w:rsid w:val="00F6534D"/>
    <w:rsid w:val="00F65404"/>
    <w:rsid w:val="00F654B6"/>
    <w:rsid w:val="00F65590"/>
    <w:rsid w:val="00F656C1"/>
    <w:rsid w:val="00F65D18"/>
    <w:rsid w:val="00F6653B"/>
    <w:rsid w:val="00F667E2"/>
    <w:rsid w:val="00F669A8"/>
    <w:rsid w:val="00F66B83"/>
    <w:rsid w:val="00F66FCB"/>
    <w:rsid w:val="00F671D6"/>
    <w:rsid w:val="00F6725F"/>
    <w:rsid w:val="00F67458"/>
    <w:rsid w:val="00F67689"/>
    <w:rsid w:val="00F67945"/>
    <w:rsid w:val="00F67956"/>
    <w:rsid w:val="00F67B83"/>
    <w:rsid w:val="00F67BD5"/>
    <w:rsid w:val="00F67C58"/>
    <w:rsid w:val="00F67ED5"/>
    <w:rsid w:val="00F67F0E"/>
    <w:rsid w:val="00F67F45"/>
    <w:rsid w:val="00F67FA3"/>
    <w:rsid w:val="00F70117"/>
    <w:rsid w:val="00F702EF"/>
    <w:rsid w:val="00F70779"/>
    <w:rsid w:val="00F709A3"/>
    <w:rsid w:val="00F70B66"/>
    <w:rsid w:val="00F70BED"/>
    <w:rsid w:val="00F70C52"/>
    <w:rsid w:val="00F71039"/>
    <w:rsid w:val="00F71142"/>
    <w:rsid w:val="00F712D0"/>
    <w:rsid w:val="00F71328"/>
    <w:rsid w:val="00F71441"/>
    <w:rsid w:val="00F71496"/>
    <w:rsid w:val="00F7158E"/>
    <w:rsid w:val="00F715E9"/>
    <w:rsid w:val="00F71950"/>
    <w:rsid w:val="00F719C5"/>
    <w:rsid w:val="00F72680"/>
    <w:rsid w:val="00F72881"/>
    <w:rsid w:val="00F72943"/>
    <w:rsid w:val="00F729B4"/>
    <w:rsid w:val="00F72B3B"/>
    <w:rsid w:val="00F72C90"/>
    <w:rsid w:val="00F72FDF"/>
    <w:rsid w:val="00F72FE0"/>
    <w:rsid w:val="00F7309A"/>
    <w:rsid w:val="00F73270"/>
    <w:rsid w:val="00F73379"/>
    <w:rsid w:val="00F733A3"/>
    <w:rsid w:val="00F733F0"/>
    <w:rsid w:val="00F736A7"/>
    <w:rsid w:val="00F73717"/>
    <w:rsid w:val="00F739A9"/>
    <w:rsid w:val="00F73A0F"/>
    <w:rsid w:val="00F73A51"/>
    <w:rsid w:val="00F73CA9"/>
    <w:rsid w:val="00F73CCA"/>
    <w:rsid w:val="00F73D03"/>
    <w:rsid w:val="00F73D0E"/>
    <w:rsid w:val="00F73E9C"/>
    <w:rsid w:val="00F73F8A"/>
    <w:rsid w:val="00F74228"/>
    <w:rsid w:val="00F74260"/>
    <w:rsid w:val="00F74280"/>
    <w:rsid w:val="00F742BC"/>
    <w:rsid w:val="00F74484"/>
    <w:rsid w:val="00F7449F"/>
    <w:rsid w:val="00F744AC"/>
    <w:rsid w:val="00F74673"/>
    <w:rsid w:val="00F747FE"/>
    <w:rsid w:val="00F749B1"/>
    <w:rsid w:val="00F74B05"/>
    <w:rsid w:val="00F74C4E"/>
    <w:rsid w:val="00F74FFC"/>
    <w:rsid w:val="00F758BC"/>
    <w:rsid w:val="00F763B9"/>
    <w:rsid w:val="00F763BC"/>
    <w:rsid w:val="00F76959"/>
    <w:rsid w:val="00F76C12"/>
    <w:rsid w:val="00F76C6E"/>
    <w:rsid w:val="00F76F01"/>
    <w:rsid w:val="00F770D7"/>
    <w:rsid w:val="00F7752C"/>
    <w:rsid w:val="00F775C2"/>
    <w:rsid w:val="00F776C7"/>
    <w:rsid w:val="00F7789A"/>
    <w:rsid w:val="00F778DC"/>
    <w:rsid w:val="00F778E5"/>
    <w:rsid w:val="00F77A4D"/>
    <w:rsid w:val="00F77CB1"/>
    <w:rsid w:val="00F77CD7"/>
    <w:rsid w:val="00F77D14"/>
    <w:rsid w:val="00F77E7E"/>
    <w:rsid w:val="00F80000"/>
    <w:rsid w:val="00F801BE"/>
    <w:rsid w:val="00F80222"/>
    <w:rsid w:val="00F802E7"/>
    <w:rsid w:val="00F80661"/>
    <w:rsid w:val="00F806BA"/>
    <w:rsid w:val="00F80898"/>
    <w:rsid w:val="00F80988"/>
    <w:rsid w:val="00F809F0"/>
    <w:rsid w:val="00F809F7"/>
    <w:rsid w:val="00F80A28"/>
    <w:rsid w:val="00F80B01"/>
    <w:rsid w:val="00F80D32"/>
    <w:rsid w:val="00F80E54"/>
    <w:rsid w:val="00F80EC9"/>
    <w:rsid w:val="00F80F36"/>
    <w:rsid w:val="00F811C1"/>
    <w:rsid w:val="00F81456"/>
    <w:rsid w:val="00F815F8"/>
    <w:rsid w:val="00F816B8"/>
    <w:rsid w:val="00F818F2"/>
    <w:rsid w:val="00F81979"/>
    <w:rsid w:val="00F81A11"/>
    <w:rsid w:val="00F81EB3"/>
    <w:rsid w:val="00F81F6F"/>
    <w:rsid w:val="00F81FF0"/>
    <w:rsid w:val="00F820B6"/>
    <w:rsid w:val="00F823CD"/>
    <w:rsid w:val="00F8246E"/>
    <w:rsid w:val="00F82709"/>
    <w:rsid w:val="00F82765"/>
    <w:rsid w:val="00F828EE"/>
    <w:rsid w:val="00F82912"/>
    <w:rsid w:val="00F82EC9"/>
    <w:rsid w:val="00F82F66"/>
    <w:rsid w:val="00F83150"/>
    <w:rsid w:val="00F831F0"/>
    <w:rsid w:val="00F8329A"/>
    <w:rsid w:val="00F83302"/>
    <w:rsid w:val="00F8334D"/>
    <w:rsid w:val="00F834A8"/>
    <w:rsid w:val="00F835D5"/>
    <w:rsid w:val="00F83889"/>
    <w:rsid w:val="00F83905"/>
    <w:rsid w:val="00F83964"/>
    <w:rsid w:val="00F83A4B"/>
    <w:rsid w:val="00F83F32"/>
    <w:rsid w:val="00F83F66"/>
    <w:rsid w:val="00F84322"/>
    <w:rsid w:val="00F84398"/>
    <w:rsid w:val="00F8445A"/>
    <w:rsid w:val="00F84617"/>
    <w:rsid w:val="00F8468C"/>
    <w:rsid w:val="00F846E2"/>
    <w:rsid w:val="00F84754"/>
    <w:rsid w:val="00F849D9"/>
    <w:rsid w:val="00F84C0A"/>
    <w:rsid w:val="00F84E7A"/>
    <w:rsid w:val="00F84E82"/>
    <w:rsid w:val="00F84E94"/>
    <w:rsid w:val="00F84EF8"/>
    <w:rsid w:val="00F84F36"/>
    <w:rsid w:val="00F84F40"/>
    <w:rsid w:val="00F85472"/>
    <w:rsid w:val="00F8552B"/>
    <w:rsid w:val="00F85565"/>
    <w:rsid w:val="00F8557A"/>
    <w:rsid w:val="00F856C1"/>
    <w:rsid w:val="00F857B0"/>
    <w:rsid w:val="00F859EF"/>
    <w:rsid w:val="00F85A4C"/>
    <w:rsid w:val="00F85C5F"/>
    <w:rsid w:val="00F85CD1"/>
    <w:rsid w:val="00F85E65"/>
    <w:rsid w:val="00F86076"/>
    <w:rsid w:val="00F86226"/>
    <w:rsid w:val="00F8623C"/>
    <w:rsid w:val="00F86265"/>
    <w:rsid w:val="00F8640E"/>
    <w:rsid w:val="00F86581"/>
    <w:rsid w:val="00F86590"/>
    <w:rsid w:val="00F86658"/>
    <w:rsid w:val="00F86A9E"/>
    <w:rsid w:val="00F86C24"/>
    <w:rsid w:val="00F86E95"/>
    <w:rsid w:val="00F870A7"/>
    <w:rsid w:val="00F8713E"/>
    <w:rsid w:val="00F8726D"/>
    <w:rsid w:val="00F87338"/>
    <w:rsid w:val="00F873FE"/>
    <w:rsid w:val="00F87443"/>
    <w:rsid w:val="00F875EA"/>
    <w:rsid w:val="00F8767F"/>
    <w:rsid w:val="00F87854"/>
    <w:rsid w:val="00F879F7"/>
    <w:rsid w:val="00F87BB4"/>
    <w:rsid w:val="00F87C2C"/>
    <w:rsid w:val="00F87D3B"/>
    <w:rsid w:val="00F87ED9"/>
    <w:rsid w:val="00F87F35"/>
    <w:rsid w:val="00F9017B"/>
    <w:rsid w:val="00F901E7"/>
    <w:rsid w:val="00F903BB"/>
    <w:rsid w:val="00F903D0"/>
    <w:rsid w:val="00F90702"/>
    <w:rsid w:val="00F908D8"/>
    <w:rsid w:val="00F90CC9"/>
    <w:rsid w:val="00F90E9E"/>
    <w:rsid w:val="00F90F4D"/>
    <w:rsid w:val="00F90F98"/>
    <w:rsid w:val="00F91013"/>
    <w:rsid w:val="00F911A1"/>
    <w:rsid w:val="00F9197A"/>
    <w:rsid w:val="00F91B35"/>
    <w:rsid w:val="00F91DC8"/>
    <w:rsid w:val="00F91E88"/>
    <w:rsid w:val="00F92004"/>
    <w:rsid w:val="00F92118"/>
    <w:rsid w:val="00F92160"/>
    <w:rsid w:val="00F921B4"/>
    <w:rsid w:val="00F925AC"/>
    <w:rsid w:val="00F92653"/>
    <w:rsid w:val="00F926D6"/>
    <w:rsid w:val="00F92736"/>
    <w:rsid w:val="00F92842"/>
    <w:rsid w:val="00F92908"/>
    <w:rsid w:val="00F92AE5"/>
    <w:rsid w:val="00F92B38"/>
    <w:rsid w:val="00F92D68"/>
    <w:rsid w:val="00F92E47"/>
    <w:rsid w:val="00F9301D"/>
    <w:rsid w:val="00F93140"/>
    <w:rsid w:val="00F931DD"/>
    <w:rsid w:val="00F93720"/>
    <w:rsid w:val="00F937DC"/>
    <w:rsid w:val="00F93A66"/>
    <w:rsid w:val="00F94210"/>
    <w:rsid w:val="00F942B4"/>
    <w:rsid w:val="00F94424"/>
    <w:rsid w:val="00F94427"/>
    <w:rsid w:val="00F9454F"/>
    <w:rsid w:val="00F946F7"/>
    <w:rsid w:val="00F94860"/>
    <w:rsid w:val="00F948D9"/>
    <w:rsid w:val="00F9490F"/>
    <w:rsid w:val="00F9491E"/>
    <w:rsid w:val="00F94C8E"/>
    <w:rsid w:val="00F94E22"/>
    <w:rsid w:val="00F950D7"/>
    <w:rsid w:val="00F95204"/>
    <w:rsid w:val="00F952B2"/>
    <w:rsid w:val="00F953CA"/>
    <w:rsid w:val="00F953E8"/>
    <w:rsid w:val="00F95725"/>
    <w:rsid w:val="00F957F2"/>
    <w:rsid w:val="00F959A0"/>
    <w:rsid w:val="00F95EA8"/>
    <w:rsid w:val="00F961A9"/>
    <w:rsid w:val="00F961DB"/>
    <w:rsid w:val="00F96705"/>
    <w:rsid w:val="00F96725"/>
    <w:rsid w:val="00F967CD"/>
    <w:rsid w:val="00F96ABE"/>
    <w:rsid w:val="00F96B33"/>
    <w:rsid w:val="00F96BFA"/>
    <w:rsid w:val="00F96F67"/>
    <w:rsid w:val="00F97312"/>
    <w:rsid w:val="00F97363"/>
    <w:rsid w:val="00F97458"/>
    <w:rsid w:val="00F97482"/>
    <w:rsid w:val="00F974DB"/>
    <w:rsid w:val="00F97A76"/>
    <w:rsid w:val="00F97B3B"/>
    <w:rsid w:val="00F97DE1"/>
    <w:rsid w:val="00F97F22"/>
    <w:rsid w:val="00F97F70"/>
    <w:rsid w:val="00F97FFE"/>
    <w:rsid w:val="00FA016A"/>
    <w:rsid w:val="00FA0197"/>
    <w:rsid w:val="00FA038F"/>
    <w:rsid w:val="00FA0587"/>
    <w:rsid w:val="00FA067D"/>
    <w:rsid w:val="00FA0801"/>
    <w:rsid w:val="00FA08CA"/>
    <w:rsid w:val="00FA095D"/>
    <w:rsid w:val="00FA0C05"/>
    <w:rsid w:val="00FA0C6C"/>
    <w:rsid w:val="00FA0E9C"/>
    <w:rsid w:val="00FA0EEA"/>
    <w:rsid w:val="00FA0F4F"/>
    <w:rsid w:val="00FA0F67"/>
    <w:rsid w:val="00FA0FD7"/>
    <w:rsid w:val="00FA10F0"/>
    <w:rsid w:val="00FA1223"/>
    <w:rsid w:val="00FA1226"/>
    <w:rsid w:val="00FA1250"/>
    <w:rsid w:val="00FA12F8"/>
    <w:rsid w:val="00FA167F"/>
    <w:rsid w:val="00FA1691"/>
    <w:rsid w:val="00FA1705"/>
    <w:rsid w:val="00FA1773"/>
    <w:rsid w:val="00FA1933"/>
    <w:rsid w:val="00FA196C"/>
    <w:rsid w:val="00FA1A20"/>
    <w:rsid w:val="00FA1C71"/>
    <w:rsid w:val="00FA1CCC"/>
    <w:rsid w:val="00FA1F0D"/>
    <w:rsid w:val="00FA2428"/>
    <w:rsid w:val="00FA2434"/>
    <w:rsid w:val="00FA277C"/>
    <w:rsid w:val="00FA2898"/>
    <w:rsid w:val="00FA2D6D"/>
    <w:rsid w:val="00FA3347"/>
    <w:rsid w:val="00FA3A4C"/>
    <w:rsid w:val="00FA3B11"/>
    <w:rsid w:val="00FA3ECD"/>
    <w:rsid w:val="00FA3FAC"/>
    <w:rsid w:val="00FA4110"/>
    <w:rsid w:val="00FA4527"/>
    <w:rsid w:val="00FA4705"/>
    <w:rsid w:val="00FA47A3"/>
    <w:rsid w:val="00FA4966"/>
    <w:rsid w:val="00FA4A02"/>
    <w:rsid w:val="00FA4ABE"/>
    <w:rsid w:val="00FA4ADD"/>
    <w:rsid w:val="00FA4E4E"/>
    <w:rsid w:val="00FA4F21"/>
    <w:rsid w:val="00FA4FD3"/>
    <w:rsid w:val="00FA5067"/>
    <w:rsid w:val="00FA5074"/>
    <w:rsid w:val="00FA51F7"/>
    <w:rsid w:val="00FA5241"/>
    <w:rsid w:val="00FA53F0"/>
    <w:rsid w:val="00FA54EB"/>
    <w:rsid w:val="00FA5923"/>
    <w:rsid w:val="00FA598E"/>
    <w:rsid w:val="00FA5998"/>
    <w:rsid w:val="00FA5A4A"/>
    <w:rsid w:val="00FA5B8D"/>
    <w:rsid w:val="00FA5BC1"/>
    <w:rsid w:val="00FA5CAC"/>
    <w:rsid w:val="00FA5CCC"/>
    <w:rsid w:val="00FA5E52"/>
    <w:rsid w:val="00FA6105"/>
    <w:rsid w:val="00FA6324"/>
    <w:rsid w:val="00FA63E7"/>
    <w:rsid w:val="00FA647A"/>
    <w:rsid w:val="00FA6562"/>
    <w:rsid w:val="00FA6A1A"/>
    <w:rsid w:val="00FA6AD1"/>
    <w:rsid w:val="00FA6D11"/>
    <w:rsid w:val="00FA6D60"/>
    <w:rsid w:val="00FA6EE6"/>
    <w:rsid w:val="00FA75AB"/>
    <w:rsid w:val="00FA75C4"/>
    <w:rsid w:val="00FA75CB"/>
    <w:rsid w:val="00FA784C"/>
    <w:rsid w:val="00FA7B3A"/>
    <w:rsid w:val="00FA7BCE"/>
    <w:rsid w:val="00FA7D0F"/>
    <w:rsid w:val="00FA7D31"/>
    <w:rsid w:val="00FA7FA2"/>
    <w:rsid w:val="00FB01E8"/>
    <w:rsid w:val="00FB036B"/>
    <w:rsid w:val="00FB05EE"/>
    <w:rsid w:val="00FB0900"/>
    <w:rsid w:val="00FB0B76"/>
    <w:rsid w:val="00FB0BA7"/>
    <w:rsid w:val="00FB10DF"/>
    <w:rsid w:val="00FB10F7"/>
    <w:rsid w:val="00FB1111"/>
    <w:rsid w:val="00FB1536"/>
    <w:rsid w:val="00FB15A4"/>
    <w:rsid w:val="00FB1654"/>
    <w:rsid w:val="00FB16F2"/>
    <w:rsid w:val="00FB1931"/>
    <w:rsid w:val="00FB1B12"/>
    <w:rsid w:val="00FB1B8F"/>
    <w:rsid w:val="00FB1CBB"/>
    <w:rsid w:val="00FB1E03"/>
    <w:rsid w:val="00FB229C"/>
    <w:rsid w:val="00FB230D"/>
    <w:rsid w:val="00FB23C1"/>
    <w:rsid w:val="00FB2459"/>
    <w:rsid w:val="00FB2544"/>
    <w:rsid w:val="00FB267D"/>
    <w:rsid w:val="00FB289A"/>
    <w:rsid w:val="00FB2A00"/>
    <w:rsid w:val="00FB2C9D"/>
    <w:rsid w:val="00FB2D4D"/>
    <w:rsid w:val="00FB2F60"/>
    <w:rsid w:val="00FB2FCB"/>
    <w:rsid w:val="00FB32BC"/>
    <w:rsid w:val="00FB3702"/>
    <w:rsid w:val="00FB3717"/>
    <w:rsid w:val="00FB38C5"/>
    <w:rsid w:val="00FB3902"/>
    <w:rsid w:val="00FB3979"/>
    <w:rsid w:val="00FB39E7"/>
    <w:rsid w:val="00FB3A57"/>
    <w:rsid w:val="00FB3A93"/>
    <w:rsid w:val="00FB3B85"/>
    <w:rsid w:val="00FB3CE6"/>
    <w:rsid w:val="00FB3E47"/>
    <w:rsid w:val="00FB3E61"/>
    <w:rsid w:val="00FB3EAE"/>
    <w:rsid w:val="00FB3EC6"/>
    <w:rsid w:val="00FB3FA0"/>
    <w:rsid w:val="00FB4139"/>
    <w:rsid w:val="00FB4247"/>
    <w:rsid w:val="00FB4690"/>
    <w:rsid w:val="00FB4779"/>
    <w:rsid w:val="00FB4B20"/>
    <w:rsid w:val="00FB4EFE"/>
    <w:rsid w:val="00FB4FDE"/>
    <w:rsid w:val="00FB50FA"/>
    <w:rsid w:val="00FB5194"/>
    <w:rsid w:val="00FB53B4"/>
    <w:rsid w:val="00FB5505"/>
    <w:rsid w:val="00FB56B1"/>
    <w:rsid w:val="00FB5706"/>
    <w:rsid w:val="00FB5A26"/>
    <w:rsid w:val="00FB5C38"/>
    <w:rsid w:val="00FB5D14"/>
    <w:rsid w:val="00FB5DDD"/>
    <w:rsid w:val="00FB5E2E"/>
    <w:rsid w:val="00FB5F09"/>
    <w:rsid w:val="00FB6096"/>
    <w:rsid w:val="00FB613D"/>
    <w:rsid w:val="00FB616F"/>
    <w:rsid w:val="00FB634B"/>
    <w:rsid w:val="00FB6393"/>
    <w:rsid w:val="00FB6671"/>
    <w:rsid w:val="00FB66A5"/>
    <w:rsid w:val="00FB67B3"/>
    <w:rsid w:val="00FB680E"/>
    <w:rsid w:val="00FB6839"/>
    <w:rsid w:val="00FB6981"/>
    <w:rsid w:val="00FB69AC"/>
    <w:rsid w:val="00FB6ACB"/>
    <w:rsid w:val="00FB6B29"/>
    <w:rsid w:val="00FB7033"/>
    <w:rsid w:val="00FB70FC"/>
    <w:rsid w:val="00FB7209"/>
    <w:rsid w:val="00FB73C8"/>
    <w:rsid w:val="00FB7714"/>
    <w:rsid w:val="00FB771F"/>
    <w:rsid w:val="00FB7C06"/>
    <w:rsid w:val="00FC0071"/>
    <w:rsid w:val="00FC0319"/>
    <w:rsid w:val="00FC036C"/>
    <w:rsid w:val="00FC0400"/>
    <w:rsid w:val="00FC05C5"/>
    <w:rsid w:val="00FC069B"/>
    <w:rsid w:val="00FC0807"/>
    <w:rsid w:val="00FC08DD"/>
    <w:rsid w:val="00FC0A7B"/>
    <w:rsid w:val="00FC0F6C"/>
    <w:rsid w:val="00FC10D8"/>
    <w:rsid w:val="00FC1443"/>
    <w:rsid w:val="00FC14CE"/>
    <w:rsid w:val="00FC1906"/>
    <w:rsid w:val="00FC1A01"/>
    <w:rsid w:val="00FC1C0B"/>
    <w:rsid w:val="00FC1E8B"/>
    <w:rsid w:val="00FC1EF5"/>
    <w:rsid w:val="00FC23FA"/>
    <w:rsid w:val="00FC254A"/>
    <w:rsid w:val="00FC2853"/>
    <w:rsid w:val="00FC2A92"/>
    <w:rsid w:val="00FC2D56"/>
    <w:rsid w:val="00FC3098"/>
    <w:rsid w:val="00FC31D3"/>
    <w:rsid w:val="00FC3289"/>
    <w:rsid w:val="00FC3634"/>
    <w:rsid w:val="00FC363D"/>
    <w:rsid w:val="00FC36D3"/>
    <w:rsid w:val="00FC3713"/>
    <w:rsid w:val="00FC3746"/>
    <w:rsid w:val="00FC375A"/>
    <w:rsid w:val="00FC3874"/>
    <w:rsid w:val="00FC3B42"/>
    <w:rsid w:val="00FC3B7E"/>
    <w:rsid w:val="00FC3BAC"/>
    <w:rsid w:val="00FC3C8F"/>
    <w:rsid w:val="00FC3D2C"/>
    <w:rsid w:val="00FC3F45"/>
    <w:rsid w:val="00FC4376"/>
    <w:rsid w:val="00FC43CE"/>
    <w:rsid w:val="00FC4459"/>
    <w:rsid w:val="00FC4548"/>
    <w:rsid w:val="00FC4572"/>
    <w:rsid w:val="00FC45F9"/>
    <w:rsid w:val="00FC4748"/>
    <w:rsid w:val="00FC4892"/>
    <w:rsid w:val="00FC4B01"/>
    <w:rsid w:val="00FC4B4D"/>
    <w:rsid w:val="00FC4D4D"/>
    <w:rsid w:val="00FC4FAD"/>
    <w:rsid w:val="00FC515A"/>
    <w:rsid w:val="00FC524D"/>
    <w:rsid w:val="00FC5309"/>
    <w:rsid w:val="00FC5395"/>
    <w:rsid w:val="00FC540A"/>
    <w:rsid w:val="00FC584A"/>
    <w:rsid w:val="00FC5886"/>
    <w:rsid w:val="00FC59D5"/>
    <w:rsid w:val="00FC5A51"/>
    <w:rsid w:val="00FC5A6A"/>
    <w:rsid w:val="00FC5A7D"/>
    <w:rsid w:val="00FC5A83"/>
    <w:rsid w:val="00FC5A9B"/>
    <w:rsid w:val="00FC5D02"/>
    <w:rsid w:val="00FC62CD"/>
    <w:rsid w:val="00FC631B"/>
    <w:rsid w:val="00FC6534"/>
    <w:rsid w:val="00FC6585"/>
    <w:rsid w:val="00FC6871"/>
    <w:rsid w:val="00FC6A48"/>
    <w:rsid w:val="00FC6EB9"/>
    <w:rsid w:val="00FC6EF0"/>
    <w:rsid w:val="00FC7039"/>
    <w:rsid w:val="00FC711B"/>
    <w:rsid w:val="00FC7371"/>
    <w:rsid w:val="00FC75DC"/>
    <w:rsid w:val="00FC7602"/>
    <w:rsid w:val="00FC7A9D"/>
    <w:rsid w:val="00FC7B5C"/>
    <w:rsid w:val="00FD01EE"/>
    <w:rsid w:val="00FD04D7"/>
    <w:rsid w:val="00FD058D"/>
    <w:rsid w:val="00FD0673"/>
    <w:rsid w:val="00FD08C7"/>
    <w:rsid w:val="00FD0955"/>
    <w:rsid w:val="00FD0A3A"/>
    <w:rsid w:val="00FD0AB6"/>
    <w:rsid w:val="00FD0D72"/>
    <w:rsid w:val="00FD1269"/>
    <w:rsid w:val="00FD148A"/>
    <w:rsid w:val="00FD171C"/>
    <w:rsid w:val="00FD1917"/>
    <w:rsid w:val="00FD1A12"/>
    <w:rsid w:val="00FD1CD8"/>
    <w:rsid w:val="00FD1D5E"/>
    <w:rsid w:val="00FD1E1E"/>
    <w:rsid w:val="00FD1EC9"/>
    <w:rsid w:val="00FD20D6"/>
    <w:rsid w:val="00FD21C4"/>
    <w:rsid w:val="00FD2241"/>
    <w:rsid w:val="00FD252F"/>
    <w:rsid w:val="00FD2656"/>
    <w:rsid w:val="00FD2669"/>
    <w:rsid w:val="00FD2675"/>
    <w:rsid w:val="00FD28A2"/>
    <w:rsid w:val="00FD2914"/>
    <w:rsid w:val="00FD29BB"/>
    <w:rsid w:val="00FD2ADD"/>
    <w:rsid w:val="00FD2CA4"/>
    <w:rsid w:val="00FD2F15"/>
    <w:rsid w:val="00FD321D"/>
    <w:rsid w:val="00FD364F"/>
    <w:rsid w:val="00FD3865"/>
    <w:rsid w:val="00FD3956"/>
    <w:rsid w:val="00FD3A44"/>
    <w:rsid w:val="00FD3F43"/>
    <w:rsid w:val="00FD4007"/>
    <w:rsid w:val="00FD4058"/>
    <w:rsid w:val="00FD472B"/>
    <w:rsid w:val="00FD4821"/>
    <w:rsid w:val="00FD4958"/>
    <w:rsid w:val="00FD4A22"/>
    <w:rsid w:val="00FD4B19"/>
    <w:rsid w:val="00FD4D68"/>
    <w:rsid w:val="00FD4DCC"/>
    <w:rsid w:val="00FD4FA5"/>
    <w:rsid w:val="00FD511C"/>
    <w:rsid w:val="00FD51E3"/>
    <w:rsid w:val="00FD5228"/>
    <w:rsid w:val="00FD54C8"/>
    <w:rsid w:val="00FD5673"/>
    <w:rsid w:val="00FD5676"/>
    <w:rsid w:val="00FD58C2"/>
    <w:rsid w:val="00FD59F2"/>
    <w:rsid w:val="00FD5BC2"/>
    <w:rsid w:val="00FD5E09"/>
    <w:rsid w:val="00FD5F28"/>
    <w:rsid w:val="00FD6310"/>
    <w:rsid w:val="00FD65B8"/>
    <w:rsid w:val="00FD687C"/>
    <w:rsid w:val="00FD6881"/>
    <w:rsid w:val="00FD690D"/>
    <w:rsid w:val="00FD6D73"/>
    <w:rsid w:val="00FD6F5F"/>
    <w:rsid w:val="00FD70BE"/>
    <w:rsid w:val="00FD70D7"/>
    <w:rsid w:val="00FD7593"/>
    <w:rsid w:val="00FD7DFD"/>
    <w:rsid w:val="00FE0163"/>
    <w:rsid w:val="00FE04DA"/>
    <w:rsid w:val="00FE0688"/>
    <w:rsid w:val="00FE0928"/>
    <w:rsid w:val="00FE0A2A"/>
    <w:rsid w:val="00FE0B03"/>
    <w:rsid w:val="00FE0C13"/>
    <w:rsid w:val="00FE0C62"/>
    <w:rsid w:val="00FE11A4"/>
    <w:rsid w:val="00FE13B0"/>
    <w:rsid w:val="00FE160E"/>
    <w:rsid w:val="00FE17C0"/>
    <w:rsid w:val="00FE18E6"/>
    <w:rsid w:val="00FE1946"/>
    <w:rsid w:val="00FE1BA1"/>
    <w:rsid w:val="00FE1C42"/>
    <w:rsid w:val="00FE1CE1"/>
    <w:rsid w:val="00FE1F1D"/>
    <w:rsid w:val="00FE1F77"/>
    <w:rsid w:val="00FE2014"/>
    <w:rsid w:val="00FE2065"/>
    <w:rsid w:val="00FE20EF"/>
    <w:rsid w:val="00FE218C"/>
    <w:rsid w:val="00FE263F"/>
    <w:rsid w:val="00FE2718"/>
    <w:rsid w:val="00FE28C3"/>
    <w:rsid w:val="00FE2A21"/>
    <w:rsid w:val="00FE2C53"/>
    <w:rsid w:val="00FE31CD"/>
    <w:rsid w:val="00FE337E"/>
    <w:rsid w:val="00FE348E"/>
    <w:rsid w:val="00FE3623"/>
    <w:rsid w:val="00FE36BF"/>
    <w:rsid w:val="00FE3877"/>
    <w:rsid w:val="00FE3A69"/>
    <w:rsid w:val="00FE3C90"/>
    <w:rsid w:val="00FE3E9D"/>
    <w:rsid w:val="00FE4029"/>
    <w:rsid w:val="00FE40B9"/>
    <w:rsid w:val="00FE41F7"/>
    <w:rsid w:val="00FE467F"/>
    <w:rsid w:val="00FE4737"/>
    <w:rsid w:val="00FE4767"/>
    <w:rsid w:val="00FE48A3"/>
    <w:rsid w:val="00FE4A43"/>
    <w:rsid w:val="00FE4A9C"/>
    <w:rsid w:val="00FE4B5E"/>
    <w:rsid w:val="00FE4EC5"/>
    <w:rsid w:val="00FE4ED1"/>
    <w:rsid w:val="00FE4F21"/>
    <w:rsid w:val="00FE5029"/>
    <w:rsid w:val="00FE507A"/>
    <w:rsid w:val="00FE527E"/>
    <w:rsid w:val="00FE5609"/>
    <w:rsid w:val="00FE56E4"/>
    <w:rsid w:val="00FE5716"/>
    <w:rsid w:val="00FE57D6"/>
    <w:rsid w:val="00FE5890"/>
    <w:rsid w:val="00FE59A8"/>
    <w:rsid w:val="00FE59B5"/>
    <w:rsid w:val="00FE5B23"/>
    <w:rsid w:val="00FE5D1D"/>
    <w:rsid w:val="00FE5DD2"/>
    <w:rsid w:val="00FE5E75"/>
    <w:rsid w:val="00FE6014"/>
    <w:rsid w:val="00FE62EA"/>
    <w:rsid w:val="00FE63D3"/>
    <w:rsid w:val="00FE65F0"/>
    <w:rsid w:val="00FE67F7"/>
    <w:rsid w:val="00FE696F"/>
    <w:rsid w:val="00FE6BEB"/>
    <w:rsid w:val="00FE6DCE"/>
    <w:rsid w:val="00FE71DD"/>
    <w:rsid w:val="00FE77B5"/>
    <w:rsid w:val="00FE79BE"/>
    <w:rsid w:val="00FE7B11"/>
    <w:rsid w:val="00FE7C4E"/>
    <w:rsid w:val="00FE7D18"/>
    <w:rsid w:val="00FE7D98"/>
    <w:rsid w:val="00FE7EC5"/>
    <w:rsid w:val="00FF0D28"/>
    <w:rsid w:val="00FF0E0B"/>
    <w:rsid w:val="00FF0F3E"/>
    <w:rsid w:val="00FF112A"/>
    <w:rsid w:val="00FF1144"/>
    <w:rsid w:val="00FF1361"/>
    <w:rsid w:val="00FF180F"/>
    <w:rsid w:val="00FF1890"/>
    <w:rsid w:val="00FF229E"/>
    <w:rsid w:val="00FF24CA"/>
    <w:rsid w:val="00FF2615"/>
    <w:rsid w:val="00FF27A6"/>
    <w:rsid w:val="00FF28B5"/>
    <w:rsid w:val="00FF28FD"/>
    <w:rsid w:val="00FF29FE"/>
    <w:rsid w:val="00FF2AE1"/>
    <w:rsid w:val="00FF2B31"/>
    <w:rsid w:val="00FF2CD4"/>
    <w:rsid w:val="00FF2E9D"/>
    <w:rsid w:val="00FF2F36"/>
    <w:rsid w:val="00FF2FDD"/>
    <w:rsid w:val="00FF30E2"/>
    <w:rsid w:val="00FF3121"/>
    <w:rsid w:val="00FF3383"/>
    <w:rsid w:val="00FF36EC"/>
    <w:rsid w:val="00FF3880"/>
    <w:rsid w:val="00FF3915"/>
    <w:rsid w:val="00FF3A04"/>
    <w:rsid w:val="00FF3B0B"/>
    <w:rsid w:val="00FF3D88"/>
    <w:rsid w:val="00FF3DEC"/>
    <w:rsid w:val="00FF4001"/>
    <w:rsid w:val="00FF41AA"/>
    <w:rsid w:val="00FF43A9"/>
    <w:rsid w:val="00FF44B5"/>
    <w:rsid w:val="00FF45A5"/>
    <w:rsid w:val="00FF468F"/>
    <w:rsid w:val="00FF4BB0"/>
    <w:rsid w:val="00FF4ECC"/>
    <w:rsid w:val="00FF5169"/>
    <w:rsid w:val="00FF51CC"/>
    <w:rsid w:val="00FF5368"/>
    <w:rsid w:val="00FF54CA"/>
    <w:rsid w:val="00FF54EA"/>
    <w:rsid w:val="00FF5552"/>
    <w:rsid w:val="00FF5610"/>
    <w:rsid w:val="00FF568D"/>
    <w:rsid w:val="00FF57E5"/>
    <w:rsid w:val="00FF593E"/>
    <w:rsid w:val="00FF5A04"/>
    <w:rsid w:val="00FF5B54"/>
    <w:rsid w:val="00FF5C69"/>
    <w:rsid w:val="00FF5C72"/>
    <w:rsid w:val="00FF5C8E"/>
    <w:rsid w:val="00FF5D7B"/>
    <w:rsid w:val="00FF5E31"/>
    <w:rsid w:val="00FF6106"/>
    <w:rsid w:val="00FF62A1"/>
    <w:rsid w:val="00FF661E"/>
    <w:rsid w:val="00FF6642"/>
    <w:rsid w:val="00FF6672"/>
    <w:rsid w:val="00FF684F"/>
    <w:rsid w:val="00FF68AB"/>
    <w:rsid w:val="00FF6CB2"/>
    <w:rsid w:val="00FF6D18"/>
    <w:rsid w:val="00FF6F85"/>
    <w:rsid w:val="00FF7146"/>
    <w:rsid w:val="00FF7435"/>
    <w:rsid w:val="00FF74F8"/>
    <w:rsid w:val="00FF77C7"/>
    <w:rsid w:val="00FF7986"/>
    <w:rsid w:val="00FF7B44"/>
    <w:rsid w:val="00FF7C47"/>
    <w:rsid w:val="00FF7E83"/>
    <w:rsid w:val="00FF7E9E"/>
    <w:rsid w:val="00FF7FBE"/>
    <w:rsid w:val="00FF7FD7"/>
    <w:rsid w:val="0312B877"/>
    <w:rsid w:val="0752C41E"/>
    <w:rsid w:val="0E6A2462"/>
    <w:rsid w:val="33267F81"/>
    <w:rsid w:val="36328699"/>
    <w:rsid w:val="39E7785A"/>
    <w:rsid w:val="3EB5C5C6"/>
    <w:rsid w:val="40008257"/>
    <w:rsid w:val="5BD18A9F"/>
    <w:rsid w:val="607E7A3A"/>
    <w:rsid w:val="6325980F"/>
    <w:rsid w:val="71E9EB9B"/>
    <w:rsid w:val="74A6D4F0"/>
    <w:rsid w:val="7FF36C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66A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2" w:unhideWhenUsed="1"/>
    <w:lsdException w:name="toc 2" w:semiHidden="1" w:uiPriority="2" w:unhideWhenUsed="1" w:qFormat="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EC"/>
    <w:pPr>
      <w:spacing w:before="240" w:after="240" w:line="240" w:lineRule="exact"/>
    </w:pPr>
    <w:rPr>
      <w:rFonts w:ascii="Book Antiqua" w:eastAsia="Times New Roman" w:hAnsi="Book Antiqua" w:cs="Times New Roman"/>
      <w:sz w:val="19"/>
      <w:szCs w:val="20"/>
      <w:lang w:eastAsia="en-AU"/>
    </w:rPr>
  </w:style>
  <w:style w:type="paragraph" w:styleId="Heading1">
    <w:name w:val="heading 1"/>
    <w:basedOn w:val="HeadingBase"/>
    <w:next w:val="Normal"/>
    <w:link w:val="Heading1Char"/>
    <w:qFormat/>
    <w:rsid w:val="00D46EEC"/>
    <w:pPr>
      <w:spacing w:after="240"/>
      <w:outlineLvl w:val="0"/>
    </w:pPr>
    <w:rPr>
      <w:rFonts w:ascii="Arial Bold" w:hAnsi="Arial Bold"/>
      <w:b/>
      <w:kern w:val="34"/>
      <w:sz w:val="36"/>
    </w:rPr>
  </w:style>
  <w:style w:type="paragraph" w:styleId="Heading2">
    <w:name w:val="heading 2"/>
    <w:basedOn w:val="HeadingBase"/>
    <w:next w:val="Normal"/>
    <w:link w:val="Heading2Char"/>
    <w:qFormat/>
    <w:rsid w:val="00D46EEC"/>
    <w:pPr>
      <w:spacing w:before="240" w:after="240"/>
      <w:outlineLvl w:val="1"/>
    </w:pPr>
    <w:rPr>
      <w:rFonts w:ascii="Arial Bold" w:hAnsi="Arial Bold"/>
      <w:b/>
      <w:sz w:val="26"/>
    </w:rPr>
  </w:style>
  <w:style w:type="paragraph" w:styleId="Heading3">
    <w:name w:val="heading 3"/>
    <w:basedOn w:val="HeadingBase"/>
    <w:next w:val="Normal"/>
    <w:link w:val="Heading3Char"/>
    <w:qFormat/>
    <w:rsid w:val="00D46EEC"/>
    <w:pPr>
      <w:spacing w:before="120" w:after="120"/>
      <w:outlineLvl w:val="2"/>
    </w:pPr>
    <w:rPr>
      <w:rFonts w:ascii="Arial Bold" w:hAnsi="Arial Bold"/>
      <w:b/>
      <w:sz w:val="22"/>
    </w:rPr>
  </w:style>
  <w:style w:type="paragraph" w:styleId="Heading4">
    <w:name w:val="heading 4"/>
    <w:basedOn w:val="HeadingBase"/>
    <w:next w:val="Normal"/>
    <w:link w:val="Heading4Char"/>
    <w:qFormat/>
    <w:rsid w:val="00D46EEC"/>
    <w:pPr>
      <w:spacing w:after="120"/>
      <w:outlineLvl w:val="3"/>
    </w:pPr>
    <w:rPr>
      <w:rFonts w:ascii="Arial Bold" w:hAnsi="Arial Bold"/>
      <w:b/>
      <w:sz w:val="20"/>
    </w:rPr>
  </w:style>
  <w:style w:type="paragraph" w:styleId="Heading5">
    <w:name w:val="heading 5"/>
    <w:basedOn w:val="HeadingBase"/>
    <w:next w:val="Normal"/>
    <w:link w:val="Heading5Char"/>
    <w:qFormat/>
    <w:rsid w:val="00D46EEC"/>
    <w:pPr>
      <w:spacing w:after="120"/>
      <w:outlineLvl w:val="4"/>
    </w:pPr>
    <w:rPr>
      <w:bCs/>
      <w:i/>
      <w:iCs/>
      <w:sz w:val="20"/>
      <w:szCs w:val="26"/>
    </w:rPr>
  </w:style>
  <w:style w:type="paragraph" w:styleId="Heading6">
    <w:name w:val="heading 6"/>
    <w:basedOn w:val="HeadingBase"/>
    <w:next w:val="Normal"/>
    <w:link w:val="Heading6Char"/>
    <w:rsid w:val="00D46EEC"/>
    <w:pPr>
      <w:spacing w:after="120"/>
      <w:outlineLvl w:val="5"/>
    </w:pPr>
    <w:rPr>
      <w:bCs/>
      <w:sz w:val="20"/>
      <w:szCs w:val="22"/>
    </w:rPr>
  </w:style>
  <w:style w:type="paragraph" w:styleId="Heading7">
    <w:name w:val="heading 7"/>
    <w:basedOn w:val="HeadingBase"/>
    <w:next w:val="Normal"/>
    <w:link w:val="Heading7Char"/>
    <w:rsid w:val="00D46EEC"/>
    <w:pPr>
      <w:spacing w:before="120"/>
      <w:outlineLvl w:val="6"/>
    </w:pPr>
    <w:rPr>
      <w:sz w:val="20"/>
      <w:szCs w:val="24"/>
    </w:rPr>
  </w:style>
  <w:style w:type="paragraph" w:styleId="Heading8">
    <w:name w:val="heading 8"/>
    <w:basedOn w:val="HeadingBase"/>
    <w:next w:val="Normal"/>
    <w:link w:val="Heading8Char"/>
    <w:rsid w:val="00D46EEC"/>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rsid w:val="00D46EEC"/>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link w:val="HeadingBaseChar"/>
    <w:rsid w:val="00D46EEC"/>
    <w:pPr>
      <w:keepNext/>
      <w:spacing w:after="0" w:line="240" w:lineRule="auto"/>
    </w:pPr>
    <w:rPr>
      <w:rFonts w:ascii="Arial" w:eastAsia="Times New Roman" w:hAnsi="Arial" w:cs="Times New Roman"/>
      <w:sz w:val="24"/>
      <w:szCs w:val="20"/>
      <w:lang w:eastAsia="en-AU"/>
    </w:rPr>
  </w:style>
  <w:style w:type="character" w:customStyle="1" w:styleId="HeadingBaseChar">
    <w:name w:val="Heading Base Char"/>
    <w:basedOn w:val="DefaultParagraphFont"/>
    <w:link w:val="HeadingBase"/>
    <w:rsid w:val="00F1044A"/>
    <w:rPr>
      <w:rFonts w:ascii="Arial" w:eastAsia="Times New Roman" w:hAnsi="Arial" w:cs="Times New Roman"/>
      <w:sz w:val="24"/>
      <w:szCs w:val="20"/>
      <w:lang w:eastAsia="en-AU"/>
    </w:rPr>
  </w:style>
  <w:style w:type="character" w:customStyle="1" w:styleId="Heading1Char">
    <w:name w:val="Heading 1 Char"/>
    <w:basedOn w:val="DefaultParagraphFont"/>
    <w:link w:val="Heading1"/>
    <w:rsid w:val="00D46EEC"/>
    <w:rPr>
      <w:rFonts w:ascii="Arial Bold" w:eastAsia="Times New Roman" w:hAnsi="Arial Bold" w:cs="Times New Roman"/>
      <w:b/>
      <w:kern w:val="34"/>
      <w:sz w:val="36"/>
      <w:szCs w:val="20"/>
      <w:lang w:eastAsia="en-AU"/>
    </w:rPr>
  </w:style>
  <w:style w:type="character" w:customStyle="1" w:styleId="Heading2Char">
    <w:name w:val="Heading 2 Char"/>
    <w:basedOn w:val="DefaultParagraphFont"/>
    <w:link w:val="Heading2"/>
    <w:rsid w:val="00D46EEC"/>
    <w:rPr>
      <w:rFonts w:ascii="Arial Bold" w:eastAsia="Times New Roman" w:hAnsi="Arial Bold" w:cs="Times New Roman"/>
      <w:b/>
      <w:sz w:val="26"/>
      <w:szCs w:val="20"/>
      <w:lang w:eastAsia="en-AU"/>
    </w:rPr>
  </w:style>
  <w:style w:type="character" w:customStyle="1" w:styleId="Heading3Char">
    <w:name w:val="Heading 3 Char"/>
    <w:basedOn w:val="DefaultParagraphFont"/>
    <w:link w:val="Heading3"/>
    <w:rsid w:val="00D46EEC"/>
    <w:rPr>
      <w:rFonts w:ascii="Arial Bold" w:eastAsia="Times New Roman" w:hAnsi="Arial Bold" w:cs="Times New Roman"/>
      <w:b/>
      <w:szCs w:val="20"/>
      <w:lang w:eastAsia="en-AU"/>
    </w:rPr>
  </w:style>
  <w:style w:type="character" w:customStyle="1" w:styleId="Heading4Char">
    <w:name w:val="Heading 4 Char"/>
    <w:basedOn w:val="DefaultParagraphFont"/>
    <w:link w:val="Heading4"/>
    <w:rsid w:val="00D46EEC"/>
    <w:rPr>
      <w:rFonts w:ascii="Arial Bold" w:eastAsia="Times New Roman" w:hAnsi="Arial Bold" w:cs="Times New Roman"/>
      <w:b/>
      <w:sz w:val="20"/>
      <w:szCs w:val="20"/>
      <w:lang w:eastAsia="en-AU"/>
    </w:rPr>
  </w:style>
  <w:style w:type="character" w:customStyle="1" w:styleId="Heading5Char">
    <w:name w:val="Heading 5 Char"/>
    <w:basedOn w:val="DefaultParagraphFont"/>
    <w:link w:val="Heading5"/>
    <w:rsid w:val="00D46EEC"/>
    <w:rPr>
      <w:rFonts w:ascii="Arial" w:eastAsia="Times New Roman" w:hAnsi="Arial" w:cs="Times New Roman"/>
      <w:bCs/>
      <w:i/>
      <w:iCs/>
      <w:sz w:val="20"/>
      <w:szCs w:val="26"/>
      <w:lang w:eastAsia="en-AU"/>
    </w:rPr>
  </w:style>
  <w:style w:type="character" w:customStyle="1" w:styleId="Heading6Char">
    <w:name w:val="Heading 6 Char"/>
    <w:basedOn w:val="DefaultParagraphFont"/>
    <w:link w:val="Heading6"/>
    <w:rsid w:val="00D46EEC"/>
    <w:rPr>
      <w:rFonts w:ascii="Arial" w:eastAsia="Times New Roman" w:hAnsi="Arial" w:cs="Times New Roman"/>
      <w:bCs/>
      <w:sz w:val="20"/>
      <w:lang w:eastAsia="en-AU"/>
    </w:rPr>
  </w:style>
  <w:style w:type="character" w:customStyle="1" w:styleId="Heading7Char">
    <w:name w:val="Heading 7 Char"/>
    <w:basedOn w:val="DefaultParagraphFont"/>
    <w:link w:val="Heading7"/>
    <w:rsid w:val="00D46EEC"/>
    <w:rPr>
      <w:rFonts w:ascii="Arial" w:eastAsia="Times New Roman" w:hAnsi="Arial" w:cs="Times New Roman"/>
      <w:sz w:val="20"/>
      <w:szCs w:val="24"/>
      <w:lang w:eastAsia="en-AU"/>
    </w:rPr>
  </w:style>
  <w:style w:type="character" w:customStyle="1" w:styleId="Heading8Char">
    <w:name w:val="Heading 8 Char"/>
    <w:basedOn w:val="DefaultParagraphFont"/>
    <w:link w:val="Heading8"/>
    <w:rsid w:val="00D46EEC"/>
    <w:rPr>
      <w:rFonts w:ascii="Times New Roman" w:eastAsia="Times New Roman" w:hAnsi="Times New Roman" w:cs="Times New Roman"/>
      <w:i/>
      <w:iCs/>
      <w:sz w:val="16"/>
      <w:szCs w:val="24"/>
      <w:lang w:eastAsia="en-AU"/>
    </w:rPr>
  </w:style>
  <w:style w:type="character" w:customStyle="1" w:styleId="Heading9Char">
    <w:name w:val="Heading 9 Char"/>
    <w:basedOn w:val="DefaultParagraphFont"/>
    <w:link w:val="Heading9"/>
    <w:uiPriority w:val="9"/>
    <w:rsid w:val="00D46EEC"/>
    <w:rPr>
      <w:rFonts w:ascii="Cambria" w:eastAsia="Times New Roman" w:hAnsi="Cambria" w:cs="Times New Roman"/>
      <w:lang w:eastAsia="en-AU"/>
    </w:rPr>
  </w:style>
  <w:style w:type="paragraph" w:styleId="Header">
    <w:name w:val="header"/>
    <w:basedOn w:val="HeaderBase"/>
    <w:link w:val="HeaderChar"/>
    <w:rsid w:val="00D46EEC"/>
    <w:pPr>
      <w:tabs>
        <w:tab w:val="center" w:pos="4153"/>
        <w:tab w:val="right" w:pos="8306"/>
      </w:tabs>
    </w:pPr>
  </w:style>
  <w:style w:type="paragraph" w:customStyle="1" w:styleId="HeaderBase">
    <w:name w:val="Header Base"/>
    <w:link w:val="HeaderBaseChar"/>
    <w:rsid w:val="00D46EEC"/>
    <w:pPr>
      <w:spacing w:after="0" w:line="240" w:lineRule="auto"/>
    </w:pPr>
    <w:rPr>
      <w:rFonts w:ascii="Arial" w:eastAsia="Times New Roman" w:hAnsi="Arial" w:cs="Times New Roman"/>
      <w:color w:val="002A54" w:themeColor="text2"/>
      <w:sz w:val="18"/>
      <w:szCs w:val="20"/>
      <w:lang w:eastAsia="en-AU"/>
    </w:rPr>
  </w:style>
  <w:style w:type="character" w:customStyle="1" w:styleId="HeaderBaseChar">
    <w:name w:val="Header Base Char"/>
    <w:link w:val="HeaderBase"/>
    <w:rsid w:val="00F1044A"/>
    <w:rPr>
      <w:rFonts w:ascii="Arial" w:eastAsia="Times New Roman" w:hAnsi="Arial" w:cs="Times New Roman"/>
      <w:color w:val="002A54" w:themeColor="text2"/>
      <w:sz w:val="18"/>
      <w:szCs w:val="20"/>
      <w:lang w:eastAsia="en-AU"/>
    </w:rPr>
  </w:style>
  <w:style w:type="character" w:customStyle="1" w:styleId="HeaderChar">
    <w:name w:val="Header Char"/>
    <w:basedOn w:val="DefaultParagraphFont"/>
    <w:link w:val="Header"/>
    <w:rsid w:val="00D46EEC"/>
    <w:rPr>
      <w:rFonts w:ascii="Arial" w:eastAsia="Times New Roman" w:hAnsi="Arial" w:cs="Times New Roman"/>
      <w:color w:val="002A54" w:themeColor="text2"/>
      <w:sz w:val="18"/>
      <w:szCs w:val="20"/>
      <w:lang w:eastAsia="en-AU"/>
    </w:rPr>
  </w:style>
  <w:style w:type="paragraph" w:styleId="Footer">
    <w:name w:val="footer"/>
    <w:basedOn w:val="FooterBase"/>
    <w:link w:val="FooterChar"/>
    <w:rsid w:val="00D46EEC"/>
    <w:pPr>
      <w:tabs>
        <w:tab w:val="center" w:pos="4153"/>
        <w:tab w:val="right" w:pos="8306"/>
      </w:tabs>
    </w:pPr>
  </w:style>
  <w:style w:type="paragraph" w:customStyle="1" w:styleId="FooterBase">
    <w:name w:val="Footer Base"/>
    <w:rsid w:val="00D46EEC"/>
    <w:pPr>
      <w:spacing w:after="0" w:line="240" w:lineRule="auto"/>
      <w:jc w:val="center"/>
    </w:pPr>
    <w:rPr>
      <w:rFonts w:ascii="Arial" w:eastAsia="Times New Roman" w:hAnsi="Arial" w:cs="Times New Roman"/>
      <w:color w:val="002A54" w:themeColor="text2"/>
      <w:sz w:val="20"/>
      <w:szCs w:val="20"/>
      <w:lang w:eastAsia="en-AU"/>
    </w:rPr>
  </w:style>
  <w:style w:type="character" w:customStyle="1" w:styleId="FooterChar">
    <w:name w:val="Footer Char"/>
    <w:basedOn w:val="DefaultParagraphFont"/>
    <w:link w:val="Footer"/>
    <w:rsid w:val="00D46EEC"/>
    <w:rPr>
      <w:rFonts w:ascii="Arial" w:eastAsia="Times New Roman" w:hAnsi="Arial" w:cs="Times New Roman"/>
      <w:color w:val="002A54" w:themeColor="text2"/>
      <w:sz w:val="20"/>
      <w:szCs w:val="20"/>
      <w:lang w:eastAsia="en-AU"/>
    </w:rPr>
  </w:style>
  <w:style w:type="paragraph" w:customStyle="1" w:styleId="SecurityClassificationHeader">
    <w:name w:val="Security Classification Header"/>
    <w:link w:val="SecurityClassificationHeaderChar"/>
    <w:rsid w:val="00D46EEC"/>
    <w:pPr>
      <w:spacing w:before="240" w:after="60"/>
      <w:jc w:val="center"/>
    </w:pPr>
    <w:rPr>
      <w:rFonts w:ascii="Calibri" w:eastAsia="Times New Roman" w:hAnsi="Calibri" w:cs="Calibri"/>
      <w:b/>
      <w:caps/>
      <w:color w:val="002A54" w:themeColor="text2"/>
      <w:sz w:val="24"/>
      <w:szCs w:val="20"/>
      <w:lang w:eastAsia="en-AU"/>
    </w:rPr>
  </w:style>
  <w:style w:type="character" w:customStyle="1" w:styleId="SecurityClassificationHeaderChar">
    <w:name w:val="Security Classification Header Char"/>
    <w:basedOn w:val="HeaderChar"/>
    <w:link w:val="SecurityClassificationHeader"/>
    <w:rsid w:val="00D46EEC"/>
    <w:rPr>
      <w:rFonts w:ascii="Calibri" w:eastAsia="Times New Roman" w:hAnsi="Calibri" w:cs="Calibri"/>
      <w:b/>
      <w:caps/>
      <w:color w:val="002A54" w:themeColor="text2"/>
      <w:sz w:val="24"/>
      <w:szCs w:val="20"/>
      <w:lang w:eastAsia="en-AU"/>
    </w:rPr>
  </w:style>
  <w:style w:type="paragraph" w:customStyle="1" w:styleId="SecurityClassificationFooter">
    <w:name w:val="Security Classification Footer"/>
    <w:link w:val="SecurityClassificationFooterChar"/>
    <w:rsid w:val="00D46EEC"/>
    <w:pPr>
      <w:spacing w:before="60" w:after="240"/>
      <w:jc w:val="center"/>
    </w:pPr>
    <w:rPr>
      <w:rFonts w:ascii="Calibri" w:eastAsia="Times New Roman" w:hAnsi="Calibri" w:cs="Calibri"/>
      <w:b/>
      <w:caps/>
      <w:color w:val="002A54" w:themeColor="text2"/>
      <w:sz w:val="24"/>
      <w:szCs w:val="20"/>
      <w:lang w:eastAsia="en-AU"/>
    </w:rPr>
  </w:style>
  <w:style w:type="character" w:customStyle="1" w:styleId="SecurityClassificationFooterChar">
    <w:name w:val="Security Classification Footer Char"/>
    <w:basedOn w:val="HeaderChar"/>
    <w:link w:val="SecurityClassificationFooter"/>
    <w:rsid w:val="00D46EEC"/>
    <w:rPr>
      <w:rFonts w:ascii="Calibri" w:eastAsia="Times New Roman" w:hAnsi="Calibri" w:cs="Calibri"/>
      <w:b/>
      <w:caps/>
      <w:color w:val="002A54" w:themeColor="text2"/>
      <w:sz w:val="24"/>
      <w:szCs w:val="20"/>
      <w:lang w:eastAsia="en-AU"/>
    </w:rPr>
  </w:style>
  <w:style w:type="paragraph" w:customStyle="1" w:styleId="DLMSecurityHeader">
    <w:name w:val="DLM Security Header"/>
    <w:link w:val="DLMSecurityHeaderChar"/>
    <w:rsid w:val="00D46EEC"/>
    <w:pPr>
      <w:spacing w:before="60" w:after="240"/>
      <w:jc w:val="center"/>
    </w:pPr>
    <w:rPr>
      <w:rFonts w:ascii="Calibri" w:eastAsia="Times New Roman" w:hAnsi="Calibri" w:cs="Calibri"/>
      <w:b/>
      <w:caps/>
      <w:color w:val="002A54" w:themeColor="text2"/>
      <w:sz w:val="24"/>
      <w:szCs w:val="20"/>
      <w:lang w:eastAsia="en-AU"/>
    </w:rPr>
  </w:style>
  <w:style w:type="character" w:customStyle="1" w:styleId="DLMSecurityHeaderChar">
    <w:name w:val="DLM Security Header Char"/>
    <w:basedOn w:val="HeaderChar"/>
    <w:link w:val="DLMSecurityHeader"/>
    <w:rsid w:val="00D46EEC"/>
    <w:rPr>
      <w:rFonts w:ascii="Calibri" w:eastAsia="Times New Roman" w:hAnsi="Calibri" w:cs="Calibri"/>
      <w:b/>
      <w:caps/>
      <w:color w:val="002A54" w:themeColor="text2"/>
      <w:sz w:val="24"/>
      <w:szCs w:val="20"/>
      <w:lang w:eastAsia="en-AU"/>
    </w:rPr>
  </w:style>
  <w:style w:type="paragraph" w:customStyle="1" w:styleId="DLMSecurityFooter">
    <w:name w:val="DLM Security Footer"/>
    <w:link w:val="DLMSecurityFooterChar"/>
    <w:rsid w:val="00D46EEC"/>
    <w:pPr>
      <w:spacing w:before="240" w:after="60"/>
      <w:jc w:val="center"/>
    </w:pPr>
    <w:rPr>
      <w:rFonts w:ascii="Calibri" w:eastAsia="Times New Roman" w:hAnsi="Calibri" w:cs="Calibri"/>
      <w:b/>
      <w:caps/>
      <w:color w:val="002A54" w:themeColor="text2"/>
      <w:sz w:val="24"/>
      <w:szCs w:val="20"/>
      <w:lang w:eastAsia="en-AU"/>
    </w:rPr>
  </w:style>
  <w:style w:type="character" w:customStyle="1" w:styleId="DLMSecurityFooterChar">
    <w:name w:val="DLM Security Footer Char"/>
    <w:basedOn w:val="HeaderChar"/>
    <w:link w:val="DLMSecurityFooter"/>
    <w:rsid w:val="00D46EEC"/>
    <w:rPr>
      <w:rFonts w:ascii="Calibri" w:eastAsia="Times New Roman" w:hAnsi="Calibri" w:cs="Calibri"/>
      <w:b/>
      <w:caps/>
      <w:color w:val="002A54" w:themeColor="text2"/>
      <w:sz w:val="24"/>
      <w:szCs w:val="20"/>
      <w:lang w:eastAsia="en-AU"/>
    </w:rPr>
  </w:style>
  <w:style w:type="paragraph" w:customStyle="1" w:styleId="Classification">
    <w:name w:val="Classification"/>
    <w:basedOn w:val="HeadingBase"/>
    <w:rsid w:val="00D46EEC"/>
    <w:pPr>
      <w:jc w:val="center"/>
    </w:pPr>
    <w:rPr>
      <w:rFonts w:ascii="Arial Bold" w:hAnsi="Arial Bold"/>
      <w:b/>
      <w:caps/>
      <w:sz w:val="22"/>
    </w:rPr>
  </w:style>
  <w:style w:type="paragraph" w:customStyle="1" w:styleId="FileProperties">
    <w:name w:val="File Properties"/>
    <w:basedOn w:val="Normal"/>
    <w:rsid w:val="00D46EEC"/>
    <w:pPr>
      <w:spacing w:before="0"/>
    </w:pPr>
    <w:rPr>
      <w:i/>
    </w:rPr>
  </w:style>
  <w:style w:type="paragraph" w:customStyle="1" w:styleId="AlphaParagraph">
    <w:name w:val="Alpha Paragraph"/>
    <w:basedOn w:val="Normal"/>
    <w:rsid w:val="00D46EEC"/>
    <w:pPr>
      <w:numPr>
        <w:numId w:val="1"/>
      </w:numPr>
      <w:tabs>
        <w:tab w:val="clear" w:pos="567"/>
        <w:tab w:val="num" w:pos="360"/>
      </w:tabs>
      <w:ind w:left="0" w:firstLine="0"/>
    </w:pPr>
  </w:style>
  <w:style w:type="paragraph" w:customStyle="1" w:styleId="Heading1-Statement">
    <w:name w:val="Heading 1 - Statement"/>
    <w:basedOn w:val="Heading1"/>
    <w:next w:val="Normal"/>
    <w:autoRedefine/>
    <w:qFormat/>
    <w:rsid w:val="00D46EEC"/>
    <w:rPr>
      <w:bCs/>
      <w:color w:val="002A54" w:themeColor="text2"/>
      <w:szCs w:val="52"/>
    </w:rPr>
  </w:style>
  <w:style w:type="paragraph" w:customStyle="1" w:styleId="BoxText">
    <w:name w:val="Box Text"/>
    <w:basedOn w:val="Normal"/>
    <w:link w:val="BoxTextChar"/>
    <w:qFormat/>
    <w:rsid w:val="00D46EEC"/>
    <w:pPr>
      <w:spacing w:before="120" w:after="120" w:line="240" w:lineRule="auto"/>
    </w:pPr>
  </w:style>
  <w:style w:type="character" w:customStyle="1" w:styleId="BoxTextChar">
    <w:name w:val="Box Text Char"/>
    <w:basedOn w:val="DefaultParagraphFont"/>
    <w:link w:val="BoxText"/>
    <w:rsid w:val="00D46EEC"/>
    <w:rPr>
      <w:rFonts w:ascii="Book Antiqua" w:eastAsia="Times New Roman" w:hAnsi="Book Antiqua" w:cs="Times New Roman"/>
      <w:sz w:val="19"/>
      <w:szCs w:val="20"/>
      <w:lang w:eastAsia="en-AU"/>
    </w:rPr>
  </w:style>
  <w:style w:type="paragraph" w:customStyle="1" w:styleId="BoxBullet">
    <w:name w:val="Box Bullet"/>
    <w:basedOn w:val="BoxText"/>
    <w:rsid w:val="00D46EEC"/>
    <w:pPr>
      <w:numPr>
        <w:numId w:val="2"/>
      </w:numPr>
    </w:pPr>
  </w:style>
  <w:style w:type="paragraph" w:customStyle="1" w:styleId="BoxHeading">
    <w:name w:val="Box Heading"/>
    <w:basedOn w:val="HeadingBase"/>
    <w:next w:val="BoxText"/>
    <w:rsid w:val="00D46EEC"/>
    <w:pPr>
      <w:spacing w:before="120" w:after="120"/>
    </w:pPr>
    <w:rPr>
      <w:b/>
      <w:sz w:val="20"/>
    </w:rPr>
  </w:style>
  <w:style w:type="paragraph" w:customStyle="1" w:styleId="Bullet">
    <w:name w:val="Bullet"/>
    <w:basedOn w:val="Normal"/>
    <w:link w:val="BulletChar"/>
    <w:qFormat/>
    <w:rsid w:val="002F05E0"/>
    <w:pPr>
      <w:numPr>
        <w:numId w:val="7"/>
      </w:numPr>
      <w:spacing w:after="160"/>
      <w:ind w:left="284" w:hanging="284"/>
    </w:pPr>
  </w:style>
  <w:style w:type="character" w:customStyle="1" w:styleId="BulletChar">
    <w:name w:val="Bullet Char"/>
    <w:aliases w:val="b Char,Body Char,Bullet + line Char,b + line Char,b + line Char Char,b Char Char,b1 Char,level 1 Char,Bullets Char,Number Char"/>
    <w:link w:val="Bullet"/>
    <w:qFormat/>
    <w:rsid w:val="00F1044A"/>
    <w:rPr>
      <w:rFonts w:ascii="Book Antiqua" w:eastAsia="Times New Roman" w:hAnsi="Book Antiqua" w:cs="Times New Roman"/>
      <w:sz w:val="19"/>
      <w:szCs w:val="20"/>
      <w:lang w:eastAsia="en-AU"/>
    </w:rPr>
  </w:style>
  <w:style w:type="paragraph" w:styleId="Caption">
    <w:name w:val="caption"/>
    <w:basedOn w:val="Normal"/>
    <w:next w:val="Normal"/>
    <w:rsid w:val="00D46EEC"/>
    <w:rPr>
      <w:b/>
      <w:bCs/>
    </w:rPr>
  </w:style>
  <w:style w:type="paragraph" w:customStyle="1" w:styleId="ChartandTableFootnote">
    <w:name w:val="Chart and Table Footnote"/>
    <w:basedOn w:val="HeadingBase"/>
    <w:next w:val="Normal"/>
    <w:link w:val="ChartandTableFootnoteChar"/>
    <w:unhideWhenUsed/>
    <w:rsid w:val="002F05E0"/>
    <w:pPr>
      <w:keepNext w:val="0"/>
      <w:tabs>
        <w:tab w:val="left" w:pos="709"/>
      </w:tabs>
      <w:spacing w:before="30"/>
      <w:ind w:left="709" w:hanging="709"/>
    </w:pPr>
    <w:rPr>
      <w:color w:val="000000"/>
      <w:sz w:val="16"/>
    </w:rPr>
  </w:style>
  <w:style w:type="character" w:customStyle="1" w:styleId="ChartandTableFootnoteChar">
    <w:name w:val="Chart and Table Footnote Char"/>
    <w:basedOn w:val="DefaultParagraphFont"/>
    <w:link w:val="ChartandTableFootnote"/>
    <w:rsid w:val="00F1044A"/>
    <w:rPr>
      <w:rFonts w:ascii="Arial" w:eastAsia="Times New Roman" w:hAnsi="Arial" w:cs="Times New Roman"/>
      <w:color w:val="000000"/>
      <w:sz w:val="16"/>
      <w:szCs w:val="20"/>
      <w:lang w:eastAsia="en-AU"/>
    </w:rPr>
  </w:style>
  <w:style w:type="paragraph" w:customStyle="1" w:styleId="ChartandTableFootnoteAlpha">
    <w:name w:val="Chart and Table Footnote Alpha"/>
    <w:basedOn w:val="HeadingBase"/>
    <w:next w:val="Normal"/>
    <w:link w:val="ChartandTableFootnoteAlphaChar"/>
    <w:rsid w:val="00D46EEC"/>
    <w:pPr>
      <w:keepNext w:val="0"/>
      <w:numPr>
        <w:numId w:val="20"/>
      </w:numPr>
      <w:spacing w:before="30"/>
    </w:pPr>
    <w:rPr>
      <w:color w:val="000000"/>
      <w:sz w:val="16"/>
    </w:rPr>
  </w:style>
  <w:style w:type="character" w:customStyle="1" w:styleId="ChartandTableFootnoteAlphaChar">
    <w:name w:val="Chart and Table Footnote Alpha Char"/>
    <w:link w:val="ChartandTableFootnoteAlpha"/>
    <w:rsid w:val="00F1044A"/>
    <w:rPr>
      <w:rFonts w:ascii="Arial" w:eastAsia="Times New Roman" w:hAnsi="Arial" w:cs="Times New Roman"/>
      <w:color w:val="000000"/>
      <w:sz w:val="16"/>
      <w:szCs w:val="20"/>
      <w:lang w:eastAsia="en-AU"/>
    </w:rPr>
  </w:style>
  <w:style w:type="paragraph" w:customStyle="1" w:styleId="ChartandTableFootnoteSmall">
    <w:name w:val="Chart and Table Footnote Small"/>
    <w:basedOn w:val="HeadingBase"/>
    <w:next w:val="Normal"/>
    <w:rsid w:val="00D46EEC"/>
    <w:pPr>
      <w:keepNext w:val="0"/>
      <w:tabs>
        <w:tab w:val="left" w:pos="284"/>
      </w:tabs>
      <w:jc w:val="both"/>
    </w:pPr>
    <w:rPr>
      <w:color w:val="000000"/>
      <w:sz w:val="15"/>
    </w:rPr>
  </w:style>
  <w:style w:type="paragraph" w:customStyle="1" w:styleId="ChartGraphic">
    <w:name w:val="Chart Graphic"/>
    <w:basedOn w:val="HeadingBase"/>
    <w:link w:val="ChartGraphicChar"/>
    <w:rsid w:val="00D46EEC"/>
    <w:rPr>
      <w:sz w:val="20"/>
    </w:rPr>
  </w:style>
  <w:style w:type="character" w:customStyle="1" w:styleId="ChartGraphicChar">
    <w:name w:val="Chart Graphic Char"/>
    <w:basedOn w:val="DefaultParagraphFont"/>
    <w:link w:val="ChartGraphic"/>
    <w:locked/>
    <w:rsid w:val="00F1044A"/>
    <w:rPr>
      <w:rFonts w:ascii="Arial" w:eastAsia="Times New Roman" w:hAnsi="Arial" w:cs="Times New Roman"/>
      <w:sz w:val="20"/>
      <w:szCs w:val="20"/>
      <w:lang w:eastAsia="en-AU"/>
    </w:rPr>
  </w:style>
  <w:style w:type="paragraph" w:customStyle="1" w:styleId="TableLine">
    <w:name w:val="Table Line"/>
    <w:basedOn w:val="Normal"/>
    <w:next w:val="Normal"/>
    <w:autoRedefine/>
    <w:rsid w:val="002F05E0"/>
    <w:pPr>
      <w:pBdr>
        <w:bottom w:val="single" w:sz="4" w:space="2" w:color="626A77" w:themeColor="background2" w:themeShade="E6"/>
      </w:pBdr>
      <w:spacing w:before="0" w:line="240" w:lineRule="auto"/>
    </w:pPr>
    <w:rPr>
      <w:noProof/>
      <w:sz w:val="4"/>
      <w:szCs w:val="4"/>
    </w:rPr>
  </w:style>
  <w:style w:type="paragraph" w:customStyle="1" w:styleId="ChartSecondHeading">
    <w:name w:val="Chart Second Heading"/>
    <w:basedOn w:val="HeadingBase"/>
    <w:next w:val="ChartGraphic"/>
    <w:rsid w:val="00D46EEC"/>
    <w:pPr>
      <w:spacing w:after="60"/>
    </w:pPr>
    <w:rPr>
      <w:sz w:val="19"/>
    </w:rPr>
  </w:style>
  <w:style w:type="character" w:styleId="CommentReference">
    <w:name w:val="annotation reference"/>
    <w:basedOn w:val="DefaultParagraphFont"/>
    <w:rsid w:val="00D46EEC"/>
    <w:rPr>
      <w:sz w:val="16"/>
      <w:szCs w:val="16"/>
    </w:rPr>
  </w:style>
  <w:style w:type="paragraph" w:styleId="CommentText">
    <w:name w:val="annotation text"/>
    <w:basedOn w:val="Normal"/>
    <w:link w:val="CommentTextChar"/>
    <w:rsid w:val="00D46EEC"/>
  </w:style>
  <w:style w:type="character" w:customStyle="1" w:styleId="CommentTextChar">
    <w:name w:val="Comment Text Char"/>
    <w:basedOn w:val="DefaultParagraphFont"/>
    <w:link w:val="CommentText"/>
    <w:rsid w:val="00D46EEC"/>
    <w:rPr>
      <w:rFonts w:ascii="Book Antiqua" w:eastAsia="Times New Roman" w:hAnsi="Book Antiqua" w:cs="Times New Roman"/>
      <w:sz w:val="19"/>
      <w:szCs w:val="20"/>
      <w:lang w:eastAsia="en-AU"/>
    </w:rPr>
  </w:style>
  <w:style w:type="paragraph" w:styleId="CommentSubject">
    <w:name w:val="annotation subject"/>
    <w:basedOn w:val="CommentText"/>
    <w:next w:val="CommentText"/>
    <w:link w:val="CommentSubjectChar"/>
    <w:rsid w:val="00D46EEC"/>
    <w:rPr>
      <w:b/>
      <w:bCs/>
    </w:rPr>
  </w:style>
  <w:style w:type="character" w:customStyle="1" w:styleId="CommentSubjectChar">
    <w:name w:val="Comment Subject Char"/>
    <w:basedOn w:val="CommentTextChar"/>
    <w:link w:val="CommentSubject"/>
    <w:rsid w:val="00D46EEC"/>
    <w:rPr>
      <w:rFonts w:ascii="Book Antiqua" w:eastAsia="Times New Roman" w:hAnsi="Book Antiqua" w:cs="Times New Roman"/>
      <w:b/>
      <w:bCs/>
      <w:sz w:val="19"/>
      <w:szCs w:val="20"/>
      <w:lang w:eastAsia="en-AU"/>
    </w:rPr>
  </w:style>
  <w:style w:type="paragraph" w:customStyle="1" w:styleId="ContentsHeading">
    <w:name w:val="Contents Heading"/>
    <w:basedOn w:val="Heading1"/>
    <w:next w:val="Normal"/>
    <w:rsid w:val="00D46EEC"/>
    <w:pPr>
      <w:spacing w:after="720"/>
      <w:outlineLvl w:val="9"/>
    </w:pPr>
  </w:style>
  <w:style w:type="character" w:styleId="Strong">
    <w:name w:val="Strong"/>
    <w:basedOn w:val="DefaultParagraphFont"/>
    <w:uiPriority w:val="22"/>
    <w:qFormat/>
    <w:rsid w:val="00D46EEC"/>
    <w:rPr>
      <w:b/>
      <w:bCs/>
      <w:color w:val="auto"/>
    </w:rPr>
  </w:style>
  <w:style w:type="paragraph" w:customStyle="1" w:styleId="Dash">
    <w:name w:val="Dash"/>
    <w:basedOn w:val="Normal"/>
    <w:link w:val="DashChar"/>
    <w:qFormat/>
    <w:rsid w:val="00D46EEC"/>
    <w:pPr>
      <w:numPr>
        <w:ilvl w:val="1"/>
        <w:numId w:val="7"/>
      </w:numPr>
      <w:tabs>
        <w:tab w:val="left" w:pos="567"/>
      </w:tabs>
    </w:pPr>
  </w:style>
  <w:style w:type="character" w:customStyle="1" w:styleId="DashChar">
    <w:name w:val="Dash Char"/>
    <w:link w:val="Dash"/>
    <w:locked/>
    <w:rsid w:val="00F1044A"/>
    <w:rPr>
      <w:rFonts w:ascii="Book Antiqua" w:eastAsia="Times New Roman" w:hAnsi="Book Antiqua" w:cs="Times New Roman"/>
      <w:sz w:val="19"/>
      <w:szCs w:val="20"/>
      <w:lang w:eastAsia="en-AU"/>
    </w:rPr>
  </w:style>
  <w:style w:type="paragraph" w:styleId="DocumentMap">
    <w:name w:val="Document Map"/>
    <w:basedOn w:val="Normal"/>
    <w:link w:val="DocumentMapChar"/>
    <w:semiHidden/>
    <w:rsid w:val="00D46EEC"/>
    <w:pPr>
      <w:shd w:val="clear" w:color="auto" w:fill="000080"/>
    </w:pPr>
    <w:rPr>
      <w:rFonts w:ascii="Tahoma" w:hAnsi="Tahoma" w:cs="Tahoma"/>
    </w:rPr>
  </w:style>
  <w:style w:type="character" w:customStyle="1" w:styleId="DocumentMapChar">
    <w:name w:val="Document Map Char"/>
    <w:basedOn w:val="DefaultParagraphFont"/>
    <w:link w:val="DocumentMap"/>
    <w:semiHidden/>
    <w:rsid w:val="00D46EEC"/>
    <w:rPr>
      <w:rFonts w:ascii="Tahoma" w:eastAsia="Times New Roman" w:hAnsi="Tahoma" w:cs="Tahoma"/>
      <w:sz w:val="19"/>
      <w:szCs w:val="20"/>
      <w:shd w:val="clear" w:color="auto" w:fill="000080"/>
      <w:lang w:eastAsia="en-AU"/>
    </w:rPr>
  </w:style>
  <w:style w:type="paragraph" w:customStyle="1" w:styleId="DoubleDot">
    <w:name w:val="Double Dot"/>
    <w:basedOn w:val="Normal"/>
    <w:rsid w:val="002F05E0"/>
    <w:pPr>
      <w:numPr>
        <w:ilvl w:val="2"/>
        <w:numId w:val="7"/>
      </w:numPr>
      <w:tabs>
        <w:tab w:val="clear" w:pos="850"/>
        <w:tab w:val="num" w:pos="360"/>
        <w:tab w:val="left" w:pos="851"/>
      </w:tabs>
    </w:pPr>
  </w:style>
  <w:style w:type="paragraph" w:customStyle="1" w:styleId="FigureHeading">
    <w:name w:val="Figure Heading"/>
    <w:basedOn w:val="HeadingBase"/>
    <w:next w:val="ChartGraphic"/>
    <w:rsid w:val="00D46EEC"/>
    <w:pPr>
      <w:spacing w:before="120" w:after="20"/>
    </w:pPr>
    <w:rPr>
      <w:b/>
      <w:sz w:val="20"/>
    </w:rPr>
  </w:style>
  <w:style w:type="paragraph" w:customStyle="1" w:styleId="FooterEven">
    <w:name w:val="Footer Even"/>
    <w:basedOn w:val="Footer"/>
    <w:rsid w:val="00D46EEC"/>
    <w:pPr>
      <w:pBdr>
        <w:top w:val="single" w:sz="4" w:space="10" w:color="002A54" w:themeColor="text2"/>
      </w:pBdr>
      <w:jc w:val="left"/>
    </w:pPr>
    <w:rPr>
      <w:sz w:val="18"/>
    </w:rPr>
  </w:style>
  <w:style w:type="paragraph" w:customStyle="1" w:styleId="FooterOdd">
    <w:name w:val="Footer Odd"/>
    <w:basedOn w:val="Footer"/>
    <w:qFormat/>
    <w:rsid w:val="00D46EEC"/>
    <w:pPr>
      <w:pBdr>
        <w:top w:val="single" w:sz="4" w:space="10" w:color="002A54" w:themeColor="text2"/>
      </w:pBdr>
      <w:jc w:val="right"/>
    </w:pPr>
    <w:rPr>
      <w:sz w:val="18"/>
    </w:rPr>
  </w:style>
  <w:style w:type="character" w:styleId="FootnoteReference">
    <w:name w:val="footnote reference"/>
    <w:basedOn w:val="DefaultParagraphFont"/>
    <w:rsid w:val="00D46EEC"/>
    <w:rPr>
      <w:vertAlign w:val="superscript"/>
    </w:rPr>
  </w:style>
  <w:style w:type="paragraph" w:styleId="FootnoteText">
    <w:name w:val="footnote text"/>
    <w:basedOn w:val="Normal"/>
    <w:link w:val="FootnoteTextChar"/>
    <w:rsid w:val="00D46EEC"/>
    <w:pPr>
      <w:tabs>
        <w:tab w:val="left" w:pos="284"/>
      </w:tabs>
      <w:spacing w:before="80" w:after="0" w:line="240" w:lineRule="auto"/>
      <w:ind w:left="284" w:hanging="284"/>
      <w:contextualSpacing/>
    </w:pPr>
    <w:rPr>
      <w:sz w:val="18"/>
    </w:rPr>
  </w:style>
  <w:style w:type="character" w:customStyle="1" w:styleId="FootnoteTextChar">
    <w:name w:val="Footnote Text Char"/>
    <w:basedOn w:val="DefaultParagraphFont"/>
    <w:link w:val="FootnoteText"/>
    <w:rsid w:val="00D46EEC"/>
    <w:rPr>
      <w:rFonts w:ascii="Book Antiqua" w:eastAsia="Times New Roman" w:hAnsi="Book Antiqua" w:cs="Times New Roman"/>
      <w:sz w:val="18"/>
      <w:szCs w:val="20"/>
      <w:lang w:eastAsia="en-AU"/>
    </w:rPr>
  </w:style>
  <w:style w:type="character" w:customStyle="1" w:styleId="FramedHeader">
    <w:name w:val="Framed Header"/>
    <w:basedOn w:val="DefaultParagraphFont"/>
    <w:rsid w:val="00D46EEC"/>
    <w:rPr>
      <w:rFonts w:ascii="Book Antiqua" w:hAnsi="Book Antiqua"/>
      <w:i/>
      <w:dstrike w:val="0"/>
      <w:color w:val="auto"/>
      <w:sz w:val="20"/>
      <w:vertAlign w:val="baseline"/>
    </w:rPr>
  </w:style>
  <w:style w:type="paragraph" w:customStyle="1" w:styleId="HeaderEven">
    <w:name w:val="Header Even"/>
    <w:basedOn w:val="HeaderBase"/>
    <w:rsid w:val="00D46EEC"/>
  </w:style>
  <w:style w:type="paragraph" w:customStyle="1" w:styleId="HeaderOdd">
    <w:name w:val="Header Odd"/>
    <w:basedOn w:val="HeaderBase"/>
    <w:rsid w:val="00D46EEC"/>
    <w:pPr>
      <w:jc w:val="right"/>
    </w:pPr>
  </w:style>
  <w:style w:type="paragraph" w:customStyle="1" w:styleId="Heading3noTOC">
    <w:name w:val="Heading 3 no TOC"/>
    <w:basedOn w:val="Heading3"/>
    <w:rsid w:val="00F56C08"/>
  </w:style>
  <w:style w:type="character" w:customStyle="1" w:styleId="HiddenSequenceCode">
    <w:name w:val="Hidden Sequence Code"/>
    <w:basedOn w:val="DefaultParagraphFont"/>
    <w:rsid w:val="00D46EEC"/>
    <w:rPr>
      <w:rFonts w:ascii="Times New Roman" w:hAnsi="Times New Roman"/>
      <w:vanish/>
      <w:sz w:val="16"/>
    </w:rPr>
  </w:style>
  <w:style w:type="character" w:styleId="Hyperlink">
    <w:name w:val="Hyperlink"/>
    <w:basedOn w:val="DefaultParagraphFont"/>
    <w:uiPriority w:val="99"/>
    <w:unhideWhenUsed/>
    <w:rsid w:val="00D46EEC"/>
    <w:rPr>
      <w:color w:val="auto"/>
      <w:u w:val="single"/>
    </w:rPr>
  </w:style>
  <w:style w:type="paragraph" w:styleId="Index4">
    <w:name w:val="index 4"/>
    <w:basedOn w:val="Normal"/>
    <w:next w:val="Normal"/>
    <w:autoRedefine/>
    <w:semiHidden/>
    <w:rsid w:val="00D46EEC"/>
    <w:pPr>
      <w:ind w:left="800" w:hanging="200"/>
    </w:pPr>
  </w:style>
  <w:style w:type="paragraph" w:styleId="Index5">
    <w:name w:val="index 5"/>
    <w:basedOn w:val="Normal"/>
    <w:next w:val="Normal"/>
    <w:autoRedefine/>
    <w:semiHidden/>
    <w:rsid w:val="00D46EEC"/>
    <w:pPr>
      <w:ind w:left="1000" w:hanging="200"/>
    </w:pPr>
  </w:style>
  <w:style w:type="paragraph" w:styleId="Index6">
    <w:name w:val="index 6"/>
    <w:basedOn w:val="Normal"/>
    <w:next w:val="Normal"/>
    <w:autoRedefine/>
    <w:semiHidden/>
    <w:rsid w:val="00D46EEC"/>
    <w:pPr>
      <w:ind w:left="1200" w:hanging="200"/>
    </w:pPr>
  </w:style>
  <w:style w:type="paragraph" w:styleId="Index7">
    <w:name w:val="index 7"/>
    <w:basedOn w:val="Normal"/>
    <w:next w:val="Normal"/>
    <w:autoRedefine/>
    <w:semiHidden/>
    <w:rsid w:val="00D46EEC"/>
    <w:pPr>
      <w:ind w:left="1400" w:hanging="200"/>
    </w:pPr>
  </w:style>
  <w:style w:type="paragraph" w:styleId="Index8">
    <w:name w:val="index 8"/>
    <w:basedOn w:val="Normal"/>
    <w:next w:val="Normal"/>
    <w:autoRedefine/>
    <w:semiHidden/>
    <w:rsid w:val="00D46EEC"/>
    <w:pPr>
      <w:ind w:left="1600" w:hanging="200"/>
    </w:pPr>
  </w:style>
  <w:style w:type="paragraph" w:styleId="Index9">
    <w:name w:val="index 9"/>
    <w:basedOn w:val="Normal"/>
    <w:next w:val="Normal"/>
    <w:autoRedefine/>
    <w:semiHidden/>
    <w:rsid w:val="00D46EEC"/>
    <w:pPr>
      <w:ind w:left="1800" w:hanging="200"/>
    </w:pPr>
  </w:style>
  <w:style w:type="paragraph" w:styleId="MacroText">
    <w:name w:val="macro"/>
    <w:link w:val="MacroTextChar"/>
    <w:semiHidden/>
    <w:rsid w:val="002F05E0"/>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rsid w:val="00D46EEC"/>
    <w:rPr>
      <w:rFonts w:ascii="Courier New" w:eastAsia="Times New Roman" w:hAnsi="Courier New" w:cs="Courier New"/>
      <w:sz w:val="20"/>
      <w:szCs w:val="20"/>
      <w:lang w:eastAsia="en-AU"/>
    </w:rPr>
  </w:style>
  <w:style w:type="paragraph" w:styleId="NormalIndent">
    <w:name w:val="Normal Indent"/>
    <w:basedOn w:val="Normal"/>
    <w:rsid w:val="00D46EEC"/>
    <w:pPr>
      <w:ind w:left="567"/>
    </w:pPr>
  </w:style>
  <w:style w:type="paragraph" w:customStyle="1" w:styleId="NoteTableHeading">
    <w:name w:val="Note Table Heading"/>
    <w:basedOn w:val="HeadingBase"/>
    <w:next w:val="Normal"/>
    <w:rsid w:val="00F56C08"/>
    <w:pPr>
      <w:spacing w:before="240"/>
      <w:outlineLvl w:val="2"/>
    </w:pPr>
    <w:rPr>
      <w:b/>
      <w:sz w:val="20"/>
    </w:rPr>
  </w:style>
  <w:style w:type="paragraph" w:customStyle="1" w:styleId="OverviewParagraph">
    <w:name w:val="Overview Paragraph"/>
    <w:basedOn w:val="Normal"/>
    <w:rsid w:val="00D46EEC"/>
    <w:pPr>
      <w:spacing w:before="120" w:after="120" w:line="240" w:lineRule="auto"/>
    </w:pPr>
  </w:style>
  <w:style w:type="character" w:styleId="PageNumber">
    <w:name w:val="page number"/>
    <w:basedOn w:val="DefaultParagraphFont"/>
    <w:rsid w:val="00D46EEC"/>
    <w:rPr>
      <w:rFonts w:ascii="Arial" w:hAnsi="Arial" w:cs="Arial"/>
    </w:rPr>
  </w:style>
  <w:style w:type="paragraph" w:customStyle="1" w:styleId="SingleParagraph">
    <w:name w:val="Single Paragraph"/>
    <w:basedOn w:val="Normal"/>
    <w:rsid w:val="00D46EEC"/>
    <w:pPr>
      <w:spacing w:before="0" w:after="0"/>
    </w:pPr>
  </w:style>
  <w:style w:type="paragraph" w:customStyle="1" w:styleId="Source">
    <w:name w:val="Source"/>
    <w:basedOn w:val="Normal"/>
    <w:rsid w:val="00D46EEC"/>
    <w:pPr>
      <w:tabs>
        <w:tab w:val="left" w:pos="709"/>
      </w:tabs>
      <w:spacing w:before="30" w:line="240" w:lineRule="auto"/>
      <w:ind w:left="709" w:hanging="709"/>
    </w:pPr>
    <w:rPr>
      <w:rFonts w:ascii="Arial" w:hAnsi="Arial"/>
      <w:sz w:val="16"/>
    </w:rPr>
  </w:style>
  <w:style w:type="paragraph" w:customStyle="1" w:styleId="TableColumnHeadingBase">
    <w:name w:val="Table Column Heading Base"/>
    <w:basedOn w:val="Normal"/>
    <w:rsid w:val="00D46EEC"/>
    <w:pPr>
      <w:spacing w:before="40" w:after="40" w:line="240" w:lineRule="auto"/>
    </w:pPr>
    <w:rPr>
      <w:rFonts w:ascii="Arial Bold" w:hAnsi="Arial Bold"/>
      <w:b/>
      <w:sz w:val="16"/>
    </w:rPr>
  </w:style>
  <w:style w:type="paragraph" w:customStyle="1" w:styleId="TableColumnHeadingCentred">
    <w:name w:val="Table Column Heading Centred"/>
    <w:basedOn w:val="TableColumnHeadingBase"/>
    <w:next w:val="Normal"/>
    <w:rsid w:val="00D46EEC"/>
    <w:pPr>
      <w:jc w:val="center"/>
    </w:pPr>
  </w:style>
  <w:style w:type="paragraph" w:customStyle="1" w:styleId="TableColumnHeadingLeft">
    <w:name w:val="Table Column Heading Left"/>
    <w:basedOn w:val="TableColumnHeadingBase"/>
    <w:next w:val="Normal"/>
    <w:rsid w:val="00D46EEC"/>
  </w:style>
  <w:style w:type="paragraph" w:customStyle="1" w:styleId="TableColumnHeadingRight">
    <w:name w:val="Table Column Heading Right"/>
    <w:basedOn w:val="TableColumnHeadingBase"/>
    <w:next w:val="Normal"/>
    <w:rsid w:val="00D46EEC"/>
    <w:pPr>
      <w:jc w:val="right"/>
    </w:pPr>
  </w:style>
  <w:style w:type="paragraph" w:customStyle="1" w:styleId="TableGraphic">
    <w:name w:val="Table Graphic"/>
    <w:basedOn w:val="Normal"/>
    <w:next w:val="Normal"/>
    <w:rsid w:val="00D46EEC"/>
    <w:pPr>
      <w:spacing w:after="0" w:line="240" w:lineRule="auto"/>
      <w:ind w:right="-113"/>
    </w:pPr>
  </w:style>
  <w:style w:type="table" w:styleId="TableGrid">
    <w:name w:val="Table Grid"/>
    <w:basedOn w:val="TableNormal"/>
    <w:rsid w:val="00F56C08"/>
    <w:pPr>
      <w:spacing w:after="240" w:line="260" w:lineRule="exact"/>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Base"/>
    <w:next w:val="TableGraphic"/>
    <w:qFormat/>
    <w:rsid w:val="00D46EEC"/>
    <w:pPr>
      <w:spacing w:before="120" w:after="20"/>
    </w:pPr>
    <w:rPr>
      <w:b/>
      <w:sz w:val="20"/>
    </w:rPr>
  </w:style>
  <w:style w:type="paragraph" w:customStyle="1" w:styleId="TableHeadingcontinued">
    <w:name w:val="Table Heading continued"/>
    <w:basedOn w:val="HeadingBase"/>
    <w:next w:val="TableGraphic"/>
    <w:rsid w:val="00D46EEC"/>
    <w:pPr>
      <w:spacing w:before="120" w:after="20"/>
    </w:pPr>
    <w:rPr>
      <w:rFonts w:ascii="Arial Bold" w:hAnsi="Arial Bold"/>
      <w:b/>
      <w:sz w:val="20"/>
    </w:rPr>
  </w:style>
  <w:style w:type="paragraph" w:styleId="TableofFigures">
    <w:name w:val="table of figures"/>
    <w:basedOn w:val="Normal"/>
    <w:next w:val="Normal"/>
    <w:rsid w:val="00D46EEC"/>
  </w:style>
  <w:style w:type="paragraph" w:customStyle="1" w:styleId="TableTextBase">
    <w:name w:val="Table Text Base"/>
    <w:basedOn w:val="Normal"/>
    <w:rsid w:val="00D46EEC"/>
    <w:pPr>
      <w:spacing w:before="20" w:after="20" w:line="240" w:lineRule="auto"/>
    </w:pPr>
    <w:rPr>
      <w:rFonts w:ascii="Arial" w:hAnsi="Arial"/>
      <w:sz w:val="16"/>
    </w:rPr>
  </w:style>
  <w:style w:type="paragraph" w:customStyle="1" w:styleId="TableTextCentred">
    <w:name w:val="Table Text Centred"/>
    <w:basedOn w:val="TableTextBase"/>
    <w:rsid w:val="00D46EEC"/>
    <w:pPr>
      <w:jc w:val="center"/>
    </w:pPr>
  </w:style>
  <w:style w:type="paragraph" w:customStyle="1" w:styleId="TableTextIndented">
    <w:name w:val="Table Text Indented"/>
    <w:basedOn w:val="TableTextBase"/>
    <w:rsid w:val="00D46EEC"/>
    <w:pPr>
      <w:ind w:left="284"/>
    </w:pPr>
  </w:style>
  <w:style w:type="paragraph" w:customStyle="1" w:styleId="TableTextLeft">
    <w:name w:val="Table Text Left"/>
    <w:basedOn w:val="TableTextBase"/>
    <w:rsid w:val="00D46EEC"/>
  </w:style>
  <w:style w:type="paragraph" w:customStyle="1" w:styleId="TableTextRight">
    <w:name w:val="Table Text Right"/>
    <w:basedOn w:val="TableTextBase"/>
    <w:rsid w:val="00D46EEC"/>
    <w:pPr>
      <w:jc w:val="right"/>
    </w:pPr>
  </w:style>
  <w:style w:type="paragraph" w:styleId="TOAHeading">
    <w:name w:val="toa heading"/>
    <w:basedOn w:val="Normal"/>
    <w:next w:val="Normal"/>
    <w:rsid w:val="00D46EEC"/>
    <w:pPr>
      <w:spacing w:before="120"/>
    </w:pPr>
    <w:rPr>
      <w:rFonts w:ascii="Arial" w:hAnsi="Arial" w:cs="Arial"/>
      <w:b/>
      <w:bCs/>
      <w:sz w:val="24"/>
      <w:szCs w:val="24"/>
    </w:rPr>
  </w:style>
  <w:style w:type="paragraph" w:styleId="TOC1">
    <w:name w:val="toc 1"/>
    <w:basedOn w:val="HeaderBase"/>
    <w:next w:val="Normal"/>
    <w:uiPriority w:val="2"/>
    <w:rsid w:val="00D46EEC"/>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2"/>
    <w:qFormat/>
    <w:rsid w:val="00D46EEC"/>
    <w:pPr>
      <w:keepNext w:val="0"/>
      <w:tabs>
        <w:tab w:val="left" w:pos="992"/>
        <w:tab w:val="right" w:leader="dot" w:pos="7700"/>
      </w:tabs>
      <w:spacing w:before="60" w:after="60"/>
      <w:ind w:right="851"/>
    </w:pPr>
    <w:rPr>
      <w:sz w:val="18"/>
    </w:rPr>
  </w:style>
  <w:style w:type="paragraph" w:styleId="TOC3">
    <w:name w:val="toc 3"/>
    <w:basedOn w:val="HeadingBase"/>
    <w:next w:val="Normal"/>
    <w:uiPriority w:val="2"/>
    <w:unhideWhenUsed/>
    <w:rsid w:val="00D46EEC"/>
    <w:pPr>
      <w:tabs>
        <w:tab w:val="right" w:leader="dot" w:pos="7700"/>
      </w:tabs>
      <w:spacing w:before="40"/>
      <w:ind w:left="992" w:right="851" w:hanging="992"/>
    </w:pPr>
    <w:rPr>
      <w:sz w:val="20"/>
    </w:rPr>
  </w:style>
  <w:style w:type="paragraph" w:styleId="TOC4">
    <w:name w:val="toc 4"/>
    <w:basedOn w:val="HeadingBase"/>
    <w:next w:val="Normal"/>
    <w:uiPriority w:val="2"/>
    <w:unhideWhenUsed/>
    <w:rsid w:val="00D46EEC"/>
    <w:pPr>
      <w:tabs>
        <w:tab w:val="right" w:leader="dot" w:pos="7700"/>
      </w:tabs>
      <w:spacing w:before="40"/>
      <w:ind w:right="851"/>
    </w:pPr>
    <w:rPr>
      <w:sz w:val="20"/>
    </w:rPr>
  </w:style>
  <w:style w:type="paragraph" w:styleId="TOC5">
    <w:name w:val="toc 5"/>
    <w:basedOn w:val="Normal"/>
    <w:next w:val="Normal"/>
    <w:autoRedefine/>
    <w:uiPriority w:val="2"/>
    <w:rsid w:val="00D46EEC"/>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D46EEC"/>
    <w:pPr>
      <w:tabs>
        <w:tab w:val="left" w:pos="851"/>
      </w:tabs>
      <w:ind w:left="851" w:hanging="851"/>
    </w:pPr>
    <w:rPr>
      <w:color w:val="000000"/>
    </w:rPr>
  </w:style>
  <w:style w:type="paragraph" w:styleId="TOC7">
    <w:name w:val="toc 7"/>
    <w:basedOn w:val="Normal"/>
    <w:next w:val="Normal"/>
    <w:autoRedefine/>
    <w:uiPriority w:val="2"/>
    <w:semiHidden/>
    <w:rsid w:val="00D46EEC"/>
    <w:pPr>
      <w:ind w:left="1200"/>
    </w:pPr>
  </w:style>
  <w:style w:type="paragraph" w:styleId="TOC8">
    <w:name w:val="toc 8"/>
    <w:basedOn w:val="Normal"/>
    <w:next w:val="Normal"/>
    <w:autoRedefine/>
    <w:uiPriority w:val="2"/>
    <w:semiHidden/>
    <w:rsid w:val="00D46EEC"/>
    <w:pPr>
      <w:ind w:left="1400"/>
    </w:pPr>
  </w:style>
  <w:style w:type="paragraph" w:styleId="TOC9">
    <w:name w:val="toc 9"/>
    <w:basedOn w:val="Normal"/>
    <w:next w:val="Normal"/>
    <w:autoRedefine/>
    <w:uiPriority w:val="2"/>
    <w:rsid w:val="00D46EEC"/>
    <w:pPr>
      <w:ind w:left="1600"/>
    </w:pPr>
  </w:style>
  <w:style w:type="paragraph" w:customStyle="1" w:styleId="TPHeading1">
    <w:name w:val="TP Heading 1"/>
    <w:basedOn w:val="HeadingBase"/>
    <w:semiHidden/>
    <w:rsid w:val="00D46EEC"/>
    <w:pPr>
      <w:spacing w:before="60" w:after="60"/>
      <w:ind w:left="1134"/>
    </w:pPr>
    <w:rPr>
      <w:rFonts w:ascii="Arial Bold" w:hAnsi="Arial Bold"/>
      <w:b/>
      <w:caps/>
      <w:spacing w:val="-10"/>
      <w:sz w:val="28"/>
    </w:rPr>
  </w:style>
  <w:style w:type="paragraph" w:customStyle="1" w:styleId="TPHeading2">
    <w:name w:val="TP Heading 2"/>
    <w:basedOn w:val="HeadingBase"/>
    <w:semiHidden/>
    <w:rsid w:val="00D46EEC"/>
    <w:pPr>
      <w:ind w:left="1134"/>
    </w:pPr>
    <w:rPr>
      <w:caps/>
      <w:spacing w:val="-10"/>
      <w:sz w:val="28"/>
    </w:rPr>
  </w:style>
  <w:style w:type="paragraph" w:customStyle="1" w:styleId="TPHeading3">
    <w:name w:val="TP Heading 3"/>
    <w:basedOn w:val="HeadingBase"/>
    <w:semiHidden/>
    <w:rsid w:val="00D46EEC"/>
    <w:pPr>
      <w:ind w:left="1134"/>
    </w:pPr>
    <w:rPr>
      <w:caps/>
      <w:spacing w:val="-10"/>
    </w:rPr>
  </w:style>
  <w:style w:type="paragraph" w:customStyle="1" w:styleId="TPHeading3bold">
    <w:name w:val="TP Heading 3 bold"/>
    <w:basedOn w:val="TPHeading3"/>
    <w:semiHidden/>
    <w:rsid w:val="00D46EEC"/>
    <w:rPr>
      <w:rFonts w:cs="Arial"/>
      <w:b/>
      <w:sz w:val="22"/>
      <w:szCs w:val="22"/>
    </w:rPr>
  </w:style>
  <w:style w:type="paragraph" w:customStyle="1" w:styleId="TPHEADING3boldspace">
    <w:name w:val="TP HEADING 3 bold space"/>
    <w:basedOn w:val="TPHeading3bold"/>
    <w:semiHidden/>
    <w:rsid w:val="00D46EEC"/>
    <w:pPr>
      <w:spacing w:after="120"/>
    </w:pPr>
  </w:style>
  <w:style w:type="paragraph" w:customStyle="1" w:styleId="TPHEADING3space">
    <w:name w:val="TP HEADING 3 space"/>
    <w:basedOn w:val="TPHeading3"/>
    <w:semiHidden/>
    <w:rsid w:val="00D46EEC"/>
    <w:pPr>
      <w:spacing w:before="120" w:after="120"/>
    </w:pPr>
    <w:rPr>
      <w:rFonts w:cs="Arial"/>
      <w:sz w:val="22"/>
      <w:szCs w:val="22"/>
    </w:rPr>
  </w:style>
  <w:style w:type="paragraph" w:customStyle="1" w:styleId="TPHeading4">
    <w:name w:val="TP Heading 4"/>
    <w:basedOn w:val="TPHeading3"/>
    <w:semiHidden/>
    <w:rsid w:val="00D46EEC"/>
    <w:rPr>
      <w:sz w:val="20"/>
    </w:rPr>
  </w:style>
  <w:style w:type="paragraph" w:customStyle="1" w:styleId="TPHEADING4space">
    <w:name w:val="TP HEADING 4 space"/>
    <w:basedOn w:val="TPHEADING3space"/>
    <w:semiHidden/>
    <w:rsid w:val="00D46EEC"/>
  </w:style>
  <w:style w:type="paragraph" w:customStyle="1" w:styleId="ChartLine">
    <w:name w:val="Chart Line"/>
    <w:basedOn w:val="Normal"/>
    <w:autoRedefine/>
    <w:qFormat/>
    <w:rsid w:val="002F05E0"/>
    <w:pPr>
      <w:pBdr>
        <w:bottom w:val="single" w:sz="4" w:space="2" w:color="626A77" w:themeColor="background2" w:themeShade="E6"/>
      </w:pBdr>
      <w:spacing w:before="0" w:line="240" w:lineRule="auto"/>
    </w:pPr>
    <w:rPr>
      <w:noProof/>
      <w:sz w:val="4"/>
      <w:szCs w:val="4"/>
    </w:rPr>
  </w:style>
  <w:style w:type="paragraph" w:customStyle="1" w:styleId="ChartMainHeading">
    <w:name w:val="Chart Main Heading"/>
    <w:basedOn w:val="Normal"/>
    <w:next w:val="ChartGraphic"/>
    <w:rsid w:val="00D46EEC"/>
    <w:pPr>
      <w:keepNext/>
      <w:spacing w:before="120" w:after="20" w:line="240" w:lineRule="auto"/>
    </w:pPr>
    <w:rPr>
      <w:rFonts w:asciiTheme="majorHAnsi" w:hAnsiTheme="majorHAnsi"/>
      <w:b/>
      <w:sz w:val="20"/>
    </w:rPr>
  </w:style>
  <w:style w:type="character" w:customStyle="1" w:styleId="BoxHeading-Continued">
    <w:name w:val="Box Heading - Continued"/>
    <w:uiPriority w:val="1"/>
    <w:qFormat/>
    <w:rsid w:val="00D46EEC"/>
    <w:rPr>
      <w:sz w:val="16"/>
    </w:rPr>
  </w:style>
  <w:style w:type="paragraph" w:customStyle="1" w:styleId="Box-continuedon">
    <w:name w:val="Box - continued on"/>
    <w:basedOn w:val="Normal"/>
    <w:qFormat/>
    <w:rsid w:val="00D46EEC"/>
    <w:pPr>
      <w:jc w:val="right"/>
    </w:pPr>
    <w:rPr>
      <w:rFonts w:asciiTheme="majorHAnsi" w:hAnsiTheme="majorHAnsi" w:cstheme="majorHAnsi"/>
      <w:i/>
      <w:iCs/>
      <w:sz w:val="18"/>
      <w:szCs w:val="24"/>
    </w:rPr>
  </w:style>
  <w:style w:type="paragraph" w:customStyle="1" w:styleId="BoxHeading2">
    <w:name w:val="Box Heading 2"/>
    <w:basedOn w:val="BoxHeading"/>
    <w:autoRedefine/>
    <w:rsid w:val="00D46EEC"/>
    <w:pPr>
      <w:spacing w:after="0"/>
    </w:pPr>
    <w:rPr>
      <w:b w:val="0"/>
      <w:bCs/>
      <w:szCs w:val="14"/>
    </w:rPr>
  </w:style>
  <w:style w:type="paragraph" w:customStyle="1" w:styleId="GhostLine">
    <w:name w:val="Ghost Line"/>
    <w:basedOn w:val="NoSpacing"/>
    <w:qFormat/>
    <w:rsid w:val="00D46EEC"/>
    <w:pPr>
      <w:jc w:val="both"/>
    </w:pPr>
    <w:rPr>
      <w:rFonts w:ascii="Book Antiqua" w:hAnsi="Book Antiqua"/>
      <w:sz w:val="2"/>
    </w:rPr>
  </w:style>
  <w:style w:type="paragraph" w:styleId="NoSpacing">
    <w:name w:val="No Spacing"/>
    <w:uiPriority w:val="1"/>
    <w:qFormat/>
    <w:rsid w:val="00D46EEC"/>
    <w:pPr>
      <w:spacing w:after="0" w:line="240" w:lineRule="auto"/>
    </w:pPr>
    <w:rPr>
      <w:rFonts w:eastAsia="Times New Roman" w:cs="Times New Roman"/>
      <w:sz w:val="19"/>
      <w:szCs w:val="20"/>
      <w:lang w:eastAsia="en-AU"/>
    </w:rPr>
  </w:style>
  <w:style w:type="character" w:customStyle="1" w:styleId="A5">
    <w:name w:val="A5"/>
    <w:uiPriority w:val="99"/>
    <w:rsid w:val="00D46EEC"/>
    <w:rPr>
      <w:rFonts w:cs="Swiss 721 BT"/>
      <w:color w:val="000000"/>
      <w:sz w:val="20"/>
      <w:szCs w:val="20"/>
    </w:rPr>
  </w:style>
  <w:style w:type="paragraph" w:customStyle="1" w:styleId="CreativeCommonsNormal">
    <w:name w:val="Creative Commons Normal"/>
    <w:basedOn w:val="Normal"/>
    <w:qFormat/>
    <w:rsid w:val="00D46EEC"/>
    <w:pPr>
      <w:spacing w:before="120" w:after="80"/>
    </w:pPr>
  </w:style>
  <w:style w:type="paragraph" w:customStyle="1" w:styleId="CreativeCommonsH1">
    <w:name w:val="Creative Commons H1"/>
    <w:basedOn w:val="Normal"/>
    <w:qFormat/>
    <w:rsid w:val="00D46EEC"/>
    <w:pPr>
      <w:spacing w:before="160" w:after="120"/>
    </w:pPr>
    <w:rPr>
      <w:b/>
      <w:bCs/>
    </w:rPr>
  </w:style>
  <w:style w:type="paragraph" w:customStyle="1" w:styleId="CreativeCommonsIndented">
    <w:name w:val="Creative Commons Indented"/>
    <w:basedOn w:val="CreativeCommonsNormal"/>
    <w:qFormat/>
    <w:rsid w:val="00D46EEC"/>
    <w:pPr>
      <w:ind w:left="567"/>
    </w:pPr>
  </w:style>
  <w:style w:type="paragraph" w:customStyle="1" w:styleId="OutlineNumbered1">
    <w:name w:val="Outline Numbered 1"/>
    <w:basedOn w:val="Normal"/>
    <w:link w:val="OutlineNumbered1Char"/>
    <w:qFormat/>
    <w:rsid w:val="00D46EEC"/>
    <w:pPr>
      <w:numPr>
        <w:numId w:val="22"/>
      </w:numPr>
    </w:pPr>
  </w:style>
  <w:style w:type="character" w:customStyle="1" w:styleId="OutlineNumbered1Char">
    <w:name w:val="Outline Numbered 1 Char"/>
    <w:basedOn w:val="DefaultParagraphFont"/>
    <w:link w:val="OutlineNumbered1"/>
    <w:rsid w:val="00D46EEC"/>
    <w:rPr>
      <w:rFonts w:ascii="Book Antiqua" w:eastAsia="Times New Roman" w:hAnsi="Book Antiqua" w:cs="Times New Roman"/>
      <w:sz w:val="19"/>
      <w:szCs w:val="20"/>
      <w:lang w:eastAsia="en-AU"/>
    </w:rPr>
  </w:style>
  <w:style w:type="paragraph" w:customStyle="1" w:styleId="OutlineNumbered2">
    <w:name w:val="Outline Numbered 2"/>
    <w:basedOn w:val="Normal"/>
    <w:link w:val="OutlineNumbered2Char"/>
    <w:qFormat/>
    <w:rsid w:val="00D46EEC"/>
    <w:pPr>
      <w:numPr>
        <w:ilvl w:val="1"/>
        <w:numId w:val="21"/>
      </w:numPr>
    </w:pPr>
  </w:style>
  <w:style w:type="character" w:customStyle="1" w:styleId="OutlineNumbered2Char">
    <w:name w:val="Outline Numbered 2 Char"/>
    <w:basedOn w:val="ChartandTableFootnoteChar"/>
    <w:link w:val="OutlineNumbered2"/>
    <w:rsid w:val="00F1044A"/>
    <w:rPr>
      <w:rFonts w:ascii="Book Antiqua" w:eastAsia="Times New Roman" w:hAnsi="Book Antiqua" w:cs="Times New Roman"/>
      <w:color w:val="000000"/>
      <w:sz w:val="19"/>
      <w:szCs w:val="20"/>
      <w:lang w:eastAsia="en-AU"/>
    </w:rPr>
  </w:style>
  <w:style w:type="paragraph" w:customStyle="1" w:styleId="OutlineNumbered3">
    <w:name w:val="Outline Numbered 3"/>
    <w:basedOn w:val="Normal"/>
    <w:link w:val="OutlineNumbered3Char"/>
    <w:qFormat/>
    <w:rsid w:val="00D46EEC"/>
    <w:pPr>
      <w:numPr>
        <w:ilvl w:val="2"/>
        <w:numId w:val="21"/>
      </w:numPr>
    </w:pPr>
  </w:style>
  <w:style w:type="character" w:customStyle="1" w:styleId="OutlineNumbered3Char">
    <w:name w:val="Outline Numbered 3 Char"/>
    <w:basedOn w:val="ChartandTableFootnoteChar"/>
    <w:link w:val="OutlineNumbered3"/>
    <w:rsid w:val="00F1044A"/>
    <w:rPr>
      <w:rFonts w:ascii="Book Antiqua" w:eastAsia="Times New Roman" w:hAnsi="Book Antiqua" w:cs="Times New Roman"/>
      <w:color w:val="000000"/>
      <w:sz w:val="19"/>
      <w:szCs w:val="20"/>
      <w:lang w:eastAsia="en-AU"/>
    </w:rPr>
  </w:style>
  <w:style w:type="character" w:styleId="Emphasis">
    <w:name w:val="Emphasis"/>
    <w:basedOn w:val="DefaultParagraphFont"/>
    <w:uiPriority w:val="20"/>
    <w:qFormat/>
    <w:rsid w:val="00D46EEC"/>
    <w:rPr>
      <w:i/>
      <w:iCs/>
    </w:rPr>
  </w:style>
  <w:style w:type="paragraph" w:customStyle="1" w:styleId="AppendixHeading">
    <w:name w:val="Appendix Heading"/>
    <w:basedOn w:val="HeadingBase"/>
    <w:rsid w:val="00F1044A"/>
    <w:pPr>
      <w:spacing w:after="240"/>
      <w:jc w:val="center"/>
      <w:outlineLvl w:val="3"/>
    </w:pPr>
    <w:rPr>
      <w:b/>
      <w:smallCaps/>
      <w:sz w:val="30"/>
    </w:rPr>
  </w:style>
  <w:style w:type="paragraph" w:styleId="BalloonText">
    <w:name w:val="Balloon Text"/>
    <w:basedOn w:val="Normal"/>
    <w:link w:val="BalloonTextChar"/>
    <w:rsid w:val="00F1044A"/>
    <w:rPr>
      <w:rFonts w:ascii="Tahoma" w:hAnsi="Tahoma" w:cs="Tahoma"/>
      <w:sz w:val="16"/>
      <w:szCs w:val="16"/>
    </w:rPr>
  </w:style>
  <w:style w:type="character" w:customStyle="1" w:styleId="BalloonTextChar">
    <w:name w:val="Balloon Text Char"/>
    <w:basedOn w:val="DefaultParagraphFont"/>
    <w:link w:val="BalloonText"/>
    <w:rsid w:val="00F1044A"/>
    <w:rPr>
      <w:rFonts w:ascii="Tahoma" w:eastAsia="Times New Roman" w:hAnsi="Tahoma" w:cs="Tahoma"/>
      <w:sz w:val="16"/>
      <w:szCs w:val="16"/>
      <w:lang w:eastAsia="en-AU"/>
    </w:rPr>
  </w:style>
  <w:style w:type="paragraph" w:customStyle="1" w:styleId="ChartHeading">
    <w:name w:val="Chart Heading"/>
    <w:basedOn w:val="HeadingBase"/>
    <w:next w:val="ChartGraphic"/>
    <w:qFormat/>
    <w:rsid w:val="00F1044A"/>
    <w:pPr>
      <w:spacing w:before="120" w:after="20"/>
      <w:jc w:val="center"/>
    </w:pPr>
    <w:rPr>
      <w:b/>
      <w:sz w:val="20"/>
    </w:rPr>
  </w:style>
  <w:style w:type="character" w:styleId="EndnoteReference">
    <w:name w:val="endnote reference"/>
    <w:basedOn w:val="DefaultParagraphFont"/>
    <w:unhideWhenUsed/>
    <w:rsid w:val="00F1044A"/>
    <w:rPr>
      <w:vertAlign w:val="superscript"/>
    </w:rPr>
  </w:style>
  <w:style w:type="paragraph" w:styleId="EndnoteText">
    <w:name w:val="endnote text"/>
    <w:basedOn w:val="Normal"/>
    <w:link w:val="EndnoteTextChar"/>
    <w:unhideWhenUsed/>
    <w:rsid w:val="00F1044A"/>
  </w:style>
  <w:style w:type="character" w:customStyle="1" w:styleId="EndnoteTextChar">
    <w:name w:val="Endnote Text Char"/>
    <w:basedOn w:val="DefaultParagraphFont"/>
    <w:link w:val="EndnoteText"/>
    <w:rsid w:val="00F1044A"/>
    <w:rPr>
      <w:rFonts w:ascii="Book Antiqua" w:eastAsia="Times New Roman" w:hAnsi="Book Antiqua" w:cs="Times New Roman"/>
      <w:sz w:val="19"/>
      <w:szCs w:val="20"/>
      <w:lang w:eastAsia="en-AU"/>
    </w:rPr>
  </w:style>
  <w:style w:type="paragraph" w:styleId="Index1">
    <w:name w:val="index 1"/>
    <w:basedOn w:val="Normal"/>
    <w:next w:val="Normal"/>
    <w:rsid w:val="00F1044A"/>
    <w:pPr>
      <w:ind w:left="200" w:hanging="200"/>
    </w:pPr>
  </w:style>
  <w:style w:type="paragraph" w:styleId="Index2">
    <w:name w:val="index 2"/>
    <w:basedOn w:val="Normal"/>
    <w:next w:val="Normal"/>
    <w:rsid w:val="00F1044A"/>
    <w:pPr>
      <w:ind w:left="400" w:hanging="200"/>
    </w:pPr>
  </w:style>
  <w:style w:type="paragraph" w:styleId="Index3">
    <w:name w:val="index 3"/>
    <w:basedOn w:val="Normal"/>
    <w:next w:val="Normal"/>
    <w:rsid w:val="00F1044A"/>
    <w:pPr>
      <w:ind w:left="600" w:hanging="200"/>
    </w:pPr>
  </w:style>
  <w:style w:type="paragraph" w:styleId="IndexHeading">
    <w:name w:val="index heading"/>
    <w:basedOn w:val="Normal"/>
    <w:next w:val="Index1"/>
    <w:rsid w:val="00F1044A"/>
    <w:rPr>
      <w:rFonts w:ascii="Arial Bold" w:hAnsi="Arial Bold" w:cs="Arial"/>
      <w:b/>
      <w:bCs/>
      <w:color w:val="002B54"/>
    </w:rPr>
  </w:style>
  <w:style w:type="paragraph" w:styleId="TableofAuthorities">
    <w:name w:val="table of authorities"/>
    <w:basedOn w:val="Normal"/>
    <w:next w:val="Normal"/>
    <w:semiHidden/>
    <w:rsid w:val="00F1044A"/>
    <w:pPr>
      <w:ind w:left="200" w:hanging="200"/>
    </w:pPr>
  </w:style>
  <w:style w:type="paragraph" w:styleId="ListBullet4">
    <w:name w:val="List Bullet 4"/>
    <w:basedOn w:val="Normal"/>
    <w:autoRedefine/>
    <w:uiPriority w:val="99"/>
    <w:semiHidden/>
    <w:rsid w:val="00F1044A"/>
    <w:pPr>
      <w:tabs>
        <w:tab w:val="num" w:pos="1209"/>
      </w:tabs>
      <w:ind w:left="1209" w:hanging="360"/>
    </w:pPr>
  </w:style>
  <w:style w:type="paragraph" w:customStyle="1" w:styleId="ChartandTableFootnoteAlphaSmall">
    <w:name w:val="Chart and Table Footnote Alpha Small"/>
    <w:basedOn w:val="ChartandTableFootnoteAlpha"/>
    <w:link w:val="ChartandTableFootnoteAlphaSmallChar"/>
    <w:semiHidden/>
    <w:rsid w:val="00F1044A"/>
    <w:pPr>
      <w:numPr>
        <w:numId w:val="23"/>
      </w:numPr>
    </w:pPr>
    <w:rPr>
      <w:rFonts w:cs="Arial"/>
      <w:sz w:val="15"/>
      <w:szCs w:val="24"/>
      <w:lang w:eastAsia="en-US"/>
    </w:rPr>
  </w:style>
  <w:style w:type="character" w:customStyle="1" w:styleId="ChartandTableFootnoteAlphaSmallChar">
    <w:name w:val="Chart and Table Footnote Alpha Small Char"/>
    <w:link w:val="ChartandTableFootnoteAlphaSmall"/>
    <w:rsid w:val="00F1044A"/>
    <w:rPr>
      <w:rFonts w:ascii="Arial" w:eastAsia="Times New Roman" w:hAnsi="Arial" w:cs="Arial"/>
      <w:color w:val="000000"/>
      <w:sz w:val="15"/>
      <w:szCs w:val="24"/>
    </w:rPr>
  </w:style>
  <w:style w:type="paragraph" w:customStyle="1" w:styleId="Attachmentheading">
    <w:name w:val="Attachment heading"/>
    <w:basedOn w:val="Normal"/>
    <w:next w:val="Normal"/>
    <w:rsid w:val="00F1044A"/>
    <w:pPr>
      <w:spacing w:line="240" w:lineRule="auto"/>
      <w:jc w:val="right"/>
    </w:pPr>
    <w:rPr>
      <w:rFonts w:ascii="Arial Bold" w:hAnsi="Arial Bold"/>
      <w:b/>
      <w:sz w:val="22"/>
    </w:rPr>
  </w:style>
  <w:style w:type="paragraph" w:customStyle="1" w:styleId="BoxDash">
    <w:name w:val="Box Dash"/>
    <w:basedOn w:val="Normal"/>
    <w:rsid w:val="00F1044A"/>
    <w:pPr>
      <w:tabs>
        <w:tab w:val="left" w:pos="567"/>
      </w:tabs>
      <w:spacing w:before="120" w:after="120"/>
    </w:pPr>
    <w:rPr>
      <w:color w:val="000000"/>
    </w:rPr>
  </w:style>
  <w:style w:type="paragraph" w:customStyle="1" w:styleId="BoxDoubleDot">
    <w:name w:val="Box Double Dot"/>
    <w:basedOn w:val="Normal"/>
    <w:rsid w:val="00F1044A"/>
    <w:pPr>
      <w:tabs>
        <w:tab w:val="num" w:pos="283"/>
      </w:tabs>
      <w:spacing w:before="120" w:after="120" w:line="240" w:lineRule="auto"/>
      <w:ind w:left="283" w:hanging="283"/>
    </w:pPr>
    <w:rPr>
      <w:color w:val="000000"/>
    </w:rPr>
  </w:style>
  <w:style w:type="paragraph" w:styleId="Title">
    <w:name w:val="Title"/>
    <w:basedOn w:val="Normal"/>
    <w:link w:val="TitleChar"/>
    <w:uiPriority w:val="10"/>
    <w:qFormat/>
    <w:rsid w:val="00F1044A"/>
    <w:pPr>
      <w:spacing w:after="0" w:line="240" w:lineRule="auto"/>
      <w:jc w:val="center"/>
      <w:outlineLvl w:val="0"/>
    </w:pPr>
    <w:rPr>
      <w:b/>
      <w:kern w:val="28"/>
      <w:sz w:val="52"/>
    </w:rPr>
  </w:style>
  <w:style w:type="character" w:customStyle="1" w:styleId="TitleChar">
    <w:name w:val="Title Char"/>
    <w:basedOn w:val="DefaultParagraphFont"/>
    <w:link w:val="Title"/>
    <w:uiPriority w:val="10"/>
    <w:rsid w:val="00F1044A"/>
    <w:rPr>
      <w:rFonts w:ascii="Book Antiqua" w:eastAsia="Times New Roman" w:hAnsi="Book Antiqua" w:cs="Times New Roman"/>
      <w:b/>
      <w:kern w:val="28"/>
      <w:sz w:val="52"/>
      <w:szCs w:val="20"/>
      <w:lang w:eastAsia="en-AU"/>
    </w:rPr>
  </w:style>
  <w:style w:type="paragraph" w:customStyle="1" w:styleId="Title2ndLevel">
    <w:name w:val="Title 2nd Level"/>
    <w:basedOn w:val="Normal"/>
    <w:rsid w:val="00F1044A"/>
    <w:pPr>
      <w:spacing w:after="0" w:line="240" w:lineRule="auto"/>
      <w:jc w:val="center"/>
    </w:pPr>
    <w:rPr>
      <w:sz w:val="24"/>
    </w:rPr>
  </w:style>
  <w:style w:type="character" w:customStyle="1" w:styleId="hps-normal1">
    <w:name w:val="hps-normal1"/>
    <w:rsid w:val="00F1044A"/>
  </w:style>
  <w:style w:type="paragraph" w:styleId="Revision">
    <w:name w:val="Revision"/>
    <w:hidden/>
    <w:uiPriority w:val="99"/>
    <w:semiHidden/>
    <w:rsid w:val="00F1044A"/>
    <w:pPr>
      <w:spacing w:after="0" w:line="240" w:lineRule="auto"/>
    </w:pPr>
    <w:rPr>
      <w:rFonts w:ascii="Book Antiqua" w:eastAsia="Times New Roman" w:hAnsi="Book Antiqua" w:cs="Times New Roman"/>
      <w:sz w:val="20"/>
      <w:szCs w:val="24"/>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F1044A"/>
    <w:pPr>
      <w:spacing w:after="0" w:line="240" w:lineRule="auto"/>
      <w:ind w:left="720"/>
    </w:pPr>
    <w:rPr>
      <w:rFonts w:ascii="Calibri" w:eastAsia="Calibri" w:hAnsi="Calibri"/>
      <w:sz w:val="22"/>
      <w:szCs w:val="22"/>
    </w:r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link w:val="ListParagraph"/>
    <w:uiPriority w:val="34"/>
    <w:qFormat/>
    <w:locked/>
    <w:rsid w:val="00F1044A"/>
    <w:rPr>
      <w:rFonts w:ascii="Calibri" w:eastAsia="Calibri" w:hAnsi="Calibri" w:cs="Times New Roman"/>
      <w:lang w:eastAsia="en-AU"/>
    </w:rPr>
  </w:style>
  <w:style w:type="paragraph" w:styleId="NormalWeb">
    <w:name w:val="Normal (Web)"/>
    <w:basedOn w:val="Normal"/>
    <w:uiPriority w:val="99"/>
    <w:rsid w:val="00F1044A"/>
    <w:rPr>
      <w:rFonts w:ascii="Times New Roman" w:hAnsi="Times New Roman"/>
      <w:sz w:val="24"/>
    </w:rPr>
  </w:style>
  <w:style w:type="paragraph" w:styleId="TOCHeading">
    <w:name w:val="TOC Heading"/>
    <w:basedOn w:val="Heading1"/>
    <w:next w:val="Normal"/>
    <w:uiPriority w:val="39"/>
    <w:semiHidden/>
    <w:unhideWhenUsed/>
    <w:qFormat/>
    <w:rsid w:val="00F1044A"/>
    <w:pPr>
      <w:keepLines/>
      <w:spacing w:before="480" w:after="0" w:line="276" w:lineRule="auto"/>
      <w:outlineLvl w:val="9"/>
    </w:pPr>
    <w:rPr>
      <w:rFonts w:ascii="Cambria" w:eastAsia="MS Gothic" w:hAnsi="Cambria"/>
      <w:bCs/>
      <w:color w:val="365F91"/>
      <w:kern w:val="0"/>
      <w:sz w:val="28"/>
      <w:szCs w:val="28"/>
      <w:lang w:val="en-US" w:eastAsia="ja-JP"/>
    </w:rPr>
  </w:style>
  <w:style w:type="paragraph" w:customStyle="1" w:styleId="Default">
    <w:name w:val="Default"/>
    <w:semiHidden/>
    <w:rsid w:val="00F1044A"/>
    <w:pPr>
      <w:autoSpaceDE w:val="0"/>
      <w:autoSpaceDN w:val="0"/>
      <w:adjustRightInd w:val="0"/>
      <w:spacing w:after="0" w:line="240" w:lineRule="auto"/>
    </w:pPr>
    <w:rPr>
      <w:rFonts w:ascii="Book Antiqua" w:eastAsia="Times New Roman" w:hAnsi="Book Antiqua" w:cs="Book Antiqua"/>
      <w:color w:val="000000"/>
      <w:sz w:val="24"/>
      <w:szCs w:val="24"/>
      <w:lang w:eastAsia="en-AU"/>
    </w:rPr>
  </w:style>
  <w:style w:type="paragraph" w:customStyle="1" w:styleId="ChartorTableNote">
    <w:name w:val="Chart or Table Note"/>
    <w:rsid w:val="00F1044A"/>
    <w:pPr>
      <w:tabs>
        <w:tab w:val="left" w:pos="482"/>
      </w:tabs>
      <w:spacing w:after="20" w:line="240" w:lineRule="auto"/>
      <w:ind w:left="482" w:hanging="482"/>
      <w:jc w:val="both"/>
    </w:pPr>
    <w:rPr>
      <w:rFonts w:ascii="Arial" w:eastAsia="Times New Roman" w:hAnsi="Arial" w:cs="Times New Roman"/>
      <w:color w:val="000000"/>
      <w:sz w:val="16"/>
      <w:szCs w:val="20"/>
      <w:lang w:eastAsia="en-AU"/>
    </w:rPr>
  </w:style>
  <w:style w:type="paragraph" w:customStyle="1" w:styleId="FooterOddWHITE">
    <w:name w:val="Footer Odd WHITE"/>
    <w:basedOn w:val="FooterOdd"/>
    <w:qFormat/>
    <w:rsid w:val="00F1044A"/>
    <w:pPr>
      <w:pBdr>
        <w:top w:val="single" w:sz="4" w:space="10" w:color="FFFFFF" w:themeColor="background1"/>
      </w:pBdr>
    </w:pPr>
    <w:rPr>
      <w:color w:val="FFFFFF" w:themeColor="background1"/>
    </w:rPr>
  </w:style>
  <w:style w:type="character" w:styleId="Mention">
    <w:name w:val="Mention"/>
    <w:basedOn w:val="DefaultParagraphFont"/>
    <w:uiPriority w:val="99"/>
    <w:unhideWhenUsed/>
    <w:rsid w:val="00F1044A"/>
    <w:rPr>
      <w:color w:val="2B579A"/>
      <w:shd w:val="clear" w:color="auto" w:fill="E6E6E6"/>
    </w:rPr>
  </w:style>
  <w:style w:type="character" w:styleId="UnresolvedMention">
    <w:name w:val="Unresolved Mention"/>
    <w:basedOn w:val="DefaultParagraphFont"/>
    <w:uiPriority w:val="99"/>
    <w:unhideWhenUsed/>
    <w:rsid w:val="00F1044A"/>
    <w:rPr>
      <w:color w:val="605E5C"/>
      <w:shd w:val="clear" w:color="auto" w:fill="E1DFDD"/>
    </w:rPr>
  </w:style>
  <w:style w:type="character" w:styleId="FollowedHyperlink">
    <w:name w:val="FollowedHyperlink"/>
    <w:basedOn w:val="DefaultParagraphFont"/>
    <w:uiPriority w:val="99"/>
    <w:semiHidden/>
    <w:unhideWhenUsed/>
    <w:rsid w:val="00F1044A"/>
    <w:rPr>
      <w:color w:val="E61E26" w:themeColor="followedHyperlink"/>
      <w:u w:val="single"/>
    </w:rPr>
  </w:style>
  <w:style w:type="character" w:customStyle="1" w:styleId="ui-provider">
    <w:name w:val="ui-provider"/>
    <w:basedOn w:val="DefaultParagraphFont"/>
    <w:rsid w:val="00F1044A"/>
  </w:style>
  <w:style w:type="character" w:customStyle="1" w:styleId="normaltextrun">
    <w:name w:val="normaltextrun"/>
    <w:basedOn w:val="DefaultParagraphFont"/>
    <w:rsid w:val="00F1044A"/>
  </w:style>
  <w:style w:type="paragraph" w:styleId="Bibliography">
    <w:name w:val="Bibliography"/>
    <w:basedOn w:val="Normal"/>
    <w:next w:val="Normal"/>
    <w:uiPriority w:val="37"/>
    <w:semiHidden/>
    <w:unhideWhenUsed/>
    <w:rsid w:val="00F1044A"/>
  </w:style>
  <w:style w:type="paragraph" w:styleId="BlockText">
    <w:name w:val="Block Text"/>
    <w:basedOn w:val="Normal"/>
    <w:uiPriority w:val="99"/>
    <w:semiHidden/>
    <w:unhideWhenUsed/>
    <w:rsid w:val="00F1044A"/>
    <w:pPr>
      <w:pBdr>
        <w:top w:val="single" w:sz="2" w:space="10" w:color="0364C3" w:themeColor="accent1"/>
        <w:left w:val="single" w:sz="2" w:space="10" w:color="0364C3" w:themeColor="accent1"/>
        <w:bottom w:val="single" w:sz="2" w:space="10" w:color="0364C3" w:themeColor="accent1"/>
        <w:right w:val="single" w:sz="2" w:space="10" w:color="0364C3" w:themeColor="accent1"/>
      </w:pBdr>
      <w:ind w:left="1152" w:right="1152"/>
    </w:pPr>
    <w:rPr>
      <w:rFonts w:asciiTheme="minorHAnsi" w:eastAsiaTheme="minorEastAsia" w:hAnsiTheme="minorHAnsi" w:cstheme="minorBidi"/>
      <w:i/>
      <w:iCs/>
      <w:color w:val="0364C3" w:themeColor="accent1"/>
    </w:rPr>
  </w:style>
  <w:style w:type="paragraph" w:styleId="BodyText">
    <w:name w:val="Body Text"/>
    <w:basedOn w:val="Normal"/>
    <w:link w:val="BodyTextChar"/>
    <w:uiPriority w:val="99"/>
    <w:semiHidden/>
    <w:unhideWhenUsed/>
    <w:rsid w:val="00F1044A"/>
    <w:pPr>
      <w:spacing w:after="120"/>
    </w:pPr>
  </w:style>
  <w:style w:type="character" w:customStyle="1" w:styleId="BodyTextChar">
    <w:name w:val="Body Text Char"/>
    <w:basedOn w:val="DefaultParagraphFont"/>
    <w:link w:val="BodyText"/>
    <w:uiPriority w:val="99"/>
    <w:semiHidden/>
    <w:rsid w:val="00F1044A"/>
    <w:rPr>
      <w:rFonts w:ascii="Book Antiqua" w:eastAsia="Times New Roman" w:hAnsi="Book Antiqua" w:cs="Times New Roman"/>
      <w:sz w:val="19"/>
      <w:szCs w:val="20"/>
      <w:lang w:eastAsia="en-AU"/>
    </w:rPr>
  </w:style>
  <w:style w:type="paragraph" w:styleId="BodyText2">
    <w:name w:val="Body Text 2"/>
    <w:basedOn w:val="Normal"/>
    <w:link w:val="BodyText2Char"/>
    <w:uiPriority w:val="99"/>
    <w:semiHidden/>
    <w:unhideWhenUsed/>
    <w:rsid w:val="00F1044A"/>
    <w:pPr>
      <w:spacing w:after="120" w:line="480" w:lineRule="auto"/>
    </w:pPr>
  </w:style>
  <w:style w:type="character" w:customStyle="1" w:styleId="BodyText2Char">
    <w:name w:val="Body Text 2 Char"/>
    <w:basedOn w:val="DefaultParagraphFont"/>
    <w:link w:val="BodyText2"/>
    <w:uiPriority w:val="99"/>
    <w:semiHidden/>
    <w:rsid w:val="00F1044A"/>
    <w:rPr>
      <w:rFonts w:ascii="Book Antiqua" w:eastAsia="Times New Roman" w:hAnsi="Book Antiqua" w:cs="Times New Roman"/>
      <w:sz w:val="19"/>
      <w:szCs w:val="20"/>
      <w:lang w:eastAsia="en-AU"/>
    </w:rPr>
  </w:style>
  <w:style w:type="paragraph" w:styleId="BodyText3">
    <w:name w:val="Body Text 3"/>
    <w:basedOn w:val="Normal"/>
    <w:link w:val="BodyText3Char"/>
    <w:uiPriority w:val="99"/>
    <w:semiHidden/>
    <w:unhideWhenUsed/>
    <w:rsid w:val="00F1044A"/>
    <w:pPr>
      <w:spacing w:after="120"/>
    </w:pPr>
    <w:rPr>
      <w:sz w:val="16"/>
      <w:szCs w:val="16"/>
    </w:rPr>
  </w:style>
  <w:style w:type="character" w:customStyle="1" w:styleId="BodyText3Char">
    <w:name w:val="Body Text 3 Char"/>
    <w:basedOn w:val="DefaultParagraphFont"/>
    <w:link w:val="BodyText3"/>
    <w:uiPriority w:val="99"/>
    <w:semiHidden/>
    <w:rsid w:val="00F1044A"/>
    <w:rPr>
      <w:rFonts w:ascii="Book Antiqua" w:eastAsia="Times New Roman" w:hAnsi="Book Antiqua" w:cs="Times New Roman"/>
      <w:sz w:val="16"/>
      <w:szCs w:val="16"/>
      <w:lang w:eastAsia="en-AU"/>
    </w:rPr>
  </w:style>
  <w:style w:type="paragraph" w:styleId="BodyTextFirstIndent">
    <w:name w:val="Body Text First Indent"/>
    <w:basedOn w:val="BodyText"/>
    <w:link w:val="BodyTextFirstIndentChar"/>
    <w:uiPriority w:val="99"/>
    <w:semiHidden/>
    <w:unhideWhenUsed/>
    <w:rsid w:val="00F1044A"/>
    <w:pPr>
      <w:spacing w:after="240"/>
      <w:ind w:firstLine="360"/>
    </w:pPr>
  </w:style>
  <w:style w:type="character" w:customStyle="1" w:styleId="BodyTextFirstIndentChar">
    <w:name w:val="Body Text First Indent Char"/>
    <w:basedOn w:val="BodyTextChar"/>
    <w:link w:val="BodyTextFirstIndent"/>
    <w:uiPriority w:val="99"/>
    <w:semiHidden/>
    <w:rsid w:val="00F1044A"/>
    <w:rPr>
      <w:rFonts w:ascii="Book Antiqua" w:eastAsia="Times New Roman" w:hAnsi="Book Antiqua" w:cs="Times New Roman"/>
      <w:sz w:val="19"/>
      <w:szCs w:val="20"/>
      <w:lang w:eastAsia="en-AU"/>
    </w:rPr>
  </w:style>
  <w:style w:type="paragraph" w:styleId="BodyTextIndent">
    <w:name w:val="Body Text Indent"/>
    <w:basedOn w:val="Normal"/>
    <w:link w:val="BodyTextIndentChar"/>
    <w:uiPriority w:val="99"/>
    <w:semiHidden/>
    <w:unhideWhenUsed/>
    <w:rsid w:val="00F1044A"/>
    <w:pPr>
      <w:spacing w:after="120"/>
      <w:ind w:left="283"/>
    </w:pPr>
  </w:style>
  <w:style w:type="character" w:customStyle="1" w:styleId="BodyTextIndentChar">
    <w:name w:val="Body Text Indent Char"/>
    <w:basedOn w:val="DefaultParagraphFont"/>
    <w:link w:val="BodyTextIndent"/>
    <w:uiPriority w:val="99"/>
    <w:semiHidden/>
    <w:rsid w:val="00F1044A"/>
    <w:rPr>
      <w:rFonts w:ascii="Book Antiqua" w:eastAsia="Times New Roman" w:hAnsi="Book Antiqua" w:cs="Times New Roman"/>
      <w:sz w:val="19"/>
      <w:szCs w:val="20"/>
      <w:lang w:eastAsia="en-AU"/>
    </w:rPr>
  </w:style>
  <w:style w:type="paragraph" w:styleId="BodyTextFirstIndent2">
    <w:name w:val="Body Text First Indent 2"/>
    <w:basedOn w:val="BodyTextIndent"/>
    <w:link w:val="BodyTextFirstIndent2Char"/>
    <w:uiPriority w:val="99"/>
    <w:semiHidden/>
    <w:unhideWhenUsed/>
    <w:rsid w:val="00F1044A"/>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1044A"/>
    <w:rPr>
      <w:rFonts w:ascii="Book Antiqua" w:eastAsia="Times New Roman" w:hAnsi="Book Antiqua" w:cs="Times New Roman"/>
      <w:sz w:val="19"/>
      <w:szCs w:val="20"/>
      <w:lang w:eastAsia="en-AU"/>
    </w:rPr>
  </w:style>
  <w:style w:type="paragraph" w:styleId="BodyTextIndent2">
    <w:name w:val="Body Text Indent 2"/>
    <w:basedOn w:val="Normal"/>
    <w:link w:val="BodyTextIndent2Char"/>
    <w:uiPriority w:val="99"/>
    <w:semiHidden/>
    <w:unhideWhenUsed/>
    <w:rsid w:val="00F1044A"/>
    <w:pPr>
      <w:spacing w:after="120" w:line="480" w:lineRule="auto"/>
      <w:ind w:left="283"/>
    </w:pPr>
  </w:style>
  <w:style w:type="character" w:customStyle="1" w:styleId="BodyTextIndent2Char">
    <w:name w:val="Body Text Indent 2 Char"/>
    <w:basedOn w:val="DefaultParagraphFont"/>
    <w:link w:val="BodyTextIndent2"/>
    <w:uiPriority w:val="99"/>
    <w:semiHidden/>
    <w:rsid w:val="00F1044A"/>
    <w:rPr>
      <w:rFonts w:ascii="Book Antiqua" w:eastAsia="Times New Roman" w:hAnsi="Book Antiqua" w:cs="Times New Roman"/>
      <w:sz w:val="19"/>
      <w:szCs w:val="20"/>
      <w:lang w:eastAsia="en-AU"/>
    </w:rPr>
  </w:style>
  <w:style w:type="paragraph" w:styleId="BodyTextIndent3">
    <w:name w:val="Body Text Indent 3"/>
    <w:basedOn w:val="Normal"/>
    <w:link w:val="BodyTextIndent3Char"/>
    <w:uiPriority w:val="99"/>
    <w:semiHidden/>
    <w:unhideWhenUsed/>
    <w:rsid w:val="00F1044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1044A"/>
    <w:rPr>
      <w:rFonts w:ascii="Book Antiqua" w:eastAsia="Times New Roman" w:hAnsi="Book Antiqua" w:cs="Times New Roman"/>
      <w:sz w:val="16"/>
      <w:szCs w:val="16"/>
      <w:lang w:eastAsia="en-AU"/>
    </w:rPr>
  </w:style>
  <w:style w:type="paragraph" w:styleId="Closing">
    <w:name w:val="Closing"/>
    <w:basedOn w:val="Normal"/>
    <w:link w:val="ClosingChar"/>
    <w:uiPriority w:val="99"/>
    <w:semiHidden/>
    <w:unhideWhenUsed/>
    <w:rsid w:val="00F1044A"/>
    <w:pPr>
      <w:spacing w:before="0" w:after="0" w:line="240" w:lineRule="auto"/>
      <w:ind w:left="4252"/>
    </w:pPr>
  </w:style>
  <w:style w:type="character" w:customStyle="1" w:styleId="ClosingChar">
    <w:name w:val="Closing Char"/>
    <w:basedOn w:val="DefaultParagraphFont"/>
    <w:link w:val="Closing"/>
    <w:uiPriority w:val="99"/>
    <w:semiHidden/>
    <w:rsid w:val="00F1044A"/>
    <w:rPr>
      <w:rFonts w:ascii="Book Antiqua" w:eastAsia="Times New Roman" w:hAnsi="Book Antiqua" w:cs="Times New Roman"/>
      <w:sz w:val="19"/>
      <w:szCs w:val="20"/>
      <w:lang w:eastAsia="en-AU"/>
    </w:rPr>
  </w:style>
  <w:style w:type="paragraph" w:styleId="Date">
    <w:name w:val="Date"/>
    <w:basedOn w:val="Normal"/>
    <w:next w:val="Normal"/>
    <w:link w:val="DateChar"/>
    <w:uiPriority w:val="99"/>
    <w:semiHidden/>
    <w:unhideWhenUsed/>
    <w:rsid w:val="00F1044A"/>
  </w:style>
  <w:style w:type="character" w:customStyle="1" w:styleId="DateChar">
    <w:name w:val="Date Char"/>
    <w:basedOn w:val="DefaultParagraphFont"/>
    <w:link w:val="Date"/>
    <w:uiPriority w:val="99"/>
    <w:semiHidden/>
    <w:rsid w:val="00F1044A"/>
    <w:rPr>
      <w:rFonts w:ascii="Book Antiqua" w:eastAsia="Times New Roman" w:hAnsi="Book Antiqua" w:cs="Times New Roman"/>
      <w:sz w:val="19"/>
      <w:szCs w:val="20"/>
      <w:lang w:eastAsia="en-AU"/>
    </w:rPr>
  </w:style>
  <w:style w:type="paragraph" w:styleId="E-mailSignature">
    <w:name w:val="E-mail Signature"/>
    <w:basedOn w:val="Normal"/>
    <w:link w:val="E-mailSignatureChar"/>
    <w:uiPriority w:val="99"/>
    <w:semiHidden/>
    <w:unhideWhenUsed/>
    <w:rsid w:val="00F1044A"/>
    <w:pPr>
      <w:spacing w:before="0" w:after="0" w:line="240" w:lineRule="auto"/>
    </w:pPr>
  </w:style>
  <w:style w:type="character" w:customStyle="1" w:styleId="E-mailSignatureChar">
    <w:name w:val="E-mail Signature Char"/>
    <w:basedOn w:val="DefaultParagraphFont"/>
    <w:link w:val="E-mailSignature"/>
    <w:uiPriority w:val="99"/>
    <w:semiHidden/>
    <w:rsid w:val="00F1044A"/>
    <w:rPr>
      <w:rFonts w:ascii="Book Antiqua" w:eastAsia="Times New Roman" w:hAnsi="Book Antiqua" w:cs="Times New Roman"/>
      <w:sz w:val="19"/>
      <w:szCs w:val="20"/>
      <w:lang w:eastAsia="en-AU"/>
    </w:rPr>
  </w:style>
  <w:style w:type="paragraph" w:styleId="EnvelopeAddress">
    <w:name w:val="envelope address"/>
    <w:basedOn w:val="Normal"/>
    <w:uiPriority w:val="99"/>
    <w:semiHidden/>
    <w:unhideWhenUsed/>
    <w:rsid w:val="00F1044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1044A"/>
    <w:pPr>
      <w:spacing w:before="0" w:after="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F1044A"/>
    <w:pPr>
      <w:spacing w:before="0" w:after="0" w:line="240" w:lineRule="auto"/>
    </w:pPr>
    <w:rPr>
      <w:i/>
      <w:iCs/>
    </w:rPr>
  </w:style>
  <w:style w:type="character" w:customStyle="1" w:styleId="HTMLAddressChar">
    <w:name w:val="HTML Address Char"/>
    <w:basedOn w:val="DefaultParagraphFont"/>
    <w:link w:val="HTMLAddress"/>
    <w:uiPriority w:val="99"/>
    <w:semiHidden/>
    <w:rsid w:val="00F1044A"/>
    <w:rPr>
      <w:rFonts w:ascii="Book Antiqua" w:eastAsia="Times New Roman" w:hAnsi="Book Antiqua" w:cs="Times New Roman"/>
      <w:i/>
      <w:iCs/>
      <w:sz w:val="19"/>
      <w:szCs w:val="20"/>
      <w:lang w:eastAsia="en-AU"/>
    </w:rPr>
  </w:style>
  <w:style w:type="paragraph" w:styleId="HTMLPreformatted">
    <w:name w:val="HTML Preformatted"/>
    <w:basedOn w:val="Normal"/>
    <w:link w:val="HTMLPreformattedChar"/>
    <w:uiPriority w:val="99"/>
    <w:semiHidden/>
    <w:unhideWhenUsed/>
    <w:rsid w:val="00F1044A"/>
    <w:pPr>
      <w:spacing w:before="0"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F1044A"/>
    <w:rPr>
      <w:rFonts w:ascii="Consolas" w:eastAsia="Times New Roman" w:hAnsi="Consolas" w:cs="Times New Roman"/>
      <w:sz w:val="20"/>
      <w:szCs w:val="20"/>
      <w:lang w:eastAsia="en-AU"/>
    </w:rPr>
  </w:style>
  <w:style w:type="paragraph" w:styleId="IntenseQuote">
    <w:name w:val="Intense Quote"/>
    <w:basedOn w:val="Normal"/>
    <w:next w:val="Normal"/>
    <w:link w:val="IntenseQuoteChar"/>
    <w:uiPriority w:val="30"/>
    <w:rsid w:val="00F1044A"/>
    <w:pPr>
      <w:pBdr>
        <w:top w:val="single" w:sz="4" w:space="10" w:color="0364C3" w:themeColor="accent1"/>
        <w:bottom w:val="single" w:sz="4" w:space="10" w:color="0364C3" w:themeColor="accent1"/>
      </w:pBdr>
      <w:spacing w:before="360" w:after="360"/>
      <w:ind w:left="864" w:right="864"/>
      <w:jc w:val="center"/>
    </w:pPr>
    <w:rPr>
      <w:i/>
      <w:iCs/>
      <w:color w:val="0364C3" w:themeColor="accent1"/>
    </w:rPr>
  </w:style>
  <w:style w:type="character" w:customStyle="1" w:styleId="IntenseQuoteChar">
    <w:name w:val="Intense Quote Char"/>
    <w:basedOn w:val="DefaultParagraphFont"/>
    <w:link w:val="IntenseQuote"/>
    <w:uiPriority w:val="30"/>
    <w:rsid w:val="00F1044A"/>
    <w:rPr>
      <w:rFonts w:ascii="Book Antiqua" w:eastAsia="Times New Roman" w:hAnsi="Book Antiqua" w:cs="Times New Roman"/>
      <w:i/>
      <w:iCs/>
      <w:color w:val="0364C3" w:themeColor="accent1"/>
      <w:sz w:val="19"/>
      <w:szCs w:val="20"/>
      <w:lang w:eastAsia="en-AU"/>
    </w:rPr>
  </w:style>
  <w:style w:type="paragraph" w:styleId="List">
    <w:name w:val="List"/>
    <w:basedOn w:val="Normal"/>
    <w:uiPriority w:val="99"/>
    <w:semiHidden/>
    <w:unhideWhenUsed/>
    <w:rsid w:val="00F1044A"/>
    <w:pPr>
      <w:ind w:left="283" w:hanging="283"/>
      <w:contextualSpacing/>
    </w:pPr>
  </w:style>
  <w:style w:type="paragraph" w:styleId="List2">
    <w:name w:val="List 2"/>
    <w:basedOn w:val="Normal"/>
    <w:uiPriority w:val="99"/>
    <w:semiHidden/>
    <w:unhideWhenUsed/>
    <w:rsid w:val="00F1044A"/>
    <w:pPr>
      <w:ind w:left="566" w:hanging="283"/>
      <w:contextualSpacing/>
    </w:pPr>
  </w:style>
  <w:style w:type="paragraph" w:styleId="List3">
    <w:name w:val="List 3"/>
    <w:basedOn w:val="Normal"/>
    <w:uiPriority w:val="99"/>
    <w:semiHidden/>
    <w:unhideWhenUsed/>
    <w:rsid w:val="00F1044A"/>
    <w:pPr>
      <w:ind w:left="849" w:hanging="283"/>
      <w:contextualSpacing/>
    </w:pPr>
  </w:style>
  <w:style w:type="paragraph" w:styleId="List4">
    <w:name w:val="List 4"/>
    <w:basedOn w:val="Normal"/>
    <w:uiPriority w:val="99"/>
    <w:semiHidden/>
    <w:unhideWhenUsed/>
    <w:rsid w:val="00F1044A"/>
    <w:pPr>
      <w:ind w:left="1132" w:hanging="283"/>
      <w:contextualSpacing/>
    </w:pPr>
  </w:style>
  <w:style w:type="paragraph" w:styleId="List5">
    <w:name w:val="List 5"/>
    <w:basedOn w:val="Normal"/>
    <w:uiPriority w:val="99"/>
    <w:semiHidden/>
    <w:unhideWhenUsed/>
    <w:rsid w:val="00F1044A"/>
    <w:pPr>
      <w:ind w:left="1415" w:hanging="283"/>
      <w:contextualSpacing/>
    </w:pPr>
  </w:style>
  <w:style w:type="paragraph" w:styleId="ListBullet">
    <w:name w:val="List Bullet"/>
    <w:basedOn w:val="Normal"/>
    <w:uiPriority w:val="99"/>
    <w:semiHidden/>
    <w:unhideWhenUsed/>
    <w:rsid w:val="00F1044A"/>
    <w:pPr>
      <w:tabs>
        <w:tab w:val="num" w:pos="360"/>
      </w:tabs>
      <w:ind w:left="360" w:hanging="360"/>
      <w:contextualSpacing/>
    </w:pPr>
  </w:style>
  <w:style w:type="paragraph" w:styleId="ListBullet2">
    <w:name w:val="List Bullet 2"/>
    <w:basedOn w:val="Normal"/>
    <w:uiPriority w:val="99"/>
    <w:semiHidden/>
    <w:unhideWhenUsed/>
    <w:rsid w:val="00F1044A"/>
    <w:pPr>
      <w:tabs>
        <w:tab w:val="num" w:pos="643"/>
      </w:tabs>
      <w:ind w:left="643" w:hanging="360"/>
      <w:contextualSpacing/>
    </w:pPr>
  </w:style>
  <w:style w:type="paragraph" w:styleId="ListBullet3">
    <w:name w:val="List Bullet 3"/>
    <w:basedOn w:val="Normal"/>
    <w:uiPriority w:val="99"/>
    <w:semiHidden/>
    <w:unhideWhenUsed/>
    <w:rsid w:val="00F1044A"/>
    <w:pPr>
      <w:tabs>
        <w:tab w:val="num" w:pos="926"/>
      </w:tabs>
      <w:ind w:left="926" w:hanging="360"/>
      <w:contextualSpacing/>
    </w:pPr>
  </w:style>
  <w:style w:type="paragraph" w:styleId="ListBullet5">
    <w:name w:val="List Bullet 5"/>
    <w:basedOn w:val="Normal"/>
    <w:uiPriority w:val="99"/>
    <w:semiHidden/>
    <w:unhideWhenUsed/>
    <w:rsid w:val="00F1044A"/>
    <w:pPr>
      <w:tabs>
        <w:tab w:val="num" w:pos="1492"/>
      </w:tabs>
      <w:ind w:left="1492" w:hanging="360"/>
      <w:contextualSpacing/>
    </w:pPr>
  </w:style>
  <w:style w:type="paragraph" w:styleId="ListContinue">
    <w:name w:val="List Continue"/>
    <w:basedOn w:val="Normal"/>
    <w:uiPriority w:val="99"/>
    <w:semiHidden/>
    <w:unhideWhenUsed/>
    <w:rsid w:val="00F1044A"/>
    <w:pPr>
      <w:spacing w:after="120"/>
      <w:ind w:left="283"/>
      <w:contextualSpacing/>
    </w:pPr>
  </w:style>
  <w:style w:type="paragraph" w:styleId="ListContinue2">
    <w:name w:val="List Continue 2"/>
    <w:basedOn w:val="Normal"/>
    <w:uiPriority w:val="99"/>
    <w:semiHidden/>
    <w:unhideWhenUsed/>
    <w:rsid w:val="00F1044A"/>
    <w:pPr>
      <w:spacing w:after="120"/>
      <w:ind w:left="566"/>
      <w:contextualSpacing/>
    </w:pPr>
  </w:style>
  <w:style w:type="paragraph" w:styleId="ListContinue3">
    <w:name w:val="List Continue 3"/>
    <w:basedOn w:val="Normal"/>
    <w:uiPriority w:val="99"/>
    <w:semiHidden/>
    <w:unhideWhenUsed/>
    <w:rsid w:val="00F1044A"/>
    <w:pPr>
      <w:spacing w:after="120"/>
      <w:ind w:left="849"/>
      <w:contextualSpacing/>
    </w:pPr>
  </w:style>
  <w:style w:type="paragraph" w:styleId="ListContinue4">
    <w:name w:val="List Continue 4"/>
    <w:basedOn w:val="Normal"/>
    <w:uiPriority w:val="99"/>
    <w:semiHidden/>
    <w:unhideWhenUsed/>
    <w:rsid w:val="00F1044A"/>
    <w:pPr>
      <w:spacing w:after="120"/>
      <w:ind w:left="1132"/>
      <w:contextualSpacing/>
    </w:pPr>
  </w:style>
  <w:style w:type="paragraph" w:styleId="ListContinue5">
    <w:name w:val="List Continue 5"/>
    <w:basedOn w:val="Normal"/>
    <w:uiPriority w:val="99"/>
    <w:semiHidden/>
    <w:unhideWhenUsed/>
    <w:rsid w:val="00F1044A"/>
    <w:pPr>
      <w:spacing w:after="120"/>
      <w:ind w:left="1415"/>
      <w:contextualSpacing/>
    </w:pPr>
  </w:style>
  <w:style w:type="paragraph" w:styleId="ListNumber">
    <w:name w:val="List Number"/>
    <w:basedOn w:val="Normal"/>
    <w:uiPriority w:val="99"/>
    <w:semiHidden/>
    <w:unhideWhenUsed/>
    <w:rsid w:val="00F1044A"/>
    <w:pPr>
      <w:tabs>
        <w:tab w:val="num" w:pos="360"/>
      </w:tabs>
      <w:ind w:left="360" w:hanging="360"/>
      <w:contextualSpacing/>
    </w:pPr>
  </w:style>
  <w:style w:type="paragraph" w:styleId="ListNumber2">
    <w:name w:val="List Number 2"/>
    <w:basedOn w:val="Normal"/>
    <w:uiPriority w:val="99"/>
    <w:semiHidden/>
    <w:unhideWhenUsed/>
    <w:rsid w:val="00F1044A"/>
    <w:pPr>
      <w:tabs>
        <w:tab w:val="num" w:pos="643"/>
      </w:tabs>
      <w:ind w:left="643" w:hanging="360"/>
      <w:contextualSpacing/>
    </w:pPr>
  </w:style>
  <w:style w:type="paragraph" w:styleId="ListNumber3">
    <w:name w:val="List Number 3"/>
    <w:basedOn w:val="Normal"/>
    <w:uiPriority w:val="99"/>
    <w:semiHidden/>
    <w:unhideWhenUsed/>
    <w:rsid w:val="00F1044A"/>
    <w:pPr>
      <w:tabs>
        <w:tab w:val="num" w:pos="926"/>
      </w:tabs>
      <w:ind w:left="926" w:hanging="360"/>
      <w:contextualSpacing/>
    </w:pPr>
  </w:style>
  <w:style w:type="paragraph" w:styleId="ListNumber4">
    <w:name w:val="List Number 4"/>
    <w:basedOn w:val="Normal"/>
    <w:uiPriority w:val="99"/>
    <w:semiHidden/>
    <w:unhideWhenUsed/>
    <w:rsid w:val="00F1044A"/>
    <w:pPr>
      <w:tabs>
        <w:tab w:val="num" w:pos="1209"/>
      </w:tabs>
      <w:ind w:left="1209" w:hanging="360"/>
      <w:contextualSpacing/>
    </w:pPr>
  </w:style>
  <w:style w:type="paragraph" w:styleId="ListNumber5">
    <w:name w:val="List Number 5"/>
    <w:basedOn w:val="Normal"/>
    <w:uiPriority w:val="99"/>
    <w:semiHidden/>
    <w:unhideWhenUsed/>
    <w:rsid w:val="00F1044A"/>
    <w:pPr>
      <w:tabs>
        <w:tab w:val="num" w:pos="1492"/>
      </w:tabs>
      <w:ind w:left="1492" w:hanging="360"/>
      <w:contextualSpacing/>
    </w:pPr>
  </w:style>
  <w:style w:type="paragraph" w:styleId="MessageHeader">
    <w:name w:val="Message Header"/>
    <w:basedOn w:val="Normal"/>
    <w:link w:val="MessageHeaderChar"/>
    <w:uiPriority w:val="99"/>
    <w:semiHidden/>
    <w:unhideWhenUsed/>
    <w:rsid w:val="00F1044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1044A"/>
    <w:rPr>
      <w:rFonts w:asciiTheme="majorHAnsi" w:eastAsiaTheme="majorEastAsia" w:hAnsiTheme="majorHAnsi" w:cstheme="majorBidi"/>
      <w:sz w:val="24"/>
      <w:szCs w:val="24"/>
      <w:shd w:val="pct20" w:color="auto" w:fill="auto"/>
      <w:lang w:eastAsia="en-AU"/>
    </w:rPr>
  </w:style>
  <w:style w:type="paragraph" w:styleId="NoteHeading">
    <w:name w:val="Note Heading"/>
    <w:basedOn w:val="Normal"/>
    <w:next w:val="Normal"/>
    <w:link w:val="NoteHeadingChar"/>
    <w:uiPriority w:val="99"/>
    <w:semiHidden/>
    <w:unhideWhenUsed/>
    <w:rsid w:val="00F1044A"/>
    <w:pPr>
      <w:spacing w:before="0" w:after="0" w:line="240" w:lineRule="auto"/>
    </w:pPr>
  </w:style>
  <w:style w:type="character" w:customStyle="1" w:styleId="NoteHeadingChar">
    <w:name w:val="Note Heading Char"/>
    <w:basedOn w:val="DefaultParagraphFont"/>
    <w:link w:val="NoteHeading"/>
    <w:uiPriority w:val="99"/>
    <w:semiHidden/>
    <w:rsid w:val="00F1044A"/>
    <w:rPr>
      <w:rFonts w:ascii="Book Antiqua" w:eastAsia="Times New Roman" w:hAnsi="Book Antiqua" w:cs="Times New Roman"/>
      <w:sz w:val="19"/>
      <w:szCs w:val="20"/>
      <w:lang w:eastAsia="en-AU"/>
    </w:rPr>
  </w:style>
  <w:style w:type="paragraph" w:styleId="PlainText">
    <w:name w:val="Plain Text"/>
    <w:basedOn w:val="Normal"/>
    <w:link w:val="PlainTextChar"/>
    <w:uiPriority w:val="99"/>
    <w:semiHidden/>
    <w:unhideWhenUsed/>
    <w:rsid w:val="00F1044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1044A"/>
    <w:rPr>
      <w:rFonts w:ascii="Consolas" w:eastAsia="Times New Roman" w:hAnsi="Consolas" w:cs="Times New Roman"/>
      <w:sz w:val="21"/>
      <w:szCs w:val="21"/>
      <w:lang w:eastAsia="en-AU"/>
    </w:rPr>
  </w:style>
  <w:style w:type="paragraph" w:styleId="Quote">
    <w:name w:val="Quote"/>
    <w:basedOn w:val="Normal"/>
    <w:next w:val="Normal"/>
    <w:link w:val="QuoteChar"/>
    <w:uiPriority w:val="29"/>
    <w:rsid w:val="00F1044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1044A"/>
    <w:rPr>
      <w:rFonts w:ascii="Book Antiqua" w:eastAsia="Times New Roman" w:hAnsi="Book Antiqua" w:cs="Times New Roman"/>
      <w:i/>
      <w:iCs/>
      <w:color w:val="404040" w:themeColor="text1" w:themeTint="BF"/>
      <w:sz w:val="19"/>
      <w:szCs w:val="20"/>
      <w:lang w:eastAsia="en-AU"/>
    </w:rPr>
  </w:style>
  <w:style w:type="paragraph" w:styleId="Salutation">
    <w:name w:val="Salutation"/>
    <w:basedOn w:val="Normal"/>
    <w:next w:val="Normal"/>
    <w:link w:val="SalutationChar"/>
    <w:uiPriority w:val="99"/>
    <w:semiHidden/>
    <w:unhideWhenUsed/>
    <w:rsid w:val="00F1044A"/>
  </w:style>
  <w:style w:type="character" w:customStyle="1" w:styleId="SalutationChar">
    <w:name w:val="Salutation Char"/>
    <w:basedOn w:val="DefaultParagraphFont"/>
    <w:link w:val="Salutation"/>
    <w:uiPriority w:val="99"/>
    <w:semiHidden/>
    <w:rsid w:val="00F1044A"/>
    <w:rPr>
      <w:rFonts w:ascii="Book Antiqua" w:eastAsia="Times New Roman" w:hAnsi="Book Antiqua" w:cs="Times New Roman"/>
      <w:sz w:val="19"/>
      <w:szCs w:val="20"/>
      <w:lang w:eastAsia="en-AU"/>
    </w:rPr>
  </w:style>
  <w:style w:type="paragraph" w:styleId="Signature">
    <w:name w:val="Signature"/>
    <w:basedOn w:val="Normal"/>
    <w:link w:val="SignatureChar"/>
    <w:uiPriority w:val="99"/>
    <w:semiHidden/>
    <w:unhideWhenUsed/>
    <w:rsid w:val="00F1044A"/>
    <w:pPr>
      <w:spacing w:before="0" w:after="0" w:line="240" w:lineRule="auto"/>
      <w:ind w:left="4252"/>
    </w:pPr>
  </w:style>
  <w:style w:type="character" w:customStyle="1" w:styleId="SignatureChar">
    <w:name w:val="Signature Char"/>
    <w:basedOn w:val="DefaultParagraphFont"/>
    <w:link w:val="Signature"/>
    <w:uiPriority w:val="99"/>
    <w:semiHidden/>
    <w:rsid w:val="00F1044A"/>
    <w:rPr>
      <w:rFonts w:ascii="Book Antiqua" w:eastAsia="Times New Roman" w:hAnsi="Book Antiqua" w:cs="Times New Roman"/>
      <w:sz w:val="19"/>
      <w:szCs w:val="20"/>
      <w:lang w:eastAsia="en-AU"/>
    </w:rPr>
  </w:style>
  <w:style w:type="paragraph" w:styleId="Subtitle">
    <w:name w:val="Subtitle"/>
    <w:basedOn w:val="Normal"/>
    <w:next w:val="Normal"/>
    <w:link w:val="SubtitleChar"/>
    <w:uiPriority w:val="11"/>
    <w:rsid w:val="00F1044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1044A"/>
    <w:rPr>
      <w:rFonts w:eastAsiaTheme="minorEastAsia"/>
      <w:color w:val="5A5A5A" w:themeColor="text1" w:themeTint="A5"/>
      <w:spacing w:val="15"/>
      <w:lang w:eastAsia="en-AU"/>
    </w:rPr>
  </w:style>
  <w:style w:type="character" w:styleId="PlaceholderText">
    <w:name w:val="Placeholder Text"/>
    <w:basedOn w:val="DefaultParagraphFont"/>
    <w:uiPriority w:val="99"/>
    <w:semiHidden/>
    <w:rsid w:val="00F1044A"/>
    <w:rPr>
      <w:color w:val="666666"/>
    </w:rPr>
  </w:style>
  <w:style w:type="paragraph" w:customStyle="1" w:styleId="Prelims-PaperNametitlepage">
    <w:name w:val="Prelims - Paper Name (title page)"/>
    <w:basedOn w:val="Normal"/>
    <w:qFormat/>
    <w:rsid w:val="00D46EEC"/>
    <w:pPr>
      <w:keepNext/>
      <w:spacing w:before="1600" w:after="0" w:line="240" w:lineRule="auto"/>
    </w:pPr>
    <w:rPr>
      <w:rFonts w:asciiTheme="majorHAnsi" w:hAnsiTheme="majorHAnsi" w:cstheme="majorHAnsi"/>
      <w:b/>
      <w:bCs/>
      <w:sz w:val="28"/>
      <w:szCs w:val="28"/>
    </w:rPr>
  </w:style>
  <w:style w:type="paragraph" w:customStyle="1" w:styleId="Prelims-PaperNotitlepage">
    <w:name w:val="Prelims - Paper No. (title page)"/>
    <w:basedOn w:val="Normal"/>
    <w:qFormat/>
    <w:rsid w:val="00D46EEC"/>
    <w:pPr>
      <w:keepNext/>
      <w:spacing w:before="0" w:after="3800" w:line="240" w:lineRule="auto"/>
    </w:pPr>
    <w:rPr>
      <w:rFonts w:asciiTheme="majorHAnsi" w:hAnsiTheme="majorHAnsi" w:cstheme="majorHAnsi"/>
      <w:sz w:val="28"/>
      <w:szCs w:val="28"/>
    </w:rPr>
  </w:style>
  <w:style w:type="paragraph" w:customStyle="1" w:styleId="Prelims-Normaltitlepage">
    <w:name w:val="Prelims - Normal (title page)"/>
    <w:basedOn w:val="Normal"/>
    <w:qFormat/>
    <w:rsid w:val="00D46EEC"/>
    <w:pPr>
      <w:keepNext/>
      <w:spacing w:before="120" w:after="120" w:line="240" w:lineRule="auto"/>
    </w:pPr>
    <w:rPr>
      <w:rFonts w:asciiTheme="majorHAnsi" w:hAnsiTheme="majorHAnsi"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422">
      <w:bodyDiv w:val="1"/>
      <w:marLeft w:val="0"/>
      <w:marRight w:val="0"/>
      <w:marTop w:val="0"/>
      <w:marBottom w:val="0"/>
      <w:divBdr>
        <w:top w:val="none" w:sz="0" w:space="0" w:color="auto"/>
        <w:left w:val="none" w:sz="0" w:space="0" w:color="auto"/>
        <w:bottom w:val="none" w:sz="0" w:space="0" w:color="auto"/>
        <w:right w:val="none" w:sz="0" w:space="0" w:color="auto"/>
      </w:divBdr>
    </w:div>
    <w:div w:id="19745087">
      <w:bodyDiv w:val="1"/>
      <w:marLeft w:val="0"/>
      <w:marRight w:val="0"/>
      <w:marTop w:val="0"/>
      <w:marBottom w:val="0"/>
      <w:divBdr>
        <w:top w:val="none" w:sz="0" w:space="0" w:color="auto"/>
        <w:left w:val="none" w:sz="0" w:space="0" w:color="auto"/>
        <w:bottom w:val="none" w:sz="0" w:space="0" w:color="auto"/>
        <w:right w:val="none" w:sz="0" w:space="0" w:color="auto"/>
      </w:divBdr>
    </w:div>
    <w:div w:id="32846466">
      <w:bodyDiv w:val="1"/>
      <w:marLeft w:val="0"/>
      <w:marRight w:val="0"/>
      <w:marTop w:val="0"/>
      <w:marBottom w:val="0"/>
      <w:divBdr>
        <w:top w:val="none" w:sz="0" w:space="0" w:color="auto"/>
        <w:left w:val="none" w:sz="0" w:space="0" w:color="auto"/>
        <w:bottom w:val="none" w:sz="0" w:space="0" w:color="auto"/>
        <w:right w:val="none" w:sz="0" w:space="0" w:color="auto"/>
      </w:divBdr>
    </w:div>
    <w:div w:id="49154378">
      <w:bodyDiv w:val="1"/>
      <w:marLeft w:val="0"/>
      <w:marRight w:val="0"/>
      <w:marTop w:val="0"/>
      <w:marBottom w:val="0"/>
      <w:divBdr>
        <w:top w:val="none" w:sz="0" w:space="0" w:color="auto"/>
        <w:left w:val="none" w:sz="0" w:space="0" w:color="auto"/>
        <w:bottom w:val="none" w:sz="0" w:space="0" w:color="auto"/>
        <w:right w:val="none" w:sz="0" w:space="0" w:color="auto"/>
      </w:divBdr>
    </w:div>
    <w:div w:id="56754487">
      <w:bodyDiv w:val="1"/>
      <w:marLeft w:val="0"/>
      <w:marRight w:val="0"/>
      <w:marTop w:val="0"/>
      <w:marBottom w:val="0"/>
      <w:divBdr>
        <w:top w:val="none" w:sz="0" w:space="0" w:color="auto"/>
        <w:left w:val="none" w:sz="0" w:space="0" w:color="auto"/>
        <w:bottom w:val="none" w:sz="0" w:space="0" w:color="auto"/>
        <w:right w:val="none" w:sz="0" w:space="0" w:color="auto"/>
      </w:divBdr>
    </w:div>
    <w:div w:id="138546226">
      <w:bodyDiv w:val="1"/>
      <w:marLeft w:val="0"/>
      <w:marRight w:val="0"/>
      <w:marTop w:val="0"/>
      <w:marBottom w:val="0"/>
      <w:divBdr>
        <w:top w:val="none" w:sz="0" w:space="0" w:color="auto"/>
        <w:left w:val="none" w:sz="0" w:space="0" w:color="auto"/>
        <w:bottom w:val="none" w:sz="0" w:space="0" w:color="auto"/>
        <w:right w:val="none" w:sz="0" w:space="0" w:color="auto"/>
      </w:divBdr>
    </w:div>
    <w:div w:id="169830237">
      <w:bodyDiv w:val="1"/>
      <w:marLeft w:val="0"/>
      <w:marRight w:val="0"/>
      <w:marTop w:val="0"/>
      <w:marBottom w:val="0"/>
      <w:divBdr>
        <w:top w:val="none" w:sz="0" w:space="0" w:color="auto"/>
        <w:left w:val="none" w:sz="0" w:space="0" w:color="auto"/>
        <w:bottom w:val="none" w:sz="0" w:space="0" w:color="auto"/>
        <w:right w:val="none" w:sz="0" w:space="0" w:color="auto"/>
      </w:divBdr>
    </w:div>
    <w:div w:id="194083004">
      <w:bodyDiv w:val="1"/>
      <w:marLeft w:val="0"/>
      <w:marRight w:val="0"/>
      <w:marTop w:val="0"/>
      <w:marBottom w:val="0"/>
      <w:divBdr>
        <w:top w:val="none" w:sz="0" w:space="0" w:color="auto"/>
        <w:left w:val="none" w:sz="0" w:space="0" w:color="auto"/>
        <w:bottom w:val="none" w:sz="0" w:space="0" w:color="auto"/>
        <w:right w:val="none" w:sz="0" w:space="0" w:color="auto"/>
      </w:divBdr>
    </w:div>
    <w:div w:id="202137308">
      <w:bodyDiv w:val="1"/>
      <w:marLeft w:val="0"/>
      <w:marRight w:val="0"/>
      <w:marTop w:val="0"/>
      <w:marBottom w:val="0"/>
      <w:divBdr>
        <w:top w:val="none" w:sz="0" w:space="0" w:color="auto"/>
        <w:left w:val="none" w:sz="0" w:space="0" w:color="auto"/>
        <w:bottom w:val="none" w:sz="0" w:space="0" w:color="auto"/>
        <w:right w:val="none" w:sz="0" w:space="0" w:color="auto"/>
      </w:divBdr>
    </w:div>
    <w:div w:id="245961964">
      <w:bodyDiv w:val="1"/>
      <w:marLeft w:val="0"/>
      <w:marRight w:val="0"/>
      <w:marTop w:val="0"/>
      <w:marBottom w:val="0"/>
      <w:divBdr>
        <w:top w:val="none" w:sz="0" w:space="0" w:color="auto"/>
        <w:left w:val="none" w:sz="0" w:space="0" w:color="auto"/>
        <w:bottom w:val="none" w:sz="0" w:space="0" w:color="auto"/>
        <w:right w:val="none" w:sz="0" w:space="0" w:color="auto"/>
      </w:divBdr>
    </w:div>
    <w:div w:id="252277260">
      <w:bodyDiv w:val="1"/>
      <w:marLeft w:val="0"/>
      <w:marRight w:val="0"/>
      <w:marTop w:val="0"/>
      <w:marBottom w:val="0"/>
      <w:divBdr>
        <w:top w:val="none" w:sz="0" w:space="0" w:color="auto"/>
        <w:left w:val="none" w:sz="0" w:space="0" w:color="auto"/>
        <w:bottom w:val="none" w:sz="0" w:space="0" w:color="auto"/>
        <w:right w:val="none" w:sz="0" w:space="0" w:color="auto"/>
      </w:divBdr>
    </w:div>
    <w:div w:id="277488972">
      <w:bodyDiv w:val="1"/>
      <w:marLeft w:val="0"/>
      <w:marRight w:val="0"/>
      <w:marTop w:val="0"/>
      <w:marBottom w:val="0"/>
      <w:divBdr>
        <w:top w:val="none" w:sz="0" w:space="0" w:color="auto"/>
        <w:left w:val="none" w:sz="0" w:space="0" w:color="auto"/>
        <w:bottom w:val="none" w:sz="0" w:space="0" w:color="auto"/>
        <w:right w:val="none" w:sz="0" w:space="0" w:color="auto"/>
      </w:divBdr>
    </w:div>
    <w:div w:id="293216206">
      <w:bodyDiv w:val="1"/>
      <w:marLeft w:val="0"/>
      <w:marRight w:val="0"/>
      <w:marTop w:val="0"/>
      <w:marBottom w:val="0"/>
      <w:divBdr>
        <w:top w:val="none" w:sz="0" w:space="0" w:color="auto"/>
        <w:left w:val="none" w:sz="0" w:space="0" w:color="auto"/>
        <w:bottom w:val="none" w:sz="0" w:space="0" w:color="auto"/>
        <w:right w:val="none" w:sz="0" w:space="0" w:color="auto"/>
      </w:divBdr>
    </w:div>
    <w:div w:id="297033493">
      <w:bodyDiv w:val="1"/>
      <w:marLeft w:val="0"/>
      <w:marRight w:val="0"/>
      <w:marTop w:val="0"/>
      <w:marBottom w:val="0"/>
      <w:divBdr>
        <w:top w:val="none" w:sz="0" w:space="0" w:color="auto"/>
        <w:left w:val="none" w:sz="0" w:space="0" w:color="auto"/>
        <w:bottom w:val="none" w:sz="0" w:space="0" w:color="auto"/>
        <w:right w:val="none" w:sz="0" w:space="0" w:color="auto"/>
      </w:divBdr>
    </w:div>
    <w:div w:id="318923264">
      <w:bodyDiv w:val="1"/>
      <w:marLeft w:val="0"/>
      <w:marRight w:val="0"/>
      <w:marTop w:val="0"/>
      <w:marBottom w:val="0"/>
      <w:divBdr>
        <w:top w:val="none" w:sz="0" w:space="0" w:color="auto"/>
        <w:left w:val="none" w:sz="0" w:space="0" w:color="auto"/>
        <w:bottom w:val="none" w:sz="0" w:space="0" w:color="auto"/>
        <w:right w:val="none" w:sz="0" w:space="0" w:color="auto"/>
      </w:divBdr>
    </w:div>
    <w:div w:id="326129670">
      <w:bodyDiv w:val="1"/>
      <w:marLeft w:val="0"/>
      <w:marRight w:val="0"/>
      <w:marTop w:val="0"/>
      <w:marBottom w:val="0"/>
      <w:divBdr>
        <w:top w:val="none" w:sz="0" w:space="0" w:color="auto"/>
        <w:left w:val="none" w:sz="0" w:space="0" w:color="auto"/>
        <w:bottom w:val="none" w:sz="0" w:space="0" w:color="auto"/>
        <w:right w:val="none" w:sz="0" w:space="0" w:color="auto"/>
      </w:divBdr>
    </w:div>
    <w:div w:id="363990908">
      <w:bodyDiv w:val="1"/>
      <w:marLeft w:val="0"/>
      <w:marRight w:val="0"/>
      <w:marTop w:val="0"/>
      <w:marBottom w:val="0"/>
      <w:divBdr>
        <w:top w:val="none" w:sz="0" w:space="0" w:color="auto"/>
        <w:left w:val="none" w:sz="0" w:space="0" w:color="auto"/>
        <w:bottom w:val="none" w:sz="0" w:space="0" w:color="auto"/>
        <w:right w:val="none" w:sz="0" w:space="0" w:color="auto"/>
      </w:divBdr>
    </w:div>
    <w:div w:id="364988674">
      <w:bodyDiv w:val="1"/>
      <w:marLeft w:val="0"/>
      <w:marRight w:val="0"/>
      <w:marTop w:val="0"/>
      <w:marBottom w:val="0"/>
      <w:divBdr>
        <w:top w:val="none" w:sz="0" w:space="0" w:color="auto"/>
        <w:left w:val="none" w:sz="0" w:space="0" w:color="auto"/>
        <w:bottom w:val="none" w:sz="0" w:space="0" w:color="auto"/>
        <w:right w:val="none" w:sz="0" w:space="0" w:color="auto"/>
      </w:divBdr>
    </w:div>
    <w:div w:id="368996333">
      <w:bodyDiv w:val="1"/>
      <w:marLeft w:val="0"/>
      <w:marRight w:val="0"/>
      <w:marTop w:val="0"/>
      <w:marBottom w:val="0"/>
      <w:divBdr>
        <w:top w:val="none" w:sz="0" w:space="0" w:color="auto"/>
        <w:left w:val="none" w:sz="0" w:space="0" w:color="auto"/>
        <w:bottom w:val="none" w:sz="0" w:space="0" w:color="auto"/>
        <w:right w:val="none" w:sz="0" w:space="0" w:color="auto"/>
      </w:divBdr>
    </w:div>
    <w:div w:id="396781453">
      <w:bodyDiv w:val="1"/>
      <w:marLeft w:val="0"/>
      <w:marRight w:val="0"/>
      <w:marTop w:val="0"/>
      <w:marBottom w:val="0"/>
      <w:divBdr>
        <w:top w:val="none" w:sz="0" w:space="0" w:color="auto"/>
        <w:left w:val="none" w:sz="0" w:space="0" w:color="auto"/>
        <w:bottom w:val="none" w:sz="0" w:space="0" w:color="auto"/>
        <w:right w:val="none" w:sz="0" w:space="0" w:color="auto"/>
      </w:divBdr>
    </w:div>
    <w:div w:id="437992357">
      <w:bodyDiv w:val="1"/>
      <w:marLeft w:val="0"/>
      <w:marRight w:val="0"/>
      <w:marTop w:val="0"/>
      <w:marBottom w:val="0"/>
      <w:divBdr>
        <w:top w:val="none" w:sz="0" w:space="0" w:color="auto"/>
        <w:left w:val="none" w:sz="0" w:space="0" w:color="auto"/>
        <w:bottom w:val="none" w:sz="0" w:space="0" w:color="auto"/>
        <w:right w:val="none" w:sz="0" w:space="0" w:color="auto"/>
      </w:divBdr>
    </w:div>
    <w:div w:id="446891323">
      <w:bodyDiv w:val="1"/>
      <w:marLeft w:val="0"/>
      <w:marRight w:val="0"/>
      <w:marTop w:val="0"/>
      <w:marBottom w:val="0"/>
      <w:divBdr>
        <w:top w:val="none" w:sz="0" w:space="0" w:color="auto"/>
        <w:left w:val="none" w:sz="0" w:space="0" w:color="auto"/>
        <w:bottom w:val="none" w:sz="0" w:space="0" w:color="auto"/>
        <w:right w:val="none" w:sz="0" w:space="0" w:color="auto"/>
      </w:divBdr>
    </w:div>
    <w:div w:id="470561330">
      <w:bodyDiv w:val="1"/>
      <w:marLeft w:val="0"/>
      <w:marRight w:val="0"/>
      <w:marTop w:val="0"/>
      <w:marBottom w:val="0"/>
      <w:divBdr>
        <w:top w:val="none" w:sz="0" w:space="0" w:color="auto"/>
        <w:left w:val="none" w:sz="0" w:space="0" w:color="auto"/>
        <w:bottom w:val="none" w:sz="0" w:space="0" w:color="auto"/>
        <w:right w:val="none" w:sz="0" w:space="0" w:color="auto"/>
      </w:divBdr>
    </w:div>
    <w:div w:id="564610838">
      <w:bodyDiv w:val="1"/>
      <w:marLeft w:val="0"/>
      <w:marRight w:val="0"/>
      <w:marTop w:val="0"/>
      <w:marBottom w:val="0"/>
      <w:divBdr>
        <w:top w:val="none" w:sz="0" w:space="0" w:color="auto"/>
        <w:left w:val="none" w:sz="0" w:space="0" w:color="auto"/>
        <w:bottom w:val="none" w:sz="0" w:space="0" w:color="auto"/>
        <w:right w:val="none" w:sz="0" w:space="0" w:color="auto"/>
      </w:divBdr>
    </w:div>
    <w:div w:id="566107686">
      <w:bodyDiv w:val="1"/>
      <w:marLeft w:val="0"/>
      <w:marRight w:val="0"/>
      <w:marTop w:val="0"/>
      <w:marBottom w:val="0"/>
      <w:divBdr>
        <w:top w:val="none" w:sz="0" w:space="0" w:color="auto"/>
        <w:left w:val="none" w:sz="0" w:space="0" w:color="auto"/>
        <w:bottom w:val="none" w:sz="0" w:space="0" w:color="auto"/>
        <w:right w:val="none" w:sz="0" w:space="0" w:color="auto"/>
      </w:divBdr>
    </w:div>
    <w:div w:id="665943224">
      <w:bodyDiv w:val="1"/>
      <w:marLeft w:val="0"/>
      <w:marRight w:val="0"/>
      <w:marTop w:val="0"/>
      <w:marBottom w:val="0"/>
      <w:divBdr>
        <w:top w:val="none" w:sz="0" w:space="0" w:color="auto"/>
        <w:left w:val="none" w:sz="0" w:space="0" w:color="auto"/>
        <w:bottom w:val="none" w:sz="0" w:space="0" w:color="auto"/>
        <w:right w:val="none" w:sz="0" w:space="0" w:color="auto"/>
      </w:divBdr>
    </w:div>
    <w:div w:id="671294884">
      <w:bodyDiv w:val="1"/>
      <w:marLeft w:val="0"/>
      <w:marRight w:val="0"/>
      <w:marTop w:val="0"/>
      <w:marBottom w:val="0"/>
      <w:divBdr>
        <w:top w:val="none" w:sz="0" w:space="0" w:color="auto"/>
        <w:left w:val="none" w:sz="0" w:space="0" w:color="auto"/>
        <w:bottom w:val="none" w:sz="0" w:space="0" w:color="auto"/>
        <w:right w:val="none" w:sz="0" w:space="0" w:color="auto"/>
      </w:divBdr>
    </w:div>
    <w:div w:id="708408710">
      <w:bodyDiv w:val="1"/>
      <w:marLeft w:val="0"/>
      <w:marRight w:val="0"/>
      <w:marTop w:val="0"/>
      <w:marBottom w:val="0"/>
      <w:divBdr>
        <w:top w:val="none" w:sz="0" w:space="0" w:color="auto"/>
        <w:left w:val="none" w:sz="0" w:space="0" w:color="auto"/>
        <w:bottom w:val="none" w:sz="0" w:space="0" w:color="auto"/>
        <w:right w:val="none" w:sz="0" w:space="0" w:color="auto"/>
      </w:divBdr>
    </w:div>
    <w:div w:id="724137778">
      <w:bodyDiv w:val="1"/>
      <w:marLeft w:val="0"/>
      <w:marRight w:val="0"/>
      <w:marTop w:val="0"/>
      <w:marBottom w:val="0"/>
      <w:divBdr>
        <w:top w:val="none" w:sz="0" w:space="0" w:color="auto"/>
        <w:left w:val="none" w:sz="0" w:space="0" w:color="auto"/>
        <w:bottom w:val="none" w:sz="0" w:space="0" w:color="auto"/>
        <w:right w:val="none" w:sz="0" w:space="0" w:color="auto"/>
      </w:divBdr>
    </w:div>
    <w:div w:id="726539068">
      <w:bodyDiv w:val="1"/>
      <w:marLeft w:val="0"/>
      <w:marRight w:val="0"/>
      <w:marTop w:val="0"/>
      <w:marBottom w:val="0"/>
      <w:divBdr>
        <w:top w:val="none" w:sz="0" w:space="0" w:color="auto"/>
        <w:left w:val="none" w:sz="0" w:space="0" w:color="auto"/>
        <w:bottom w:val="none" w:sz="0" w:space="0" w:color="auto"/>
        <w:right w:val="none" w:sz="0" w:space="0" w:color="auto"/>
      </w:divBdr>
    </w:div>
    <w:div w:id="755515545">
      <w:bodyDiv w:val="1"/>
      <w:marLeft w:val="0"/>
      <w:marRight w:val="0"/>
      <w:marTop w:val="0"/>
      <w:marBottom w:val="0"/>
      <w:divBdr>
        <w:top w:val="none" w:sz="0" w:space="0" w:color="auto"/>
        <w:left w:val="none" w:sz="0" w:space="0" w:color="auto"/>
        <w:bottom w:val="none" w:sz="0" w:space="0" w:color="auto"/>
        <w:right w:val="none" w:sz="0" w:space="0" w:color="auto"/>
      </w:divBdr>
    </w:div>
    <w:div w:id="779566890">
      <w:bodyDiv w:val="1"/>
      <w:marLeft w:val="0"/>
      <w:marRight w:val="0"/>
      <w:marTop w:val="0"/>
      <w:marBottom w:val="0"/>
      <w:divBdr>
        <w:top w:val="none" w:sz="0" w:space="0" w:color="auto"/>
        <w:left w:val="none" w:sz="0" w:space="0" w:color="auto"/>
        <w:bottom w:val="none" w:sz="0" w:space="0" w:color="auto"/>
        <w:right w:val="none" w:sz="0" w:space="0" w:color="auto"/>
      </w:divBdr>
    </w:div>
    <w:div w:id="793331304">
      <w:bodyDiv w:val="1"/>
      <w:marLeft w:val="0"/>
      <w:marRight w:val="0"/>
      <w:marTop w:val="0"/>
      <w:marBottom w:val="0"/>
      <w:divBdr>
        <w:top w:val="none" w:sz="0" w:space="0" w:color="auto"/>
        <w:left w:val="none" w:sz="0" w:space="0" w:color="auto"/>
        <w:bottom w:val="none" w:sz="0" w:space="0" w:color="auto"/>
        <w:right w:val="none" w:sz="0" w:space="0" w:color="auto"/>
      </w:divBdr>
    </w:div>
    <w:div w:id="801727404">
      <w:bodyDiv w:val="1"/>
      <w:marLeft w:val="0"/>
      <w:marRight w:val="0"/>
      <w:marTop w:val="0"/>
      <w:marBottom w:val="0"/>
      <w:divBdr>
        <w:top w:val="none" w:sz="0" w:space="0" w:color="auto"/>
        <w:left w:val="none" w:sz="0" w:space="0" w:color="auto"/>
        <w:bottom w:val="none" w:sz="0" w:space="0" w:color="auto"/>
        <w:right w:val="none" w:sz="0" w:space="0" w:color="auto"/>
      </w:divBdr>
    </w:div>
    <w:div w:id="805319079">
      <w:bodyDiv w:val="1"/>
      <w:marLeft w:val="0"/>
      <w:marRight w:val="0"/>
      <w:marTop w:val="0"/>
      <w:marBottom w:val="0"/>
      <w:divBdr>
        <w:top w:val="none" w:sz="0" w:space="0" w:color="auto"/>
        <w:left w:val="none" w:sz="0" w:space="0" w:color="auto"/>
        <w:bottom w:val="none" w:sz="0" w:space="0" w:color="auto"/>
        <w:right w:val="none" w:sz="0" w:space="0" w:color="auto"/>
      </w:divBdr>
    </w:div>
    <w:div w:id="829098315">
      <w:bodyDiv w:val="1"/>
      <w:marLeft w:val="0"/>
      <w:marRight w:val="0"/>
      <w:marTop w:val="0"/>
      <w:marBottom w:val="0"/>
      <w:divBdr>
        <w:top w:val="none" w:sz="0" w:space="0" w:color="auto"/>
        <w:left w:val="none" w:sz="0" w:space="0" w:color="auto"/>
        <w:bottom w:val="none" w:sz="0" w:space="0" w:color="auto"/>
        <w:right w:val="none" w:sz="0" w:space="0" w:color="auto"/>
      </w:divBdr>
    </w:div>
    <w:div w:id="835147818">
      <w:bodyDiv w:val="1"/>
      <w:marLeft w:val="0"/>
      <w:marRight w:val="0"/>
      <w:marTop w:val="0"/>
      <w:marBottom w:val="0"/>
      <w:divBdr>
        <w:top w:val="none" w:sz="0" w:space="0" w:color="auto"/>
        <w:left w:val="none" w:sz="0" w:space="0" w:color="auto"/>
        <w:bottom w:val="none" w:sz="0" w:space="0" w:color="auto"/>
        <w:right w:val="none" w:sz="0" w:space="0" w:color="auto"/>
      </w:divBdr>
    </w:div>
    <w:div w:id="898831615">
      <w:bodyDiv w:val="1"/>
      <w:marLeft w:val="0"/>
      <w:marRight w:val="0"/>
      <w:marTop w:val="0"/>
      <w:marBottom w:val="0"/>
      <w:divBdr>
        <w:top w:val="none" w:sz="0" w:space="0" w:color="auto"/>
        <w:left w:val="none" w:sz="0" w:space="0" w:color="auto"/>
        <w:bottom w:val="none" w:sz="0" w:space="0" w:color="auto"/>
        <w:right w:val="none" w:sz="0" w:space="0" w:color="auto"/>
      </w:divBdr>
    </w:div>
    <w:div w:id="991101873">
      <w:bodyDiv w:val="1"/>
      <w:marLeft w:val="0"/>
      <w:marRight w:val="0"/>
      <w:marTop w:val="0"/>
      <w:marBottom w:val="0"/>
      <w:divBdr>
        <w:top w:val="none" w:sz="0" w:space="0" w:color="auto"/>
        <w:left w:val="none" w:sz="0" w:space="0" w:color="auto"/>
        <w:bottom w:val="none" w:sz="0" w:space="0" w:color="auto"/>
        <w:right w:val="none" w:sz="0" w:space="0" w:color="auto"/>
      </w:divBdr>
    </w:div>
    <w:div w:id="994652645">
      <w:bodyDiv w:val="1"/>
      <w:marLeft w:val="0"/>
      <w:marRight w:val="0"/>
      <w:marTop w:val="0"/>
      <w:marBottom w:val="0"/>
      <w:divBdr>
        <w:top w:val="none" w:sz="0" w:space="0" w:color="auto"/>
        <w:left w:val="none" w:sz="0" w:space="0" w:color="auto"/>
        <w:bottom w:val="none" w:sz="0" w:space="0" w:color="auto"/>
        <w:right w:val="none" w:sz="0" w:space="0" w:color="auto"/>
      </w:divBdr>
    </w:div>
    <w:div w:id="1028489131">
      <w:bodyDiv w:val="1"/>
      <w:marLeft w:val="0"/>
      <w:marRight w:val="0"/>
      <w:marTop w:val="0"/>
      <w:marBottom w:val="0"/>
      <w:divBdr>
        <w:top w:val="none" w:sz="0" w:space="0" w:color="auto"/>
        <w:left w:val="none" w:sz="0" w:space="0" w:color="auto"/>
        <w:bottom w:val="none" w:sz="0" w:space="0" w:color="auto"/>
        <w:right w:val="none" w:sz="0" w:space="0" w:color="auto"/>
      </w:divBdr>
    </w:div>
    <w:div w:id="1032146968">
      <w:bodyDiv w:val="1"/>
      <w:marLeft w:val="0"/>
      <w:marRight w:val="0"/>
      <w:marTop w:val="0"/>
      <w:marBottom w:val="0"/>
      <w:divBdr>
        <w:top w:val="none" w:sz="0" w:space="0" w:color="auto"/>
        <w:left w:val="none" w:sz="0" w:space="0" w:color="auto"/>
        <w:bottom w:val="none" w:sz="0" w:space="0" w:color="auto"/>
        <w:right w:val="none" w:sz="0" w:space="0" w:color="auto"/>
      </w:divBdr>
    </w:div>
    <w:div w:id="1034769367">
      <w:bodyDiv w:val="1"/>
      <w:marLeft w:val="0"/>
      <w:marRight w:val="0"/>
      <w:marTop w:val="0"/>
      <w:marBottom w:val="0"/>
      <w:divBdr>
        <w:top w:val="none" w:sz="0" w:space="0" w:color="auto"/>
        <w:left w:val="none" w:sz="0" w:space="0" w:color="auto"/>
        <w:bottom w:val="none" w:sz="0" w:space="0" w:color="auto"/>
        <w:right w:val="none" w:sz="0" w:space="0" w:color="auto"/>
      </w:divBdr>
    </w:div>
    <w:div w:id="1039093150">
      <w:bodyDiv w:val="1"/>
      <w:marLeft w:val="0"/>
      <w:marRight w:val="0"/>
      <w:marTop w:val="0"/>
      <w:marBottom w:val="0"/>
      <w:divBdr>
        <w:top w:val="none" w:sz="0" w:space="0" w:color="auto"/>
        <w:left w:val="none" w:sz="0" w:space="0" w:color="auto"/>
        <w:bottom w:val="none" w:sz="0" w:space="0" w:color="auto"/>
        <w:right w:val="none" w:sz="0" w:space="0" w:color="auto"/>
      </w:divBdr>
    </w:div>
    <w:div w:id="1088505517">
      <w:bodyDiv w:val="1"/>
      <w:marLeft w:val="0"/>
      <w:marRight w:val="0"/>
      <w:marTop w:val="0"/>
      <w:marBottom w:val="0"/>
      <w:divBdr>
        <w:top w:val="none" w:sz="0" w:space="0" w:color="auto"/>
        <w:left w:val="none" w:sz="0" w:space="0" w:color="auto"/>
        <w:bottom w:val="none" w:sz="0" w:space="0" w:color="auto"/>
        <w:right w:val="none" w:sz="0" w:space="0" w:color="auto"/>
      </w:divBdr>
    </w:div>
    <w:div w:id="1134449107">
      <w:bodyDiv w:val="1"/>
      <w:marLeft w:val="0"/>
      <w:marRight w:val="0"/>
      <w:marTop w:val="0"/>
      <w:marBottom w:val="0"/>
      <w:divBdr>
        <w:top w:val="none" w:sz="0" w:space="0" w:color="auto"/>
        <w:left w:val="none" w:sz="0" w:space="0" w:color="auto"/>
        <w:bottom w:val="none" w:sz="0" w:space="0" w:color="auto"/>
        <w:right w:val="none" w:sz="0" w:space="0" w:color="auto"/>
      </w:divBdr>
    </w:div>
    <w:div w:id="1173181287">
      <w:bodyDiv w:val="1"/>
      <w:marLeft w:val="0"/>
      <w:marRight w:val="0"/>
      <w:marTop w:val="0"/>
      <w:marBottom w:val="0"/>
      <w:divBdr>
        <w:top w:val="none" w:sz="0" w:space="0" w:color="auto"/>
        <w:left w:val="none" w:sz="0" w:space="0" w:color="auto"/>
        <w:bottom w:val="none" w:sz="0" w:space="0" w:color="auto"/>
        <w:right w:val="none" w:sz="0" w:space="0" w:color="auto"/>
      </w:divBdr>
    </w:div>
    <w:div w:id="1183856271">
      <w:bodyDiv w:val="1"/>
      <w:marLeft w:val="0"/>
      <w:marRight w:val="0"/>
      <w:marTop w:val="0"/>
      <w:marBottom w:val="0"/>
      <w:divBdr>
        <w:top w:val="none" w:sz="0" w:space="0" w:color="auto"/>
        <w:left w:val="none" w:sz="0" w:space="0" w:color="auto"/>
        <w:bottom w:val="none" w:sz="0" w:space="0" w:color="auto"/>
        <w:right w:val="none" w:sz="0" w:space="0" w:color="auto"/>
      </w:divBdr>
    </w:div>
    <w:div w:id="1185561865">
      <w:bodyDiv w:val="1"/>
      <w:marLeft w:val="0"/>
      <w:marRight w:val="0"/>
      <w:marTop w:val="0"/>
      <w:marBottom w:val="0"/>
      <w:divBdr>
        <w:top w:val="none" w:sz="0" w:space="0" w:color="auto"/>
        <w:left w:val="none" w:sz="0" w:space="0" w:color="auto"/>
        <w:bottom w:val="none" w:sz="0" w:space="0" w:color="auto"/>
        <w:right w:val="none" w:sz="0" w:space="0" w:color="auto"/>
      </w:divBdr>
    </w:div>
    <w:div w:id="1198664709">
      <w:bodyDiv w:val="1"/>
      <w:marLeft w:val="0"/>
      <w:marRight w:val="0"/>
      <w:marTop w:val="0"/>
      <w:marBottom w:val="0"/>
      <w:divBdr>
        <w:top w:val="none" w:sz="0" w:space="0" w:color="auto"/>
        <w:left w:val="none" w:sz="0" w:space="0" w:color="auto"/>
        <w:bottom w:val="none" w:sz="0" w:space="0" w:color="auto"/>
        <w:right w:val="none" w:sz="0" w:space="0" w:color="auto"/>
      </w:divBdr>
    </w:div>
    <w:div w:id="1209687277">
      <w:bodyDiv w:val="1"/>
      <w:marLeft w:val="0"/>
      <w:marRight w:val="0"/>
      <w:marTop w:val="0"/>
      <w:marBottom w:val="0"/>
      <w:divBdr>
        <w:top w:val="none" w:sz="0" w:space="0" w:color="auto"/>
        <w:left w:val="none" w:sz="0" w:space="0" w:color="auto"/>
        <w:bottom w:val="none" w:sz="0" w:space="0" w:color="auto"/>
        <w:right w:val="none" w:sz="0" w:space="0" w:color="auto"/>
      </w:divBdr>
    </w:div>
    <w:div w:id="1210066211">
      <w:bodyDiv w:val="1"/>
      <w:marLeft w:val="0"/>
      <w:marRight w:val="0"/>
      <w:marTop w:val="0"/>
      <w:marBottom w:val="0"/>
      <w:divBdr>
        <w:top w:val="none" w:sz="0" w:space="0" w:color="auto"/>
        <w:left w:val="none" w:sz="0" w:space="0" w:color="auto"/>
        <w:bottom w:val="none" w:sz="0" w:space="0" w:color="auto"/>
        <w:right w:val="none" w:sz="0" w:space="0" w:color="auto"/>
      </w:divBdr>
    </w:div>
    <w:div w:id="1212418569">
      <w:bodyDiv w:val="1"/>
      <w:marLeft w:val="0"/>
      <w:marRight w:val="0"/>
      <w:marTop w:val="0"/>
      <w:marBottom w:val="0"/>
      <w:divBdr>
        <w:top w:val="none" w:sz="0" w:space="0" w:color="auto"/>
        <w:left w:val="none" w:sz="0" w:space="0" w:color="auto"/>
        <w:bottom w:val="none" w:sz="0" w:space="0" w:color="auto"/>
        <w:right w:val="none" w:sz="0" w:space="0" w:color="auto"/>
      </w:divBdr>
    </w:div>
    <w:div w:id="1278293375">
      <w:bodyDiv w:val="1"/>
      <w:marLeft w:val="0"/>
      <w:marRight w:val="0"/>
      <w:marTop w:val="0"/>
      <w:marBottom w:val="0"/>
      <w:divBdr>
        <w:top w:val="none" w:sz="0" w:space="0" w:color="auto"/>
        <w:left w:val="none" w:sz="0" w:space="0" w:color="auto"/>
        <w:bottom w:val="none" w:sz="0" w:space="0" w:color="auto"/>
        <w:right w:val="none" w:sz="0" w:space="0" w:color="auto"/>
      </w:divBdr>
    </w:div>
    <w:div w:id="1303075624">
      <w:bodyDiv w:val="1"/>
      <w:marLeft w:val="0"/>
      <w:marRight w:val="0"/>
      <w:marTop w:val="0"/>
      <w:marBottom w:val="0"/>
      <w:divBdr>
        <w:top w:val="none" w:sz="0" w:space="0" w:color="auto"/>
        <w:left w:val="none" w:sz="0" w:space="0" w:color="auto"/>
        <w:bottom w:val="none" w:sz="0" w:space="0" w:color="auto"/>
        <w:right w:val="none" w:sz="0" w:space="0" w:color="auto"/>
      </w:divBdr>
    </w:div>
    <w:div w:id="1319652562">
      <w:bodyDiv w:val="1"/>
      <w:marLeft w:val="0"/>
      <w:marRight w:val="0"/>
      <w:marTop w:val="0"/>
      <w:marBottom w:val="0"/>
      <w:divBdr>
        <w:top w:val="none" w:sz="0" w:space="0" w:color="auto"/>
        <w:left w:val="none" w:sz="0" w:space="0" w:color="auto"/>
        <w:bottom w:val="none" w:sz="0" w:space="0" w:color="auto"/>
        <w:right w:val="none" w:sz="0" w:space="0" w:color="auto"/>
      </w:divBdr>
    </w:div>
    <w:div w:id="1345477455">
      <w:bodyDiv w:val="1"/>
      <w:marLeft w:val="0"/>
      <w:marRight w:val="0"/>
      <w:marTop w:val="0"/>
      <w:marBottom w:val="0"/>
      <w:divBdr>
        <w:top w:val="none" w:sz="0" w:space="0" w:color="auto"/>
        <w:left w:val="none" w:sz="0" w:space="0" w:color="auto"/>
        <w:bottom w:val="none" w:sz="0" w:space="0" w:color="auto"/>
        <w:right w:val="none" w:sz="0" w:space="0" w:color="auto"/>
      </w:divBdr>
    </w:div>
    <w:div w:id="1379746545">
      <w:bodyDiv w:val="1"/>
      <w:marLeft w:val="0"/>
      <w:marRight w:val="0"/>
      <w:marTop w:val="0"/>
      <w:marBottom w:val="0"/>
      <w:divBdr>
        <w:top w:val="none" w:sz="0" w:space="0" w:color="auto"/>
        <w:left w:val="none" w:sz="0" w:space="0" w:color="auto"/>
        <w:bottom w:val="none" w:sz="0" w:space="0" w:color="auto"/>
        <w:right w:val="none" w:sz="0" w:space="0" w:color="auto"/>
      </w:divBdr>
    </w:div>
    <w:div w:id="1384448966">
      <w:bodyDiv w:val="1"/>
      <w:marLeft w:val="0"/>
      <w:marRight w:val="0"/>
      <w:marTop w:val="0"/>
      <w:marBottom w:val="0"/>
      <w:divBdr>
        <w:top w:val="none" w:sz="0" w:space="0" w:color="auto"/>
        <w:left w:val="none" w:sz="0" w:space="0" w:color="auto"/>
        <w:bottom w:val="none" w:sz="0" w:space="0" w:color="auto"/>
        <w:right w:val="none" w:sz="0" w:space="0" w:color="auto"/>
      </w:divBdr>
    </w:div>
    <w:div w:id="1391222219">
      <w:bodyDiv w:val="1"/>
      <w:marLeft w:val="0"/>
      <w:marRight w:val="0"/>
      <w:marTop w:val="0"/>
      <w:marBottom w:val="0"/>
      <w:divBdr>
        <w:top w:val="none" w:sz="0" w:space="0" w:color="auto"/>
        <w:left w:val="none" w:sz="0" w:space="0" w:color="auto"/>
        <w:bottom w:val="none" w:sz="0" w:space="0" w:color="auto"/>
        <w:right w:val="none" w:sz="0" w:space="0" w:color="auto"/>
      </w:divBdr>
    </w:div>
    <w:div w:id="1419908225">
      <w:bodyDiv w:val="1"/>
      <w:marLeft w:val="0"/>
      <w:marRight w:val="0"/>
      <w:marTop w:val="0"/>
      <w:marBottom w:val="0"/>
      <w:divBdr>
        <w:top w:val="none" w:sz="0" w:space="0" w:color="auto"/>
        <w:left w:val="none" w:sz="0" w:space="0" w:color="auto"/>
        <w:bottom w:val="none" w:sz="0" w:space="0" w:color="auto"/>
        <w:right w:val="none" w:sz="0" w:space="0" w:color="auto"/>
      </w:divBdr>
    </w:div>
    <w:div w:id="1429305825">
      <w:bodyDiv w:val="1"/>
      <w:marLeft w:val="0"/>
      <w:marRight w:val="0"/>
      <w:marTop w:val="0"/>
      <w:marBottom w:val="0"/>
      <w:divBdr>
        <w:top w:val="none" w:sz="0" w:space="0" w:color="auto"/>
        <w:left w:val="none" w:sz="0" w:space="0" w:color="auto"/>
        <w:bottom w:val="none" w:sz="0" w:space="0" w:color="auto"/>
        <w:right w:val="none" w:sz="0" w:space="0" w:color="auto"/>
      </w:divBdr>
    </w:div>
    <w:div w:id="1459373966">
      <w:bodyDiv w:val="1"/>
      <w:marLeft w:val="0"/>
      <w:marRight w:val="0"/>
      <w:marTop w:val="0"/>
      <w:marBottom w:val="0"/>
      <w:divBdr>
        <w:top w:val="none" w:sz="0" w:space="0" w:color="auto"/>
        <w:left w:val="none" w:sz="0" w:space="0" w:color="auto"/>
        <w:bottom w:val="none" w:sz="0" w:space="0" w:color="auto"/>
        <w:right w:val="none" w:sz="0" w:space="0" w:color="auto"/>
      </w:divBdr>
    </w:div>
    <w:div w:id="1470976327">
      <w:bodyDiv w:val="1"/>
      <w:marLeft w:val="0"/>
      <w:marRight w:val="0"/>
      <w:marTop w:val="0"/>
      <w:marBottom w:val="0"/>
      <w:divBdr>
        <w:top w:val="none" w:sz="0" w:space="0" w:color="auto"/>
        <w:left w:val="none" w:sz="0" w:space="0" w:color="auto"/>
        <w:bottom w:val="none" w:sz="0" w:space="0" w:color="auto"/>
        <w:right w:val="none" w:sz="0" w:space="0" w:color="auto"/>
      </w:divBdr>
    </w:div>
    <w:div w:id="1474328896">
      <w:bodyDiv w:val="1"/>
      <w:marLeft w:val="0"/>
      <w:marRight w:val="0"/>
      <w:marTop w:val="0"/>
      <w:marBottom w:val="0"/>
      <w:divBdr>
        <w:top w:val="none" w:sz="0" w:space="0" w:color="auto"/>
        <w:left w:val="none" w:sz="0" w:space="0" w:color="auto"/>
        <w:bottom w:val="none" w:sz="0" w:space="0" w:color="auto"/>
        <w:right w:val="none" w:sz="0" w:space="0" w:color="auto"/>
      </w:divBdr>
    </w:div>
    <w:div w:id="1505705028">
      <w:bodyDiv w:val="1"/>
      <w:marLeft w:val="0"/>
      <w:marRight w:val="0"/>
      <w:marTop w:val="0"/>
      <w:marBottom w:val="0"/>
      <w:divBdr>
        <w:top w:val="none" w:sz="0" w:space="0" w:color="auto"/>
        <w:left w:val="none" w:sz="0" w:space="0" w:color="auto"/>
        <w:bottom w:val="none" w:sz="0" w:space="0" w:color="auto"/>
        <w:right w:val="none" w:sz="0" w:space="0" w:color="auto"/>
      </w:divBdr>
    </w:div>
    <w:div w:id="1508255123">
      <w:bodyDiv w:val="1"/>
      <w:marLeft w:val="0"/>
      <w:marRight w:val="0"/>
      <w:marTop w:val="0"/>
      <w:marBottom w:val="0"/>
      <w:divBdr>
        <w:top w:val="none" w:sz="0" w:space="0" w:color="auto"/>
        <w:left w:val="none" w:sz="0" w:space="0" w:color="auto"/>
        <w:bottom w:val="none" w:sz="0" w:space="0" w:color="auto"/>
        <w:right w:val="none" w:sz="0" w:space="0" w:color="auto"/>
      </w:divBdr>
    </w:div>
    <w:div w:id="1543400747">
      <w:bodyDiv w:val="1"/>
      <w:marLeft w:val="0"/>
      <w:marRight w:val="0"/>
      <w:marTop w:val="0"/>
      <w:marBottom w:val="0"/>
      <w:divBdr>
        <w:top w:val="none" w:sz="0" w:space="0" w:color="auto"/>
        <w:left w:val="none" w:sz="0" w:space="0" w:color="auto"/>
        <w:bottom w:val="none" w:sz="0" w:space="0" w:color="auto"/>
        <w:right w:val="none" w:sz="0" w:space="0" w:color="auto"/>
      </w:divBdr>
    </w:div>
    <w:div w:id="1546021742">
      <w:bodyDiv w:val="1"/>
      <w:marLeft w:val="0"/>
      <w:marRight w:val="0"/>
      <w:marTop w:val="0"/>
      <w:marBottom w:val="0"/>
      <w:divBdr>
        <w:top w:val="none" w:sz="0" w:space="0" w:color="auto"/>
        <w:left w:val="none" w:sz="0" w:space="0" w:color="auto"/>
        <w:bottom w:val="none" w:sz="0" w:space="0" w:color="auto"/>
        <w:right w:val="none" w:sz="0" w:space="0" w:color="auto"/>
      </w:divBdr>
    </w:div>
    <w:div w:id="1564482555">
      <w:bodyDiv w:val="1"/>
      <w:marLeft w:val="0"/>
      <w:marRight w:val="0"/>
      <w:marTop w:val="0"/>
      <w:marBottom w:val="0"/>
      <w:divBdr>
        <w:top w:val="none" w:sz="0" w:space="0" w:color="auto"/>
        <w:left w:val="none" w:sz="0" w:space="0" w:color="auto"/>
        <w:bottom w:val="none" w:sz="0" w:space="0" w:color="auto"/>
        <w:right w:val="none" w:sz="0" w:space="0" w:color="auto"/>
      </w:divBdr>
    </w:div>
    <w:div w:id="1570505473">
      <w:bodyDiv w:val="1"/>
      <w:marLeft w:val="0"/>
      <w:marRight w:val="0"/>
      <w:marTop w:val="0"/>
      <w:marBottom w:val="0"/>
      <w:divBdr>
        <w:top w:val="none" w:sz="0" w:space="0" w:color="auto"/>
        <w:left w:val="none" w:sz="0" w:space="0" w:color="auto"/>
        <w:bottom w:val="none" w:sz="0" w:space="0" w:color="auto"/>
        <w:right w:val="none" w:sz="0" w:space="0" w:color="auto"/>
      </w:divBdr>
    </w:div>
    <w:div w:id="1574895768">
      <w:bodyDiv w:val="1"/>
      <w:marLeft w:val="0"/>
      <w:marRight w:val="0"/>
      <w:marTop w:val="0"/>
      <w:marBottom w:val="0"/>
      <w:divBdr>
        <w:top w:val="none" w:sz="0" w:space="0" w:color="auto"/>
        <w:left w:val="none" w:sz="0" w:space="0" w:color="auto"/>
        <w:bottom w:val="none" w:sz="0" w:space="0" w:color="auto"/>
        <w:right w:val="none" w:sz="0" w:space="0" w:color="auto"/>
      </w:divBdr>
    </w:div>
    <w:div w:id="1623464190">
      <w:bodyDiv w:val="1"/>
      <w:marLeft w:val="0"/>
      <w:marRight w:val="0"/>
      <w:marTop w:val="0"/>
      <w:marBottom w:val="0"/>
      <w:divBdr>
        <w:top w:val="none" w:sz="0" w:space="0" w:color="auto"/>
        <w:left w:val="none" w:sz="0" w:space="0" w:color="auto"/>
        <w:bottom w:val="none" w:sz="0" w:space="0" w:color="auto"/>
        <w:right w:val="none" w:sz="0" w:space="0" w:color="auto"/>
      </w:divBdr>
    </w:div>
    <w:div w:id="1625455593">
      <w:bodyDiv w:val="1"/>
      <w:marLeft w:val="0"/>
      <w:marRight w:val="0"/>
      <w:marTop w:val="0"/>
      <w:marBottom w:val="0"/>
      <w:divBdr>
        <w:top w:val="none" w:sz="0" w:space="0" w:color="auto"/>
        <w:left w:val="none" w:sz="0" w:space="0" w:color="auto"/>
        <w:bottom w:val="none" w:sz="0" w:space="0" w:color="auto"/>
        <w:right w:val="none" w:sz="0" w:space="0" w:color="auto"/>
      </w:divBdr>
    </w:div>
    <w:div w:id="1632132239">
      <w:bodyDiv w:val="1"/>
      <w:marLeft w:val="0"/>
      <w:marRight w:val="0"/>
      <w:marTop w:val="0"/>
      <w:marBottom w:val="0"/>
      <w:divBdr>
        <w:top w:val="none" w:sz="0" w:space="0" w:color="auto"/>
        <w:left w:val="none" w:sz="0" w:space="0" w:color="auto"/>
        <w:bottom w:val="none" w:sz="0" w:space="0" w:color="auto"/>
        <w:right w:val="none" w:sz="0" w:space="0" w:color="auto"/>
      </w:divBdr>
    </w:div>
    <w:div w:id="1664628225">
      <w:bodyDiv w:val="1"/>
      <w:marLeft w:val="0"/>
      <w:marRight w:val="0"/>
      <w:marTop w:val="0"/>
      <w:marBottom w:val="0"/>
      <w:divBdr>
        <w:top w:val="none" w:sz="0" w:space="0" w:color="auto"/>
        <w:left w:val="none" w:sz="0" w:space="0" w:color="auto"/>
        <w:bottom w:val="none" w:sz="0" w:space="0" w:color="auto"/>
        <w:right w:val="none" w:sz="0" w:space="0" w:color="auto"/>
      </w:divBdr>
    </w:div>
    <w:div w:id="1670525470">
      <w:bodyDiv w:val="1"/>
      <w:marLeft w:val="0"/>
      <w:marRight w:val="0"/>
      <w:marTop w:val="0"/>
      <w:marBottom w:val="0"/>
      <w:divBdr>
        <w:top w:val="none" w:sz="0" w:space="0" w:color="auto"/>
        <w:left w:val="none" w:sz="0" w:space="0" w:color="auto"/>
        <w:bottom w:val="none" w:sz="0" w:space="0" w:color="auto"/>
        <w:right w:val="none" w:sz="0" w:space="0" w:color="auto"/>
      </w:divBdr>
    </w:div>
    <w:div w:id="1688484742">
      <w:bodyDiv w:val="1"/>
      <w:marLeft w:val="0"/>
      <w:marRight w:val="0"/>
      <w:marTop w:val="0"/>
      <w:marBottom w:val="0"/>
      <w:divBdr>
        <w:top w:val="none" w:sz="0" w:space="0" w:color="auto"/>
        <w:left w:val="none" w:sz="0" w:space="0" w:color="auto"/>
        <w:bottom w:val="none" w:sz="0" w:space="0" w:color="auto"/>
        <w:right w:val="none" w:sz="0" w:space="0" w:color="auto"/>
      </w:divBdr>
    </w:div>
    <w:div w:id="1695301127">
      <w:bodyDiv w:val="1"/>
      <w:marLeft w:val="0"/>
      <w:marRight w:val="0"/>
      <w:marTop w:val="0"/>
      <w:marBottom w:val="0"/>
      <w:divBdr>
        <w:top w:val="none" w:sz="0" w:space="0" w:color="auto"/>
        <w:left w:val="none" w:sz="0" w:space="0" w:color="auto"/>
        <w:bottom w:val="none" w:sz="0" w:space="0" w:color="auto"/>
        <w:right w:val="none" w:sz="0" w:space="0" w:color="auto"/>
      </w:divBdr>
    </w:div>
    <w:div w:id="1753310504">
      <w:bodyDiv w:val="1"/>
      <w:marLeft w:val="0"/>
      <w:marRight w:val="0"/>
      <w:marTop w:val="0"/>
      <w:marBottom w:val="0"/>
      <w:divBdr>
        <w:top w:val="none" w:sz="0" w:space="0" w:color="auto"/>
        <w:left w:val="none" w:sz="0" w:space="0" w:color="auto"/>
        <w:bottom w:val="none" w:sz="0" w:space="0" w:color="auto"/>
        <w:right w:val="none" w:sz="0" w:space="0" w:color="auto"/>
      </w:divBdr>
    </w:div>
    <w:div w:id="1805729108">
      <w:bodyDiv w:val="1"/>
      <w:marLeft w:val="0"/>
      <w:marRight w:val="0"/>
      <w:marTop w:val="0"/>
      <w:marBottom w:val="0"/>
      <w:divBdr>
        <w:top w:val="none" w:sz="0" w:space="0" w:color="auto"/>
        <w:left w:val="none" w:sz="0" w:space="0" w:color="auto"/>
        <w:bottom w:val="none" w:sz="0" w:space="0" w:color="auto"/>
        <w:right w:val="none" w:sz="0" w:space="0" w:color="auto"/>
      </w:divBdr>
    </w:div>
    <w:div w:id="1814713565">
      <w:bodyDiv w:val="1"/>
      <w:marLeft w:val="0"/>
      <w:marRight w:val="0"/>
      <w:marTop w:val="0"/>
      <w:marBottom w:val="0"/>
      <w:divBdr>
        <w:top w:val="none" w:sz="0" w:space="0" w:color="auto"/>
        <w:left w:val="none" w:sz="0" w:space="0" w:color="auto"/>
        <w:bottom w:val="none" w:sz="0" w:space="0" w:color="auto"/>
        <w:right w:val="none" w:sz="0" w:space="0" w:color="auto"/>
      </w:divBdr>
    </w:div>
    <w:div w:id="1934240494">
      <w:bodyDiv w:val="1"/>
      <w:marLeft w:val="0"/>
      <w:marRight w:val="0"/>
      <w:marTop w:val="0"/>
      <w:marBottom w:val="0"/>
      <w:divBdr>
        <w:top w:val="none" w:sz="0" w:space="0" w:color="auto"/>
        <w:left w:val="none" w:sz="0" w:space="0" w:color="auto"/>
        <w:bottom w:val="none" w:sz="0" w:space="0" w:color="auto"/>
        <w:right w:val="none" w:sz="0" w:space="0" w:color="auto"/>
      </w:divBdr>
    </w:div>
    <w:div w:id="1947738254">
      <w:bodyDiv w:val="1"/>
      <w:marLeft w:val="0"/>
      <w:marRight w:val="0"/>
      <w:marTop w:val="0"/>
      <w:marBottom w:val="0"/>
      <w:divBdr>
        <w:top w:val="none" w:sz="0" w:space="0" w:color="auto"/>
        <w:left w:val="none" w:sz="0" w:space="0" w:color="auto"/>
        <w:bottom w:val="none" w:sz="0" w:space="0" w:color="auto"/>
        <w:right w:val="none" w:sz="0" w:space="0" w:color="auto"/>
      </w:divBdr>
    </w:div>
    <w:div w:id="1950431993">
      <w:bodyDiv w:val="1"/>
      <w:marLeft w:val="0"/>
      <w:marRight w:val="0"/>
      <w:marTop w:val="0"/>
      <w:marBottom w:val="0"/>
      <w:divBdr>
        <w:top w:val="none" w:sz="0" w:space="0" w:color="auto"/>
        <w:left w:val="none" w:sz="0" w:space="0" w:color="auto"/>
        <w:bottom w:val="none" w:sz="0" w:space="0" w:color="auto"/>
        <w:right w:val="none" w:sz="0" w:space="0" w:color="auto"/>
      </w:divBdr>
    </w:div>
    <w:div w:id="1958830342">
      <w:bodyDiv w:val="1"/>
      <w:marLeft w:val="0"/>
      <w:marRight w:val="0"/>
      <w:marTop w:val="0"/>
      <w:marBottom w:val="0"/>
      <w:divBdr>
        <w:top w:val="none" w:sz="0" w:space="0" w:color="auto"/>
        <w:left w:val="none" w:sz="0" w:space="0" w:color="auto"/>
        <w:bottom w:val="none" w:sz="0" w:space="0" w:color="auto"/>
        <w:right w:val="none" w:sz="0" w:space="0" w:color="auto"/>
      </w:divBdr>
    </w:div>
    <w:div w:id="1966278258">
      <w:bodyDiv w:val="1"/>
      <w:marLeft w:val="0"/>
      <w:marRight w:val="0"/>
      <w:marTop w:val="0"/>
      <w:marBottom w:val="0"/>
      <w:divBdr>
        <w:top w:val="none" w:sz="0" w:space="0" w:color="auto"/>
        <w:left w:val="none" w:sz="0" w:space="0" w:color="auto"/>
        <w:bottom w:val="none" w:sz="0" w:space="0" w:color="auto"/>
        <w:right w:val="none" w:sz="0" w:space="0" w:color="auto"/>
      </w:divBdr>
    </w:div>
    <w:div w:id="1973057560">
      <w:bodyDiv w:val="1"/>
      <w:marLeft w:val="0"/>
      <w:marRight w:val="0"/>
      <w:marTop w:val="0"/>
      <w:marBottom w:val="0"/>
      <w:divBdr>
        <w:top w:val="none" w:sz="0" w:space="0" w:color="auto"/>
        <w:left w:val="none" w:sz="0" w:space="0" w:color="auto"/>
        <w:bottom w:val="none" w:sz="0" w:space="0" w:color="auto"/>
        <w:right w:val="none" w:sz="0" w:space="0" w:color="auto"/>
      </w:divBdr>
    </w:div>
    <w:div w:id="2045595625">
      <w:bodyDiv w:val="1"/>
      <w:marLeft w:val="0"/>
      <w:marRight w:val="0"/>
      <w:marTop w:val="0"/>
      <w:marBottom w:val="0"/>
      <w:divBdr>
        <w:top w:val="none" w:sz="0" w:space="0" w:color="auto"/>
        <w:left w:val="none" w:sz="0" w:space="0" w:color="auto"/>
        <w:bottom w:val="none" w:sz="0" w:space="0" w:color="auto"/>
        <w:right w:val="none" w:sz="0" w:space="0" w:color="auto"/>
      </w:divBdr>
    </w:div>
    <w:div w:id="2081636974">
      <w:bodyDiv w:val="1"/>
      <w:marLeft w:val="0"/>
      <w:marRight w:val="0"/>
      <w:marTop w:val="0"/>
      <w:marBottom w:val="0"/>
      <w:divBdr>
        <w:top w:val="none" w:sz="0" w:space="0" w:color="auto"/>
        <w:left w:val="none" w:sz="0" w:space="0" w:color="auto"/>
        <w:bottom w:val="none" w:sz="0" w:space="0" w:color="auto"/>
        <w:right w:val="none" w:sz="0" w:space="0" w:color="auto"/>
      </w:divBdr>
    </w:div>
    <w:div w:id="208904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sv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sv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Budget">
      <a:majorFont>
        <a:latin typeface="Arial"/>
        <a:ea typeface=""/>
        <a:cs typeface=""/>
      </a:majorFont>
      <a:minorFont>
        <a:latin typeface="Book Antiqu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11333</Words>
  <Characters>59927</Characters>
  <Application>Microsoft Office Word</Application>
  <DocSecurity>0</DocSecurity>
  <Lines>4402</Lines>
  <Paragraphs>2628</Paragraphs>
  <ScaleCrop>false</ScaleCrop>
  <HeadingPairs>
    <vt:vector size="2" baseType="variant">
      <vt:variant>
        <vt:lpstr>Title</vt:lpstr>
      </vt:variant>
      <vt:variant>
        <vt:i4>1</vt:i4>
      </vt:variant>
    </vt:vector>
  </HeadingPairs>
  <TitlesOfParts>
    <vt:vector size="1" baseType="lpstr">
      <vt:lpstr>Mid-Year Economic and Fiscal Outlook 2025–26</vt:lpstr>
    </vt:vector>
  </TitlesOfParts>
  <Company/>
  <LinksUpToDate>false</LinksUpToDate>
  <CharactersWithSpaces>69885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Mid-Year Economic and Fiscal Outlook 2025–26</dc:title>
  <dc:subject>Part 3: Fiscal Strategy and Outlook </dc:subject>
  <dc:creator>Australian Government</dc:creator>
  <cp:keywords/>
  <dc:description/>
  <cp:lastModifiedBy/>
  <cp:revision>1</cp:revision>
  <dcterms:created xsi:type="dcterms:W3CDTF">2025-12-15T22:47:00Z</dcterms:created>
  <dcterms:modified xsi:type="dcterms:W3CDTF">2025-12-15T22:48:00Z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2025-12-15T22:48:01Z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322def4b-0704-4f4b-9844-0b8b09255082</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