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E7FE" w14:textId="7BBE15CF" w:rsidR="00D330AF" w:rsidRPr="00420B9D" w:rsidRDefault="00D330AF" w:rsidP="00D330AF">
      <w:pPr>
        <w:pStyle w:val="Heading1"/>
      </w:pPr>
      <w:r w:rsidRPr="00420B9D">
        <w:t>Part 5: Sensitivity Analysis</w:t>
      </w:r>
    </w:p>
    <w:p w14:paraId="7A8ECE4A" w14:textId="6DE97E97" w:rsidR="00D330AF" w:rsidRPr="00420B9D" w:rsidRDefault="00D330AF" w:rsidP="00D330AF">
      <w:r w:rsidRPr="00420B9D">
        <w:t>Economic and fiscal forecasts and projections are underpinned by a range of assumptions and judgements based on the best available information at the time of preparation. In practice, economic and fiscal circumstances can evolve in ways that differ from expectations.</w:t>
      </w:r>
      <w:r w:rsidRPr="00420B9D">
        <w:rPr>
          <w:rStyle w:val="FootnoteReference"/>
        </w:rPr>
        <w:footnoteReference w:id="2"/>
      </w:r>
      <w:r w:rsidRPr="00420B9D">
        <w:t xml:space="preserve"> </w:t>
      </w:r>
    </w:p>
    <w:p w14:paraId="538CF6FA" w14:textId="535CFF0A" w:rsidR="00D330AF" w:rsidRPr="00420B9D" w:rsidRDefault="00D330AF" w:rsidP="00D330AF">
      <w:r w:rsidRPr="00420B9D">
        <w:t>Sensitivity analysis assesses the degree of uncertainty surrounding current forecasts by showing the impact of changes in assumptions for key variables on forecasts of economic and fiscal aggregates.</w:t>
      </w:r>
    </w:p>
    <w:p w14:paraId="61EBA5AB" w14:textId="6463C022" w:rsidR="00D330AF" w:rsidRPr="00420B9D" w:rsidRDefault="00D330AF" w:rsidP="00D330AF">
      <w:r w:rsidRPr="00420B9D">
        <w:t xml:space="preserve">The following sensitivity analyses </w:t>
      </w:r>
      <w:r w:rsidR="00115DB4" w:rsidRPr="00420B9D">
        <w:t xml:space="preserve">are considered </w:t>
      </w:r>
      <w:r w:rsidRPr="00420B9D">
        <w:t>due to</w:t>
      </w:r>
      <w:r w:rsidRPr="00420B9D" w:rsidDel="0030297D">
        <w:t xml:space="preserve"> </w:t>
      </w:r>
      <w:r w:rsidRPr="00420B9D">
        <w:t>their variability and importance for economic and fiscal aggregates presented in budget updates:</w:t>
      </w:r>
    </w:p>
    <w:p w14:paraId="283F6A96" w14:textId="7DCE895C" w:rsidR="00D330AF" w:rsidRPr="00420B9D" w:rsidRDefault="00D330AF" w:rsidP="00D330AF">
      <w:pPr>
        <w:pStyle w:val="Bullet"/>
      </w:pPr>
      <w:r w:rsidRPr="00420B9D">
        <w:t>Higher and lower iron ore prices.</w:t>
      </w:r>
    </w:p>
    <w:p w14:paraId="23E8D1B0" w14:textId="40F1D3DD" w:rsidR="00D330AF" w:rsidRPr="00420B9D" w:rsidRDefault="00D330AF" w:rsidP="00C81A0A">
      <w:pPr>
        <w:pStyle w:val="Bullet"/>
      </w:pPr>
      <w:r w:rsidRPr="00C81A0A">
        <w:t>Higher</w:t>
      </w:r>
      <w:r w:rsidRPr="00420B9D">
        <w:t xml:space="preserve"> and lower yields over the medium term.</w:t>
      </w:r>
    </w:p>
    <w:p w14:paraId="35C11492" w14:textId="432F048E" w:rsidR="00D330AF" w:rsidRPr="00420B9D" w:rsidRDefault="00D330AF" w:rsidP="00C81A0A">
      <w:pPr>
        <w:pStyle w:val="Heading2"/>
      </w:pPr>
      <w:r w:rsidRPr="00C81A0A">
        <w:t>Movements</w:t>
      </w:r>
      <w:r w:rsidRPr="00420B9D">
        <w:t xml:space="preserve"> in the iron ore price</w:t>
      </w:r>
    </w:p>
    <w:p w14:paraId="75387072" w14:textId="24C10EFD" w:rsidR="00D330AF" w:rsidRPr="003260FC" w:rsidRDefault="00D330AF" w:rsidP="00D330AF">
      <w:pPr>
        <w:rPr>
          <w:rFonts w:eastAsia="Book Antiqua" w:cs="Book Antiqua"/>
          <w:szCs w:val="19"/>
        </w:rPr>
      </w:pPr>
      <w:r w:rsidRPr="003260FC">
        <w:rPr>
          <w:rFonts w:eastAsia="Book Antiqua" w:cs="Book Antiqua"/>
          <w:szCs w:val="19"/>
        </w:rPr>
        <w:t xml:space="preserve">The forecasts for nominal GDP and tax receipts are sensitive to commodity price assumptions, </w:t>
      </w:r>
      <w:r w:rsidR="493A7EF2" w:rsidRPr="003260FC">
        <w:rPr>
          <w:rFonts w:eastAsia="Book Antiqua" w:cs="Book Antiqua"/>
          <w:szCs w:val="19"/>
        </w:rPr>
        <w:t>including iron ore prices.</w:t>
      </w:r>
      <w:r w:rsidRPr="003260FC">
        <w:rPr>
          <w:rFonts w:eastAsia="Book Antiqua" w:cs="Book Antiqua"/>
          <w:szCs w:val="19"/>
        </w:rPr>
        <w:t xml:space="preserve"> See </w:t>
      </w:r>
      <w:r w:rsidRPr="003260FC">
        <w:rPr>
          <w:rStyle w:val="Emphasis"/>
          <w:rFonts w:eastAsia="Book Antiqua" w:cs="Book Antiqua"/>
          <w:szCs w:val="19"/>
        </w:rPr>
        <w:t xml:space="preserve">Part 2: Economic Outlook </w:t>
      </w:r>
      <w:r w:rsidRPr="003260FC">
        <w:rPr>
          <w:rFonts w:eastAsia="Book Antiqua" w:cs="Book Antiqua"/>
          <w:szCs w:val="19"/>
        </w:rPr>
        <w:t>for information on recent developments in commodity prices.</w:t>
      </w:r>
    </w:p>
    <w:p w14:paraId="65A172F8" w14:textId="77777777" w:rsidR="00137EC1" w:rsidRPr="003260FC" w:rsidRDefault="00D330AF" w:rsidP="00876B7C">
      <w:pPr>
        <w:rPr>
          <w:rFonts w:eastAsia="Book Antiqua" w:cs="Book Antiqua"/>
          <w:szCs w:val="19"/>
        </w:rPr>
      </w:pPr>
      <w:r w:rsidRPr="003260FC">
        <w:rPr>
          <w:rFonts w:eastAsia="Book Antiqua" w:cs="Book Antiqua"/>
          <w:szCs w:val="19"/>
        </w:rPr>
        <w:t>This analysis considers the impact of a permanent US$10 per tonne increase and decrease in the iron ore price on nominal GDP and tax receipts relative to the MYEFO baseline forecast. Results are presented in Table 5.1</w:t>
      </w:r>
      <w:r w:rsidR="493A7EF2" w:rsidRPr="003260FC">
        <w:rPr>
          <w:rFonts w:eastAsia="Book Antiqua" w:cs="Book Antiqua"/>
          <w:szCs w:val="19"/>
        </w:rPr>
        <w:t>.</w:t>
      </w:r>
    </w:p>
    <w:p w14:paraId="362E27CA" w14:textId="6D6DA878" w:rsidR="002C5861" w:rsidRDefault="00DE3757" w:rsidP="005860F3">
      <w:pPr>
        <w:pStyle w:val="TableHeading"/>
      </w:pPr>
      <w:r w:rsidRPr="003260FC">
        <w:t>Table 5.1</w:t>
      </w:r>
      <w:r w:rsidR="00743B62" w:rsidRPr="003260FC">
        <w:t>:</w:t>
      </w:r>
      <w:r w:rsidRPr="003260FC">
        <w:t xml:space="preserve"> Sensitivity analysis of a US$10 per tonne movement in iron ore prices</w:t>
      </w:r>
    </w:p>
    <w:tbl>
      <w:tblPr>
        <w:tblW w:w="5000" w:type="pct"/>
        <w:tblCellMar>
          <w:left w:w="0" w:type="dxa"/>
          <w:right w:w="28" w:type="dxa"/>
        </w:tblCellMar>
        <w:tblLook w:val="04A0" w:firstRow="1" w:lastRow="0" w:firstColumn="1" w:lastColumn="0" w:noHBand="0" w:noVBand="1"/>
      </w:tblPr>
      <w:tblGrid>
        <w:gridCol w:w="1725"/>
        <w:gridCol w:w="715"/>
        <w:gridCol w:w="714"/>
        <w:gridCol w:w="714"/>
        <w:gridCol w:w="715"/>
        <w:gridCol w:w="270"/>
        <w:gridCol w:w="714"/>
        <w:gridCol w:w="714"/>
        <w:gridCol w:w="714"/>
        <w:gridCol w:w="715"/>
      </w:tblGrid>
      <w:tr w:rsidR="00C22520" w:rsidRPr="001D3504" w14:paraId="3BB4D6AF" w14:textId="77777777" w:rsidTr="00C22520">
        <w:trPr>
          <w:trHeight w:hRule="exact" w:val="259"/>
        </w:trPr>
        <w:tc>
          <w:tcPr>
            <w:tcW w:w="1118" w:type="pct"/>
            <w:tcBorders>
              <w:top w:val="single" w:sz="4" w:space="0" w:color="293F5B"/>
              <w:left w:val="nil"/>
              <w:bottom w:val="nil"/>
              <w:right w:val="nil"/>
            </w:tcBorders>
            <w:noWrap/>
            <w:vAlign w:val="bottom"/>
            <w:hideMark/>
          </w:tcPr>
          <w:p w14:paraId="4B908AF7" w14:textId="77777777" w:rsidR="00C22520" w:rsidRPr="001D3504" w:rsidRDefault="00C22520" w:rsidP="00C22520">
            <w:pPr>
              <w:spacing w:before="0" w:after="0" w:line="240" w:lineRule="auto"/>
              <w:rPr>
                <w:rFonts w:ascii="Arial" w:hAnsi="Arial" w:cs="Arial"/>
                <w:color w:val="000000"/>
                <w:sz w:val="16"/>
                <w:szCs w:val="16"/>
              </w:rPr>
            </w:pPr>
            <w:r w:rsidRPr="001D3504">
              <w:rPr>
                <w:rFonts w:ascii="Arial" w:hAnsi="Arial" w:cs="Arial"/>
                <w:color w:val="000000"/>
                <w:sz w:val="16"/>
                <w:szCs w:val="16"/>
              </w:rPr>
              <w:t> </w:t>
            </w:r>
          </w:p>
        </w:tc>
        <w:tc>
          <w:tcPr>
            <w:tcW w:w="1853" w:type="pct"/>
            <w:gridSpan w:val="4"/>
            <w:tcBorders>
              <w:top w:val="single" w:sz="4" w:space="0" w:color="293F5B"/>
              <w:left w:val="nil"/>
              <w:bottom w:val="single" w:sz="4" w:space="0" w:color="293F5B"/>
              <w:right w:val="nil"/>
            </w:tcBorders>
            <w:noWrap/>
            <w:vAlign w:val="bottom"/>
            <w:hideMark/>
          </w:tcPr>
          <w:p w14:paraId="032FF023" w14:textId="77777777" w:rsidR="00C22520" w:rsidRPr="001D3504" w:rsidRDefault="00C22520" w:rsidP="00C22520">
            <w:pPr>
              <w:spacing w:before="0" w:after="0" w:line="240" w:lineRule="auto"/>
              <w:jc w:val="center"/>
              <w:rPr>
                <w:rFonts w:ascii="Arial" w:hAnsi="Arial" w:cs="Arial"/>
                <w:color w:val="000000"/>
                <w:sz w:val="16"/>
                <w:szCs w:val="16"/>
              </w:rPr>
            </w:pPr>
            <w:r w:rsidRPr="001D3504">
              <w:rPr>
                <w:rFonts w:ascii="Arial" w:hAnsi="Arial" w:cs="Arial"/>
                <w:color w:val="000000"/>
                <w:sz w:val="16"/>
                <w:szCs w:val="16"/>
              </w:rPr>
              <w:t>US$10/tonne FOB</w:t>
            </w:r>
            <w:r w:rsidRPr="001D3504">
              <w:rPr>
                <w:rFonts w:ascii="Arial" w:hAnsi="Arial" w:cs="Arial"/>
                <w:color w:val="000000"/>
                <w:sz w:val="16"/>
                <w:szCs w:val="16"/>
                <w:vertAlign w:val="superscript"/>
              </w:rPr>
              <w:t>(a)</w:t>
            </w:r>
            <w:r w:rsidRPr="001D3504">
              <w:rPr>
                <w:rFonts w:ascii="Arial" w:hAnsi="Arial" w:cs="Arial"/>
                <w:color w:val="000000"/>
                <w:sz w:val="16"/>
                <w:szCs w:val="16"/>
              </w:rPr>
              <w:t xml:space="preserve"> increase</w:t>
            </w:r>
          </w:p>
        </w:tc>
        <w:tc>
          <w:tcPr>
            <w:tcW w:w="175" w:type="pct"/>
            <w:tcBorders>
              <w:top w:val="single" w:sz="4" w:space="0" w:color="293F5B"/>
              <w:left w:val="nil"/>
              <w:bottom w:val="single" w:sz="4" w:space="0" w:color="293F5B"/>
              <w:right w:val="nil"/>
            </w:tcBorders>
            <w:noWrap/>
            <w:vAlign w:val="bottom"/>
            <w:hideMark/>
          </w:tcPr>
          <w:p w14:paraId="611C305A" w14:textId="77777777" w:rsidR="00C22520" w:rsidRPr="001D3504" w:rsidRDefault="00C22520" w:rsidP="00C22520">
            <w:pPr>
              <w:spacing w:before="0" w:after="0" w:line="240" w:lineRule="auto"/>
              <w:jc w:val="center"/>
              <w:rPr>
                <w:rFonts w:ascii="Arial" w:hAnsi="Arial" w:cs="Arial"/>
                <w:color w:val="000000"/>
                <w:sz w:val="16"/>
                <w:szCs w:val="16"/>
              </w:rPr>
            </w:pPr>
            <w:r w:rsidRPr="001D3504">
              <w:rPr>
                <w:rFonts w:ascii="Arial" w:hAnsi="Arial" w:cs="Arial"/>
                <w:color w:val="000000"/>
                <w:sz w:val="16"/>
                <w:szCs w:val="16"/>
              </w:rPr>
              <w:t> </w:t>
            </w:r>
          </w:p>
        </w:tc>
        <w:tc>
          <w:tcPr>
            <w:tcW w:w="1853" w:type="pct"/>
            <w:gridSpan w:val="4"/>
            <w:tcBorders>
              <w:top w:val="single" w:sz="4" w:space="0" w:color="293F5B"/>
              <w:left w:val="nil"/>
              <w:bottom w:val="single" w:sz="4" w:space="0" w:color="293F5B"/>
              <w:right w:val="nil"/>
            </w:tcBorders>
            <w:noWrap/>
            <w:vAlign w:val="bottom"/>
            <w:hideMark/>
          </w:tcPr>
          <w:p w14:paraId="1177CB09" w14:textId="77777777" w:rsidR="00C22520" w:rsidRPr="001D3504" w:rsidRDefault="00C22520" w:rsidP="00C22520">
            <w:pPr>
              <w:spacing w:before="0" w:after="0" w:line="240" w:lineRule="auto"/>
              <w:jc w:val="center"/>
              <w:rPr>
                <w:rFonts w:ascii="Arial" w:hAnsi="Arial" w:cs="Arial"/>
                <w:color w:val="000000"/>
                <w:sz w:val="16"/>
                <w:szCs w:val="16"/>
              </w:rPr>
            </w:pPr>
            <w:r w:rsidRPr="001D3504">
              <w:rPr>
                <w:rFonts w:ascii="Arial" w:hAnsi="Arial" w:cs="Arial"/>
                <w:color w:val="000000"/>
                <w:sz w:val="16"/>
                <w:szCs w:val="16"/>
              </w:rPr>
              <w:t>US$10/tonne FOB decrease</w:t>
            </w:r>
          </w:p>
        </w:tc>
      </w:tr>
      <w:tr w:rsidR="00C22520" w:rsidRPr="001D3504" w14:paraId="7A2A6346" w14:textId="77777777" w:rsidTr="00C22520">
        <w:trPr>
          <w:trHeight w:hRule="exact" w:val="225"/>
        </w:trPr>
        <w:tc>
          <w:tcPr>
            <w:tcW w:w="1118" w:type="pct"/>
            <w:tcBorders>
              <w:top w:val="nil"/>
              <w:left w:val="nil"/>
              <w:bottom w:val="nil"/>
              <w:right w:val="nil"/>
            </w:tcBorders>
            <w:noWrap/>
            <w:vAlign w:val="bottom"/>
            <w:hideMark/>
          </w:tcPr>
          <w:p w14:paraId="239CDD2E" w14:textId="77777777" w:rsidR="00C22520" w:rsidRPr="001D3504" w:rsidRDefault="00C22520" w:rsidP="00C22520">
            <w:pPr>
              <w:spacing w:before="0" w:after="0" w:line="240" w:lineRule="auto"/>
              <w:jc w:val="center"/>
              <w:rPr>
                <w:rFonts w:ascii="Arial" w:hAnsi="Arial" w:cs="Arial"/>
                <w:color w:val="000000"/>
                <w:sz w:val="16"/>
                <w:szCs w:val="16"/>
              </w:rPr>
            </w:pPr>
          </w:p>
        </w:tc>
        <w:tc>
          <w:tcPr>
            <w:tcW w:w="463" w:type="pct"/>
            <w:tcBorders>
              <w:top w:val="nil"/>
              <w:left w:val="nil"/>
              <w:bottom w:val="single" w:sz="4" w:space="0" w:color="293F5B"/>
              <w:right w:val="nil"/>
            </w:tcBorders>
            <w:noWrap/>
            <w:vAlign w:val="bottom"/>
            <w:hideMark/>
          </w:tcPr>
          <w:p w14:paraId="53DDECE0"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2025–26</w:t>
            </w:r>
          </w:p>
        </w:tc>
        <w:tc>
          <w:tcPr>
            <w:tcW w:w="463" w:type="pct"/>
            <w:tcBorders>
              <w:top w:val="nil"/>
              <w:left w:val="nil"/>
              <w:bottom w:val="single" w:sz="4" w:space="0" w:color="293F5B"/>
              <w:right w:val="nil"/>
            </w:tcBorders>
            <w:noWrap/>
            <w:vAlign w:val="bottom"/>
            <w:hideMark/>
          </w:tcPr>
          <w:p w14:paraId="03D52BF0"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2026–27</w:t>
            </w:r>
          </w:p>
        </w:tc>
        <w:tc>
          <w:tcPr>
            <w:tcW w:w="463" w:type="pct"/>
            <w:tcBorders>
              <w:top w:val="nil"/>
              <w:left w:val="nil"/>
              <w:bottom w:val="single" w:sz="4" w:space="0" w:color="293F5B"/>
              <w:right w:val="nil"/>
            </w:tcBorders>
            <w:noWrap/>
            <w:vAlign w:val="bottom"/>
            <w:hideMark/>
          </w:tcPr>
          <w:p w14:paraId="24035282"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2027–28</w:t>
            </w:r>
          </w:p>
        </w:tc>
        <w:tc>
          <w:tcPr>
            <w:tcW w:w="463" w:type="pct"/>
            <w:tcBorders>
              <w:top w:val="nil"/>
              <w:left w:val="nil"/>
              <w:bottom w:val="single" w:sz="4" w:space="0" w:color="293F5B"/>
              <w:right w:val="nil"/>
            </w:tcBorders>
            <w:noWrap/>
            <w:vAlign w:val="bottom"/>
            <w:hideMark/>
          </w:tcPr>
          <w:p w14:paraId="2E81012C"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2028–29</w:t>
            </w:r>
          </w:p>
        </w:tc>
        <w:tc>
          <w:tcPr>
            <w:tcW w:w="175" w:type="pct"/>
            <w:tcBorders>
              <w:top w:val="nil"/>
              <w:left w:val="nil"/>
              <w:bottom w:val="nil"/>
              <w:right w:val="nil"/>
            </w:tcBorders>
            <w:noWrap/>
            <w:vAlign w:val="bottom"/>
            <w:hideMark/>
          </w:tcPr>
          <w:p w14:paraId="2616B473" w14:textId="77777777" w:rsidR="00C22520" w:rsidRPr="001D3504" w:rsidRDefault="00C22520" w:rsidP="00C22520">
            <w:pPr>
              <w:spacing w:before="0" w:after="0" w:line="240" w:lineRule="auto"/>
              <w:jc w:val="right"/>
              <w:rPr>
                <w:rFonts w:ascii="Arial" w:hAnsi="Arial" w:cs="Arial"/>
                <w:color w:val="000000"/>
                <w:sz w:val="16"/>
                <w:szCs w:val="16"/>
              </w:rPr>
            </w:pPr>
          </w:p>
        </w:tc>
        <w:tc>
          <w:tcPr>
            <w:tcW w:w="463" w:type="pct"/>
            <w:tcBorders>
              <w:top w:val="nil"/>
              <w:left w:val="nil"/>
              <w:bottom w:val="single" w:sz="4" w:space="0" w:color="293F5B"/>
              <w:right w:val="nil"/>
            </w:tcBorders>
            <w:noWrap/>
            <w:vAlign w:val="bottom"/>
            <w:hideMark/>
          </w:tcPr>
          <w:p w14:paraId="501573D9"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2025–26</w:t>
            </w:r>
          </w:p>
        </w:tc>
        <w:tc>
          <w:tcPr>
            <w:tcW w:w="463" w:type="pct"/>
            <w:tcBorders>
              <w:top w:val="nil"/>
              <w:left w:val="nil"/>
              <w:bottom w:val="single" w:sz="4" w:space="0" w:color="293F5B"/>
              <w:right w:val="nil"/>
            </w:tcBorders>
            <w:noWrap/>
            <w:vAlign w:val="bottom"/>
            <w:hideMark/>
          </w:tcPr>
          <w:p w14:paraId="620A1E07"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2026–27</w:t>
            </w:r>
          </w:p>
        </w:tc>
        <w:tc>
          <w:tcPr>
            <w:tcW w:w="463" w:type="pct"/>
            <w:tcBorders>
              <w:top w:val="nil"/>
              <w:left w:val="nil"/>
              <w:bottom w:val="single" w:sz="4" w:space="0" w:color="293F5B"/>
              <w:right w:val="nil"/>
            </w:tcBorders>
            <w:noWrap/>
            <w:vAlign w:val="bottom"/>
            <w:hideMark/>
          </w:tcPr>
          <w:p w14:paraId="392ED659"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2027–28</w:t>
            </w:r>
          </w:p>
        </w:tc>
        <w:tc>
          <w:tcPr>
            <w:tcW w:w="463" w:type="pct"/>
            <w:tcBorders>
              <w:top w:val="nil"/>
              <w:left w:val="nil"/>
              <w:bottom w:val="single" w:sz="4" w:space="0" w:color="293F5B"/>
              <w:right w:val="nil"/>
            </w:tcBorders>
            <w:noWrap/>
            <w:vAlign w:val="bottom"/>
            <w:hideMark/>
          </w:tcPr>
          <w:p w14:paraId="54E1EC12" w14:textId="77777777" w:rsidR="00C22520" w:rsidRPr="001D3504" w:rsidRDefault="00C22520" w:rsidP="00C22520">
            <w:pPr>
              <w:spacing w:before="0" w:after="0" w:line="240" w:lineRule="auto"/>
              <w:jc w:val="right"/>
              <w:rPr>
                <w:rFonts w:ascii="Arial" w:hAnsi="Arial" w:cs="Arial"/>
                <w:color w:val="000000"/>
                <w:sz w:val="16"/>
                <w:szCs w:val="16"/>
              </w:rPr>
            </w:pPr>
            <w:r w:rsidRPr="001D3504">
              <w:rPr>
                <w:rFonts w:ascii="Arial" w:hAnsi="Arial" w:cs="Arial"/>
                <w:color w:val="000000"/>
                <w:sz w:val="16"/>
                <w:szCs w:val="16"/>
              </w:rPr>
              <w:t>2028–29</w:t>
            </w:r>
          </w:p>
        </w:tc>
      </w:tr>
      <w:tr w:rsidR="00C22520" w:rsidRPr="001D3504" w14:paraId="4F041E1C" w14:textId="77777777" w:rsidTr="00C22520">
        <w:trPr>
          <w:trHeight w:hRule="exact" w:val="225"/>
        </w:trPr>
        <w:tc>
          <w:tcPr>
            <w:tcW w:w="1118" w:type="pct"/>
            <w:tcBorders>
              <w:top w:val="nil"/>
              <w:left w:val="nil"/>
              <w:bottom w:val="nil"/>
              <w:right w:val="nil"/>
            </w:tcBorders>
            <w:noWrap/>
            <w:vAlign w:val="bottom"/>
            <w:hideMark/>
          </w:tcPr>
          <w:p w14:paraId="472F747B" w14:textId="77777777" w:rsidR="00C22520" w:rsidRPr="001D3504" w:rsidRDefault="00C22520" w:rsidP="00C22520">
            <w:pPr>
              <w:spacing w:before="0" w:after="0" w:line="240" w:lineRule="auto"/>
              <w:rPr>
                <w:rFonts w:ascii="Arial" w:hAnsi="Arial" w:cs="Arial"/>
                <w:color w:val="000000"/>
                <w:sz w:val="16"/>
                <w:szCs w:val="16"/>
              </w:rPr>
            </w:pPr>
            <w:r w:rsidRPr="001D3504">
              <w:rPr>
                <w:rFonts w:ascii="Arial" w:hAnsi="Arial" w:cs="Arial"/>
                <w:color w:val="000000"/>
                <w:sz w:val="16"/>
                <w:szCs w:val="16"/>
              </w:rPr>
              <w:t>Nominal GDP ($billion)</w:t>
            </w:r>
          </w:p>
        </w:tc>
        <w:tc>
          <w:tcPr>
            <w:tcW w:w="463" w:type="pct"/>
            <w:tcBorders>
              <w:top w:val="nil"/>
              <w:left w:val="nil"/>
              <w:bottom w:val="nil"/>
              <w:right w:val="nil"/>
            </w:tcBorders>
            <w:noWrap/>
            <w:vAlign w:val="bottom"/>
            <w:hideMark/>
          </w:tcPr>
          <w:p w14:paraId="02947CDC" w14:textId="7E327EF3" w:rsidR="00C22520" w:rsidRPr="00DB3F9C" w:rsidRDefault="006F7C9D"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4.8</w:t>
            </w:r>
          </w:p>
        </w:tc>
        <w:tc>
          <w:tcPr>
            <w:tcW w:w="463" w:type="pct"/>
            <w:tcBorders>
              <w:top w:val="nil"/>
              <w:left w:val="nil"/>
              <w:bottom w:val="nil"/>
              <w:right w:val="nil"/>
            </w:tcBorders>
            <w:noWrap/>
            <w:vAlign w:val="bottom"/>
            <w:hideMark/>
          </w:tcPr>
          <w:p w14:paraId="1586C629" w14:textId="561114A1" w:rsidR="00C22520" w:rsidRPr="00DB3F9C" w:rsidRDefault="006F7C9D"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2.4</w:t>
            </w:r>
          </w:p>
        </w:tc>
        <w:tc>
          <w:tcPr>
            <w:tcW w:w="463" w:type="pct"/>
            <w:tcBorders>
              <w:top w:val="nil"/>
              <w:left w:val="nil"/>
              <w:bottom w:val="nil"/>
              <w:right w:val="nil"/>
            </w:tcBorders>
            <w:noWrap/>
            <w:vAlign w:val="bottom"/>
            <w:hideMark/>
          </w:tcPr>
          <w:p w14:paraId="6E6CDC40" w14:textId="06931B7B" w:rsidR="00C22520" w:rsidRPr="00DB3F9C" w:rsidRDefault="00BA2DFB"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5.3</w:t>
            </w:r>
          </w:p>
        </w:tc>
        <w:tc>
          <w:tcPr>
            <w:tcW w:w="463" w:type="pct"/>
            <w:tcBorders>
              <w:top w:val="nil"/>
              <w:left w:val="nil"/>
              <w:bottom w:val="nil"/>
              <w:right w:val="nil"/>
            </w:tcBorders>
            <w:noWrap/>
            <w:vAlign w:val="bottom"/>
            <w:hideMark/>
          </w:tcPr>
          <w:p w14:paraId="614A6D6C" w14:textId="2050BFE9" w:rsidR="00C22520" w:rsidRPr="00DB3F9C" w:rsidRDefault="00BA2DFB"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9.9</w:t>
            </w:r>
          </w:p>
        </w:tc>
        <w:tc>
          <w:tcPr>
            <w:tcW w:w="175" w:type="pct"/>
            <w:tcBorders>
              <w:top w:val="nil"/>
              <w:left w:val="nil"/>
              <w:bottom w:val="nil"/>
              <w:right w:val="nil"/>
            </w:tcBorders>
            <w:noWrap/>
            <w:vAlign w:val="bottom"/>
            <w:hideMark/>
          </w:tcPr>
          <w:p w14:paraId="7F54B0E8" w14:textId="77777777" w:rsidR="00C22520" w:rsidRPr="00DB3F9C" w:rsidRDefault="00C22520" w:rsidP="00C22520">
            <w:pPr>
              <w:spacing w:before="0" w:after="0" w:line="240" w:lineRule="auto"/>
              <w:jc w:val="right"/>
              <w:rPr>
                <w:rFonts w:ascii="Arial" w:hAnsi="Arial" w:cs="Arial"/>
                <w:sz w:val="16"/>
                <w:szCs w:val="16"/>
                <w:highlight w:val="cyan"/>
              </w:rPr>
            </w:pPr>
          </w:p>
        </w:tc>
        <w:tc>
          <w:tcPr>
            <w:tcW w:w="463" w:type="pct"/>
            <w:tcBorders>
              <w:top w:val="nil"/>
              <w:left w:val="nil"/>
              <w:bottom w:val="nil"/>
              <w:right w:val="nil"/>
            </w:tcBorders>
            <w:noWrap/>
            <w:vAlign w:val="bottom"/>
            <w:hideMark/>
          </w:tcPr>
          <w:p w14:paraId="6F13AAF7" w14:textId="6FD16E8F" w:rsidR="00C22520" w:rsidRPr="00DB3F9C" w:rsidRDefault="009B3AA3"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-4.8</w:t>
            </w:r>
          </w:p>
        </w:tc>
        <w:tc>
          <w:tcPr>
            <w:tcW w:w="463" w:type="pct"/>
            <w:tcBorders>
              <w:top w:val="nil"/>
              <w:left w:val="nil"/>
              <w:bottom w:val="nil"/>
              <w:right w:val="nil"/>
            </w:tcBorders>
            <w:noWrap/>
            <w:vAlign w:val="bottom"/>
            <w:hideMark/>
          </w:tcPr>
          <w:p w14:paraId="6092BB24" w14:textId="61310856" w:rsidR="00C22520" w:rsidRPr="00DB3F9C" w:rsidRDefault="009B3AA3"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-2.4</w:t>
            </w:r>
          </w:p>
        </w:tc>
        <w:tc>
          <w:tcPr>
            <w:tcW w:w="463" w:type="pct"/>
            <w:tcBorders>
              <w:top w:val="nil"/>
              <w:left w:val="nil"/>
              <w:bottom w:val="nil"/>
              <w:right w:val="nil"/>
            </w:tcBorders>
            <w:noWrap/>
            <w:vAlign w:val="bottom"/>
            <w:hideMark/>
          </w:tcPr>
          <w:p w14:paraId="78224631" w14:textId="6D9CADF6" w:rsidR="00C22520" w:rsidRPr="00DB3F9C" w:rsidRDefault="009B3AA3" w:rsidP="00C22520">
            <w:pPr>
              <w:spacing w:before="0" w:after="0" w:line="240" w:lineRule="auto"/>
              <w:jc w:val="right"/>
              <w:rPr>
                <w:rFonts w:ascii="Arial" w:hAnsi="Arial" w:cs="Arial"/>
                <w:sz w:val="16"/>
                <w:szCs w:val="16"/>
                <w:highlight w:val="cyan"/>
              </w:rPr>
            </w:pPr>
            <w:r w:rsidRPr="003260FC">
              <w:rPr>
                <w:rFonts w:ascii="Arial" w:hAnsi="Arial" w:cs="Arial"/>
                <w:sz w:val="16"/>
                <w:szCs w:val="16"/>
              </w:rPr>
              <w:t>-5.3</w:t>
            </w:r>
          </w:p>
        </w:tc>
        <w:tc>
          <w:tcPr>
            <w:tcW w:w="463" w:type="pct"/>
            <w:tcBorders>
              <w:top w:val="nil"/>
              <w:left w:val="nil"/>
              <w:bottom w:val="nil"/>
              <w:right w:val="nil"/>
            </w:tcBorders>
            <w:noWrap/>
            <w:vAlign w:val="bottom"/>
            <w:hideMark/>
          </w:tcPr>
          <w:p w14:paraId="55EBB824" w14:textId="783CDBC3" w:rsidR="00C22520" w:rsidRPr="003260FC" w:rsidRDefault="009B3AA3" w:rsidP="00C22520">
            <w:pPr>
              <w:spacing w:before="0" w:after="0" w:line="240" w:lineRule="auto"/>
              <w:jc w:val="right"/>
              <w:rPr>
                <w:rFonts w:ascii="Arial" w:hAnsi="Arial" w:cs="Arial"/>
                <w:sz w:val="16"/>
                <w:szCs w:val="16"/>
              </w:rPr>
            </w:pPr>
            <w:r w:rsidRPr="003260FC">
              <w:rPr>
                <w:rFonts w:ascii="Arial" w:hAnsi="Arial" w:cs="Arial"/>
                <w:sz w:val="16"/>
                <w:szCs w:val="16"/>
              </w:rPr>
              <w:t>-9.9</w:t>
            </w:r>
          </w:p>
        </w:tc>
      </w:tr>
      <w:tr w:rsidR="00C22520" w:rsidRPr="001D3504" w14:paraId="45DE55A4" w14:textId="77777777" w:rsidTr="00C22520">
        <w:trPr>
          <w:trHeight w:hRule="exact" w:val="225"/>
        </w:trPr>
        <w:tc>
          <w:tcPr>
            <w:tcW w:w="1118" w:type="pct"/>
            <w:tcBorders>
              <w:top w:val="nil"/>
              <w:left w:val="nil"/>
              <w:bottom w:val="single" w:sz="4" w:space="0" w:color="293F5B"/>
              <w:right w:val="nil"/>
            </w:tcBorders>
            <w:noWrap/>
            <w:vAlign w:val="bottom"/>
            <w:hideMark/>
          </w:tcPr>
          <w:p w14:paraId="6C03FAA0" w14:textId="77777777" w:rsidR="00C22520" w:rsidRPr="001D3504" w:rsidRDefault="00C22520" w:rsidP="00C22520">
            <w:pPr>
              <w:spacing w:before="0" w:after="0" w:line="240" w:lineRule="auto"/>
              <w:rPr>
                <w:rFonts w:ascii="Arial" w:hAnsi="Arial" w:cs="Arial"/>
                <w:color w:val="000000"/>
                <w:sz w:val="16"/>
                <w:szCs w:val="16"/>
              </w:rPr>
            </w:pPr>
            <w:r w:rsidRPr="001D3504">
              <w:rPr>
                <w:rFonts w:ascii="Arial" w:hAnsi="Arial" w:cs="Arial"/>
                <w:color w:val="000000"/>
                <w:sz w:val="16"/>
                <w:szCs w:val="16"/>
              </w:rPr>
              <w:t>Tax receipts ($billion)</w:t>
            </w:r>
          </w:p>
        </w:tc>
        <w:tc>
          <w:tcPr>
            <w:tcW w:w="463" w:type="pct"/>
            <w:tcBorders>
              <w:top w:val="nil"/>
              <w:left w:val="nil"/>
              <w:bottom w:val="single" w:sz="4" w:space="0" w:color="293F5B"/>
              <w:right w:val="nil"/>
            </w:tcBorders>
            <w:noWrap/>
            <w:vAlign w:val="bottom"/>
            <w:hideMark/>
          </w:tcPr>
          <w:p w14:paraId="6FB2BFE3" w14:textId="498266F8"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0.3</w:t>
            </w:r>
          </w:p>
        </w:tc>
        <w:tc>
          <w:tcPr>
            <w:tcW w:w="463" w:type="pct"/>
            <w:tcBorders>
              <w:top w:val="nil"/>
              <w:left w:val="nil"/>
              <w:bottom w:val="single" w:sz="4" w:space="0" w:color="293F5B"/>
              <w:right w:val="nil"/>
            </w:tcBorders>
            <w:noWrap/>
            <w:vAlign w:val="bottom"/>
            <w:hideMark/>
          </w:tcPr>
          <w:p w14:paraId="377859BB" w14:textId="2AB51E99"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0.3</w:t>
            </w:r>
          </w:p>
        </w:tc>
        <w:tc>
          <w:tcPr>
            <w:tcW w:w="463" w:type="pct"/>
            <w:tcBorders>
              <w:top w:val="nil"/>
              <w:left w:val="nil"/>
              <w:bottom w:val="single" w:sz="4" w:space="0" w:color="293F5B"/>
              <w:right w:val="nil"/>
            </w:tcBorders>
            <w:noWrap/>
            <w:vAlign w:val="bottom"/>
            <w:hideMark/>
          </w:tcPr>
          <w:p w14:paraId="1F1734ED" w14:textId="6509FC0C"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0.3</w:t>
            </w:r>
          </w:p>
        </w:tc>
        <w:tc>
          <w:tcPr>
            <w:tcW w:w="463" w:type="pct"/>
            <w:tcBorders>
              <w:top w:val="nil"/>
              <w:left w:val="nil"/>
              <w:bottom w:val="single" w:sz="4" w:space="0" w:color="293F5B"/>
              <w:right w:val="nil"/>
            </w:tcBorders>
            <w:noWrap/>
            <w:vAlign w:val="bottom"/>
            <w:hideMark/>
          </w:tcPr>
          <w:p w14:paraId="58562157" w14:textId="4B173F89"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1.9</w:t>
            </w:r>
          </w:p>
        </w:tc>
        <w:tc>
          <w:tcPr>
            <w:tcW w:w="175" w:type="pct"/>
            <w:tcBorders>
              <w:top w:val="nil"/>
              <w:left w:val="nil"/>
              <w:bottom w:val="single" w:sz="4" w:space="0" w:color="293F5B"/>
              <w:right w:val="nil"/>
            </w:tcBorders>
            <w:noWrap/>
            <w:vAlign w:val="bottom"/>
            <w:hideMark/>
          </w:tcPr>
          <w:p w14:paraId="7B49FE1D" w14:textId="77777777" w:rsidR="00C22520" w:rsidRPr="00DB3F9C" w:rsidRDefault="00C22520"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 </w:t>
            </w:r>
          </w:p>
        </w:tc>
        <w:tc>
          <w:tcPr>
            <w:tcW w:w="463" w:type="pct"/>
            <w:tcBorders>
              <w:top w:val="nil"/>
              <w:left w:val="nil"/>
              <w:bottom w:val="single" w:sz="4" w:space="0" w:color="293F5B"/>
              <w:right w:val="nil"/>
            </w:tcBorders>
            <w:noWrap/>
            <w:vAlign w:val="bottom"/>
            <w:hideMark/>
          </w:tcPr>
          <w:p w14:paraId="60A693DF" w14:textId="55ED54A4"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-0.3</w:t>
            </w:r>
          </w:p>
        </w:tc>
        <w:tc>
          <w:tcPr>
            <w:tcW w:w="463" w:type="pct"/>
            <w:tcBorders>
              <w:top w:val="nil"/>
              <w:left w:val="nil"/>
              <w:bottom w:val="single" w:sz="4" w:space="0" w:color="293F5B"/>
              <w:right w:val="nil"/>
            </w:tcBorders>
            <w:noWrap/>
            <w:vAlign w:val="bottom"/>
            <w:hideMark/>
          </w:tcPr>
          <w:p w14:paraId="7183BD3B" w14:textId="0CD50AAC"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-0.3</w:t>
            </w:r>
          </w:p>
        </w:tc>
        <w:tc>
          <w:tcPr>
            <w:tcW w:w="463" w:type="pct"/>
            <w:tcBorders>
              <w:top w:val="nil"/>
              <w:left w:val="nil"/>
              <w:bottom w:val="single" w:sz="4" w:space="0" w:color="293F5B"/>
              <w:right w:val="nil"/>
            </w:tcBorders>
            <w:noWrap/>
            <w:vAlign w:val="bottom"/>
            <w:hideMark/>
          </w:tcPr>
          <w:p w14:paraId="65FF7DDD" w14:textId="64071BF5" w:rsidR="00C22520" w:rsidRPr="00DB3F9C" w:rsidRDefault="004629D2" w:rsidP="00C22520">
            <w:pPr>
              <w:spacing w:before="0" w:after="0" w:line="240" w:lineRule="auto"/>
              <w:jc w:val="right"/>
              <w:rPr>
                <w:rFonts w:ascii="Arial" w:hAnsi="Arial" w:cs="Arial"/>
                <w:sz w:val="16"/>
                <w:szCs w:val="16"/>
                <w:highlight w:val="yellow"/>
              </w:rPr>
            </w:pPr>
            <w:r w:rsidRPr="003260FC">
              <w:rPr>
                <w:rFonts w:ascii="Arial" w:hAnsi="Arial" w:cs="Arial"/>
                <w:sz w:val="16"/>
                <w:szCs w:val="16"/>
              </w:rPr>
              <w:t>-0.3</w:t>
            </w:r>
          </w:p>
        </w:tc>
        <w:tc>
          <w:tcPr>
            <w:tcW w:w="463" w:type="pct"/>
            <w:tcBorders>
              <w:top w:val="nil"/>
              <w:left w:val="nil"/>
              <w:bottom w:val="single" w:sz="4" w:space="0" w:color="293F5B"/>
              <w:right w:val="nil"/>
            </w:tcBorders>
            <w:noWrap/>
            <w:vAlign w:val="bottom"/>
            <w:hideMark/>
          </w:tcPr>
          <w:p w14:paraId="158C63D3" w14:textId="7FC87E09" w:rsidR="00C22520" w:rsidRPr="003260FC" w:rsidRDefault="004629D2" w:rsidP="00C22520">
            <w:pPr>
              <w:spacing w:before="0" w:after="0" w:line="240" w:lineRule="auto"/>
              <w:jc w:val="right"/>
              <w:rPr>
                <w:rFonts w:ascii="Arial" w:hAnsi="Arial" w:cs="Arial"/>
                <w:sz w:val="16"/>
                <w:szCs w:val="16"/>
              </w:rPr>
            </w:pPr>
            <w:r w:rsidRPr="003260FC">
              <w:rPr>
                <w:rFonts w:ascii="Arial" w:hAnsi="Arial" w:cs="Arial"/>
                <w:sz w:val="16"/>
                <w:szCs w:val="16"/>
              </w:rPr>
              <w:t>-1.9</w:t>
            </w:r>
          </w:p>
        </w:tc>
      </w:tr>
    </w:tbl>
    <w:p w14:paraId="5F8D01B2" w14:textId="265A3345" w:rsidR="00D330AF" w:rsidRPr="002543F7" w:rsidRDefault="00D330AF" w:rsidP="00D330AF">
      <w:pPr>
        <w:pStyle w:val="ChartandTableFootnoteAlpha"/>
      </w:pPr>
      <w:r w:rsidRPr="003260FC">
        <w:rPr>
          <w:color w:val="auto"/>
        </w:rPr>
        <w:t>Prices are presented in free</w:t>
      </w:r>
      <w:r w:rsidR="00B57DAD">
        <w:rPr>
          <w:color w:val="auto"/>
        </w:rPr>
        <w:noBreakHyphen/>
      </w:r>
      <w:r w:rsidRPr="003260FC">
        <w:rPr>
          <w:color w:val="auto"/>
        </w:rPr>
        <w:t>on</w:t>
      </w:r>
      <w:r w:rsidR="00B57DAD">
        <w:rPr>
          <w:color w:val="auto"/>
        </w:rPr>
        <w:noBreakHyphen/>
      </w:r>
      <w:r w:rsidRPr="003260FC">
        <w:rPr>
          <w:color w:val="auto"/>
        </w:rPr>
        <w:t>board (FOB) terms which exclude the cost of freight.</w:t>
      </w:r>
    </w:p>
    <w:p w14:paraId="51EA8735" w14:textId="38B1CB75" w:rsidR="00D330AF" w:rsidRPr="008E76E8" w:rsidRDefault="00D330AF" w:rsidP="009E2E60">
      <w:pPr>
        <w:pStyle w:val="ChartandTableFootnoteAlpha"/>
        <w:numPr>
          <w:ilvl w:val="0"/>
          <w:numId w:val="0"/>
        </w:numPr>
      </w:pPr>
      <w:r w:rsidRPr="002543F7">
        <w:t xml:space="preserve">Source: </w:t>
      </w:r>
      <w:r w:rsidRPr="002543F7">
        <w:tab/>
        <w:t>Treasury</w:t>
      </w:r>
    </w:p>
    <w:p w14:paraId="7D0788B0" w14:textId="77777777" w:rsidR="00D330AF" w:rsidRPr="002543F7" w:rsidRDefault="00D330AF" w:rsidP="00D330AF">
      <w:pPr>
        <w:pStyle w:val="TableLine"/>
      </w:pPr>
    </w:p>
    <w:p w14:paraId="22D7AB2C" w14:textId="51FD932F" w:rsidR="00410A46" w:rsidRPr="002543F7" w:rsidRDefault="00D330AF" w:rsidP="00C81A0A">
      <w:r w:rsidRPr="003260FC">
        <w:t>The effects of a US$</w:t>
      </w:r>
      <w:r w:rsidR="00B61EAE" w:rsidRPr="003260FC">
        <w:t>10</w:t>
      </w:r>
      <w:r w:rsidR="00B61EAE" w:rsidRPr="003260FC">
        <w:rPr>
          <w:rFonts w:ascii="Times New Roman" w:hAnsi="Times New Roman"/>
        </w:rPr>
        <w:t> </w:t>
      </w:r>
      <w:r w:rsidR="00B61EAE" w:rsidRPr="003260FC">
        <w:t>per</w:t>
      </w:r>
      <w:r w:rsidR="00B61EAE" w:rsidRPr="003260FC">
        <w:rPr>
          <w:rFonts w:ascii="Times New Roman" w:hAnsi="Times New Roman"/>
        </w:rPr>
        <w:t> </w:t>
      </w:r>
      <w:r w:rsidR="00B61EAE" w:rsidRPr="003260FC">
        <w:t>tonne</w:t>
      </w:r>
      <w:r w:rsidRPr="003260FC">
        <w:t xml:space="preserve"> increase and decrease in the iron ore price are broadly symmetric. </w:t>
      </w:r>
      <w:r w:rsidR="00B61EAE" w:rsidRPr="003260FC">
        <w:t>A US$10</w:t>
      </w:r>
      <w:r w:rsidR="00B61EAE" w:rsidRPr="003260FC">
        <w:rPr>
          <w:rFonts w:ascii="Times New Roman" w:hAnsi="Times New Roman"/>
        </w:rPr>
        <w:t> </w:t>
      </w:r>
      <w:r w:rsidR="00B61EAE" w:rsidRPr="003260FC">
        <w:t>per</w:t>
      </w:r>
      <w:r w:rsidR="00B61EAE" w:rsidRPr="003260FC">
        <w:rPr>
          <w:rFonts w:ascii="Times New Roman" w:hAnsi="Times New Roman"/>
        </w:rPr>
        <w:t> </w:t>
      </w:r>
      <w:r w:rsidR="00B61EAE" w:rsidRPr="003260FC">
        <w:t>tonne</w:t>
      </w:r>
      <w:r w:rsidRPr="003260FC">
        <w:t xml:space="preserve"> increase in the iron ore price increases nominal GDP by around $</w:t>
      </w:r>
      <w:r w:rsidR="009B3AA3" w:rsidRPr="003260FC">
        <w:t>4.8</w:t>
      </w:r>
      <w:r w:rsidR="00917F11" w:rsidRPr="003260FC">
        <w:rPr>
          <w:rFonts w:ascii="Times New Roman" w:hAnsi="Times New Roman"/>
        </w:rPr>
        <w:t> </w:t>
      </w:r>
      <w:r w:rsidR="00B61EAE" w:rsidRPr="003260FC">
        <w:t>billion</w:t>
      </w:r>
      <w:r w:rsidRPr="003260FC">
        <w:t xml:space="preserve"> in 202</w:t>
      </w:r>
      <w:r w:rsidR="0027777B" w:rsidRPr="003260FC">
        <w:t>5</w:t>
      </w:r>
      <w:r w:rsidRPr="003260FC">
        <w:t>–2</w:t>
      </w:r>
      <w:r w:rsidR="0027777B" w:rsidRPr="003260FC">
        <w:t>6</w:t>
      </w:r>
      <w:r w:rsidRPr="003260FC">
        <w:t>, rising to around $</w:t>
      </w:r>
      <w:r w:rsidR="009B3AA3" w:rsidRPr="003260FC">
        <w:t>9.9</w:t>
      </w:r>
      <w:r w:rsidR="0013662B" w:rsidRPr="003260FC">
        <w:t> billion</w:t>
      </w:r>
      <w:r w:rsidRPr="003260FC">
        <w:t xml:space="preserve"> in 202</w:t>
      </w:r>
      <w:r w:rsidR="003D5E14" w:rsidRPr="003260FC">
        <w:t>8</w:t>
      </w:r>
      <w:r w:rsidRPr="003260FC">
        <w:t>–2</w:t>
      </w:r>
      <w:r w:rsidR="003D5E14" w:rsidRPr="003260FC">
        <w:t>9</w:t>
      </w:r>
      <w:r w:rsidR="003C3D79" w:rsidRPr="003260FC">
        <w:t>.</w:t>
      </w:r>
      <w:r w:rsidR="00C21049" w:rsidRPr="003260FC">
        <w:t xml:space="preserve"> </w:t>
      </w:r>
    </w:p>
    <w:p w14:paraId="519AF2F7" w14:textId="7A23FF14" w:rsidR="002543F7" w:rsidRDefault="002543F7" w:rsidP="004326B3">
      <w:pPr>
        <w:rPr>
          <w:color w:val="000000"/>
          <w:szCs w:val="19"/>
          <w:shd w:val="clear" w:color="auto" w:fill="FFFFFF"/>
        </w:rPr>
      </w:pPr>
      <w:r w:rsidRPr="003260FC">
        <w:rPr>
          <w:szCs w:val="19"/>
          <w:shd w:val="clear" w:color="auto" w:fill="FFFFFF"/>
        </w:rPr>
        <w:lastRenderedPageBreak/>
        <w:t xml:space="preserve">The economic response to a permanent change in the price of iron ore is derived from a generic terms of trade shock using a macroeconomic model. Higher </w:t>
      </w:r>
      <w:r w:rsidR="00D253EE" w:rsidRPr="003260FC">
        <w:rPr>
          <w:szCs w:val="19"/>
          <w:shd w:val="clear" w:color="auto" w:fill="FFFFFF"/>
        </w:rPr>
        <w:t xml:space="preserve">iron ore export prices result in a </w:t>
      </w:r>
      <w:proofErr w:type="gramStart"/>
      <w:r w:rsidR="00D253EE" w:rsidRPr="003260FC">
        <w:rPr>
          <w:szCs w:val="19"/>
          <w:shd w:val="clear" w:color="auto" w:fill="FFFFFF"/>
        </w:rPr>
        <w:t>higher terms of trade</w:t>
      </w:r>
      <w:proofErr w:type="gramEnd"/>
      <w:r w:rsidR="00D253EE" w:rsidRPr="003260FC">
        <w:rPr>
          <w:szCs w:val="19"/>
          <w:shd w:val="clear" w:color="auto" w:fill="FFFFFF"/>
        </w:rPr>
        <w:t>, which leads directly to higher output prices and nominal GDP</w:t>
      </w:r>
      <w:r w:rsidR="00535D49" w:rsidRPr="003260FC">
        <w:rPr>
          <w:szCs w:val="19"/>
          <w:shd w:val="clear" w:color="auto" w:fill="FFFFFF"/>
        </w:rPr>
        <w:t>. The volume of output and exports in the mining sector increase in response to higher iron ore prices. However, an</w:t>
      </w:r>
      <w:r w:rsidR="009C12C4" w:rsidRPr="003260FC" w:rsidDel="003E3239">
        <w:rPr>
          <w:szCs w:val="19"/>
          <w:shd w:val="clear" w:color="auto" w:fill="FFFFFF"/>
        </w:rPr>
        <w:t xml:space="preserve"> </w:t>
      </w:r>
      <w:r w:rsidR="009C12C4" w:rsidRPr="003260FC">
        <w:rPr>
          <w:szCs w:val="19"/>
          <w:shd w:val="clear" w:color="auto" w:fill="FFFFFF"/>
        </w:rPr>
        <w:t xml:space="preserve">appreciation </w:t>
      </w:r>
      <w:r w:rsidR="00535D49" w:rsidRPr="003260FC">
        <w:rPr>
          <w:szCs w:val="19"/>
          <w:shd w:val="clear" w:color="auto" w:fill="FFFFFF"/>
        </w:rPr>
        <w:t>in the exchange rate leads to a substitution to imports, which partially offsets the increase in exports and GDP. This change in the exchange rate also acts to reduce domestic inflation through lower import prices</w:t>
      </w:r>
      <w:r w:rsidR="00154C52" w:rsidRPr="003260FC">
        <w:rPr>
          <w:szCs w:val="19"/>
          <w:shd w:val="clear" w:color="auto" w:fill="FFFFFF"/>
        </w:rPr>
        <w:t xml:space="preserve">. </w:t>
      </w:r>
    </w:p>
    <w:p w14:paraId="0365FF94" w14:textId="7EE6DFC8" w:rsidR="00410A46" w:rsidRPr="00420B9D" w:rsidRDefault="00410A46" w:rsidP="004326B3">
      <w:r w:rsidRPr="00420B9D">
        <w:t xml:space="preserve">A US$10 per tonne increase in the assumed price for iron ore exports is expected to result in an increase in tax receipts of around </w:t>
      </w:r>
      <w:r w:rsidRPr="003260FC">
        <w:t>$</w:t>
      </w:r>
      <w:r w:rsidR="0084725B" w:rsidRPr="003260FC">
        <w:t>0.3</w:t>
      </w:r>
      <w:r w:rsidRPr="00420B9D">
        <w:t xml:space="preserve"> billion in </w:t>
      </w:r>
      <w:r w:rsidR="002D25BC" w:rsidRPr="003260FC">
        <w:t>each year from</w:t>
      </w:r>
      <w:r w:rsidRPr="003260FC">
        <w:t xml:space="preserve"> </w:t>
      </w:r>
      <w:r w:rsidRPr="00420B9D">
        <w:t>202</w:t>
      </w:r>
      <w:r w:rsidR="00BD53C8" w:rsidRPr="00420B9D">
        <w:t>5</w:t>
      </w:r>
      <w:r w:rsidRPr="00420B9D">
        <w:t>–2</w:t>
      </w:r>
      <w:r w:rsidR="00BD53C8" w:rsidRPr="00420B9D">
        <w:t>6</w:t>
      </w:r>
      <w:r w:rsidR="002D25BC" w:rsidRPr="003260FC">
        <w:t xml:space="preserve"> to </w:t>
      </w:r>
      <w:r w:rsidRPr="00420B9D">
        <w:t>202</w:t>
      </w:r>
      <w:r w:rsidR="00BD53C8" w:rsidRPr="00420B9D">
        <w:t>7</w:t>
      </w:r>
      <w:r w:rsidRPr="00420B9D">
        <w:t>–2</w:t>
      </w:r>
      <w:r w:rsidR="00BD53C8" w:rsidRPr="00420B9D">
        <w:t>8</w:t>
      </w:r>
      <w:r w:rsidRPr="00420B9D">
        <w:t xml:space="preserve">, before increasing to </w:t>
      </w:r>
      <w:r w:rsidRPr="003260FC">
        <w:t>$</w:t>
      </w:r>
      <w:r w:rsidR="002D25BC" w:rsidRPr="003260FC">
        <w:t>1.9</w:t>
      </w:r>
      <w:r w:rsidRPr="00420B9D">
        <w:t> billion in 202</w:t>
      </w:r>
      <w:r w:rsidR="00BD53C8" w:rsidRPr="00420B9D">
        <w:t>8</w:t>
      </w:r>
      <w:r w:rsidRPr="00420B9D">
        <w:t>–2</w:t>
      </w:r>
      <w:r w:rsidR="00BD53C8" w:rsidRPr="00420B9D">
        <w:t>9</w:t>
      </w:r>
      <w:r w:rsidRPr="00420B9D">
        <w:t xml:space="preserve">. An increase in iron ore prices increases mining company profits and therefore company tax receipts. </w:t>
      </w:r>
      <w:r w:rsidR="004326B3" w:rsidRPr="00420B9D">
        <w:t>This builds over time as tax receipts incorporate the full impact of the iron ore price increase on nominal GDP and due to the lag between when profits are realised and tax is paid by companies. The lower domestic prices result in lower individuals and other withholding taxes and indirect tax receipts, partially offsetting the increase in company tax receipts</w:t>
      </w:r>
      <w:r w:rsidR="00754FE7">
        <w:t>.</w:t>
      </w:r>
    </w:p>
    <w:p w14:paraId="7B0A72DB" w14:textId="6F6D83B5" w:rsidR="00410A46" w:rsidRPr="00420B9D" w:rsidRDefault="00410A46" w:rsidP="00410A46">
      <w:pPr>
        <w:pStyle w:val="Heading2"/>
      </w:pPr>
      <w:r w:rsidRPr="00420B9D">
        <w:t>Alternative pathways for yields</w:t>
      </w:r>
    </w:p>
    <w:p w14:paraId="5AE52E33" w14:textId="69CEF398" w:rsidR="00410A46" w:rsidRPr="00420B9D" w:rsidRDefault="00410A46" w:rsidP="00410A46">
      <w:r w:rsidRPr="00420B9D">
        <w:t xml:space="preserve">The cost of Government borrowing reflects yields on Australian Government Securities and the level of debt. </w:t>
      </w:r>
    </w:p>
    <w:p w14:paraId="252A3112" w14:textId="7FE7CA18" w:rsidR="00410A46" w:rsidRPr="00420B9D" w:rsidRDefault="00410A46" w:rsidP="00410A46">
      <w:r w:rsidRPr="00420B9D">
        <w:t>Given the uncertainty surrounding the global and domestic outlook for yields, Treasury makes the following technical assumptions:</w:t>
      </w:r>
    </w:p>
    <w:p w14:paraId="5EA95182" w14:textId="77777777" w:rsidR="00410A46" w:rsidRPr="00420B9D" w:rsidRDefault="00410A46" w:rsidP="00764C06">
      <w:pPr>
        <w:pStyle w:val="Bullet"/>
      </w:pPr>
      <w:r w:rsidRPr="00420B9D">
        <w:t xml:space="preserve">Over the forward estimates, government bond yields are fixed at rates observed prior to the Budget update. </w:t>
      </w:r>
    </w:p>
    <w:p w14:paraId="20A8DD7E" w14:textId="3D180DA2" w:rsidR="00410A46" w:rsidRPr="00420B9D" w:rsidRDefault="00410A46" w:rsidP="00764C06">
      <w:pPr>
        <w:pStyle w:val="Bullet"/>
      </w:pPr>
      <w:r w:rsidRPr="00420B9D">
        <w:t xml:space="preserve">After the forward estimates, the </w:t>
      </w:r>
      <w:r w:rsidR="001737B6">
        <w:t>10</w:t>
      </w:r>
      <w:r w:rsidR="00B57DAD">
        <w:noBreakHyphen/>
      </w:r>
      <w:r w:rsidRPr="00420B9D">
        <w:t>year bond yield converges linearly towards the long</w:t>
      </w:r>
      <w:r w:rsidR="00B57DAD">
        <w:noBreakHyphen/>
      </w:r>
      <w:r w:rsidRPr="00420B9D">
        <w:t>run nominal GDP growth rate over 15 years. This is broadly consistent with the long</w:t>
      </w:r>
      <w:r w:rsidR="00B57DAD">
        <w:noBreakHyphen/>
      </w:r>
      <w:r w:rsidRPr="00420B9D">
        <w:t xml:space="preserve">run approaches of comparable advanced economies. Other tenor yields are assumed to maintain their historical relativity to the </w:t>
      </w:r>
      <w:r w:rsidR="002E22A7">
        <w:t>10</w:t>
      </w:r>
      <w:r w:rsidR="00B57DAD">
        <w:noBreakHyphen/>
      </w:r>
      <w:r w:rsidRPr="00420B9D">
        <w:t>year bond yield.</w:t>
      </w:r>
    </w:p>
    <w:p w14:paraId="610955F6" w14:textId="592489FF" w:rsidR="00410A46" w:rsidRPr="00420B9D" w:rsidRDefault="00410A46" w:rsidP="00D330AF">
      <w:r w:rsidRPr="00420B9D">
        <w:t>The higher yield sensitivity analysis assumes bond yields transition to 100 basis points higher than baseline by 30 June 202</w:t>
      </w:r>
      <w:r w:rsidR="0027777B" w:rsidRPr="00420B9D">
        <w:t>7</w:t>
      </w:r>
      <w:r w:rsidRPr="00420B9D">
        <w:t>. Yields are then held constant over the remainder of the forward estimates to 202</w:t>
      </w:r>
      <w:r w:rsidR="00791EB1" w:rsidRPr="00420B9D">
        <w:t>8</w:t>
      </w:r>
      <w:r w:rsidRPr="00420B9D">
        <w:t>–2</w:t>
      </w:r>
      <w:r w:rsidR="00791EB1" w:rsidRPr="00420B9D">
        <w:t>9</w:t>
      </w:r>
      <w:r w:rsidRPr="00420B9D">
        <w:t>, before linearly converging to the long</w:t>
      </w:r>
      <w:r w:rsidR="00B57DAD">
        <w:noBreakHyphen/>
      </w:r>
      <w:r w:rsidRPr="00420B9D">
        <w:t>run yield assumption of the nominal GDP growth rate over 15 years (Chart 5.1). The lower yield sensitivity analysis is symmetric.</w:t>
      </w:r>
      <w:r w:rsidR="00B16850" w:rsidRPr="00420B9D">
        <w:t xml:space="preserve"> </w:t>
      </w:r>
      <w:r w:rsidR="001252F5" w:rsidRPr="00420B9D">
        <w:t xml:space="preserve">Other economic parameters are assumed to remain unchanged from baseline forecasts to isolate the direct impact on fiscal aggregates. </w:t>
      </w:r>
      <w:r w:rsidRPr="00420B9D">
        <w:br w:type="page"/>
      </w:r>
    </w:p>
    <w:p w14:paraId="2A453EC5" w14:textId="5B9E0B4E" w:rsidR="00410A46" w:rsidRPr="00420B9D" w:rsidRDefault="00410A46" w:rsidP="00410A46">
      <w:pPr>
        <w:pStyle w:val="ChartMainHeading"/>
      </w:pPr>
      <w:r w:rsidRPr="00420B9D">
        <w:lastRenderedPageBreak/>
        <w:t>Chart 5.1</w:t>
      </w:r>
      <w:r w:rsidR="00F732A0">
        <w:t>:</w:t>
      </w:r>
      <w:r w:rsidRPr="00420B9D">
        <w:t xml:space="preserve"> Baseline and alternative pathways for the </w:t>
      </w:r>
      <w:r w:rsidR="007154DC">
        <w:t>10</w:t>
      </w:r>
      <w:r w:rsidR="00B57DAD">
        <w:noBreakHyphen/>
      </w:r>
      <w:r w:rsidRPr="00420B9D">
        <w:t>year bond yield</w:t>
      </w:r>
    </w:p>
    <w:p w14:paraId="3D85D84B" w14:textId="611ADB35" w:rsidR="00410A46" w:rsidRPr="00420B9D" w:rsidRDefault="005D6E95" w:rsidP="00410A46">
      <w:pPr>
        <w:pStyle w:val="ChartGraphic"/>
      </w:pPr>
      <w:r w:rsidRPr="005D6E95">
        <w:rPr>
          <w:noProof/>
        </w:rPr>
        <w:t xml:space="preserve"> </w:t>
      </w:r>
      <w:r w:rsidR="00EB54C0">
        <w:rPr>
          <w:noProof/>
        </w:rPr>
        <w:drawing>
          <wp:inline distT="0" distB="0" distL="0" distR="0" wp14:anchorId="19DD5A52" wp14:editId="4242A84E">
            <wp:extent cx="4677649" cy="2880000"/>
            <wp:effectExtent l="0" t="0" r="8890" b="0"/>
            <wp:docPr id="270198291" name="Graphic 3" descr="The baseline yield assumption is that the 10-year yield remains at around 4.5 per cent over the period till 30 June 2029. The higher yield assumption has the 10-year bond yield rising to 5.5 per cent by 30 June 2027. The lower yield assumption is falling to 3.5 per cent by 30 June 2027. In all scenarios, the 10-year yield is held constant over the period till 30 June 2029, before linearly converging towards the long run yield assumption of nominal GDP growth ov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98291" name="Graphic 3" descr="The baseline yield assumption is that the 10-year yield remains at around 4.5 per cent over the period till 30 June 2029. The higher yield assumption has the 10-year bond yield rising to 5.5 per cent by 30 June 2027. The lower yield assumption is falling to 3.5 per cent by 30 June 2027. In all scenarios, the 10-year yield is held constant over the period till 30 June 2029, before linearly converging towards the long run yield assumption of nominal GDP growth over 15 years."/>
                    <pic:cNvPicPr/>
                  </pic:nvPicPr>
                  <pic:blipFill>
                    <a:blip r:embed="rId7">
                      <a:extLst>
                        <a:ext uri="{96DAC541-7B7A-43D3-8B79-37D633B846F1}">
                          <asvg:svgBlip xmlns:asvg="http://schemas.microsoft.com/office/drawing/2016/SVG/main" r:embed="rId8"/>
                        </a:ext>
                      </a:extLst>
                    </a:blip>
                    <a:stretch>
                      <a:fillRect/>
                    </a:stretch>
                  </pic:blipFill>
                  <pic:spPr>
                    <a:xfrm>
                      <a:off x="0" y="0"/>
                      <a:ext cx="4677649" cy="2880000"/>
                    </a:xfrm>
                    <a:prstGeom prst="rect">
                      <a:avLst/>
                    </a:prstGeom>
                  </pic:spPr>
                </pic:pic>
              </a:graphicData>
            </a:graphic>
          </wp:inline>
        </w:drawing>
      </w:r>
    </w:p>
    <w:p w14:paraId="52C78F16" w14:textId="2683E4AA" w:rsidR="00410A46" w:rsidRPr="00420B9D" w:rsidRDefault="00410A46" w:rsidP="00410A46">
      <w:pPr>
        <w:pStyle w:val="ChartandTableFootnote"/>
        <w:rPr>
          <w:color w:val="auto"/>
        </w:rPr>
      </w:pPr>
      <w:r w:rsidRPr="00420B9D">
        <w:rPr>
          <w:color w:val="auto"/>
        </w:rPr>
        <w:t xml:space="preserve">Source: </w:t>
      </w:r>
      <w:r w:rsidRPr="00420B9D">
        <w:rPr>
          <w:color w:val="auto"/>
        </w:rPr>
        <w:tab/>
        <w:t>Reserve Bank of Australia and Treasury</w:t>
      </w:r>
    </w:p>
    <w:p w14:paraId="4CC910AA" w14:textId="0B2BB322" w:rsidR="00410A46" w:rsidRPr="00420B9D" w:rsidRDefault="00410A46" w:rsidP="00410A46">
      <w:pPr>
        <w:pStyle w:val="ChartandTableFootnote"/>
        <w:rPr>
          <w:color w:val="auto"/>
        </w:rPr>
      </w:pPr>
      <w:r w:rsidRPr="00420B9D">
        <w:rPr>
          <w:color w:val="auto"/>
        </w:rPr>
        <w:t xml:space="preserve">Note: </w:t>
      </w:r>
      <w:r w:rsidRPr="00420B9D">
        <w:rPr>
          <w:color w:val="auto"/>
        </w:rPr>
        <w:tab/>
        <w:t>Actual yields as at the end of each calendar month up to December 202</w:t>
      </w:r>
      <w:r w:rsidR="007476BE">
        <w:rPr>
          <w:color w:val="auto"/>
        </w:rPr>
        <w:t>5</w:t>
      </w:r>
      <w:r w:rsidRPr="00420B9D">
        <w:rPr>
          <w:color w:val="auto"/>
        </w:rPr>
        <w:t>.</w:t>
      </w:r>
    </w:p>
    <w:p w14:paraId="58912325" w14:textId="77777777" w:rsidR="00410A46" w:rsidRPr="00420B9D" w:rsidRDefault="00410A46" w:rsidP="00410A46">
      <w:pPr>
        <w:pStyle w:val="ChartLine"/>
      </w:pPr>
    </w:p>
    <w:p w14:paraId="15315F98" w14:textId="6DD478D0" w:rsidR="008E5EE4" w:rsidRPr="00420B9D" w:rsidRDefault="008E5EE4" w:rsidP="00410A46">
      <w:r w:rsidRPr="00420B9D">
        <w:t>Higher yields increase public debt interest payments and receipts earned on investments. As government interest bearing liabilities usually exceed interest bearing assets, higher yields lead to a deterioration in the underlying cash balance. Lower yields have the reverse effect, improving the underlying cash balance.</w:t>
      </w:r>
    </w:p>
    <w:p w14:paraId="60F7DC6A" w14:textId="60BB0BA4" w:rsidR="00215CFB" w:rsidRPr="00420B9D" w:rsidRDefault="00215CFB" w:rsidP="00215CFB">
      <w:r w:rsidRPr="00420B9D">
        <w:t xml:space="preserve">The higher yield assumption results in a deterioration to the underlying cash balance of </w:t>
      </w:r>
      <w:r w:rsidR="00802752" w:rsidRPr="003260FC">
        <w:t>0.3</w:t>
      </w:r>
      <w:r w:rsidR="00BF63D4" w:rsidRPr="003260FC">
        <w:t> </w:t>
      </w:r>
      <w:r w:rsidRPr="00420B9D">
        <w:t xml:space="preserve">percentage points of GDP by 2035–36 and increases gross debt by </w:t>
      </w:r>
      <w:r w:rsidR="00802752" w:rsidRPr="003260FC">
        <w:t>1.8</w:t>
      </w:r>
      <w:r w:rsidRPr="00420B9D">
        <w:t xml:space="preserve"> percentage points of GDP at 30 June 2036 (Chart 5.2).</w:t>
      </w:r>
    </w:p>
    <w:p w14:paraId="30F3A7C5" w14:textId="4F7F9DC5" w:rsidR="009024F6" w:rsidRPr="00420B9D" w:rsidRDefault="00215CFB" w:rsidP="003952C3">
      <w:r w:rsidRPr="00420B9D">
        <w:t xml:space="preserve">The lower yield assumption results in an improvement to the underlying cash balance of </w:t>
      </w:r>
      <w:r w:rsidR="00297A54" w:rsidRPr="003260FC">
        <w:t>0.2</w:t>
      </w:r>
      <w:r w:rsidRPr="00420B9D">
        <w:t xml:space="preserve"> percentage points of GDP by 2035–36. Under the lower yield assumption, cumulative improvements to the underlying cash balance reduce gross debt by </w:t>
      </w:r>
      <w:r w:rsidR="00297A54" w:rsidRPr="003260FC">
        <w:t>1.8</w:t>
      </w:r>
      <w:r w:rsidRPr="00420B9D">
        <w:t xml:space="preserve"> percentage points of GDP at 30 June 2036</w:t>
      </w:r>
      <w:r w:rsidRPr="003260FC">
        <w:t>.</w:t>
      </w:r>
      <w:r w:rsidR="009024F6" w:rsidRPr="00420B9D">
        <w:br w:type="page"/>
      </w:r>
    </w:p>
    <w:p w14:paraId="140D4472" w14:textId="30E4AAF7" w:rsidR="009024F6" w:rsidRPr="00420B9D" w:rsidRDefault="009024F6" w:rsidP="009024F6">
      <w:pPr>
        <w:pStyle w:val="ChartMainHeading"/>
      </w:pPr>
      <w:r w:rsidRPr="00420B9D">
        <w:lastRenderedPageBreak/>
        <w:t>Chart 5.2</w:t>
      </w:r>
      <w:r w:rsidR="00F732A0">
        <w:t>:</w:t>
      </w:r>
      <w:r w:rsidRPr="00420B9D">
        <w:t xml:space="preserve"> Gross debt, impact of alternative yield assumptions</w:t>
      </w:r>
    </w:p>
    <w:p w14:paraId="5C077BFD" w14:textId="0EC0806B" w:rsidR="009024F6" w:rsidRPr="00420B9D" w:rsidRDefault="000D10F3" w:rsidP="009024F6">
      <w:pPr>
        <w:pStyle w:val="ChartGraphic"/>
      </w:pPr>
      <w:r>
        <w:rPr>
          <w:noProof/>
        </w:rPr>
        <w:drawing>
          <wp:inline distT="0" distB="0" distL="0" distR="0" wp14:anchorId="0C0E4657" wp14:editId="7CA4FD62">
            <wp:extent cx="4679621" cy="2880000"/>
            <wp:effectExtent l="0" t="0" r="0" b="0"/>
            <wp:docPr id="298540674" name="Graphic 2" descr="The chart compares gross debt as a share of GDP from 2025-26 to 2035-36 under the baseline, higher yield and lower yield assumptions. Under the baseline, gross debt-to-GDP peaks at 37.0 per cent in 2030-31, and falls to 33.0 per cent in 2035-36. Under the lower yield assumption it peaks at 36.0 in 2030-31 and falls to 31.2 per cent in 2035-36. Under the higher yield assumption it peaks at 38.0 in 2030-31 and falls to 34.8 per cent in 20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40674" name="Graphic 2" descr="The chart compares gross debt as a share of GDP from 2025-26 to 2035-36 under the baseline, higher yield and lower yield assumptions. Under the baseline, gross debt-to-GDP peaks at 37.0 per cent in 2030-31, and falls to 33.0 per cent in 2035-36. Under the lower yield assumption it peaks at 36.0 in 2030-31 and falls to 31.2 per cent in 2035-36. Under the higher yield assumption it peaks at 38.0 in 2030-31 and falls to 34.8 per cent in 2035-36."/>
                    <pic:cNvPicPr/>
                  </pic:nvPicPr>
                  <pic:blipFill>
                    <a:blip r:embed="rId9">
                      <a:extLst>
                        <a:ext uri="{96DAC541-7B7A-43D3-8B79-37D633B846F1}">
                          <asvg:svgBlip xmlns:asvg="http://schemas.microsoft.com/office/drawing/2016/SVG/main" r:embed="rId10"/>
                        </a:ext>
                      </a:extLst>
                    </a:blip>
                    <a:stretch>
                      <a:fillRect/>
                    </a:stretch>
                  </pic:blipFill>
                  <pic:spPr>
                    <a:xfrm>
                      <a:off x="0" y="0"/>
                      <a:ext cx="4679621" cy="2880000"/>
                    </a:xfrm>
                    <a:prstGeom prst="rect">
                      <a:avLst/>
                    </a:prstGeom>
                  </pic:spPr>
                </pic:pic>
              </a:graphicData>
            </a:graphic>
          </wp:inline>
        </w:drawing>
      </w:r>
    </w:p>
    <w:p w14:paraId="262C8A0E" w14:textId="71EB610B" w:rsidR="009024F6" w:rsidRPr="00720033" w:rsidRDefault="009024F6" w:rsidP="009024F6">
      <w:pPr>
        <w:pStyle w:val="ChartandTableFootnote"/>
        <w:rPr>
          <w:color w:val="auto"/>
        </w:rPr>
      </w:pPr>
      <w:r w:rsidRPr="00420B9D">
        <w:rPr>
          <w:color w:val="auto"/>
        </w:rPr>
        <w:t xml:space="preserve">Source: </w:t>
      </w:r>
      <w:r w:rsidRPr="00420B9D">
        <w:rPr>
          <w:color w:val="auto"/>
        </w:rPr>
        <w:tab/>
        <w:t>Australian Office of Financial Management and Treasury</w:t>
      </w:r>
    </w:p>
    <w:p w14:paraId="15B8F934" w14:textId="1D0DB499" w:rsidR="009024F6" w:rsidRPr="0085320F" w:rsidRDefault="009024F6" w:rsidP="009024F6">
      <w:pPr>
        <w:pStyle w:val="ChartLine"/>
      </w:pPr>
    </w:p>
    <w:sectPr w:rsidR="009024F6" w:rsidRPr="0085320F" w:rsidSect="005004D8">
      <w:headerReference w:type="even" r:id="rId11"/>
      <w:headerReference w:type="default" r:id="rId12"/>
      <w:footerReference w:type="even" r:id="rId13"/>
      <w:footerReference w:type="default" r:id="rId14"/>
      <w:headerReference w:type="first" r:id="rId15"/>
      <w:footerReference w:type="first" r:id="rId16"/>
      <w:footnotePr>
        <w:numStart w:val="2"/>
      </w:footnotePr>
      <w:pgSz w:w="11906" w:h="16838" w:code="9"/>
      <w:pgMar w:top="2835" w:right="2098" w:bottom="2466" w:left="2098" w:header="1814" w:footer="1814"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DDB6" w14:textId="77777777" w:rsidR="00795526" w:rsidRDefault="00795526" w:rsidP="00E40261">
      <w:pPr>
        <w:spacing w:after="0" w:line="240" w:lineRule="auto"/>
      </w:pPr>
      <w:r>
        <w:separator/>
      </w:r>
    </w:p>
  </w:endnote>
  <w:endnote w:type="continuationSeparator" w:id="0">
    <w:p w14:paraId="2CFEF671" w14:textId="77777777" w:rsidR="00795526" w:rsidRDefault="00795526" w:rsidP="00E40261">
      <w:pPr>
        <w:spacing w:after="0" w:line="240" w:lineRule="auto"/>
      </w:pPr>
      <w:r>
        <w:continuationSeparator/>
      </w:r>
    </w:p>
  </w:endnote>
  <w:endnote w:type="continuationNotice" w:id="1">
    <w:p w14:paraId="76C9352D" w14:textId="77777777" w:rsidR="00795526" w:rsidRDefault="007955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4AAC" w14:textId="58DBCF75" w:rsidR="0007571E" w:rsidRDefault="008923B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9768F5">
        <w:t>Part 5: Sensitivity Analysis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EACF" w14:textId="7748A96B" w:rsidR="0007571E" w:rsidRDefault="009768F5" w:rsidP="009F3CAB">
    <w:pPr>
      <w:pStyle w:val="FooterOdd"/>
    </w:pPr>
    <w:fldSimple w:instr="SUBJECT   \* MERGEFORMAT">
      <w:r>
        <w:t>Part 5: Sensitivity Analysis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F762" w14:textId="27FFFDDC" w:rsidR="0007571E" w:rsidRDefault="009768F5" w:rsidP="00360947">
    <w:pPr>
      <w:pStyle w:val="FooterOdd"/>
    </w:pPr>
    <w:fldSimple w:instr="SUBJECT   \* MERGEFORMAT">
      <w:r>
        <w:t>Part 5: Sensitivity Analysis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42A2" w14:textId="77777777" w:rsidR="00795526" w:rsidRPr="003C1CA4" w:rsidRDefault="00795526"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A53211B" w14:textId="77777777" w:rsidR="00795526" w:rsidRDefault="00795526" w:rsidP="00E40261">
      <w:pPr>
        <w:spacing w:after="0" w:line="240" w:lineRule="auto"/>
      </w:pPr>
      <w:r>
        <w:continuationSeparator/>
      </w:r>
    </w:p>
  </w:footnote>
  <w:footnote w:type="continuationNotice" w:id="1">
    <w:p w14:paraId="2C2DC8E0" w14:textId="77777777" w:rsidR="00795526" w:rsidRDefault="00795526">
      <w:pPr>
        <w:spacing w:before="0" w:after="0" w:line="240" w:lineRule="auto"/>
      </w:pPr>
    </w:p>
  </w:footnote>
  <w:footnote w:id="2">
    <w:p w14:paraId="57EC915E" w14:textId="42FB9695" w:rsidR="00D330AF" w:rsidRPr="00E31352" w:rsidRDefault="007E2641" w:rsidP="00D330AF">
      <w:pPr>
        <w:pStyle w:val="FootnoteText"/>
      </w:pPr>
      <w:r w:rsidRPr="007E2641">
        <w:footnoteRef/>
      </w:r>
      <w:r w:rsidR="00D330AF" w:rsidRPr="008C0BB4">
        <w:t xml:space="preserve"> </w:t>
      </w:r>
      <w:r w:rsidR="00D330AF" w:rsidRPr="00720033">
        <w:tab/>
      </w:r>
      <w:r w:rsidR="00D330AF" w:rsidRPr="004326B3">
        <w:t>Assessments of past forecasting performance and confidence interval analysis of forecasts are included in the 202</w:t>
      </w:r>
      <w:r w:rsidR="00BD53C8" w:rsidRPr="004326B3">
        <w:t>5</w:t>
      </w:r>
      <w:r w:rsidR="00D330AF" w:rsidRPr="004326B3">
        <w:t>–2</w:t>
      </w:r>
      <w:r w:rsidR="00BD53C8" w:rsidRPr="004326B3">
        <w:t>6</w:t>
      </w:r>
      <w:r w:rsidR="00D330AF" w:rsidRPr="004326B3">
        <w:t xml:space="preserve"> Budget, Budget Paper No 1: Statement </w:t>
      </w:r>
      <w:r w:rsidR="00BD53C8" w:rsidRPr="004326B3">
        <w:t>7</w:t>
      </w:r>
      <w:r w:rsidR="00D330AF" w:rsidRPr="004326B3">
        <w:t xml:space="preserve">: </w:t>
      </w:r>
      <w:r w:rsidR="00D330AF" w:rsidRPr="002E3D67">
        <w:rPr>
          <w:i/>
          <w:iCs/>
        </w:rPr>
        <w:t>Forecasting Performance and Sensitivity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7B3A" w14:textId="39E64BDF"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9885FAD" w14:textId="77777777">
      <w:trPr>
        <w:trHeight w:hRule="exact" w:val="340"/>
      </w:trPr>
      <w:tc>
        <w:tcPr>
          <w:tcW w:w="7797" w:type="dxa"/>
        </w:tcPr>
        <w:p w14:paraId="58713197" w14:textId="06C55C83" w:rsidR="0007571E" w:rsidRPr="008C56E1" w:rsidRDefault="0007571E" w:rsidP="00F60EA1">
          <w:pPr>
            <w:pStyle w:val="HeaderEven"/>
          </w:pPr>
          <w:r w:rsidRPr="008C56E1">
            <w:rPr>
              <w:noProof/>
              <w:position w:val="-8"/>
            </w:rPr>
            <w:drawing>
              <wp:inline distT="0" distB="0" distL="0" distR="0" wp14:anchorId="42776972" wp14:editId="621FEAE0">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TITLE   \* MERGEFORMAT">
            <w:r w:rsidR="009768F5">
              <w:t>Mid-Year Economic and Fiscal Outlook 2025–26</w:t>
            </w:r>
          </w:fldSimple>
        </w:p>
      </w:tc>
    </w:tr>
  </w:tbl>
  <w:p w14:paraId="4FCB1FF3" w14:textId="77777777" w:rsidR="0007571E" w:rsidRPr="00AA5439" w:rsidRDefault="0007571E" w:rsidP="00AA5439">
    <w:pPr>
      <w:pStyle w:val="HeaderEven"/>
      <w:rPr>
        <w:sz w:val="2"/>
        <w:szCs w:val="4"/>
      </w:rPr>
    </w:pPr>
  </w:p>
  <w:p w14:paraId="3E959EA5"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1FCAEDB" w14:textId="77777777" w:rsidTr="001051B9">
      <w:trPr>
        <w:trHeight w:hRule="exact" w:val="340"/>
      </w:trPr>
      <w:tc>
        <w:tcPr>
          <w:tcW w:w="7797" w:type="dxa"/>
          <w:tcMar>
            <w:left w:w="108" w:type="dxa"/>
            <w:right w:w="108" w:type="dxa"/>
          </w:tcMar>
        </w:tcPr>
        <w:p w14:paraId="05BCAB1A" w14:textId="6AE34B24" w:rsidR="0007571E" w:rsidRPr="00D13BF9" w:rsidRDefault="009768F5" w:rsidP="00D13BF9">
          <w:pPr>
            <w:pStyle w:val="HeaderOdd"/>
          </w:pPr>
          <w:fldSimple w:instr="TITLE   \* MERGEFORMAT">
            <w:r>
              <w:t>Mid-Year Economic and Fiscal Outlook 2025–26</w:t>
            </w:r>
          </w:fldSimple>
          <w:r w:rsidR="0007571E" w:rsidRPr="00081542">
            <w:t> | </w:t>
          </w:r>
          <w:r w:rsidR="0007571E" w:rsidRPr="002709D2">
            <w:rPr>
              <w:noProof/>
              <w:position w:val="-8"/>
              <w:vertAlign w:val="subscript"/>
            </w:rPr>
            <w:drawing>
              <wp:inline distT="0" distB="0" distL="0" distR="0" wp14:anchorId="1585F57D" wp14:editId="7D8277BD">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5CCDA0E" w14:textId="3DCDA73D"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C12" w14:textId="6FACD1E4" w:rsidR="0007571E" w:rsidRDefault="0007571E">
    <w:pPr>
      <w:pStyle w:val="Header"/>
      <w:rPr>
        <w:sz w:val="2"/>
        <w:szCs w:val="2"/>
      </w:rPr>
    </w:pPr>
  </w:p>
  <w:p w14:paraId="1A4CF250" w14:textId="77777777" w:rsidR="0007571E" w:rsidRDefault="0007571E">
    <w:pPr>
      <w:pStyle w:val="Header"/>
      <w:rPr>
        <w:sz w:val="2"/>
        <w:szCs w:val="2"/>
      </w:rPr>
    </w:pPr>
  </w:p>
  <w:p w14:paraId="34877D12" w14:textId="49791BAF"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53ABB"/>
    <w:rsid w:val="000004EA"/>
    <w:rsid w:val="00003A7E"/>
    <w:rsid w:val="00005D39"/>
    <w:rsid w:val="0001039B"/>
    <w:rsid w:val="00010968"/>
    <w:rsid w:val="000110C0"/>
    <w:rsid w:val="00011DBB"/>
    <w:rsid w:val="00013EA8"/>
    <w:rsid w:val="00016FCA"/>
    <w:rsid w:val="00024BA4"/>
    <w:rsid w:val="00026120"/>
    <w:rsid w:val="000272A4"/>
    <w:rsid w:val="00035D8D"/>
    <w:rsid w:val="0004064B"/>
    <w:rsid w:val="00040850"/>
    <w:rsid w:val="000410CF"/>
    <w:rsid w:val="00041158"/>
    <w:rsid w:val="00041368"/>
    <w:rsid w:val="00042D8D"/>
    <w:rsid w:val="00045434"/>
    <w:rsid w:val="0005060A"/>
    <w:rsid w:val="00052E80"/>
    <w:rsid w:val="000546EB"/>
    <w:rsid w:val="00055B64"/>
    <w:rsid w:val="00057132"/>
    <w:rsid w:val="00060916"/>
    <w:rsid w:val="00060E97"/>
    <w:rsid w:val="0006152C"/>
    <w:rsid w:val="00062060"/>
    <w:rsid w:val="000622DA"/>
    <w:rsid w:val="000635BE"/>
    <w:rsid w:val="0006445C"/>
    <w:rsid w:val="00066AE8"/>
    <w:rsid w:val="000733FF"/>
    <w:rsid w:val="0007571E"/>
    <w:rsid w:val="00081542"/>
    <w:rsid w:val="0008399A"/>
    <w:rsid w:val="0008597F"/>
    <w:rsid w:val="00090721"/>
    <w:rsid w:val="000914EA"/>
    <w:rsid w:val="0009366E"/>
    <w:rsid w:val="000A3C05"/>
    <w:rsid w:val="000A4760"/>
    <w:rsid w:val="000A6384"/>
    <w:rsid w:val="000B18AF"/>
    <w:rsid w:val="000B18F5"/>
    <w:rsid w:val="000B38A8"/>
    <w:rsid w:val="000B498A"/>
    <w:rsid w:val="000B7BE5"/>
    <w:rsid w:val="000C1C2F"/>
    <w:rsid w:val="000C25CF"/>
    <w:rsid w:val="000C3949"/>
    <w:rsid w:val="000C7DB6"/>
    <w:rsid w:val="000D10F3"/>
    <w:rsid w:val="000D6358"/>
    <w:rsid w:val="000D78F4"/>
    <w:rsid w:val="000E105B"/>
    <w:rsid w:val="000E149B"/>
    <w:rsid w:val="000E5480"/>
    <w:rsid w:val="000E638A"/>
    <w:rsid w:val="000E73C9"/>
    <w:rsid w:val="000F71C5"/>
    <w:rsid w:val="00103F65"/>
    <w:rsid w:val="00104117"/>
    <w:rsid w:val="00104C75"/>
    <w:rsid w:val="00104D87"/>
    <w:rsid w:val="001051B9"/>
    <w:rsid w:val="00105B28"/>
    <w:rsid w:val="0011175D"/>
    <w:rsid w:val="00112465"/>
    <w:rsid w:val="00113F14"/>
    <w:rsid w:val="001152FA"/>
    <w:rsid w:val="00115DB4"/>
    <w:rsid w:val="00117B5F"/>
    <w:rsid w:val="001204EC"/>
    <w:rsid w:val="001252F5"/>
    <w:rsid w:val="00130095"/>
    <w:rsid w:val="0013662B"/>
    <w:rsid w:val="00136AF9"/>
    <w:rsid w:val="00137EC1"/>
    <w:rsid w:val="001472CA"/>
    <w:rsid w:val="00150B86"/>
    <w:rsid w:val="00151ED2"/>
    <w:rsid w:val="00154C52"/>
    <w:rsid w:val="00155C29"/>
    <w:rsid w:val="00160928"/>
    <w:rsid w:val="00163822"/>
    <w:rsid w:val="0016388A"/>
    <w:rsid w:val="00164CAD"/>
    <w:rsid w:val="00165ECE"/>
    <w:rsid w:val="00172CFE"/>
    <w:rsid w:val="001737B6"/>
    <w:rsid w:val="00175B72"/>
    <w:rsid w:val="001803B4"/>
    <w:rsid w:val="00185F2E"/>
    <w:rsid w:val="00186859"/>
    <w:rsid w:val="00186DA1"/>
    <w:rsid w:val="0019115B"/>
    <w:rsid w:val="001934B2"/>
    <w:rsid w:val="00195074"/>
    <w:rsid w:val="001970E6"/>
    <w:rsid w:val="0019745B"/>
    <w:rsid w:val="00197D17"/>
    <w:rsid w:val="001A5569"/>
    <w:rsid w:val="001A5A92"/>
    <w:rsid w:val="001A7712"/>
    <w:rsid w:val="001B3722"/>
    <w:rsid w:val="001B7232"/>
    <w:rsid w:val="001C29BA"/>
    <w:rsid w:val="001C3B4C"/>
    <w:rsid w:val="001C482F"/>
    <w:rsid w:val="001C5B71"/>
    <w:rsid w:val="001C5E21"/>
    <w:rsid w:val="001D33D6"/>
    <w:rsid w:val="001D3504"/>
    <w:rsid w:val="001D56EB"/>
    <w:rsid w:val="001E430E"/>
    <w:rsid w:val="001E586F"/>
    <w:rsid w:val="001E6FD3"/>
    <w:rsid w:val="001E7227"/>
    <w:rsid w:val="001F03F8"/>
    <w:rsid w:val="001F08E1"/>
    <w:rsid w:val="001F0F65"/>
    <w:rsid w:val="00201763"/>
    <w:rsid w:val="00206A05"/>
    <w:rsid w:val="0020736B"/>
    <w:rsid w:val="002115A0"/>
    <w:rsid w:val="00212646"/>
    <w:rsid w:val="002140C4"/>
    <w:rsid w:val="00214917"/>
    <w:rsid w:val="00215CFB"/>
    <w:rsid w:val="00224F60"/>
    <w:rsid w:val="00230298"/>
    <w:rsid w:val="00237F04"/>
    <w:rsid w:val="002406FE"/>
    <w:rsid w:val="00242462"/>
    <w:rsid w:val="00242479"/>
    <w:rsid w:val="00242944"/>
    <w:rsid w:val="0024521A"/>
    <w:rsid w:val="00250208"/>
    <w:rsid w:val="002543F7"/>
    <w:rsid w:val="0026494B"/>
    <w:rsid w:val="002661BF"/>
    <w:rsid w:val="00267200"/>
    <w:rsid w:val="002709D2"/>
    <w:rsid w:val="00273DDA"/>
    <w:rsid w:val="00276BBB"/>
    <w:rsid w:val="0027777B"/>
    <w:rsid w:val="00281716"/>
    <w:rsid w:val="00285341"/>
    <w:rsid w:val="0029665E"/>
    <w:rsid w:val="00297A54"/>
    <w:rsid w:val="002A6696"/>
    <w:rsid w:val="002A6A16"/>
    <w:rsid w:val="002A74EE"/>
    <w:rsid w:val="002B152B"/>
    <w:rsid w:val="002B6106"/>
    <w:rsid w:val="002C0072"/>
    <w:rsid w:val="002C2097"/>
    <w:rsid w:val="002C3DEB"/>
    <w:rsid w:val="002C5861"/>
    <w:rsid w:val="002C596C"/>
    <w:rsid w:val="002C6C7C"/>
    <w:rsid w:val="002D25BC"/>
    <w:rsid w:val="002D3D8C"/>
    <w:rsid w:val="002D789E"/>
    <w:rsid w:val="002E10D6"/>
    <w:rsid w:val="002E22A7"/>
    <w:rsid w:val="002E3D67"/>
    <w:rsid w:val="002E490A"/>
    <w:rsid w:val="002E638A"/>
    <w:rsid w:val="002E7A4B"/>
    <w:rsid w:val="002E7B71"/>
    <w:rsid w:val="002F40F3"/>
    <w:rsid w:val="002F647C"/>
    <w:rsid w:val="00302805"/>
    <w:rsid w:val="003035BC"/>
    <w:rsid w:val="00304565"/>
    <w:rsid w:val="00305105"/>
    <w:rsid w:val="00305A01"/>
    <w:rsid w:val="00312F95"/>
    <w:rsid w:val="003162EC"/>
    <w:rsid w:val="003205DD"/>
    <w:rsid w:val="00325A08"/>
    <w:rsid w:val="003260FC"/>
    <w:rsid w:val="00327947"/>
    <w:rsid w:val="003303B0"/>
    <w:rsid w:val="00334F56"/>
    <w:rsid w:val="003353DC"/>
    <w:rsid w:val="0033584B"/>
    <w:rsid w:val="003421CD"/>
    <w:rsid w:val="0034387B"/>
    <w:rsid w:val="003448BE"/>
    <w:rsid w:val="003451F5"/>
    <w:rsid w:val="00345BB5"/>
    <w:rsid w:val="003478ED"/>
    <w:rsid w:val="00347E29"/>
    <w:rsid w:val="003506C0"/>
    <w:rsid w:val="00351EE9"/>
    <w:rsid w:val="00356CA4"/>
    <w:rsid w:val="00357857"/>
    <w:rsid w:val="00360947"/>
    <w:rsid w:val="0036130E"/>
    <w:rsid w:val="0036308C"/>
    <w:rsid w:val="003657D7"/>
    <w:rsid w:val="00366AD2"/>
    <w:rsid w:val="00367B11"/>
    <w:rsid w:val="0037381B"/>
    <w:rsid w:val="00376330"/>
    <w:rsid w:val="00377927"/>
    <w:rsid w:val="00380E6D"/>
    <w:rsid w:val="00381D29"/>
    <w:rsid w:val="00382E3D"/>
    <w:rsid w:val="0038484C"/>
    <w:rsid w:val="00390951"/>
    <w:rsid w:val="00391836"/>
    <w:rsid w:val="00394877"/>
    <w:rsid w:val="003950E4"/>
    <w:rsid w:val="003952C3"/>
    <w:rsid w:val="003A0B6C"/>
    <w:rsid w:val="003A3AC2"/>
    <w:rsid w:val="003A538D"/>
    <w:rsid w:val="003A57C9"/>
    <w:rsid w:val="003A703F"/>
    <w:rsid w:val="003B2577"/>
    <w:rsid w:val="003B3670"/>
    <w:rsid w:val="003C128D"/>
    <w:rsid w:val="003C1580"/>
    <w:rsid w:val="003C1CA4"/>
    <w:rsid w:val="003C3D79"/>
    <w:rsid w:val="003D0ED1"/>
    <w:rsid w:val="003D2287"/>
    <w:rsid w:val="003D5E14"/>
    <w:rsid w:val="003D6C17"/>
    <w:rsid w:val="003E632B"/>
    <w:rsid w:val="003F1FD5"/>
    <w:rsid w:val="003F3504"/>
    <w:rsid w:val="003F42F4"/>
    <w:rsid w:val="003F4363"/>
    <w:rsid w:val="003F70BC"/>
    <w:rsid w:val="003F7529"/>
    <w:rsid w:val="00400FD0"/>
    <w:rsid w:val="00406FC1"/>
    <w:rsid w:val="00410A46"/>
    <w:rsid w:val="00410AC2"/>
    <w:rsid w:val="00410D4B"/>
    <w:rsid w:val="00411D4D"/>
    <w:rsid w:val="00413EBF"/>
    <w:rsid w:val="00414D61"/>
    <w:rsid w:val="00417223"/>
    <w:rsid w:val="00420B9D"/>
    <w:rsid w:val="00421525"/>
    <w:rsid w:val="00422C38"/>
    <w:rsid w:val="004233DE"/>
    <w:rsid w:val="00426113"/>
    <w:rsid w:val="004271C3"/>
    <w:rsid w:val="00430D04"/>
    <w:rsid w:val="004326B3"/>
    <w:rsid w:val="00433F61"/>
    <w:rsid w:val="00435987"/>
    <w:rsid w:val="004440A9"/>
    <w:rsid w:val="004447E6"/>
    <w:rsid w:val="004479B6"/>
    <w:rsid w:val="00447E2C"/>
    <w:rsid w:val="00450D78"/>
    <w:rsid w:val="0045334A"/>
    <w:rsid w:val="00456EC6"/>
    <w:rsid w:val="00457823"/>
    <w:rsid w:val="00457AE3"/>
    <w:rsid w:val="0046291B"/>
    <w:rsid w:val="004629D2"/>
    <w:rsid w:val="0046391C"/>
    <w:rsid w:val="004712D5"/>
    <w:rsid w:val="004835A2"/>
    <w:rsid w:val="0048563A"/>
    <w:rsid w:val="00495DFB"/>
    <w:rsid w:val="00497E7C"/>
    <w:rsid w:val="004A5FDD"/>
    <w:rsid w:val="004B2BC7"/>
    <w:rsid w:val="004C18E9"/>
    <w:rsid w:val="004C3F27"/>
    <w:rsid w:val="004C40C8"/>
    <w:rsid w:val="004C6A63"/>
    <w:rsid w:val="004D0951"/>
    <w:rsid w:val="004D1DFF"/>
    <w:rsid w:val="004D1FBD"/>
    <w:rsid w:val="004D2714"/>
    <w:rsid w:val="004D5973"/>
    <w:rsid w:val="004D690A"/>
    <w:rsid w:val="004D7B46"/>
    <w:rsid w:val="004E125C"/>
    <w:rsid w:val="004E55CA"/>
    <w:rsid w:val="004E70F2"/>
    <w:rsid w:val="004F0541"/>
    <w:rsid w:val="004F3FD9"/>
    <w:rsid w:val="004F60DD"/>
    <w:rsid w:val="005004D8"/>
    <w:rsid w:val="0050294F"/>
    <w:rsid w:val="00513FCE"/>
    <w:rsid w:val="005151D9"/>
    <w:rsid w:val="005200A5"/>
    <w:rsid w:val="00520B26"/>
    <w:rsid w:val="0052119B"/>
    <w:rsid w:val="00522757"/>
    <w:rsid w:val="00532259"/>
    <w:rsid w:val="00535D49"/>
    <w:rsid w:val="00540AE3"/>
    <w:rsid w:val="00543863"/>
    <w:rsid w:val="005476BD"/>
    <w:rsid w:val="00551E44"/>
    <w:rsid w:val="00551E91"/>
    <w:rsid w:val="0055529F"/>
    <w:rsid w:val="00555FFC"/>
    <w:rsid w:val="00557806"/>
    <w:rsid w:val="005579CA"/>
    <w:rsid w:val="00560A05"/>
    <w:rsid w:val="005617B5"/>
    <w:rsid w:val="00562EDC"/>
    <w:rsid w:val="0056407F"/>
    <w:rsid w:val="005642C7"/>
    <w:rsid w:val="00564EBD"/>
    <w:rsid w:val="00565D91"/>
    <w:rsid w:val="00566A71"/>
    <w:rsid w:val="005716D4"/>
    <w:rsid w:val="005718AB"/>
    <w:rsid w:val="00572963"/>
    <w:rsid w:val="00573E2D"/>
    <w:rsid w:val="00575441"/>
    <w:rsid w:val="00580067"/>
    <w:rsid w:val="005860F3"/>
    <w:rsid w:val="005910CB"/>
    <w:rsid w:val="005A1748"/>
    <w:rsid w:val="005A43A4"/>
    <w:rsid w:val="005A6F5F"/>
    <w:rsid w:val="005A7B99"/>
    <w:rsid w:val="005B0F74"/>
    <w:rsid w:val="005B1F06"/>
    <w:rsid w:val="005B2F30"/>
    <w:rsid w:val="005B3010"/>
    <w:rsid w:val="005C0420"/>
    <w:rsid w:val="005C149C"/>
    <w:rsid w:val="005C279A"/>
    <w:rsid w:val="005D23CB"/>
    <w:rsid w:val="005D2C7A"/>
    <w:rsid w:val="005D6ADA"/>
    <w:rsid w:val="005D6E95"/>
    <w:rsid w:val="005E1BB1"/>
    <w:rsid w:val="005E4F85"/>
    <w:rsid w:val="005E792C"/>
    <w:rsid w:val="005E7B61"/>
    <w:rsid w:val="005F0777"/>
    <w:rsid w:val="005F233D"/>
    <w:rsid w:val="005F23F1"/>
    <w:rsid w:val="005F6A1C"/>
    <w:rsid w:val="005F720E"/>
    <w:rsid w:val="0060305C"/>
    <w:rsid w:val="00613F9E"/>
    <w:rsid w:val="00614554"/>
    <w:rsid w:val="00614FC4"/>
    <w:rsid w:val="00620DB4"/>
    <w:rsid w:val="00622CDB"/>
    <w:rsid w:val="00635AEE"/>
    <w:rsid w:val="006378C7"/>
    <w:rsid w:val="00640E17"/>
    <w:rsid w:val="00646A27"/>
    <w:rsid w:val="00653D2B"/>
    <w:rsid w:val="00654F0E"/>
    <w:rsid w:val="006568AA"/>
    <w:rsid w:val="00656EFC"/>
    <w:rsid w:val="006574CD"/>
    <w:rsid w:val="00657E2A"/>
    <w:rsid w:val="00661209"/>
    <w:rsid w:val="00664F1B"/>
    <w:rsid w:val="00665311"/>
    <w:rsid w:val="00665EBB"/>
    <w:rsid w:val="00666D0F"/>
    <w:rsid w:val="0066778F"/>
    <w:rsid w:val="00677EBB"/>
    <w:rsid w:val="00680768"/>
    <w:rsid w:val="00682D05"/>
    <w:rsid w:val="00684472"/>
    <w:rsid w:val="00687C1A"/>
    <w:rsid w:val="00691396"/>
    <w:rsid w:val="00692105"/>
    <w:rsid w:val="00692BED"/>
    <w:rsid w:val="0069742D"/>
    <w:rsid w:val="006A2E93"/>
    <w:rsid w:val="006B557C"/>
    <w:rsid w:val="006C1494"/>
    <w:rsid w:val="006C3E1F"/>
    <w:rsid w:val="006C4175"/>
    <w:rsid w:val="006C4522"/>
    <w:rsid w:val="006C4809"/>
    <w:rsid w:val="006C4A90"/>
    <w:rsid w:val="006D446E"/>
    <w:rsid w:val="006D4A4D"/>
    <w:rsid w:val="006D54CF"/>
    <w:rsid w:val="006D68B9"/>
    <w:rsid w:val="006D7D4C"/>
    <w:rsid w:val="006E47C4"/>
    <w:rsid w:val="006E588A"/>
    <w:rsid w:val="006E7F46"/>
    <w:rsid w:val="006F0ECA"/>
    <w:rsid w:val="006F46B6"/>
    <w:rsid w:val="006F4737"/>
    <w:rsid w:val="006F5E98"/>
    <w:rsid w:val="006F7C9D"/>
    <w:rsid w:val="007013FE"/>
    <w:rsid w:val="00702304"/>
    <w:rsid w:val="007049C0"/>
    <w:rsid w:val="00712C4B"/>
    <w:rsid w:val="007131BB"/>
    <w:rsid w:val="007154DC"/>
    <w:rsid w:val="00720033"/>
    <w:rsid w:val="00722296"/>
    <w:rsid w:val="007222CD"/>
    <w:rsid w:val="0072449F"/>
    <w:rsid w:val="00724DE5"/>
    <w:rsid w:val="0073255D"/>
    <w:rsid w:val="007430B4"/>
    <w:rsid w:val="00743B62"/>
    <w:rsid w:val="0074527D"/>
    <w:rsid w:val="00746312"/>
    <w:rsid w:val="007476BE"/>
    <w:rsid w:val="007500FC"/>
    <w:rsid w:val="00754CF2"/>
    <w:rsid w:val="00754FE7"/>
    <w:rsid w:val="00755336"/>
    <w:rsid w:val="00755F34"/>
    <w:rsid w:val="007577B1"/>
    <w:rsid w:val="00761A62"/>
    <w:rsid w:val="0076313D"/>
    <w:rsid w:val="00764A2C"/>
    <w:rsid w:val="00764C06"/>
    <w:rsid w:val="007703C7"/>
    <w:rsid w:val="00770DAF"/>
    <w:rsid w:val="0077542B"/>
    <w:rsid w:val="0077542C"/>
    <w:rsid w:val="0078168F"/>
    <w:rsid w:val="00782489"/>
    <w:rsid w:val="0078375D"/>
    <w:rsid w:val="0078605E"/>
    <w:rsid w:val="00787DEE"/>
    <w:rsid w:val="00791275"/>
    <w:rsid w:val="007913DD"/>
    <w:rsid w:val="00791B46"/>
    <w:rsid w:val="00791EB1"/>
    <w:rsid w:val="00792F0C"/>
    <w:rsid w:val="00793D9D"/>
    <w:rsid w:val="00795526"/>
    <w:rsid w:val="00796929"/>
    <w:rsid w:val="007976E8"/>
    <w:rsid w:val="007A0C51"/>
    <w:rsid w:val="007A1470"/>
    <w:rsid w:val="007A19EC"/>
    <w:rsid w:val="007A6866"/>
    <w:rsid w:val="007C34E6"/>
    <w:rsid w:val="007C53AC"/>
    <w:rsid w:val="007C5874"/>
    <w:rsid w:val="007C7E3E"/>
    <w:rsid w:val="007D0F1C"/>
    <w:rsid w:val="007D447F"/>
    <w:rsid w:val="007D5AEF"/>
    <w:rsid w:val="007E01E8"/>
    <w:rsid w:val="007E2641"/>
    <w:rsid w:val="007E2A5A"/>
    <w:rsid w:val="007E32D6"/>
    <w:rsid w:val="007E5212"/>
    <w:rsid w:val="007F2B59"/>
    <w:rsid w:val="007F4BF0"/>
    <w:rsid w:val="00800133"/>
    <w:rsid w:val="008002E6"/>
    <w:rsid w:val="00802752"/>
    <w:rsid w:val="008033E7"/>
    <w:rsid w:val="00810857"/>
    <w:rsid w:val="008119EB"/>
    <w:rsid w:val="00814128"/>
    <w:rsid w:val="00822AF4"/>
    <w:rsid w:val="008240F1"/>
    <w:rsid w:val="00824E07"/>
    <w:rsid w:val="008253FB"/>
    <w:rsid w:val="0083044B"/>
    <w:rsid w:val="008336E1"/>
    <w:rsid w:val="0084725B"/>
    <w:rsid w:val="00851557"/>
    <w:rsid w:val="00856719"/>
    <w:rsid w:val="00856C62"/>
    <w:rsid w:val="00864B22"/>
    <w:rsid w:val="0087230F"/>
    <w:rsid w:val="00876B7C"/>
    <w:rsid w:val="00877279"/>
    <w:rsid w:val="00880428"/>
    <w:rsid w:val="00881984"/>
    <w:rsid w:val="00881D59"/>
    <w:rsid w:val="00885620"/>
    <w:rsid w:val="00885DA1"/>
    <w:rsid w:val="008877FF"/>
    <w:rsid w:val="008923B7"/>
    <w:rsid w:val="0089394C"/>
    <w:rsid w:val="008952B2"/>
    <w:rsid w:val="00896356"/>
    <w:rsid w:val="008968C2"/>
    <w:rsid w:val="008A037C"/>
    <w:rsid w:val="008A164C"/>
    <w:rsid w:val="008A20DF"/>
    <w:rsid w:val="008A2BE8"/>
    <w:rsid w:val="008A75E4"/>
    <w:rsid w:val="008A7A3E"/>
    <w:rsid w:val="008B0F54"/>
    <w:rsid w:val="008B7241"/>
    <w:rsid w:val="008C2AAD"/>
    <w:rsid w:val="008C53E7"/>
    <w:rsid w:val="008C56E1"/>
    <w:rsid w:val="008D13EC"/>
    <w:rsid w:val="008D3CA1"/>
    <w:rsid w:val="008D3EF8"/>
    <w:rsid w:val="008D3F8A"/>
    <w:rsid w:val="008D45DE"/>
    <w:rsid w:val="008D534D"/>
    <w:rsid w:val="008D5387"/>
    <w:rsid w:val="008D5CF9"/>
    <w:rsid w:val="008D71E5"/>
    <w:rsid w:val="008E19CE"/>
    <w:rsid w:val="008E31F3"/>
    <w:rsid w:val="008E4967"/>
    <w:rsid w:val="008E5AEC"/>
    <w:rsid w:val="008E5EE4"/>
    <w:rsid w:val="008E71FF"/>
    <w:rsid w:val="008E7225"/>
    <w:rsid w:val="008E74FC"/>
    <w:rsid w:val="008E75D6"/>
    <w:rsid w:val="008E76E8"/>
    <w:rsid w:val="008F3D86"/>
    <w:rsid w:val="008F55F8"/>
    <w:rsid w:val="00901170"/>
    <w:rsid w:val="009024F6"/>
    <w:rsid w:val="0090541C"/>
    <w:rsid w:val="00906F21"/>
    <w:rsid w:val="009142CA"/>
    <w:rsid w:val="0091638D"/>
    <w:rsid w:val="00917F11"/>
    <w:rsid w:val="00925ACB"/>
    <w:rsid w:val="009269C7"/>
    <w:rsid w:val="00931908"/>
    <w:rsid w:val="0093363A"/>
    <w:rsid w:val="009345C5"/>
    <w:rsid w:val="00936453"/>
    <w:rsid w:val="009401CC"/>
    <w:rsid w:val="00940A0F"/>
    <w:rsid w:val="0094345F"/>
    <w:rsid w:val="00943C8B"/>
    <w:rsid w:val="00945C29"/>
    <w:rsid w:val="0095269D"/>
    <w:rsid w:val="009526DA"/>
    <w:rsid w:val="00954410"/>
    <w:rsid w:val="00961582"/>
    <w:rsid w:val="0096265A"/>
    <w:rsid w:val="009647E7"/>
    <w:rsid w:val="0096D563"/>
    <w:rsid w:val="00973743"/>
    <w:rsid w:val="00974C3F"/>
    <w:rsid w:val="009768F5"/>
    <w:rsid w:val="0097764E"/>
    <w:rsid w:val="009804F5"/>
    <w:rsid w:val="00981AEF"/>
    <w:rsid w:val="00981E05"/>
    <w:rsid w:val="0098316C"/>
    <w:rsid w:val="00984610"/>
    <w:rsid w:val="0098629D"/>
    <w:rsid w:val="0099063F"/>
    <w:rsid w:val="00992FAA"/>
    <w:rsid w:val="00993E3C"/>
    <w:rsid w:val="00996BF2"/>
    <w:rsid w:val="00997029"/>
    <w:rsid w:val="009A2617"/>
    <w:rsid w:val="009A3EF3"/>
    <w:rsid w:val="009A553C"/>
    <w:rsid w:val="009A60BA"/>
    <w:rsid w:val="009A775A"/>
    <w:rsid w:val="009A7DCC"/>
    <w:rsid w:val="009B286F"/>
    <w:rsid w:val="009B2CFA"/>
    <w:rsid w:val="009B3AA3"/>
    <w:rsid w:val="009C12C4"/>
    <w:rsid w:val="009C37E9"/>
    <w:rsid w:val="009C3A40"/>
    <w:rsid w:val="009C475D"/>
    <w:rsid w:val="009C4905"/>
    <w:rsid w:val="009D44CF"/>
    <w:rsid w:val="009D4A69"/>
    <w:rsid w:val="009D4ACD"/>
    <w:rsid w:val="009D7662"/>
    <w:rsid w:val="009E0B4A"/>
    <w:rsid w:val="009E2E60"/>
    <w:rsid w:val="009E766A"/>
    <w:rsid w:val="009E76A6"/>
    <w:rsid w:val="009F3CAB"/>
    <w:rsid w:val="009F4D67"/>
    <w:rsid w:val="009F6F6A"/>
    <w:rsid w:val="00A035C6"/>
    <w:rsid w:val="00A04475"/>
    <w:rsid w:val="00A06C6A"/>
    <w:rsid w:val="00A1107B"/>
    <w:rsid w:val="00A111F8"/>
    <w:rsid w:val="00A11F5D"/>
    <w:rsid w:val="00A16460"/>
    <w:rsid w:val="00A2554F"/>
    <w:rsid w:val="00A26245"/>
    <w:rsid w:val="00A267BA"/>
    <w:rsid w:val="00A268AC"/>
    <w:rsid w:val="00A27919"/>
    <w:rsid w:val="00A313F4"/>
    <w:rsid w:val="00A36880"/>
    <w:rsid w:val="00A40A63"/>
    <w:rsid w:val="00A4191A"/>
    <w:rsid w:val="00A421C5"/>
    <w:rsid w:val="00A52190"/>
    <w:rsid w:val="00A52AFA"/>
    <w:rsid w:val="00A56E93"/>
    <w:rsid w:val="00A603F4"/>
    <w:rsid w:val="00A637B0"/>
    <w:rsid w:val="00A676B6"/>
    <w:rsid w:val="00A813C7"/>
    <w:rsid w:val="00A819BF"/>
    <w:rsid w:val="00A85845"/>
    <w:rsid w:val="00A87063"/>
    <w:rsid w:val="00A93DDB"/>
    <w:rsid w:val="00AA06DF"/>
    <w:rsid w:val="00AA0ECE"/>
    <w:rsid w:val="00AA5439"/>
    <w:rsid w:val="00AA71F1"/>
    <w:rsid w:val="00AB5E51"/>
    <w:rsid w:val="00AB63E5"/>
    <w:rsid w:val="00AB707F"/>
    <w:rsid w:val="00AC1796"/>
    <w:rsid w:val="00AC1F37"/>
    <w:rsid w:val="00AC210C"/>
    <w:rsid w:val="00AC2FED"/>
    <w:rsid w:val="00AC48E3"/>
    <w:rsid w:val="00AC6F77"/>
    <w:rsid w:val="00AD68DA"/>
    <w:rsid w:val="00AD7EB7"/>
    <w:rsid w:val="00AE112C"/>
    <w:rsid w:val="00AE71B7"/>
    <w:rsid w:val="00AE7799"/>
    <w:rsid w:val="00AF6FFE"/>
    <w:rsid w:val="00AF731D"/>
    <w:rsid w:val="00AF747E"/>
    <w:rsid w:val="00AF7C33"/>
    <w:rsid w:val="00B0137C"/>
    <w:rsid w:val="00B030EB"/>
    <w:rsid w:val="00B051A6"/>
    <w:rsid w:val="00B05A49"/>
    <w:rsid w:val="00B138CD"/>
    <w:rsid w:val="00B152B8"/>
    <w:rsid w:val="00B1566C"/>
    <w:rsid w:val="00B16850"/>
    <w:rsid w:val="00B20A46"/>
    <w:rsid w:val="00B225D0"/>
    <w:rsid w:val="00B26C0C"/>
    <w:rsid w:val="00B3287D"/>
    <w:rsid w:val="00B4148E"/>
    <w:rsid w:val="00B42CA0"/>
    <w:rsid w:val="00B4662B"/>
    <w:rsid w:val="00B50D70"/>
    <w:rsid w:val="00B52529"/>
    <w:rsid w:val="00B53B0D"/>
    <w:rsid w:val="00B54EAC"/>
    <w:rsid w:val="00B55549"/>
    <w:rsid w:val="00B57DAD"/>
    <w:rsid w:val="00B61EAE"/>
    <w:rsid w:val="00B62ED2"/>
    <w:rsid w:val="00B64A19"/>
    <w:rsid w:val="00B65FEA"/>
    <w:rsid w:val="00B7067E"/>
    <w:rsid w:val="00B73D1F"/>
    <w:rsid w:val="00B742E3"/>
    <w:rsid w:val="00B75873"/>
    <w:rsid w:val="00B80FA6"/>
    <w:rsid w:val="00B83062"/>
    <w:rsid w:val="00B8393F"/>
    <w:rsid w:val="00B91AED"/>
    <w:rsid w:val="00B944BE"/>
    <w:rsid w:val="00B9545B"/>
    <w:rsid w:val="00B96A23"/>
    <w:rsid w:val="00BA2DFB"/>
    <w:rsid w:val="00BA48FB"/>
    <w:rsid w:val="00BA65D5"/>
    <w:rsid w:val="00BA7246"/>
    <w:rsid w:val="00BB207D"/>
    <w:rsid w:val="00BB44E5"/>
    <w:rsid w:val="00BB4B76"/>
    <w:rsid w:val="00BB52EC"/>
    <w:rsid w:val="00BB7E69"/>
    <w:rsid w:val="00BC2CFD"/>
    <w:rsid w:val="00BC4E72"/>
    <w:rsid w:val="00BD32AB"/>
    <w:rsid w:val="00BD3D07"/>
    <w:rsid w:val="00BD53C8"/>
    <w:rsid w:val="00BD7755"/>
    <w:rsid w:val="00BE1C44"/>
    <w:rsid w:val="00BE2420"/>
    <w:rsid w:val="00BE2EFA"/>
    <w:rsid w:val="00BE712B"/>
    <w:rsid w:val="00BF40CE"/>
    <w:rsid w:val="00BF54BA"/>
    <w:rsid w:val="00BF5B84"/>
    <w:rsid w:val="00BF5E88"/>
    <w:rsid w:val="00BF63D4"/>
    <w:rsid w:val="00BF65C5"/>
    <w:rsid w:val="00C047AA"/>
    <w:rsid w:val="00C060D7"/>
    <w:rsid w:val="00C14CEF"/>
    <w:rsid w:val="00C21049"/>
    <w:rsid w:val="00C21110"/>
    <w:rsid w:val="00C22520"/>
    <w:rsid w:val="00C256C6"/>
    <w:rsid w:val="00C33129"/>
    <w:rsid w:val="00C345A9"/>
    <w:rsid w:val="00C37934"/>
    <w:rsid w:val="00C4293F"/>
    <w:rsid w:val="00C4377C"/>
    <w:rsid w:val="00C43DE8"/>
    <w:rsid w:val="00C44195"/>
    <w:rsid w:val="00C447DC"/>
    <w:rsid w:val="00C461BE"/>
    <w:rsid w:val="00C46E26"/>
    <w:rsid w:val="00C52662"/>
    <w:rsid w:val="00C53539"/>
    <w:rsid w:val="00C5682E"/>
    <w:rsid w:val="00C56A01"/>
    <w:rsid w:val="00C601D0"/>
    <w:rsid w:val="00C631B4"/>
    <w:rsid w:val="00C64CC1"/>
    <w:rsid w:val="00C6627C"/>
    <w:rsid w:val="00C737BA"/>
    <w:rsid w:val="00C75ABC"/>
    <w:rsid w:val="00C772C3"/>
    <w:rsid w:val="00C80333"/>
    <w:rsid w:val="00C80551"/>
    <w:rsid w:val="00C809EC"/>
    <w:rsid w:val="00C81A0A"/>
    <w:rsid w:val="00C903B4"/>
    <w:rsid w:val="00C927B7"/>
    <w:rsid w:val="00C928C6"/>
    <w:rsid w:val="00C92A0D"/>
    <w:rsid w:val="00C93398"/>
    <w:rsid w:val="00C9389A"/>
    <w:rsid w:val="00C94AB7"/>
    <w:rsid w:val="00C96003"/>
    <w:rsid w:val="00C97360"/>
    <w:rsid w:val="00CA3A2B"/>
    <w:rsid w:val="00CC6004"/>
    <w:rsid w:val="00CD0E96"/>
    <w:rsid w:val="00CD1066"/>
    <w:rsid w:val="00CD3965"/>
    <w:rsid w:val="00CD3E60"/>
    <w:rsid w:val="00CD4033"/>
    <w:rsid w:val="00CD434F"/>
    <w:rsid w:val="00CE2AB7"/>
    <w:rsid w:val="00CF30F0"/>
    <w:rsid w:val="00CF569B"/>
    <w:rsid w:val="00CF6112"/>
    <w:rsid w:val="00CF7951"/>
    <w:rsid w:val="00D0412F"/>
    <w:rsid w:val="00D04981"/>
    <w:rsid w:val="00D04EA2"/>
    <w:rsid w:val="00D059D7"/>
    <w:rsid w:val="00D0734D"/>
    <w:rsid w:val="00D11453"/>
    <w:rsid w:val="00D13BF9"/>
    <w:rsid w:val="00D146F0"/>
    <w:rsid w:val="00D1656D"/>
    <w:rsid w:val="00D1685E"/>
    <w:rsid w:val="00D17801"/>
    <w:rsid w:val="00D253EE"/>
    <w:rsid w:val="00D2608C"/>
    <w:rsid w:val="00D27078"/>
    <w:rsid w:val="00D270F4"/>
    <w:rsid w:val="00D32D02"/>
    <w:rsid w:val="00D330AF"/>
    <w:rsid w:val="00D34C1A"/>
    <w:rsid w:val="00D45DF8"/>
    <w:rsid w:val="00D463CE"/>
    <w:rsid w:val="00D47C6E"/>
    <w:rsid w:val="00D51587"/>
    <w:rsid w:val="00D53300"/>
    <w:rsid w:val="00D5569F"/>
    <w:rsid w:val="00D62928"/>
    <w:rsid w:val="00D65248"/>
    <w:rsid w:val="00D70362"/>
    <w:rsid w:val="00D70E0B"/>
    <w:rsid w:val="00D7302E"/>
    <w:rsid w:val="00D75D10"/>
    <w:rsid w:val="00D81A31"/>
    <w:rsid w:val="00D82B0F"/>
    <w:rsid w:val="00D93796"/>
    <w:rsid w:val="00D9382D"/>
    <w:rsid w:val="00DA1DFB"/>
    <w:rsid w:val="00DA42A3"/>
    <w:rsid w:val="00DA58C6"/>
    <w:rsid w:val="00DB09F8"/>
    <w:rsid w:val="00DB2557"/>
    <w:rsid w:val="00DB3A58"/>
    <w:rsid w:val="00DB3F9C"/>
    <w:rsid w:val="00DB513A"/>
    <w:rsid w:val="00DC1705"/>
    <w:rsid w:val="00DC4BE9"/>
    <w:rsid w:val="00DC513B"/>
    <w:rsid w:val="00DC7201"/>
    <w:rsid w:val="00DD177C"/>
    <w:rsid w:val="00DD2600"/>
    <w:rsid w:val="00DD55C0"/>
    <w:rsid w:val="00DD6257"/>
    <w:rsid w:val="00DE16B0"/>
    <w:rsid w:val="00DE274A"/>
    <w:rsid w:val="00DE3757"/>
    <w:rsid w:val="00DE504B"/>
    <w:rsid w:val="00DE71D2"/>
    <w:rsid w:val="00DF514D"/>
    <w:rsid w:val="00DF5A91"/>
    <w:rsid w:val="00E11FAE"/>
    <w:rsid w:val="00E12720"/>
    <w:rsid w:val="00E13DFA"/>
    <w:rsid w:val="00E2126A"/>
    <w:rsid w:val="00E21AEF"/>
    <w:rsid w:val="00E24377"/>
    <w:rsid w:val="00E246A1"/>
    <w:rsid w:val="00E2712A"/>
    <w:rsid w:val="00E30119"/>
    <w:rsid w:val="00E31CC3"/>
    <w:rsid w:val="00E40261"/>
    <w:rsid w:val="00E404C5"/>
    <w:rsid w:val="00E4685E"/>
    <w:rsid w:val="00E47746"/>
    <w:rsid w:val="00E5006F"/>
    <w:rsid w:val="00E53ABB"/>
    <w:rsid w:val="00E63708"/>
    <w:rsid w:val="00E66821"/>
    <w:rsid w:val="00E70282"/>
    <w:rsid w:val="00E702E4"/>
    <w:rsid w:val="00E70E9E"/>
    <w:rsid w:val="00E71045"/>
    <w:rsid w:val="00E77E49"/>
    <w:rsid w:val="00E80210"/>
    <w:rsid w:val="00E82056"/>
    <w:rsid w:val="00E84997"/>
    <w:rsid w:val="00E85029"/>
    <w:rsid w:val="00E925B7"/>
    <w:rsid w:val="00E93DAE"/>
    <w:rsid w:val="00EA52E4"/>
    <w:rsid w:val="00EB04E3"/>
    <w:rsid w:val="00EB0D9C"/>
    <w:rsid w:val="00EB324F"/>
    <w:rsid w:val="00EB54C0"/>
    <w:rsid w:val="00EB6597"/>
    <w:rsid w:val="00EC5BFA"/>
    <w:rsid w:val="00EC6253"/>
    <w:rsid w:val="00ED134A"/>
    <w:rsid w:val="00ED2149"/>
    <w:rsid w:val="00ED2925"/>
    <w:rsid w:val="00ED557A"/>
    <w:rsid w:val="00ED6C6C"/>
    <w:rsid w:val="00EE0E1C"/>
    <w:rsid w:val="00EE3DE7"/>
    <w:rsid w:val="00EE4527"/>
    <w:rsid w:val="00EE4567"/>
    <w:rsid w:val="00EE5C22"/>
    <w:rsid w:val="00EF1B7E"/>
    <w:rsid w:val="00EF338C"/>
    <w:rsid w:val="00EF4C8A"/>
    <w:rsid w:val="00EF57A7"/>
    <w:rsid w:val="00EF5A58"/>
    <w:rsid w:val="00EF6FE7"/>
    <w:rsid w:val="00F11324"/>
    <w:rsid w:val="00F11365"/>
    <w:rsid w:val="00F12971"/>
    <w:rsid w:val="00F13D8F"/>
    <w:rsid w:val="00F20595"/>
    <w:rsid w:val="00F22903"/>
    <w:rsid w:val="00F31924"/>
    <w:rsid w:val="00F32987"/>
    <w:rsid w:val="00F34990"/>
    <w:rsid w:val="00F362DE"/>
    <w:rsid w:val="00F3743A"/>
    <w:rsid w:val="00F437B6"/>
    <w:rsid w:val="00F475E9"/>
    <w:rsid w:val="00F5099E"/>
    <w:rsid w:val="00F51DA2"/>
    <w:rsid w:val="00F51F93"/>
    <w:rsid w:val="00F54E35"/>
    <w:rsid w:val="00F563AC"/>
    <w:rsid w:val="00F60180"/>
    <w:rsid w:val="00F60EA1"/>
    <w:rsid w:val="00F66990"/>
    <w:rsid w:val="00F732A0"/>
    <w:rsid w:val="00F7665D"/>
    <w:rsid w:val="00F7677E"/>
    <w:rsid w:val="00F76E7B"/>
    <w:rsid w:val="00F813FF"/>
    <w:rsid w:val="00F83847"/>
    <w:rsid w:val="00F84F40"/>
    <w:rsid w:val="00F85472"/>
    <w:rsid w:val="00F867C9"/>
    <w:rsid w:val="00F92A8C"/>
    <w:rsid w:val="00F969C1"/>
    <w:rsid w:val="00FA4CBA"/>
    <w:rsid w:val="00FA58E7"/>
    <w:rsid w:val="00FA7D31"/>
    <w:rsid w:val="00FB2C59"/>
    <w:rsid w:val="00FB5DDD"/>
    <w:rsid w:val="00FB6DE0"/>
    <w:rsid w:val="00FB7D4F"/>
    <w:rsid w:val="00FC0F6C"/>
    <w:rsid w:val="00FC41AB"/>
    <w:rsid w:val="00FC6853"/>
    <w:rsid w:val="00FC7371"/>
    <w:rsid w:val="00FD0176"/>
    <w:rsid w:val="00FD760D"/>
    <w:rsid w:val="00FE3E4A"/>
    <w:rsid w:val="00FE48A3"/>
    <w:rsid w:val="00FE4A9E"/>
    <w:rsid w:val="00FE65EF"/>
    <w:rsid w:val="00FE6C5C"/>
    <w:rsid w:val="00FF08A4"/>
    <w:rsid w:val="00FF7429"/>
    <w:rsid w:val="00FF7479"/>
    <w:rsid w:val="239603B4"/>
    <w:rsid w:val="493A7EF2"/>
    <w:rsid w:val="493E33C6"/>
    <w:rsid w:val="55E01803"/>
    <w:rsid w:val="73B3C8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3F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C5"/>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A421C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A421C5"/>
    <w:pPr>
      <w:spacing w:before="240" w:after="240"/>
      <w:outlineLvl w:val="1"/>
    </w:pPr>
    <w:rPr>
      <w:rFonts w:ascii="Arial Bold" w:hAnsi="Arial Bold"/>
      <w:b/>
      <w:sz w:val="26"/>
    </w:rPr>
  </w:style>
  <w:style w:type="paragraph" w:styleId="Heading3">
    <w:name w:val="heading 3"/>
    <w:basedOn w:val="HeadingBase"/>
    <w:next w:val="Normal"/>
    <w:link w:val="Heading3Char"/>
    <w:qFormat/>
    <w:rsid w:val="00A421C5"/>
    <w:pPr>
      <w:spacing w:before="120" w:after="120"/>
      <w:outlineLvl w:val="2"/>
    </w:pPr>
    <w:rPr>
      <w:rFonts w:ascii="Arial Bold" w:hAnsi="Arial Bold"/>
      <w:b/>
      <w:sz w:val="22"/>
    </w:rPr>
  </w:style>
  <w:style w:type="paragraph" w:styleId="Heading4">
    <w:name w:val="heading 4"/>
    <w:basedOn w:val="HeadingBase"/>
    <w:next w:val="Normal"/>
    <w:link w:val="Heading4Char"/>
    <w:qFormat/>
    <w:rsid w:val="00A421C5"/>
    <w:pPr>
      <w:spacing w:after="120"/>
      <w:outlineLvl w:val="3"/>
    </w:pPr>
    <w:rPr>
      <w:rFonts w:ascii="Arial Bold" w:hAnsi="Arial Bold"/>
      <w:b/>
      <w:sz w:val="20"/>
    </w:rPr>
  </w:style>
  <w:style w:type="paragraph" w:styleId="Heading5">
    <w:name w:val="heading 5"/>
    <w:basedOn w:val="HeadingBase"/>
    <w:next w:val="Normal"/>
    <w:link w:val="Heading5Char"/>
    <w:qFormat/>
    <w:rsid w:val="00A421C5"/>
    <w:pPr>
      <w:spacing w:after="120"/>
      <w:outlineLvl w:val="4"/>
    </w:pPr>
    <w:rPr>
      <w:bCs/>
      <w:i/>
      <w:iCs/>
      <w:sz w:val="20"/>
      <w:szCs w:val="26"/>
    </w:rPr>
  </w:style>
  <w:style w:type="paragraph" w:styleId="Heading6">
    <w:name w:val="heading 6"/>
    <w:basedOn w:val="HeadingBase"/>
    <w:next w:val="Normal"/>
    <w:link w:val="Heading6Char"/>
    <w:rsid w:val="00A421C5"/>
    <w:pPr>
      <w:spacing w:after="120"/>
      <w:outlineLvl w:val="5"/>
    </w:pPr>
    <w:rPr>
      <w:bCs/>
      <w:sz w:val="20"/>
      <w:szCs w:val="22"/>
    </w:rPr>
  </w:style>
  <w:style w:type="paragraph" w:styleId="Heading7">
    <w:name w:val="heading 7"/>
    <w:basedOn w:val="HeadingBase"/>
    <w:next w:val="Normal"/>
    <w:link w:val="Heading7Char"/>
    <w:rsid w:val="00A421C5"/>
    <w:pPr>
      <w:spacing w:before="120"/>
      <w:outlineLvl w:val="6"/>
    </w:pPr>
    <w:rPr>
      <w:sz w:val="20"/>
      <w:szCs w:val="24"/>
    </w:rPr>
  </w:style>
  <w:style w:type="paragraph" w:styleId="Heading8">
    <w:name w:val="heading 8"/>
    <w:basedOn w:val="HeadingBase"/>
    <w:next w:val="Normal"/>
    <w:link w:val="Heading8Char"/>
    <w:rsid w:val="00A421C5"/>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A421C5"/>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A421C5"/>
    <w:pPr>
      <w:tabs>
        <w:tab w:val="center" w:pos="4153"/>
        <w:tab w:val="right" w:pos="8306"/>
      </w:tabs>
    </w:pPr>
  </w:style>
  <w:style w:type="character" w:customStyle="1" w:styleId="HeaderChar">
    <w:name w:val="Header Char"/>
    <w:basedOn w:val="DefaultParagraphFont"/>
    <w:link w:val="Header"/>
    <w:rsid w:val="00A421C5"/>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A421C5"/>
    <w:pPr>
      <w:tabs>
        <w:tab w:val="center" w:pos="4153"/>
        <w:tab w:val="right" w:pos="8306"/>
      </w:tabs>
    </w:pPr>
  </w:style>
  <w:style w:type="character" w:customStyle="1" w:styleId="FooterChar">
    <w:name w:val="Footer Char"/>
    <w:basedOn w:val="DefaultParagraphFont"/>
    <w:link w:val="Footer"/>
    <w:rsid w:val="00A421C5"/>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A421C5"/>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A421C5"/>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A421C5"/>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A421C5"/>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A421C5"/>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A421C5"/>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A421C5"/>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A421C5"/>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A421C5"/>
    <w:pPr>
      <w:jc w:val="center"/>
    </w:pPr>
    <w:rPr>
      <w:rFonts w:ascii="Arial Bold" w:hAnsi="Arial Bold"/>
      <w:b/>
      <w:caps/>
      <w:sz w:val="22"/>
    </w:rPr>
  </w:style>
  <w:style w:type="paragraph" w:customStyle="1" w:styleId="FileProperties">
    <w:name w:val="File Properties"/>
    <w:basedOn w:val="Normal"/>
    <w:rsid w:val="00A421C5"/>
    <w:pPr>
      <w:spacing w:before="0"/>
    </w:pPr>
    <w:rPr>
      <w:i/>
    </w:rPr>
  </w:style>
  <w:style w:type="paragraph" w:customStyle="1" w:styleId="AlphaParagraph">
    <w:name w:val="Alpha Paragraph"/>
    <w:basedOn w:val="Normal"/>
    <w:rsid w:val="00A421C5"/>
    <w:pPr>
      <w:numPr>
        <w:numId w:val="1"/>
      </w:numPr>
      <w:tabs>
        <w:tab w:val="clear" w:pos="567"/>
        <w:tab w:val="num" w:pos="360"/>
      </w:tabs>
      <w:ind w:left="0" w:firstLine="0"/>
    </w:pPr>
  </w:style>
  <w:style w:type="paragraph" w:customStyle="1" w:styleId="HeadingBase">
    <w:name w:val="Heading Base"/>
    <w:rsid w:val="00A421C5"/>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A421C5"/>
    <w:rPr>
      <w:bCs/>
      <w:color w:val="002A54" w:themeColor="text2"/>
      <w:szCs w:val="52"/>
    </w:rPr>
  </w:style>
  <w:style w:type="paragraph" w:customStyle="1" w:styleId="BoxText">
    <w:name w:val="Box Text"/>
    <w:basedOn w:val="Normal"/>
    <w:link w:val="BoxTextChar"/>
    <w:qFormat/>
    <w:rsid w:val="00A421C5"/>
    <w:pPr>
      <w:spacing w:before="120" w:after="120" w:line="240" w:lineRule="auto"/>
    </w:pPr>
  </w:style>
  <w:style w:type="paragraph" w:customStyle="1" w:styleId="BoxBullet">
    <w:name w:val="Box Bullet"/>
    <w:basedOn w:val="BoxText"/>
    <w:rsid w:val="00A421C5"/>
    <w:pPr>
      <w:numPr>
        <w:numId w:val="2"/>
      </w:numPr>
    </w:pPr>
  </w:style>
  <w:style w:type="paragraph" w:customStyle="1" w:styleId="BoxHeading">
    <w:name w:val="Box Heading"/>
    <w:basedOn w:val="HeadingBase"/>
    <w:next w:val="BoxText"/>
    <w:rsid w:val="00A421C5"/>
    <w:pPr>
      <w:spacing w:before="120" w:after="120"/>
    </w:pPr>
    <w:rPr>
      <w:b/>
      <w:sz w:val="20"/>
    </w:rPr>
  </w:style>
  <w:style w:type="character" w:customStyle="1" w:styleId="Heading6Char">
    <w:name w:val="Heading 6 Char"/>
    <w:basedOn w:val="DefaultParagraphFont"/>
    <w:link w:val="Heading6"/>
    <w:rsid w:val="00A421C5"/>
    <w:rPr>
      <w:rFonts w:ascii="Arial" w:eastAsia="Times New Roman" w:hAnsi="Arial" w:cs="Times New Roman"/>
      <w:bCs/>
      <w:sz w:val="20"/>
      <w:lang w:eastAsia="en-AU"/>
    </w:rPr>
  </w:style>
  <w:style w:type="paragraph" w:customStyle="1" w:styleId="Bullet">
    <w:name w:val="Bullet"/>
    <w:basedOn w:val="Normal"/>
    <w:qFormat/>
    <w:rsid w:val="00A421C5"/>
    <w:pPr>
      <w:numPr>
        <w:numId w:val="7"/>
      </w:numPr>
      <w:spacing w:after="160"/>
      <w:ind w:left="284" w:hanging="284"/>
    </w:pPr>
  </w:style>
  <w:style w:type="paragraph" w:styleId="Caption">
    <w:name w:val="caption"/>
    <w:basedOn w:val="Normal"/>
    <w:next w:val="Normal"/>
    <w:rsid w:val="00A421C5"/>
    <w:rPr>
      <w:b/>
      <w:bCs/>
    </w:rPr>
  </w:style>
  <w:style w:type="paragraph" w:customStyle="1" w:styleId="ChartandTableFootnote">
    <w:name w:val="Chart and Table Footnote"/>
    <w:basedOn w:val="HeadingBase"/>
    <w:next w:val="Normal"/>
    <w:rsid w:val="00A421C5"/>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A421C5"/>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A421C5"/>
    <w:pPr>
      <w:keepNext w:val="0"/>
      <w:tabs>
        <w:tab w:val="left" w:pos="284"/>
      </w:tabs>
      <w:jc w:val="both"/>
    </w:pPr>
    <w:rPr>
      <w:color w:val="000000"/>
      <w:sz w:val="15"/>
    </w:rPr>
  </w:style>
  <w:style w:type="paragraph" w:customStyle="1" w:styleId="ChartGraphic">
    <w:name w:val="Chart Graphic"/>
    <w:basedOn w:val="HeadingBase"/>
    <w:rsid w:val="00A421C5"/>
    <w:rPr>
      <w:sz w:val="20"/>
    </w:rPr>
  </w:style>
  <w:style w:type="paragraph" w:customStyle="1" w:styleId="TableLine">
    <w:name w:val="Table Line"/>
    <w:basedOn w:val="Normal"/>
    <w:next w:val="Normal"/>
    <w:autoRedefine/>
    <w:rsid w:val="00A421C5"/>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A421C5"/>
    <w:pPr>
      <w:spacing w:after="60"/>
    </w:pPr>
    <w:rPr>
      <w:sz w:val="19"/>
    </w:rPr>
  </w:style>
  <w:style w:type="character" w:styleId="CommentReference">
    <w:name w:val="annotation reference"/>
    <w:basedOn w:val="DefaultParagraphFont"/>
    <w:semiHidden/>
    <w:rsid w:val="00A421C5"/>
    <w:rPr>
      <w:sz w:val="16"/>
      <w:szCs w:val="16"/>
    </w:rPr>
  </w:style>
  <w:style w:type="paragraph" w:styleId="CommentText">
    <w:name w:val="annotation text"/>
    <w:basedOn w:val="Normal"/>
    <w:link w:val="CommentTextChar"/>
    <w:semiHidden/>
    <w:rsid w:val="00A421C5"/>
  </w:style>
  <w:style w:type="character" w:customStyle="1" w:styleId="CommentTextChar">
    <w:name w:val="Comment Text Char"/>
    <w:basedOn w:val="DefaultParagraphFont"/>
    <w:link w:val="CommentText"/>
    <w:semiHidden/>
    <w:rsid w:val="00A421C5"/>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A421C5"/>
    <w:rPr>
      <w:b/>
      <w:bCs/>
    </w:rPr>
  </w:style>
  <w:style w:type="character" w:customStyle="1" w:styleId="CommentSubjectChar">
    <w:name w:val="Comment Subject Char"/>
    <w:basedOn w:val="CommentTextChar"/>
    <w:link w:val="CommentSubject"/>
    <w:semiHidden/>
    <w:rsid w:val="00A421C5"/>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A421C5"/>
    <w:pPr>
      <w:spacing w:after="720"/>
      <w:outlineLvl w:val="9"/>
    </w:pPr>
  </w:style>
  <w:style w:type="character" w:styleId="Strong">
    <w:name w:val="Strong"/>
    <w:basedOn w:val="DefaultParagraphFont"/>
    <w:uiPriority w:val="22"/>
    <w:qFormat/>
    <w:rsid w:val="00A421C5"/>
    <w:rPr>
      <w:b/>
      <w:bCs/>
      <w:color w:val="auto"/>
    </w:rPr>
  </w:style>
  <w:style w:type="paragraph" w:customStyle="1" w:styleId="Dash">
    <w:name w:val="Dash"/>
    <w:basedOn w:val="Normal"/>
    <w:qFormat/>
    <w:rsid w:val="00A421C5"/>
    <w:pPr>
      <w:numPr>
        <w:ilvl w:val="1"/>
        <w:numId w:val="7"/>
      </w:numPr>
      <w:tabs>
        <w:tab w:val="left" w:pos="567"/>
      </w:tabs>
    </w:pPr>
  </w:style>
  <w:style w:type="paragraph" w:styleId="DocumentMap">
    <w:name w:val="Document Map"/>
    <w:basedOn w:val="Normal"/>
    <w:link w:val="DocumentMapChar"/>
    <w:semiHidden/>
    <w:rsid w:val="00A421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A421C5"/>
    <w:rPr>
      <w:rFonts w:ascii="Tahoma" w:eastAsia="Times New Roman" w:hAnsi="Tahoma" w:cs="Tahoma"/>
      <w:sz w:val="19"/>
      <w:szCs w:val="20"/>
      <w:shd w:val="clear" w:color="auto" w:fill="000080"/>
      <w:lang w:eastAsia="en-AU"/>
    </w:rPr>
  </w:style>
  <w:style w:type="paragraph" w:customStyle="1" w:styleId="DoubleDot">
    <w:name w:val="Double Dot"/>
    <w:basedOn w:val="Normal"/>
    <w:rsid w:val="00A421C5"/>
    <w:pPr>
      <w:numPr>
        <w:ilvl w:val="2"/>
        <w:numId w:val="7"/>
      </w:numPr>
      <w:tabs>
        <w:tab w:val="clear" w:pos="850"/>
        <w:tab w:val="num" w:pos="360"/>
        <w:tab w:val="left" w:pos="851"/>
      </w:tabs>
    </w:pPr>
  </w:style>
  <w:style w:type="paragraph" w:customStyle="1" w:styleId="FigureHeading">
    <w:name w:val="Figure Heading"/>
    <w:basedOn w:val="HeadingBase"/>
    <w:next w:val="ChartGraphic"/>
    <w:rsid w:val="00A421C5"/>
    <w:pPr>
      <w:spacing w:before="120" w:after="20"/>
    </w:pPr>
    <w:rPr>
      <w:b/>
      <w:sz w:val="20"/>
    </w:rPr>
  </w:style>
  <w:style w:type="paragraph" w:customStyle="1" w:styleId="FooterBase">
    <w:name w:val="Footer Base"/>
    <w:rsid w:val="00A421C5"/>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A421C5"/>
    <w:pPr>
      <w:pBdr>
        <w:top w:val="single" w:sz="4" w:space="10" w:color="002A54" w:themeColor="text2"/>
      </w:pBdr>
      <w:jc w:val="left"/>
    </w:pPr>
    <w:rPr>
      <w:sz w:val="18"/>
    </w:rPr>
  </w:style>
  <w:style w:type="paragraph" w:customStyle="1" w:styleId="FooterOdd">
    <w:name w:val="Footer Odd"/>
    <w:basedOn w:val="Footer"/>
    <w:qFormat/>
    <w:rsid w:val="00A421C5"/>
    <w:pPr>
      <w:pBdr>
        <w:top w:val="single" w:sz="4" w:space="10" w:color="002A54" w:themeColor="text2"/>
      </w:pBdr>
      <w:jc w:val="right"/>
    </w:pPr>
    <w:rPr>
      <w:sz w:val="18"/>
    </w:rPr>
  </w:style>
  <w:style w:type="character" w:styleId="FootnoteReference">
    <w:name w:val="footnote reference"/>
    <w:basedOn w:val="DefaultParagraphFont"/>
    <w:rsid w:val="00A421C5"/>
    <w:rPr>
      <w:vertAlign w:val="superscript"/>
    </w:rPr>
  </w:style>
  <w:style w:type="paragraph" w:styleId="FootnoteText">
    <w:name w:val="footnote text"/>
    <w:basedOn w:val="Normal"/>
    <w:link w:val="FootnoteTextChar"/>
    <w:rsid w:val="00A421C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A421C5"/>
    <w:rPr>
      <w:rFonts w:ascii="Book Antiqua" w:eastAsia="Times New Roman" w:hAnsi="Book Antiqua" w:cs="Times New Roman"/>
      <w:sz w:val="18"/>
      <w:szCs w:val="20"/>
      <w:lang w:eastAsia="en-AU"/>
    </w:rPr>
  </w:style>
  <w:style w:type="character" w:customStyle="1" w:styleId="FramedHeader">
    <w:name w:val="Framed Header"/>
    <w:basedOn w:val="DefaultParagraphFont"/>
    <w:rsid w:val="00A421C5"/>
    <w:rPr>
      <w:rFonts w:ascii="Book Antiqua" w:hAnsi="Book Antiqua"/>
      <w:i/>
      <w:dstrike w:val="0"/>
      <w:color w:val="auto"/>
      <w:sz w:val="20"/>
      <w:vertAlign w:val="baseline"/>
    </w:rPr>
  </w:style>
  <w:style w:type="paragraph" w:customStyle="1" w:styleId="HeaderBase">
    <w:name w:val="Header Base"/>
    <w:rsid w:val="00A421C5"/>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A421C5"/>
  </w:style>
  <w:style w:type="paragraph" w:customStyle="1" w:styleId="HeaderOdd">
    <w:name w:val="Header Odd"/>
    <w:basedOn w:val="HeaderBase"/>
    <w:rsid w:val="00A421C5"/>
    <w:pPr>
      <w:jc w:val="right"/>
    </w:pPr>
  </w:style>
  <w:style w:type="character" w:customStyle="1" w:styleId="Heading1Char">
    <w:name w:val="Heading 1 Char"/>
    <w:basedOn w:val="DefaultParagraphFont"/>
    <w:link w:val="Heading1"/>
    <w:rsid w:val="00A421C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A421C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A421C5"/>
    <w:rPr>
      <w:rFonts w:ascii="Arial Bold" w:eastAsia="Times New Roman" w:hAnsi="Arial Bold" w:cs="Times New Roman"/>
      <w:b/>
      <w:szCs w:val="20"/>
      <w:lang w:eastAsia="en-AU"/>
    </w:rPr>
  </w:style>
  <w:style w:type="paragraph" w:customStyle="1" w:styleId="Heading3noTOC">
    <w:name w:val="Heading 3 no TOC"/>
    <w:basedOn w:val="Heading3"/>
    <w:rsid w:val="00A421C5"/>
  </w:style>
  <w:style w:type="character" w:customStyle="1" w:styleId="Heading4Char">
    <w:name w:val="Heading 4 Char"/>
    <w:basedOn w:val="DefaultParagraphFont"/>
    <w:link w:val="Heading4"/>
    <w:rsid w:val="00A421C5"/>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A421C5"/>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A421C5"/>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A421C5"/>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A421C5"/>
    <w:rPr>
      <w:rFonts w:ascii="Times New Roman" w:hAnsi="Times New Roman"/>
      <w:vanish/>
      <w:sz w:val="16"/>
    </w:rPr>
  </w:style>
  <w:style w:type="character" w:styleId="Hyperlink">
    <w:name w:val="Hyperlink"/>
    <w:basedOn w:val="DefaultParagraphFont"/>
    <w:uiPriority w:val="99"/>
    <w:unhideWhenUsed/>
    <w:rsid w:val="00A421C5"/>
    <w:rPr>
      <w:color w:val="auto"/>
      <w:u w:val="single"/>
    </w:rPr>
  </w:style>
  <w:style w:type="paragraph" w:styleId="Index4">
    <w:name w:val="index 4"/>
    <w:basedOn w:val="Normal"/>
    <w:next w:val="Normal"/>
    <w:autoRedefine/>
    <w:semiHidden/>
    <w:rsid w:val="00A421C5"/>
    <w:pPr>
      <w:ind w:left="800" w:hanging="200"/>
    </w:pPr>
  </w:style>
  <w:style w:type="paragraph" w:styleId="Index5">
    <w:name w:val="index 5"/>
    <w:basedOn w:val="Normal"/>
    <w:next w:val="Normal"/>
    <w:autoRedefine/>
    <w:semiHidden/>
    <w:rsid w:val="00A421C5"/>
    <w:pPr>
      <w:ind w:left="1000" w:hanging="200"/>
    </w:pPr>
  </w:style>
  <w:style w:type="paragraph" w:styleId="Index6">
    <w:name w:val="index 6"/>
    <w:basedOn w:val="Normal"/>
    <w:next w:val="Normal"/>
    <w:autoRedefine/>
    <w:semiHidden/>
    <w:rsid w:val="00A421C5"/>
    <w:pPr>
      <w:ind w:left="1200" w:hanging="200"/>
    </w:pPr>
  </w:style>
  <w:style w:type="paragraph" w:styleId="Index7">
    <w:name w:val="index 7"/>
    <w:basedOn w:val="Normal"/>
    <w:next w:val="Normal"/>
    <w:autoRedefine/>
    <w:semiHidden/>
    <w:rsid w:val="00A421C5"/>
    <w:pPr>
      <w:ind w:left="1400" w:hanging="200"/>
    </w:pPr>
  </w:style>
  <w:style w:type="paragraph" w:styleId="Index8">
    <w:name w:val="index 8"/>
    <w:basedOn w:val="Normal"/>
    <w:next w:val="Normal"/>
    <w:autoRedefine/>
    <w:semiHidden/>
    <w:rsid w:val="00A421C5"/>
    <w:pPr>
      <w:ind w:left="1600" w:hanging="200"/>
    </w:pPr>
  </w:style>
  <w:style w:type="paragraph" w:styleId="Index9">
    <w:name w:val="index 9"/>
    <w:basedOn w:val="Normal"/>
    <w:next w:val="Normal"/>
    <w:autoRedefine/>
    <w:semiHidden/>
    <w:rsid w:val="00A421C5"/>
    <w:pPr>
      <w:ind w:left="1800" w:hanging="200"/>
    </w:pPr>
  </w:style>
  <w:style w:type="paragraph" w:styleId="MacroText">
    <w:name w:val="macro"/>
    <w:link w:val="MacroTextChar"/>
    <w:unhideWhenUsed/>
    <w:rsid w:val="00A421C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A421C5"/>
    <w:rPr>
      <w:rFonts w:ascii="Courier New" w:eastAsia="Times New Roman" w:hAnsi="Courier New" w:cs="Courier New"/>
      <w:sz w:val="20"/>
      <w:szCs w:val="20"/>
      <w:lang w:eastAsia="en-AU"/>
    </w:rPr>
  </w:style>
  <w:style w:type="paragraph" w:styleId="NormalIndent">
    <w:name w:val="Normal Indent"/>
    <w:basedOn w:val="Normal"/>
    <w:rsid w:val="00A421C5"/>
    <w:pPr>
      <w:ind w:left="567"/>
    </w:pPr>
  </w:style>
  <w:style w:type="paragraph" w:customStyle="1" w:styleId="NoteTableHeading">
    <w:name w:val="Note Table Heading"/>
    <w:basedOn w:val="HeadingBase"/>
    <w:next w:val="Normal"/>
    <w:rsid w:val="00A421C5"/>
    <w:pPr>
      <w:spacing w:before="240"/>
      <w:outlineLvl w:val="2"/>
    </w:pPr>
    <w:rPr>
      <w:b/>
      <w:sz w:val="20"/>
    </w:rPr>
  </w:style>
  <w:style w:type="paragraph" w:customStyle="1" w:styleId="OverviewParagraph">
    <w:name w:val="Overview Paragraph"/>
    <w:basedOn w:val="Normal"/>
    <w:rsid w:val="00A421C5"/>
    <w:pPr>
      <w:spacing w:before="120" w:after="120" w:line="240" w:lineRule="auto"/>
    </w:pPr>
  </w:style>
  <w:style w:type="character" w:styleId="PageNumber">
    <w:name w:val="page number"/>
    <w:basedOn w:val="DefaultParagraphFont"/>
    <w:rsid w:val="00A421C5"/>
    <w:rPr>
      <w:rFonts w:ascii="Arial" w:hAnsi="Arial" w:cs="Arial"/>
    </w:rPr>
  </w:style>
  <w:style w:type="paragraph" w:customStyle="1" w:styleId="SingleParagraph">
    <w:name w:val="Single Paragraph"/>
    <w:basedOn w:val="Normal"/>
    <w:rsid w:val="00A421C5"/>
    <w:pPr>
      <w:spacing w:before="0" w:after="0"/>
    </w:pPr>
  </w:style>
  <w:style w:type="paragraph" w:customStyle="1" w:styleId="Source">
    <w:name w:val="Source"/>
    <w:basedOn w:val="Normal"/>
    <w:rsid w:val="00A421C5"/>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A421C5"/>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A421C5"/>
    <w:pPr>
      <w:jc w:val="center"/>
    </w:pPr>
  </w:style>
  <w:style w:type="paragraph" w:customStyle="1" w:styleId="TableColumnHeadingLeft">
    <w:name w:val="Table Column Heading Left"/>
    <w:basedOn w:val="TableColumnHeadingBase"/>
    <w:next w:val="Normal"/>
    <w:rsid w:val="00A421C5"/>
  </w:style>
  <w:style w:type="paragraph" w:customStyle="1" w:styleId="TableColumnHeadingRight">
    <w:name w:val="Table Column Heading Right"/>
    <w:basedOn w:val="TableColumnHeadingBase"/>
    <w:next w:val="Normal"/>
    <w:rsid w:val="00A421C5"/>
    <w:pPr>
      <w:jc w:val="right"/>
    </w:pPr>
  </w:style>
  <w:style w:type="paragraph" w:customStyle="1" w:styleId="TableGraphic">
    <w:name w:val="Table Graphic"/>
    <w:basedOn w:val="Normal"/>
    <w:next w:val="Normal"/>
    <w:rsid w:val="00A421C5"/>
    <w:pPr>
      <w:spacing w:after="0" w:line="240" w:lineRule="auto"/>
      <w:ind w:right="-113"/>
    </w:pPr>
  </w:style>
  <w:style w:type="table" w:styleId="TableGrid">
    <w:name w:val="Table Grid"/>
    <w:basedOn w:val="TableNormal"/>
    <w:rsid w:val="00A421C5"/>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A421C5"/>
    <w:pPr>
      <w:spacing w:before="120" w:after="20"/>
    </w:pPr>
    <w:rPr>
      <w:b/>
      <w:sz w:val="20"/>
    </w:rPr>
  </w:style>
  <w:style w:type="paragraph" w:customStyle="1" w:styleId="TableHeadingcontinued">
    <w:name w:val="Table Heading continued"/>
    <w:basedOn w:val="HeadingBase"/>
    <w:next w:val="TableGraphic"/>
    <w:rsid w:val="00A421C5"/>
    <w:pPr>
      <w:spacing w:before="120" w:after="20"/>
    </w:pPr>
    <w:rPr>
      <w:rFonts w:ascii="Arial Bold" w:hAnsi="Arial Bold"/>
      <w:b/>
      <w:sz w:val="20"/>
    </w:rPr>
  </w:style>
  <w:style w:type="paragraph" w:styleId="TableofFigures">
    <w:name w:val="table of figures"/>
    <w:basedOn w:val="Normal"/>
    <w:next w:val="Normal"/>
    <w:rsid w:val="00A421C5"/>
  </w:style>
  <w:style w:type="paragraph" w:customStyle="1" w:styleId="TableTextBase">
    <w:name w:val="Table Text Base"/>
    <w:basedOn w:val="Normal"/>
    <w:rsid w:val="00A421C5"/>
    <w:pPr>
      <w:spacing w:before="20" w:after="20" w:line="240" w:lineRule="auto"/>
    </w:pPr>
    <w:rPr>
      <w:rFonts w:ascii="Arial" w:hAnsi="Arial"/>
      <w:sz w:val="16"/>
    </w:rPr>
  </w:style>
  <w:style w:type="paragraph" w:customStyle="1" w:styleId="TableTextCentred">
    <w:name w:val="Table Text Centred"/>
    <w:basedOn w:val="TableTextBase"/>
    <w:rsid w:val="00A421C5"/>
    <w:pPr>
      <w:jc w:val="center"/>
    </w:pPr>
  </w:style>
  <w:style w:type="paragraph" w:customStyle="1" w:styleId="TableTextIndented">
    <w:name w:val="Table Text Indented"/>
    <w:basedOn w:val="TableTextBase"/>
    <w:rsid w:val="00A421C5"/>
    <w:pPr>
      <w:ind w:left="284"/>
    </w:pPr>
  </w:style>
  <w:style w:type="paragraph" w:customStyle="1" w:styleId="TableTextLeft">
    <w:name w:val="Table Text Left"/>
    <w:basedOn w:val="TableTextBase"/>
    <w:rsid w:val="00A421C5"/>
  </w:style>
  <w:style w:type="paragraph" w:customStyle="1" w:styleId="TableTextRight">
    <w:name w:val="Table Text Right"/>
    <w:basedOn w:val="TableTextBase"/>
    <w:rsid w:val="00A421C5"/>
    <w:pPr>
      <w:jc w:val="right"/>
    </w:pPr>
  </w:style>
  <w:style w:type="paragraph" w:styleId="TOAHeading">
    <w:name w:val="toa heading"/>
    <w:basedOn w:val="Normal"/>
    <w:next w:val="Normal"/>
    <w:rsid w:val="00A421C5"/>
    <w:pPr>
      <w:spacing w:before="120"/>
    </w:pPr>
    <w:rPr>
      <w:rFonts w:ascii="Arial" w:hAnsi="Arial" w:cs="Arial"/>
      <w:b/>
      <w:bCs/>
      <w:sz w:val="24"/>
      <w:szCs w:val="24"/>
    </w:rPr>
  </w:style>
  <w:style w:type="paragraph" w:styleId="TOC1">
    <w:name w:val="toc 1"/>
    <w:basedOn w:val="HeaderBase"/>
    <w:next w:val="Normal"/>
    <w:uiPriority w:val="2"/>
    <w:rsid w:val="00A421C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A421C5"/>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A421C5"/>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A421C5"/>
    <w:pPr>
      <w:tabs>
        <w:tab w:val="right" w:leader="dot" w:pos="7700"/>
      </w:tabs>
      <w:spacing w:before="40"/>
      <w:ind w:right="851"/>
    </w:pPr>
    <w:rPr>
      <w:sz w:val="20"/>
    </w:rPr>
  </w:style>
  <w:style w:type="paragraph" w:styleId="TOC5">
    <w:name w:val="toc 5"/>
    <w:basedOn w:val="Normal"/>
    <w:next w:val="Normal"/>
    <w:autoRedefine/>
    <w:uiPriority w:val="2"/>
    <w:semiHidden/>
    <w:rsid w:val="00A421C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A421C5"/>
    <w:pPr>
      <w:tabs>
        <w:tab w:val="left" w:pos="851"/>
      </w:tabs>
      <w:ind w:left="851" w:hanging="851"/>
    </w:pPr>
    <w:rPr>
      <w:color w:val="000000"/>
    </w:rPr>
  </w:style>
  <w:style w:type="paragraph" w:styleId="TOC7">
    <w:name w:val="toc 7"/>
    <w:basedOn w:val="Normal"/>
    <w:next w:val="Normal"/>
    <w:autoRedefine/>
    <w:uiPriority w:val="2"/>
    <w:semiHidden/>
    <w:rsid w:val="00A421C5"/>
    <w:pPr>
      <w:ind w:left="1200"/>
    </w:pPr>
  </w:style>
  <w:style w:type="paragraph" w:styleId="TOC8">
    <w:name w:val="toc 8"/>
    <w:basedOn w:val="Normal"/>
    <w:next w:val="Normal"/>
    <w:autoRedefine/>
    <w:uiPriority w:val="2"/>
    <w:semiHidden/>
    <w:rsid w:val="00A421C5"/>
    <w:pPr>
      <w:ind w:left="1400"/>
    </w:pPr>
  </w:style>
  <w:style w:type="paragraph" w:styleId="TOC9">
    <w:name w:val="toc 9"/>
    <w:basedOn w:val="Normal"/>
    <w:next w:val="Normal"/>
    <w:autoRedefine/>
    <w:uiPriority w:val="2"/>
    <w:semiHidden/>
    <w:rsid w:val="00A421C5"/>
    <w:pPr>
      <w:ind w:left="1600"/>
    </w:pPr>
  </w:style>
  <w:style w:type="paragraph" w:customStyle="1" w:styleId="TPHeading1">
    <w:name w:val="TP Heading 1"/>
    <w:basedOn w:val="HeadingBase"/>
    <w:semiHidden/>
    <w:rsid w:val="00A421C5"/>
    <w:pPr>
      <w:spacing w:before="60" w:after="60"/>
      <w:ind w:left="1134"/>
    </w:pPr>
    <w:rPr>
      <w:rFonts w:ascii="Arial Bold" w:hAnsi="Arial Bold"/>
      <w:b/>
      <w:caps/>
      <w:spacing w:val="-10"/>
      <w:sz w:val="28"/>
    </w:rPr>
  </w:style>
  <w:style w:type="paragraph" w:customStyle="1" w:styleId="TPHeading2">
    <w:name w:val="TP Heading 2"/>
    <w:basedOn w:val="HeadingBase"/>
    <w:semiHidden/>
    <w:rsid w:val="00A421C5"/>
    <w:pPr>
      <w:ind w:left="1134"/>
    </w:pPr>
    <w:rPr>
      <w:caps/>
      <w:spacing w:val="-10"/>
      <w:sz w:val="28"/>
    </w:rPr>
  </w:style>
  <w:style w:type="paragraph" w:customStyle="1" w:styleId="TPHeading3">
    <w:name w:val="TP Heading 3"/>
    <w:basedOn w:val="HeadingBase"/>
    <w:semiHidden/>
    <w:rsid w:val="00A421C5"/>
    <w:pPr>
      <w:ind w:left="1134"/>
    </w:pPr>
    <w:rPr>
      <w:caps/>
      <w:spacing w:val="-10"/>
    </w:rPr>
  </w:style>
  <w:style w:type="paragraph" w:customStyle="1" w:styleId="TPHeading3bold">
    <w:name w:val="TP Heading 3 bold"/>
    <w:basedOn w:val="TPHeading3"/>
    <w:semiHidden/>
    <w:rsid w:val="00A421C5"/>
    <w:rPr>
      <w:rFonts w:cs="Arial"/>
      <w:b/>
      <w:sz w:val="22"/>
      <w:szCs w:val="22"/>
    </w:rPr>
  </w:style>
  <w:style w:type="paragraph" w:customStyle="1" w:styleId="TPHEADING3boldspace">
    <w:name w:val="TP HEADING 3 bold space"/>
    <w:basedOn w:val="TPHeading3bold"/>
    <w:semiHidden/>
    <w:rsid w:val="00A421C5"/>
    <w:pPr>
      <w:spacing w:after="120"/>
    </w:pPr>
  </w:style>
  <w:style w:type="paragraph" w:customStyle="1" w:styleId="TPHEADING3space">
    <w:name w:val="TP HEADING 3 space"/>
    <w:basedOn w:val="TPHeading3"/>
    <w:semiHidden/>
    <w:rsid w:val="00A421C5"/>
    <w:pPr>
      <w:spacing w:before="120" w:after="120"/>
    </w:pPr>
    <w:rPr>
      <w:rFonts w:cs="Arial"/>
      <w:sz w:val="22"/>
      <w:szCs w:val="22"/>
    </w:rPr>
  </w:style>
  <w:style w:type="paragraph" w:customStyle="1" w:styleId="TPHeading4">
    <w:name w:val="TP Heading 4"/>
    <w:basedOn w:val="TPHeading3"/>
    <w:semiHidden/>
    <w:rsid w:val="00A421C5"/>
    <w:rPr>
      <w:sz w:val="20"/>
    </w:rPr>
  </w:style>
  <w:style w:type="paragraph" w:customStyle="1" w:styleId="TPHEADING4space">
    <w:name w:val="TP HEADING 4 space"/>
    <w:basedOn w:val="TPHEADING3space"/>
    <w:semiHidden/>
    <w:rsid w:val="00A421C5"/>
  </w:style>
  <w:style w:type="paragraph" w:customStyle="1" w:styleId="ChartLine">
    <w:name w:val="Chart Line"/>
    <w:basedOn w:val="Normal"/>
    <w:autoRedefine/>
    <w:qFormat/>
    <w:rsid w:val="00A421C5"/>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A421C5"/>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A421C5"/>
    <w:rPr>
      <w:sz w:val="16"/>
    </w:rPr>
  </w:style>
  <w:style w:type="paragraph" w:customStyle="1" w:styleId="Box-continuedon">
    <w:name w:val="Box - continued on"/>
    <w:basedOn w:val="Normal"/>
    <w:qFormat/>
    <w:rsid w:val="00A421C5"/>
    <w:pPr>
      <w:jc w:val="right"/>
    </w:pPr>
    <w:rPr>
      <w:rFonts w:asciiTheme="majorHAnsi" w:hAnsiTheme="majorHAnsi" w:cstheme="majorHAnsi"/>
      <w:i/>
      <w:iCs/>
      <w:sz w:val="18"/>
      <w:szCs w:val="24"/>
    </w:rPr>
  </w:style>
  <w:style w:type="paragraph" w:customStyle="1" w:styleId="BoxHeading2">
    <w:name w:val="Box Heading 2"/>
    <w:basedOn w:val="BoxHeading"/>
    <w:autoRedefine/>
    <w:rsid w:val="00A421C5"/>
    <w:pPr>
      <w:spacing w:after="0"/>
    </w:pPr>
    <w:rPr>
      <w:b w:val="0"/>
      <w:bCs/>
      <w:szCs w:val="14"/>
    </w:rPr>
  </w:style>
  <w:style w:type="character" w:customStyle="1" w:styleId="Heading9Char">
    <w:name w:val="Heading 9 Char"/>
    <w:basedOn w:val="DefaultParagraphFont"/>
    <w:link w:val="Heading9"/>
    <w:uiPriority w:val="9"/>
    <w:rsid w:val="00A421C5"/>
    <w:rPr>
      <w:rFonts w:ascii="Cambria" w:eastAsia="Times New Roman" w:hAnsi="Cambria" w:cs="Times New Roman"/>
      <w:lang w:eastAsia="en-AU"/>
    </w:rPr>
  </w:style>
  <w:style w:type="paragraph" w:customStyle="1" w:styleId="GhostLine">
    <w:name w:val="Ghost Line"/>
    <w:basedOn w:val="NoSpacing"/>
    <w:qFormat/>
    <w:rsid w:val="00A421C5"/>
    <w:pPr>
      <w:jc w:val="both"/>
    </w:pPr>
    <w:rPr>
      <w:rFonts w:ascii="Book Antiqua" w:hAnsi="Book Antiqua"/>
      <w:sz w:val="2"/>
    </w:rPr>
  </w:style>
  <w:style w:type="paragraph" w:styleId="NoSpacing">
    <w:name w:val="No Spacing"/>
    <w:uiPriority w:val="1"/>
    <w:qFormat/>
    <w:rsid w:val="00A421C5"/>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A421C5"/>
    <w:rPr>
      <w:rFonts w:ascii="Book Antiqua" w:eastAsia="Times New Roman" w:hAnsi="Book Antiqua" w:cs="Times New Roman"/>
      <w:sz w:val="19"/>
      <w:szCs w:val="20"/>
      <w:lang w:eastAsia="en-AU"/>
    </w:rPr>
  </w:style>
  <w:style w:type="character" w:customStyle="1" w:styleId="A5">
    <w:name w:val="A5"/>
    <w:uiPriority w:val="99"/>
    <w:rsid w:val="00A421C5"/>
    <w:rPr>
      <w:rFonts w:cs="Swiss 721 BT"/>
      <w:color w:val="000000"/>
      <w:sz w:val="20"/>
      <w:szCs w:val="20"/>
    </w:rPr>
  </w:style>
  <w:style w:type="paragraph" w:customStyle="1" w:styleId="CreativeCommonsNormal">
    <w:name w:val="Creative Commons Normal"/>
    <w:basedOn w:val="Normal"/>
    <w:qFormat/>
    <w:rsid w:val="00A421C5"/>
    <w:pPr>
      <w:spacing w:before="120" w:after="80"/>
    </w:pPr>
  </w:style>
  <w:style w:type="paragraph" w:customStyle="1" w:styleId="CreativeCommonsH1">
    <w:name w:val="Creative Commons H1"/>
    <w:basedOn w:val="Normal"/>
    <w:qFormat/>
    <w:rsid w:val="00A421C5"/>
    <w:pPr>
      <w:spacing w:before="160" w:after="120"/>
    </w:pPr>
    <w:rPr>
      <w:b/>
      <w:bCs/>
    </w:rPr>
  </w:style>
  <w:style w:type="paragraph" w:customStyle="1" w:styleId="CreativeCommonsIndented">
    <w:name w:val="Creative Commons Indented"/>
    <w:basedOn w:val="CreativeCommonsNormal"/>
    <w:qFormat/>
    <w:rsid w:val="00A421C5"/>
    <w:pPr>
      <w:ind w:left="567"/>
    </w:pPr>
  </w:style>
  <w:style w:type="paragraph" w:customStyle="1" w:styleId="OutlineNumbered1">
    <w:name w:val="Outline Numbered 1"/>
    <w:basedOn w:val="Normal"/>
    <w:link w:val="OutlineNumbered1Char"/>
    <w:qFormat/>
    <w:rsid w:val="00A421C5"/>
    <w:pPr>
      <w:numPr>
        <w:numId w:val="22"/>
      </w:numPr>
    </w:pPr>
  </w:style>
  <w:style w:type="character" w:customStyle="1" w:styleId="OutlineNumbered1Char">
    <w:name w:val="Outline Numbered 1 Char"/>
    <w:basedOn w:val="DefaultParagraphFont"/>
    <w:link w:val="OutlineNumbered1"/>
    <w:rsid w:val="00A421C5"/>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A421C5"/>
    <w:pPr>
      <w:numPr>
        <w:ilvl w:val="1"/>
        <w:numId w:val="21"/>
      </w:numPr>
    </w:pPr>
  </w:style>
  <w:style w:type="paragraph" w:customStyle="1" w:styleId="OutlineNumbered3">
    <w:name w:val="Outline Numbered 3"/>
    <w:basedOn w:val="Normal"/>
    <w:qFormat/>
    <w:rsid w:val="00A421C5"/>
    <w:pPr>
      <w:numPr>
        <w:ilvl w:val="2"/>
        <w:numId w:val="21"/>
      </w:numPr>
    </w:pPr>
  </w:style>
  <w:style w:type="character" w:styleId="Emphasis">
    <w:name w:val="Emphasis"/>
    <w:basedOn w:val="DefaultParagraphFont"/>
    <w:uiPriority w:val="20"/>
    <w:qFormat/>
    <w:rsid w:val="00A421C5"/>
    <w:rPr>
      <w:i/>
      <w:iCs/>
    </w:rPr>
  </w:style>
  <w:style w:type="paragraph" w:customStyle="1" w:styleId="Prelims-PaperNametitlepage">
    <w:name w:val="Prelims - Paper Name (title page)"/>
    <w:basedOn w:val="Normal"/>
    <w:qFormat/>
    <w:rsid w:val="00A421C5"/>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A421C5"/>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A421C5"/>
    <w:pPr>
      <w:keepNext/>
      <w:spacing w:before="120" w:after="120" w:line="240" w:lineRule="auto"/>
    </w:pPr>
    <w:rPr>
      <w:rFonts w:asciiTheme="majorHAnsi" w:hAnsiTheme="majorHAnsi" w:cs="Arial"/>
      <w:sz w:val="20"/>
    </w:rPr>
  </w:style>
  <w:style w:type="paragraph" w:styleId="Revision">
    <w:name w:val="Revision"/>
    <w:hidden/>
    <w:uiPriority w:val="99"/>
    <w:semiHidden/>
    <w:rsid w:val="005C279A"/>
    <w:pPr>
      <w:spacing w:after="0" w:line="240" w:lineRule="auto"/>
    </w:pPr>
    <w:rPr>
      <w:rFonts w:ascii="Book Antiqua" w:eastAsia="Times New Roman" w:hAnsi="Book Antiqua" w:cs="Times New Roman"/>
      <w:sz w:val="19"/>
      <w:szCs w:val="20"/>
      <w:lang w:eastAsia="en-AU"/>
    </w:rPr>
  </w:style>
  <w:style w:type="character" w:styleId="Mention">
    <w:name w:val="Mention"/>
    <w:basedOn w:val="DefaultParagraphFont"/>
    <w:uiPriority w:val="99"/>
    <w:unhideWhenUsed/>
    <w:rsid w:val="00FF7479"/>
    <w:rPr>
      <w:color w:val="2B579A"/>
      <w:shd w:val="clear" w:color="auto" w:fill="E1DFDD"/>
    </w:rPr>
  </w:style>
  <w:style w:type="paragraph" w:styleId="NormalWeb">
    <w:name w:val="Normal (Web)"/>
    <w:basedOn w:val="Normal"/>
    <w:uiPriority w:val="99"/>
    <w:semiHidden/>
    <w:unhideWhenUsed/>
    <w:rsid w:val="00154C52"/>
    <w:rPr>
      <w:rFonts w:ascii="Times New Roman" w:hAnsi="Times New Roman"/>
      <w:sz w:val="24"/>
      <w:szCs w:val="24"/>
    </w:rPr>
  </w:style>
  <w:style w:type="character" w:styleId="UnresolvedMention">
    <w:name w:val="Unresolved Mention"/>
    <w:basedOn w:val="DefaultParagraphFont"/>
    <w:uiPriority w:val="99"/>
    <w:semiHidden/>
    <w:unhideWhenUsed/>
    <w:rsid w:val="007D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811">
      <w:bodyDiv w:val="1"/>
      <w:marLeft w:val="0"/>
      <w:marRight w:val="0"/>
      <w:marTop w:val="0"/>
      <w:marBottom w:val="0"/>
      <w:divBdr>
        <w:top w:val="none" w:sz="0" w:space="0" w:color="auto"/>
        <w:left w:val="none" w:sz="0" w:space="0" w:color="auto"/>
        <w:bottom w:val="none" w:sz="0" w:space="0" w:color="auto"/>
        <w:right w:val="none" w:sz="0" w:space="0" w:color="auto"/>
      </w:divBdr>
    </w:div>
    <w:div w:id="123550914">
      <w:bodyDiv w:val="1"/>
      <w:marLeft w:val="0"/>
      <w:marRight w:val="0"/>
      <w:marTop w:val="0"/>
      <w:marBottom w:val="0"/>
      <w:divBdr>
        <w:top w:val="none" w:sz="0" w:space="0" w:color="auto"/>
        <w:left w:val="none" w:sz="0" w:space="0" w:color="auto"/>
        <w:bottom w:val="none" w:sz="0" w:space="0" w:color="auto"/>
        <w:right w:val="none" w:sz="0" w:space="0" w:color="auto"/>
      </w:divBdr>
    </w:div>
    <w:div w:id="542180158">
      <w:bodyDiv w:val="1"/>
      <w:marLeft w:val="0"/>
      <w:marRight w:val="0"/>
      <w:marTop w:val="0"/>
      <w:marBottom w:val="0"/>
      <w:divBdr>
        <w:top w:val="none" w:sz="0" w:space="0" w:color="auto"/>
        <w:left w:val="none" w:sz="0" w:space="0" w:color="auto"/>
        <w:bottom w:val="none" w:sz="0" w:space="0" w:color="auto"/>
        <w:right w:val="none" w:sz="0" w:space="0" w:color="auto"/>
      </w:divBdr>
    </w:div>
    <w:div w:id="631330893">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1435980108">
      <w:bodyDiv w:val="1"/>
      <w:marLeft w:val="0"/>
      <w:marRight w:val="0"/>
      <w:marTop w:val="0"/>
      <w:marBottom w:val="0"/>
      <w:divBdr>
        <w:top w:val="none" w:sz="0" w:space="0" w:color="auto"/>
        <w:left w:val="none" w:sz="0" w:space="0" w:color="auto"/>
        <w:bottom w:val="none" w:sz="0" w:space="0" w:color="auto"/>
        <w:right w:val="none" w:sz="0" w:space="0" w:color="auto"/>
      </w:divBdr>
    </w:div>
    <w:div w:id="1636132781">
      <w:bodyDiv w:val="1"/>
      <w:marLeft w:val="0"/>
      <w:marRight w:val="0"/>
      <w:marTop w:val="0"/>
      <w:marBottom w:val="0"/>
      <w:divBdr>
        <w:top w:val="none" w:sz="0" w:space="0" w:color="auto"/>
        <w:left w:val="none" w:sz="0" w:space="0" w:color="auto"/>
        <w:bottom w:val="none" w:sz="0" w:space="0" w:color="auto"/>
        <w:right w:val="none" w:sz="0" w:space="0" w:color="auto"/>
      </w:divBdr>
    </w:div>
    <w:div w:id="19164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Part 5: Sensitivity Analysis</dc:subject>
  <dc:creator>Australian Government</dc:creator>
  <cp:keywords/>
  <dc:description/>
  <cp:lastModifiedBy/>
  <cp:revision>1</cp:revision>
  <dcterms:created xsi:type="dcterms:W3CDTF">2025-12-15T23:24:00Z</dcterms:created>
  <dcterms:modified xsi:type="dcterms:W3CDTF">2025-12-15T23:25:00Z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2025-12-15T23:24:10Z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7df927fe-aae9-467e-ba94-7f8dadc1ee4d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